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D94453" w14:textId="77777777" w:rsidR="00E61C26" w:rsidRDefault="00E61C26" w:rsidP="00E61C26">
      <w:pPr>
        <w:pStyle w:val="Contactinformation"/>
      </w:pPr>
      <w:bookmarkStart w:id="0" w:name="_top"/>
      <w:bookmarkEnd w:id="0"/>
    </w:p>
    <w:p w14:paraId="701F21F4" w14:textId="77777777" w:rsidR="00E61C26" w:rsidRDefault="00E61C26" w:rsidP="00E61C26">
      <w:pPr>
        <w:pStyle w:val="Contactinformation"/>
        <w:ind w:firstLine="720"/>
      </w:pPr>
    </w:p>
    <w:p w14:paraId="75668CF1" w14:textId="77777777" w:rsidR="00E61C26" w:rsidRDefault="00E61C26" w:rsidP="00E61C26">
      <w:pPr>
        <w:pStyle w:val="Contactinformation"/>
        <w:jc w:val="center"/>
      </w:pPr>
    </w:p>
    <w:p w14:paraId="7A39EAC4" w14:textId="77777777" w:rsidR="00E61C26" w:rsidRDefault="00E61C26" w:rsidP="00E61C26">
      <w:pPr>
        <w:pStyle w:val="Contactinformation"/>
      </w:pPr>
    </w:p>
    <w:p w14:paraId="1AF04CBA" w14:textId="77777777" w:rsidR="00E61C26" w:rsidRDefault="00E61C26" w:rsidP="00E61C26">
      <w:pPr>
        <w:pStyle w:val="Contactinformation"/>
      </w:pPr>
    </w:p>
    <w:p w14:paraId="0FBC483A" w14:textId="77777777" w:rsidR="00E61C26" w:rsidRDefault="00E61C26" w:rsidP="00E61C26">
      <w:pPr>
        <w:pStyle w:val="Contactinformation"/>
      </w:pPr>
    </w:p>
    <w:p w14:paraId="452B8594" w14:textId="77777777" w:rsidR="00E61C26" w:rsidRDefault="00E61C26" w:rsidP="00E61C26">
      <w:pPr>
        <w:pStyle w:val="Contactinformation"/>
      </w:pPr>
    </w:p>
    <w:p w14:paraId="31B0548F" w14:textId="77777777" w:rsidR="00E61C26" w:rsidRDefault="00E61C26" w:rsidP="00E61C26">
      <w:pPr>
        <w:pStyle w:val="Contactinformation"/>
      </w:pPr>
    </w:p>
    <w:p w14:paraId="54A8CAF7" w14:textId="77777777" w:rsidR="00E61C26" w:rsidRDefault="00E61C26" w:rsidP="00E61C26">
      <w:pPr>
        <w:pStyle w:val="Contactinformation"/>
      </w:pPr>
      <w:bookmarkStart w:id="1" w:name="_GoBack"/>
      <w:bookmarkEnd w:id="1"/>
    </w:p>
    <w:p w14:paraId="6A7F377A" w14:textId="77777777" w:rsidR="00E61C26" w:rsidRDefault="00E61C26" w:rsidP="00E61C26">
      <w:pPr>
        <w:pStyle w:val="Contactinformation"/>
      </w:pPr>
    </w:p>
    <w:p w14:paraId="2D8023AE" w14:textId="77777777" w:rsidR="00E61C26" w:rsidRDefault="00E61C26" w:rsidP="00E61C26">
      <w:pPr>
        <w:pStyle w:val="Contactinformation"/>
      </w:pPr>
    </w:p>
    <w:p w14:paraId="27E59451" w14:textId="77777777" w:rsidR="00E61C26" w:rsidRDefault="00E61C26" w:rsidP="00E61C26">
      <w:pPr>
        <w:pStyle w:val="Reporttitle"/>
      </w:pPr>
      <w:r>
        <w:t>Report on inquiry into domestic and family violence—policy approaches and responses</w:t>
      </w:r>
    </w:p>
    <w:p w14:paraId="2D77B38E" w14:textId="77777777" w:rsidR="00E61C26" w:rsidRDefault="00E61C26" w:rsidP="00E61C26">
      <w:pPr>
        <w:pStyle w:val="Committeename"/>
        <w:spacing w:before="480" w:after="480"/>
      </w:pPr>
      <w:r>
        <w:t>Standing Committee on Justice and Community Safety</w:t>
      </w:r>
    </w:p>
    <w:p w14:paraId="6430170A" w14:textId="1E46BECA" w:rsidR="00E61C26" w:rsidRDefault="00330A7E" w:rsidP="00E61C26">
      <w:pPr>
        <w:pStyle w:val="Reportdate"/>
        <w:spacing w:after="360"/>
      </w:pPr>
      <w:r>
        <w:t>August</w:t>
      </w:r>
      <w:r w:rsidR="00E61C26">
        <w:t xml:space="preserve"> 2019</w:t>
      </w:r>
    </w:p>
    <w:p w14:paraId="23F0CD46" w14:textId="0325DF2A" w:rsidR="00E61C26" w:rsidRPr="002F29F6" w:rsidRDefault="00E61C26" w:rsidP="002F29F6">
      <w:pPr>
        <w:spacing w:before="1200" w:after="100" w:line="312" w:lineRule="auto"/>
        <w:jc w:val="right"/>
        <w:rPr>
          <w:rFonts w:ascii="Arial Narrow" w:hAnsi="Arial Narrow"/>
          <w:smallCaps/>
          <w:sz w:val="24"/>
        </w:rPr>
      </w:pPr>
      <w:r w:rsidRPr="002F29F6">
        <w:rPr>
          <w:rFonts w:ascii="Arial Narrow" w:hAnsi="Arial Narrow"/>
          <w:smallCaps/>
          <w:sz w:val="24"/>
        </w:rPr>
        <w:t>Report</w:t>
      </w:r>
      <w:r w:rsidR="0058160C" w:rsidRPr="002F29F6">
        <w:rPr>
          <w:rFonts w:ascii="Arial Narrow" w:hAnsi="Arial Narrow"/>
          <w:smallCaps/>
          <w:sz w:val="24"/>
        </w:rPr>
        <w:t xml:space="preserve"> </w:t>
      </w:r>
      <w:r w:rsidRPr="002F29F6">
        <w:rPr>
          <w:rFonts w:ascii="Arial Narrow" w:hAnsi="Arial Narrow"/>
          <w:smallCaps/>
          <w:sz w:val="24"/>
        </w:rPr>
        <w:t>6</w:t>
      </w:r>
    </w:p>
    <w:p w14:paraId="67FFCCD2" w14:textId="77777777" w:rsidR="00E61C26" w:rsidRDefault="00E61C26" w:rsidP="00E61C26">
      <w:pPr>
        <w:pStyle w:val="Prelimminorheading"/>
        <w:numPr>
          <w:ilvl w:val="0"/>
          <w:numId w:val="0"/>
        </w:numPr>
      </w:pPr>
    </w:p>
    <w:p w14:paraId="5B617EB0" w14:textId="77777777" w:rsidR="00E61C26" w:rsidRDefault="00E61C26" w:rsidP="00E61C26">
      <w:pPr>
        <w:pStyle w:val="Prelimminorheading"/>
        <w:numPr>
          <w:ilvl w:val="0"/>
          <w:numId w:val="0"/>
        </w:numPr>
        <w:sectPr w:rsidR="00E61C26" w:rsidSect="005722A6">
          <w:headerReference w:type="even" r:id="rId9"/>
          <w:headerReference w:type="default" r:id="rId10"/>
          <w:footerReference w:type="default" r:id="rId11"/>
          <w:pgSz w:w="11907" w:h="16840" w:code="9"/>
          <w:pgMar w:top="1588" w:right="1418" w:bottom="425" w:left="1418" w:header="720" w:footer="851" w:gutter="0"/>
          <w:pgNumType w:fmt="lowerRoman"/>
          <w:cols w:space="720"/>
          <w:titlePg/>
          <w:docGrid w:linePitch="360"/>
        </w:sectPr>
      </w:pPr>
    </w:p>
    <w:p w14:paraId="4645FD14" w14:textId="77777777" w:rsidR="00E61C26" w:rsidRPr="00BD6446" w:rsidRDefault="00E61C26" w:rsidP="00E61C26">
      <w:pPr>
        <w:pStyle w:val="Prelimminorheading"/>
        <w:numPr>
          <w:ilvl w:val="0"/>
          <w:numId w:val="0"/>
        </w:numPr>
        <w:rPr>
          <w:spacing w:val="4"/>
          <w:sz w:val="30"/>
          <w:szCs w:val="30"/>
        </w:rPr>
      </w:pPr>
      <w:bookmarkStart w:id="2" w:name="_Toc170711045"/>
      <w:bookmarkStart w:id="3" w:name="_Toc341433411"/>
      <w:bookmarkStart w:id="4" w:name="_Toc341687854"/>
      <w:bookmarkStart w:id="5" w:name="_Toc16763982"/>
      <w:r w:rsidRPr="00BD6446">
        <w:rPr>
          <w:spacing w:val="4"/>
          <w:sz w:val="30"/>
          <w:szCs w:val="30"/>
        </w:rPr>
        <w:lastRenderedPageBreak/>
        <w:t>Committee membership</w:t>
      </w:r>
      <w:bookmarkEnd w:id="2"/>
      <w:bookmarkEnd w:id="3"/>
      <w:bookmarkEnd w:id="4"/>
      <w:bookmarkEnd w:id="5"/>
    </w:p>
    <w:p w14:paraId="060ACBA0" w14:textId="77777777" w:rsidR="00E61C26" w:rsidRDefault="00E61C26" w:rsidP="00E61C26">
      <w:pPr>
        <w:spacing w:before="120" w:after="120"/>
        <w:ind w:left="2880" w:hanging="2880"/>
      </w:pPr>
      <w:r w:rsidRPr="008727FB">
        <w:t xml:space="preserve">Mrs Giulia Jones </w:t>
      </w:r>
      <w:r>
        <w:t>MLA</w:t>
      </w:r>
      <w:r>
        <w:tab/>
      </w:r>
      <w:r w:rsidRPr="008727FB">
        <w:t xml:space="preserve">Chair from 14 December 2016 to 22 March 2018 </w:t>
      </w:r>
      <w:r>
        <w:t>and from 2 November 2018.</w:t>
      </w:r>
    </w:p>
    <w:p w14:paraId="6732670E" w14:textId="77777777" w:rsidR="00E61C26" w:rsidRDefault="00E61C26" w:rsidP="00E61C26">
      <w:pPr>
        <w:spacing w:before="120" w:after="120"/>
        <w:ind w:left="2160" w:firstLine="720"/>
      </w:pPr>
      <w:r w:rsidRPr="008727FB">
        <w:t>Member from 13 December 2016</w:t>
      </w:r>
      <w:r>
        <w:t xml:space="preserve"> to 22 March 2018.</w:t>
      </w:r>
    </w:p>
    <w:p w14:paraId="13A86B31" w14:textId="77777777" w:rsidR="00E61C26" w:rsidRDefault="00E61C26" w:rsidP="00E61C26">
      <w:pPr>
        <w:spacing w:before="120" w:after="120"/>
        <w:ind w:left="2160" w:firstLine="720"/>
      </w:pPr>
      <w:r>
        <w:t>Re-appointed as member, 1 November 2018.</w:t>
      </w:r>
    </w:p>
    <w:p w14:paraId="3F24E7E1" w14:textId="77777777" w:rsidR="00E61C26" w:rsidRPr="008727FB" w:rsidRDefault="00E61C26" w:rsidP="00E61C26">
      <w:pPr>
        <w:spacing w:before="120" w:after="120"/>
        <w:ind w:left="2880"/>
      </w:pPr>
      <w:r w:rsidRPr="008727FB">
        <w:t>[On 21 March 2018 the Assembly discharged Mrs Giulia Jones MLA from the Committee and appointed Ms Nicole Lawder MLA in her place (for the period 22 March 2018 to 17 September 2018</w:t>
      </w:r>
      <w:r>
        <w:t>)]</w:t>
      </w:r>
      <w:r w:rsidRPr="008727FB">
        <w:rPr>
          <w:rStyle w:val="FootnoteReference"/>
          <w:rFonts w:eastAsiaTheme="majorEastAsia"/>
        </w:rPr>
        <w:footnoteReference w:id="1"/>
      </w:r>
    </w:p>
    <w:p w14:paraId="05E07B9B" w14:textId="77777777" w:rsidR="00E61C26" w:rsidRPr="008727FB" w:rsidRDefault="00E61C26" w:rsidP="00E61C26">
      <w:pPr>
        <w:spacing w:before="120" w:after="120"/>
      </w:pPr>
      <w:r w:rsidRPr="008727FB">
        <w:t>Ms Elizabeth Lee MLA</w:t>
      </w:r>
      <w:r w:rsidRPr="008727FB">
        <w:tab/>
      </w:r>
      <w:r w:rsidRPr="008727FB">
        <w:tab/>
        <w:t>Chair from 22 March 2018</w:t>
      </w:r>
      <w:r>
        <w:t xml:space="preserve"> to 1 November 2018</w:t>
      </w:r>
    </w:p>
    <w:p w14:paraId="0FF2AD1F" w14:textId="77777777" w:rsidR="00E61C26" w:rsidRPr="008727FB" w:rsidRDefault="00E61C26" w:rsidP="00E61C26">
      <w:pPr>
        <w:spacing w:before="120" w:after="120"/>
        <w:ind w:left="2160" w:firstLine="720"/>
      </w:pPr>
      <w:r w:rsidRPr="008727FB">
        <w:t>Member from 13 December 2016</w:t>
      </w:r>
      <w:r>
        <w:t xml:space="preserve"> to 1 November 2018.</w:t>
      </w:r>
    </w:p>
    <w:p w14:paraId="6BE8407F" w14:textId="77777777" w:rsidR="00E61C26" w:rsidRPr="008727FB" w:rsidRDefault="00E61C26" w:rsidP="00E61C26">
      <w:pPr>
        <w:spacing w:before="120" w:after="120"/>
      </w:pPr>
      <w:r w:rsidRPr="008727FB">
        <w:t>Ms Bec Cody MLA</w:t>
      </w:r>
      <w:r w:rsidRPr="008727FB">
        <w:tab/>
      </w:r>
      <w:r w:rsidRPr="008727FB">
        <w:tab/>
        <w:t>Deputy Chair from 14 December 2016</w:t>
      </w:r>
    </w:p>
    <w:p w14:paraId="47FF37DB" w14:textId="77777777" w:rsidR="00E61C26" w:rsidRPr="008727FB" w:rsidRDefault="00E61C26" w:rsidP="00E61C26">
      <w:pPr>
        <w:spacing w:before="120" w:after="120"/>
      </w:pPr>
      <w:r w:rsidRPr="008727FB">
        <w:tab/>
      </w:r>
      <w:r w:rsidRPr="008727FB">
        <w:tab/>
      </w:r>
      <w:r w:rsidRPr="008727FB">
        <w:tab/>
      </w:r>
      <w:r w:rsidRPr="008727FB">
        <w:tab/>
        <w:t>Member from 13 December 2016</w:t>
      </w:r>
    </w:p>
    <w:p w14:paraId="250E9FCE" w14:textId="77777777" w:rsidR="00E61C26" w:rsidRPr="008727FB" w:rsidRDefault="00E61C26" w:rsidP="00E61C26">
      <w:pPr>
        <w:spacing w:before="120" w:after="120"/>
        <w:ind w:left="2880" w:hanging="2880"/>
      </w:pPr>
      <w:r w:rsidRPr="008727FB">
        <w:t>Ms Nicole Lawder MLA</w:t>
      </w:r>
      <w:r w:rsidRPr="008727FB">
        <w:tab/>
        <w:t>Member from 22 March 2018 (for the period 22 March 2018 to</w:t>
      </w:r>
      <w:r>
        <w:t xml:space="preserve"> </w:t>
      </w:r>
      <w:r w:rsidRPr="008727FB">
        <w:t>17 September 2018)</w:t>
      </w:r>
    </w:p>
    <w:p w14:paraId="3D15741C" w14:textId="77777777" w:rsidR="00E61C26" w:rsidRPr="008727FB" w:rsidRDefault="00E61C26" w:rsidP="00E61C26">
      <w:pPr>
        <w:spacing w:before="120" w:after="120"/>
      </w:pPr>
      <w:r w:rsidRPr="008727FB">
        <w:t>Mr Chris Steel MLA</w:t>
      </w:r>
      <w:r w:rsidRPr="008727FB">
        <w:tab/>
      </w:r>
      <w:r w:rsidRPr="008727FB">
        <w:tab/>
        <w:t>Member from 13 December 2016 to 23 August 2018</w:t>
      </w:r>
    </w:p>
    <w:p w14:paraId="7B141A94" w14:textId="77777777" w:rsidR="00E61C26" w:rsidRPr="008727FB" w:rsidRDefault="00E61C26" w:rsidP="00E61C26">
      <w:pPr>
        <w:spacing w:before="120" w:after="120"/>
      </w:pPr>
      <w:r w:rsidRPr="008727FB">
        <w:t>Mr Michael Pettersson MLA</w:t>
      </w:r>
      <w:r w:rsidRPr="008727FB">
        <w:tab/>
        <w:t>Member from 23 August 2018</w:t>
      </w:r>
    </w:p>
    <w:p w14:paraId="4D4C99C0" w14:textId="77777777" w:rsidR="00E61C26" w:rsidRPr="00F14364" w:rsidRDefault="00E61C26" w:rsidP="00E61C26">
      <w:pPr>
        <w:pStyle w:val="Secretariat"/>
      </w:pPr>
      <w:bookmarkStart w:id="6" w:name="_Toc170711046"/>
      <w:bookmarkStart w:id="7" w:name="_Toc341433413"/>
      <w:bookmarkStart w:id="8" w:name="_Toc341687856"/>
      <w:bookmarkStart w:id="9" w:name="_Toc16763983"/>
      <w:r w:rsidRPr="00F74C60">
        <w:t>Secretariat</w:t>
      </w:r>
      <w:bookmarkEnd w:id="6"/>
      <w:bookmarkEnd w:id="7"/>
      <w:bookmarkEnd w:id="8"/>
      <w:bookmarkEnd w:id="9"/>
    </w:p>
    <w:p w14:paraId="7F107B05" w14:textId="77777777" w:rsidR="00A66AFB" w:rsidRDefault="00A66AFB" w:rsidP="00A66AFB">
      <w:pPr>
        <w:pStyle w:val="Bodytextnonumbering"/>
        <w:keepNext w:val="0"/>
      </w:pPr>
      <w:bookmarkStart w:id="10" w:name="_Toc341433414"/>
      <w:bookmarkStart w:id="11" w:name="_Toc341687857"/>
      <w:r w:rsidRPr="005F53F0">
        <w:t xml:space="preserve">Dr Andréa Cullen </w:t>
      </w:r>
      <w:r w:rsidRPr="005F53F0">
        <w:rPr>
          <w:sz w:val="16"/>
          <w:szCs w:val="16"/>
        </w:rPr>
        <w:t>AGIA ACIS</w:t>
      </w:r>
      <w:r w:rsidRPr="005F53F0">
        <w:tab/>
        <w:t>Secretary</w:t>
      </w:r>
      <w:r>
        <w:t xml:space="preserve"> [to 9 April 2018]</w:t>
      </w:r>
    </w:p>
    <w:p w14:paraId="0EB32981" w14:textId="77777777" w:rsidR="00E61C26" w:rsidRDefault="00E61C26" w:rsidP="00E61C26">
      <w:pPr>
        <w:pStyle w:val="Bodytextnonumbering"/>
        <w:keepNext w:val="0"/>
      </w:pPr>
      <w:r>
        <w:t>Mr Andrew Snedden</w:t>
      </w:r>
      <w:r>
        <w:tab/>
      </w:r>
      <w:r>
        <w:tab/>
        <w:t>Acting Secretary [from 10 April 2018]</w:t>
      </w:r>
    </w:p>
    <w:p w14:paraId="1D501A9E" w14:textId="77777777" w:rsidR="00E61C26" w:rsidRDefault="00E61C26" w:rsidP="00E61C26">
      <w:pPr>
        <w:pStyle w:val="Bodytextnonumbering"/>
      </w:pPr>
      <w:r>
        <w:t>Ms Lydia Chung</w:t>
      </w:r>
      <w:r>
        <w:tab/>
      </w:r>
      <w:r>
        <w:tab/>
      </w:r>
      <w:r>
        <w:tab/>
        <w:t>Administrative Assistance</w:t>
      </w:r>
    </w:p>
    <w:p w14:paraId="2519DC8B" w14:textId="77777777" w:rsidR="00E61C26" w:rsidRPr="005F53F0" w:rsidRDefault="00E61C26" w:rsidP="00E61C26">
      <w:pPr>
        <w:pStyle w:val="Bodytextnonumbering"/>
      </w:pPr>
      <w:r>
        <w:t>Mr Danton Leary</w:t>
      </w:r>
      <w:r>
        <w:tab/>
      </w:r>
      <w:r>
        <w:tab/>
        <w:t>Senior Research Assistant</w:t>
      </w:r>
    </w:p>
    <w:bookmarkEnd w:id="10"/>
    <w:bookmarkEnd w:id="11"/>
    <w:p w14:paraId="6C2E7C5D" w14:textId="77777777" w:rsidR="00E61C26" w:rsidRDefault="00E61C26" w:rsidP="00E61C26">
      <w:pPr>
        <w:pStyle w:val="Prelimminorheading"/>
        <w:numPr>
          <w:ilvl w:val="0"/>
          <w:numId w:val="0"/>
        </w:numPr>
        <w:tabs>
          <w:tab w:val="clear" w:pos="567"/>
          <w:tab w:val="left" w:pos="3874"/>
        </w:tabs>
      </w:pPr>
      <w:r>
        <w:tab/>
      </w:r>
    </w:p>
    <w:p w14:paraId="4E65DAA5" w14:textId="77777777" w:rsidR="00E61C26" w:rsidRPr="00F14364" w:rsidRDefault="00E61C26" w:rsidP="00E61C26">
      <w:pPr>
        <w:pStyle w:val="Contactinformation"/>
      </w:pPr>
      <w:bookmarkStart w:id="12" w:name="_Toc162949737"/>
      <w:bookmarkStart w:id="13" w:name="_Toc170711047"/>
      <w:bookmarkStart w:id="14" w:name="_Toc341433415"/>
      <w:bookmarkStart w:id="15" w:name="_Toc341687858"/>
      <w:bookmarkStart w:id="16" w:name="_Toc16763984"/>
      <w:r w:rsidRPr="00F14364">
        <w:t xml:space="preserve">Contact </w:t>
      </w:r>
      <w:r w:rsidRPr="00F74C60">
        <w:t>information</w:t>
      </w:r>
      <w:bookmarkEnd w:id="12"/>
      <w:bookmarkEnd w:id="13"/>
      <w:bookmarkEnd w:id="14"/>
      <w:bookmarkEnd w:id="15"/>
      <w:bookmarkEnd w:id="16"/>
    </w:p>
    <w:p w14:paraId="3481C448" w14:textId="77777777" w:rsidR="00E61C26" w:rsidRPr="00EC5178" w:rsidRDefault="00E61C26" w:rsidP="00E61C26">
      <w:pPr>
        <w:pStyle w:val="StyleBodytextnonumberingBefore0ptAfter0ptLinesp"/>
      </w:pPr>
    </w:p>
    <w:p w14:paraId="7153DDE9" w14:textId="77777777" w:rsidR="00E61C26" w:rsidRDefault="00E61C26" w:rsidP="00E61C26">
      <w:pPr>
        <w:pStyle w:val="StyleBodytextnonumberingBefore0ptAfter0ptLinesp"/>
      </w:pPr>
      <w:bookmarkStart w:id="17" w:name="_Toc341433416"/>
      <w:bookmarkStart w:id="18" w:name="_Toc341687859"/>
      <w:r>
        <w:t>Telephone</w:t>
      </w:r>
      <w:r>
        <w:tab/>
        <w:t>02 6205 01</w:t>
      </w:r>
      <w:bookmarkEnd w:id="17"/>
      <w:bookmarkEnd w:id="18"/>
      <w:r>
        <w:t>99</w:t>
      </w:r>
    </w:p>
    <w:p w14:paraId="39753918" w14:textId="77777777" w:rsidR="00E61C26" w:rsidRDefault="00E61C26" w:rsidP="00E61C26">
      <w:pPr>
        <w:pStyle w:val="StyleBodytextnonumberingBefore0ptAfter0ptLinesp"/>
      </w:pPr>
      <w:bookmarkStart w:id="19" w:name="_Toc341433418"/>
      <w:bookmarkStart w:id="20" w:name="_Toc341687861"/>
      <w:r>
        <w:t>Post</w:t>
      </w:r>
      <w:r>
        <w:tab/>
      </w:r>
      <w:r>
        <w:tab/>
        <w:t>GPO Box 1020, CANBERRA ACT 2601</w:t>
      </w:r>
      <w:bookmarkEnd w:id="19"/>
      <w:bookmarkEnd w:id="20"/>
    </w:p>
    <w:p w14:paraId="611C1486" w14:textId="52742C0C" w:rsidR="00E61C26" w:rsidRPr="005B60C2" w:rsidRDefault="00E61C26" w:rsidP="00E61C26">
      <w:pPr>
        <w:pStyle w:val="StyleBodytextnonumberingBefore0ptAfter0ptLinesp"/>
      </w:pPr>
      <w:bookmarkStart w:id="21" w:name="_Toc341433419"/>
      <w:bookmarkStart w:id="22" w:name="_Toc341687862"/>
      <w:r>
        <w:t>Email</w:t>
      </w:r>
      <w:r>
        <w:tab/>
      </w:r>
      <w:r>
        <w:tab/>
      </w:r>
      <w:hyperlink r:id="rId12" w:history="1">
        <w:r w:rsidR="003D5C0C" w:rsidRPr="009378DA">
          <w:rPr>
            <w:rStyle w:val="Hyperlink"/>
            <w:rFonts w:eastAsiaTheme="majorEastAsia"/>
          </w:rPr>
          <w:t>LAcommitteeJCS@parliament.act.gov.au</w:t>
        </w:r>
      </w:hyperlink>
      <w:bookmarkEnd w:id="21"/>
      <w:bookmarkEnd w:id="22"/>
    </w:p>
    <w:p w14:paraId="0D4C4B79" w14:textId="77777777" w:rsidR="00E61C26" w:rsidRPr="005B60C2" w:rsidRDefault="00E61C26" w:rsidP="00E61C26">
      <w:pPr>
        <w:pStyle w:val="StyleBodytextnonumberingBefore0ptAfter0ptLinesp"/>
      </w:pPr>
      <w:bookmarkStart w:id="23" w:name="_Toc341433420"/>
      <w:bookmarkStart w:id="24" w:name="_Toc341687863"/>
      <w:r w:rsidRPr="005B60C2">
        <w:t>Website</w:t>
      </w:r>
      <w:r w:rsidRPr="005B60C2">
        <w:tab/>
      </w:r>
      <w:hyperlink r:id="rId13" w:history="1">
        <w:r w:rsidRPr="005B60C2">
          <w:rPr>
            <w:rStyle w:val="Hyperlink"/>
            <w:rFonts w:eastAsiaTheme="majorEastAsia"/>
            <w:color w:val="auto"/>
          </w:rPr>
          <w:t>www.parliament.act.gov.au</w:t>
        </w:r>
        <w:bookmarkEnd w:id="23"/>
        <w:bookmarkEnd w:id="24"/>
      </w:hyperlink>
      <w:r w:rsidRPr="005B60C2">
        <w:t xml:space="preserve"> </w:t>
      </w:r>
    </w:p>
    <w:p w14:paraId="42F81EEC" w14:textId="77777777" w:rsidR="00E61C26" w:rsidRDefault="00E61C26" w:rsidP="00E61C26">
      <w:pPr>
        <w:pStyle w:val="StyleBodytextnonumberingBefore0ptAfter0ptLinesp"/>
      </w:pPr>
    </w:p>
    <w:p w14:paraId="43C725E4" w14:textId="77777777" w:rsidR="00E61C26" w:rsidRPr="00C2492A" w:rsidRDefault="00E61C26" w:rsidP="00E61C26">
      <w:pPr>
        <w:pStyle w:val="Prelimminorheading"/>
        <w:numPr>
          <w:ilvl w:val="0"/>
          <w:numId w:val="0"/>
        </w:numPr>
        <w:rPr>
          <w:sz w:val="30"/>
          <w:szCs w:val="30"/>
        </w:rPr>
      </w:pPr>
      <w:r>
        <w:br w:type="page"/>
      </w:r>
      <w:bookmarkStart w:id="25" w:name="_Toc162949738"/>
      <w:bookmarkStart w:id="26" w:name="_Toc170711048"/>
      <w:bookmarkStart w:id="27" w:name="_Toc341433421"/>
      <w:bookmarkStart w:id="28" w:name="_Toc341687864"/>
      <w:bookmarkStart w:id="29" w:name="_Toc16763985"/>
      <w:r w:rsidRPr="00C2492A">
        <w:rPr>
          <w:sz w:val="30"/>
          <w:szCs w:val="30"/>
        </w:rPr>
        <w:lastRenderedPageBreak/>
        <w:t>Resolution of appointment</w:t>
      </w:r>
      <w:bookmarkEnd w:id="25"/>
      <w:bookmarkEnd w:id="26"/>
      <w:bookmarkEnd w:id="27"/>
      <w:bookmarkEnd w:id="28"/>
      <w:bookmarkEnd w:id="29"/>
    </w:p>
    <w:p w14:paraId="4A0573B8" w14:textId="77777777" w:rsidR="00E61C26" w:rsidRPr="0092798A" w:rsidRDefault="00E61C26" w:rsidP="00E61C26">
      <w:pPr>
        <w:keepNext/>
        <w:spacing w:before="160" w:after="80" w:line="288" w:lineRule="auto"/>
        <w:outlineLvl w:val="1"/>
        <w:rPr>
          <w:rFonts w:cs="Arial"/>
          <w:iCs/>
        </w:rPr>
      </w:pPr>
      <w:r w:rsidRPr="0092798A">
        <w:rPr>
          <w:rFonts w:cs="Arial"/>
          <w:iCs/>
        </w:rPr>
        <w:t xml:space="preserve">The Legislative Assembly for the ACT appointed the Standing Committee on </w:t>
      </w:r>
      <w:r>
        <w:rPr>
          <w:rFonts w:cs="Arial"/>
          <w:iCs/>
        </w:rPr>
        <w:t xml:space="preserve">Justice and Community Safety on 13 December </w:t>
      </w:r>
      <w:r w:rsidRPr="0092798A">
        <w:rPr>
          <w:rFonts w:cs="Arial"/>
          <w:iCs/>
        </w:rPr>
        <w:t>201</w:t>
      </w:r>
      <w:r>
        <w:rPr>
          <w:rFonts w:cs="Arial"/>
          <w:iCs/>
        </w:rPr>
        <w:t>6</w:t>
      </w:r>
      <w:r w:rsidRPr="0092798A">
        <w:rPr>
          <w:rFonts w:cs="Arial"/>
          <w:iCs/>
        </w:rPr>
        <w:t>.</w:t>
      </w:r>
    </w:p>
    <w:p w14:paraId="4E353628" w14:textId="4AA73DFF" w:rsidR="00E61C26" w:rsidRPr="0092798A" w:rsidRDefault="00A27C29" w:rsidP="00E61C26">
      <w:pPr>
        <w:keepNext/>
        <w:spacing w:before="160" w:after="80" w:line="288" w:lineRule="auto"/>
        <w:outlineLvl w:val="1"/>
        <w:rPr>
          <w:rFonts w:cs="Arial"/>
          <w:iCs/>
        </w:rPr>
      </w:pPr>
      <w:r w:rsidRPr="0092798A">
        <w:rPr>
          <w:rFonts w:cs="Arial"/>
          <w:iCs/>
        </w:rPr>
        <w:t>Specifically,</w:t>
      </w:r>
      <w:r w:rsidR="00E61C26" w:rsidRPr="0092798A">
        <w:rPr>
          <w:rFonts w:cs="Arial"/>
          <w:iCs/>
        </w:rPr>
        <w:t xml:space="preserve"> the resolution of </w:t>
      </w:r>
      <w:r w:rsidR="00E61C26">
        <w:rPr>
          <w:rFonts w:cs="Arial"/>
          <w:iCs/>
        </w:rPr>
        <w:t>13 December 2016</w:t>
      </w:r>
      <w:r w:rsidR="00E61C26" w:rsidRPr="0092798A">
        <w:rPr>
          <w:rFonts w:cs="Arial"/>
          <w:iCs/>
        </w:rPr>
        <w:t xml:space="preserve"> establishing the Standing Committees of the </w:t>
      </w:r>
      <w:r w:rsidR="00E61C26">
        <w:rPr>
          <w:rFonts w:cs="Arial"/>
          <w:iCs/>
        </w:rPr>
        <w:t>9</w:t>
      </w:r>
      <w:r w:rsidR="00E61C26" w:rsidRPr="00B93E65">
        <w:rPr>
          <w:rFonts w:cs="Arial"/>
          <w:iCs/>
          <w:vertAlign w:val="superscript"/>
        </w:rPr>
        <w:t>th</w:t>
      </w:r>
      <w:r w:rsidR="00E61C26">
        <w:rPr>
          <w:rFonts w:cs="Arial"/>
          <w:iCs/>
          <w:vertAlign w:val="superscript"/>
        </w:rPr>
        <w:t> </w:t>
      </w:r>
      <w:r>
        <w:rPr>
          <w:rFonts w:cs="Arial"/>
          <w:iCs/>
        </w:rPr>
        <w:t>A</w:t>
      </w:r>
      <w:r>
        <w:rPr>
          <w:rFonts w:ascii="ZWAdobeF" w:hAnsi="ZWAdobeF" w:cs="ZWAdobeF"/>
          <w:iCs/>
          <w:sz w:val="2"/>
          <w:szCs w:val="2"/>
        </w:rPr>
        <w:t>s</w:t>
      </w:r>
      <w:r w:rsidRPr="0092798A">
        <w:rPr>
          <w:rFonts w:cs="Arial"/>
          <w:iCs/>
        </w:rPr>
        <w:t>sembly</w:t>
      </w:r>
      <w:r w:rsidR="00E61C26" w:rsidRPr="0092798A">
        <w:rPr>
          <w:rFonts w:cs="Arial"/>
          <w:iCs/>
        </w:rPr>
        <w:t xml:space="preserve">, as it relates to the </w:t>
      </w:r>
      <w:r w:rsidR="00E61C26">
        <w:rPr>
          <w:rFonts w:cs="Arial"/>
          <w:iCs/>
        </w:rPr>
        <w:t xml:space="preserve">Justice and Community Safety </w:t>
      </w:r>
      <w:r w:rsidR="00E61C26" w:rsidRPr="0092798A">
        <w:rPr>
          <w:rFonts w:cs="Arial"/>
          <w:iCs/>
        </w:rPr>
        <w:t>Committee states:</w:t>
      </w:r>
    </w:p>
    <w:p w14:paraId="6A6B6DFA" w14:textId="77777777" w:rsidR="00E61C26" w:rsidRDefault="00E61C26" w:rsidP="00E61C26">
      <w:pPr>
        <w:pStyle w:val="Bodytextnonumbering"/>
      </w:pPr>
      <w:r>
        <w:t>That:</w:t>
      </w:r>
    </w:p>
    <w:p w14:paraId="3666FAAB" w14:textId="111DFD44" w:rsidR="00E61C26" w:rsidRDefault="00E61C26" w:rsidP="00E61C26">
      <w:pPr>
        <w:pStyle w:val="Bodytextnonumbering"/>
      </w:pPr>
      <w:r>
        <w:t xml:space="preserve">(1) The following </w:t>
      </w:r>
      <w:r w:rsidR="00A27C29">
        <w:t>general-purpose</w:t>
      </w:r>
      <w:r>
        <w:t xml:space="preserve"> standing committees be </w:t>
      </w:r>
      <w:r w:rsidR="00A27C29">
        <w:t>established,</w:t>
      </w:r>
      <w:r>
        <w:t xml:space="preserve"> and each committee inquire into and report on matters referred to it by the Assembly or matters that are considered by the committee to be of concern to the community:</w:t>
      </w:r>
    </w:p>
    <w:p w14:paraId="27AB4CB6" w14:textId="77777777" w:rsidR="00E61C26" w:rsidRDefault="00E61C26" w:rsidP="00E61C26">
      <w:pPr>
        <w:pStyle w:val="Bodytextnonumbering"/>
        <w:ind w:left="720"/>
      </w:pPr>
      <w:r>
        <w:t>(d) a Standing Committee on Justice and Community Safety to perform a legislative scrutiny role and examine matters related to community and individual rights, consumer rights, courts, police and emergency services, corrections including a prison, administrative law, civil liberties and human rights, censorship, company law, law and order, criminal law, consumer affairs and regulatory services;</w:t>
      </w:r>
    </w:p>
    <w:p w14:paraId="71AAACBE" w14:textId="648D6DDD" w:rsidR="00E61C26" w:rsidRDefault="00E61C26" w:rsidP="00E61C26">
      <w:pPr>
        <w:pStyle w:val="Bodytextnonumbering"/>
      </w:pPr>
      <w:r>
        <w:t xml:space="preserve">(4) Each </w:t>
      </w:r>
      <w:r w:rsidR="00A27C29">
        <w:t>general-purpose</w:t>
      </w:r>
      <w:r>
        <w:t xml:space="preserve"> committee shall consist of the following number of members, composed as follows:</w:t>
      </w:r>
    </w:p>
    <w:p w14:paraId="3BB1F1EE" w14:textId="77777777" w:rsidR="00E61C26" w:rsidRDefault="00E61C26" w:rsidP="00E61C26">
      <w:pPr>
        <w:pStyle w:val="Bodytextnonumbering"/>
        <w:ind w:left="720"/>
      </w:pPr>
      <w:r>
        <w:t>(d) the Standing Committee on Justice and Community Safety:</w:t>
      </w:r>
    </w:p>
    <w:p w14:paraId="349B0982" w14:textId="77777777" w:rsidR="00E61C26" w:rsidRDefault="00E61C26" w:rsidP="00E61C26">
      <w:pPr>
        <w:pStyle w:val="Bodytextnonumbering"/>
        <w:spacing w:before="0" w:after="0"/>
        <w:ind w:left="1440"/>
      </w:pPr>
      <w:r>
        <w:t>(i) two members to be nominated by the Opposition;</w:t>
      </w:r>
    </w:p>
    <w:p w14:paraId="3AC89618" w14:textId="77777777" w:rsidR="00E61C26" w:rsidRDefault="00E61C26" w:rsidP="00E61C26">
      <w:pPr>
        <w:pStyle w:val="Bodytextnonumbering"/>
        <w:spacing w:before="0" w:after="0"/>
        <w:ind w:left="1440"/>
      </w:pPr>
      <w:r>
        <w:t>(ii) two members to be nominated by the Government; and</w:t>
      </w:r>
    </w:p>
    <w:p w14:paraId="3C32F6B4" w14:textId="77777777" w:rsidR="00E61C26" w:rsidRDefault="00E61C26" w:rsidP="00E61C26">
      <w:pPr>
        <w:pStyle w:val="Bodytextnonumbering"/>
        <w:spacing w:before="0" w:after="0"/>
        <w:ind w:left="1440"/>
      </w:pPr>
      <w:r>
        <w:t>(iii) the Chair shall be an Opposition member;</w:t>
      </w:r>
    </w:p>
    <w:p w14:paraId="0A2F2505" w14:textId="77777777" w:rsidR="00E61C26" w:rsidRDefault="00E61C26" w:rsidP="00E61C26">
      <w:pPr>
        <w:pStyle w:val="Bodytextnonumbering"/>
      </w:pPr>
      <w:r>
        <w:t>(6) Each committee shall have power to consider and make use of the evidence and records of the relevant standing committee during the previous Assembly.</w:t>
      </w:r>
    </w:p>
    <w:p w14:paraId="4DABEB2F" w14:textId="77777777" w:rsidR="00E61C26" w:rsidRDefault="00E61C26" w:rsidP="00E61C26">
      <w:pPr>
        <w:pStyle w:val="Bodytextnonumbering"/>
      </w:pPr>
      <w:r>
        <w:t>(7) Each committee be provided with necessary staff, facilities and resources.</w:t>
      </w:r>
    </w:p>
    <w:p w14:paraId="576A5705" w14:textId="77777777" w:rsidR="00E61C26" w:rsidRDefault="00E61C26" w:rsidP="00E61C26">
      <w:pPr>
        <w:pStyle w:val="Bodytextnonumbering"/>
        <w:rPr>
          <w:rFonts w:ascii="ZWAdobeF" w:hAnsi="ZWAdobeF" w:cs="ZWAdobeF"/>
          <w:sz w:val="2"/>
          <w:szCs w:val="2"/>
        </w:rPr>
      </w:pPr>
      <w:r>
        <w:t>(8) The foregoing provisions of this resolution, so far as they are inconsistent with the standing orders, have effect notwithstanding anything contained in the standing orders.</w:t>
      </w:r>
      <w:r>
        <w:rPr>
          <w:rFonts w:ascii="ZWAdobeF" w:hAnsi="ZWAdobeF" w:cs="ZWAdobeF"/>
          <w:sz w:val="2"/>
          <w:szCs w:val="2"/>
        </w:rPr>
        <w:t>0F</w:t>
      </w:r>
      <w:r>
        <w:rPr>
          <w:rStyle w:val="FootnoteReference"/>
        </w:rPr>
        <w:footnoteReference w:id="2"/>
      </w:r>
    </w:p>
    <w:p w14:paraId="259938B4" w14:textId="77777777" w:rsidR="00E61C26" w:rsidRPr="008727FB" w:rsidRDefault="00E61C26" w:rsidP="00E61C26">
      <w:pPr>
        <w:pStyle w:val="Bodytextnonumbering"/>
      </w:pPr>
      <w:r w:rsidRPr="008727FB">
        <w:t>On 20 September 2018, paragraph (4) of this resolution was omitted and the following paragraph substituted:</w:t>
      </w:r>
    </w:p>
    <w:p w14:paraId="02211BB9" w14:textId="7FB1E2C6" w:rsidR="00E61C26" w:rsidRPr="008727FB" w:rsidRDefault="00E61C26" w:rsidP="00E61C26">
      <w:r w:rsidRPr="008727FB">
        <w:t xml:space="preserve">(4) Each </w:t>
      </w:r>
      <w:r w:rsidR="00A27C29" w:rsidRPr="008727FB">
        <w:t>general-purpose</w:t>
      </w:r>
      <w:r w:rsidRPr="008727FB">
        <w:t xml:space="preserve"> committee shall consist of the following number of members, composed as follows:</w:t>
      </w:r>
    </w:p>
    <w:p w14:paraId="4B3142E0" w14:textId="77777777" w:rsidR="00E61C26" w:rsidRPr="008727FB" w:rsidRDefault="00E61C26" w:rsidP="00E61C26">
      <w:r w:rsidRPr="008727FB">
        <w:t>(d) the Standing Committee on Justice and Community Safety:</w:t>
      </w:r>
    </w:p>
    <w:p w14:paraId="3BDF6DD5" w14:textId="77777777" w:rsidR="00E61C26" w:rsidRPr="008727FB" w:rsidRDefault="00E61C26" w:rsidP="00E61C26">
      <w:pPr>
        <w:ind w:left="1440"/>
      </w:pPr>
      <w:r w:rsidRPr="008727FB">
        <w:t>(i) one member to be nominated by the Opposition;</w:t>
      </w:r>
    </w:p>
    <w:p w14:paraId="058568C9" w14:textId="77777777" w:rsidR="00E61C26" w:rsidRPr="008727FB" w:rsidRDefault="00E61C26" w:rsidP="00E61C26">
      <w:pPr>
        <w:ind w:left="1440"/>
      </w:pPr>
      <w:r w:rsidRPr="008727FB">
        <w:t>(ii) two members to be nominated by the Government; and</w:t>
      </w:r>
    </w:p>
    <w:p w14:paraId="6A11A9C7" w14:textId="77777777" w:rsidR="00E61C26" w:rsidRPr="008727FB" w:rsidRDefault="00E61C26" w:rsidP="00E61C26">
      <w:pPr>
        <w:ind w:left="1440"/>
      </w:pPr>
      <w:r w:rsidRPr="008727FB">
        <w:t>(iii) the Chair shall be the Opposition member.</w:t>
      </w:r>
      <w:r w:rsidRPr="008727FB">
        <w:rPr>
          <w:rStyle w:val="FootnoteReference"/>
          <w:rFonts w:eastAsiaTheme="majorEastAsia"/>
        </w:rPr>
        <w:footnoteReference w:id="3"/>
      </w:r>
    </w:p>
    <w:p w14:paraId="42AB316D" w14:textId="77777777" w:rsidR="00E61C26" w:rsidRDefault="00E61C26" w:rsidP="00E61C26">
      <w:pPr>
        <w:pStyle w:val="Bodytextnonumbering"/>
        <w:spacing w:after="0"/>
        <w:ind w:left="720"/>
        <w:rPr>
          <w:rFonts w:ascii="ZWAdobeF" w:hAnsi="ZWAdobeF" w:cs="ZWAdobeF"/>
          <w:sz w:val="2"/>
          <w:szCs w:val="2"/>
        </w:rPr>
      </w:pPr>
      <w:r w:rsidRPr="008727FB">
        <w:br w:type="page"/>
      </w:r>
    </w:p>
    <w:p w14:paraId="3C93FF49" w14:textId="77777777" w:rsidR="00E61C26" w:rsidRDefault="00E61C26" w:rsidP="00E61C26">
      <w:pPr>
        <w:pStyle w:val="TOCHeading1"/>
      </w:pPr>
      <w:bookmarkStart w:id="30" w:name="_Toc341433423"/>
      <w:bookmarkStart w:id="31" w:name="_Toc341687868"/>
      <w:r>
        <w:lastRenderedPageBreak/>
        <w:t>Table of contents</w:t>
      </w:r>
      <w:bookmarkEnd w:id="30"/>
      <w:bookmarkEnd w:id="31"/>
      <w:r>
        <w:t xml:space="preserve"> </w:t>
      </w:r>
    </w:p>
    <w:p w14:paraId="166FF83D" w14:textId="605DABCC" w:rsidR="003A1792" w:rsidRDefault="00E61C26">
      <w:pPr>
        <w:pStyle w:val="TOC3"/>
        <w:rPr>
          <w:rFonts w:asciiTheme="minorHAnsi" w:eastAsiaTheme="minorEastAsia" w:hAnsiTheme="minorHAnsi" w:cstheme="minorBidi"/>
          <w:b w:val="0"/>
          <w:szCs w:val="22"/>
          <w:lang w:eastAsia="zh-TW"/>
        </w:rPr>
      </w:pPr>
      <w:r>
        <w:fldChar w:fldCharType="begin"/>
      </w:r>
      <w:r>
        <w:instrText xml:space="preserve"> TOC \o "3-3" \h \z \t "Heading 1,1,Heading 2,2,Prelim major heading,1,Appendix Heading 1,1,Heading level 2,2" </w:instrText>
      </w:r>
      <w:r>
        <w:fldChar w:fldCharType="separate"/>
      </w:r>
      <w:hyperlink w:anchor="_Toc16763982" w:history="1">
        <w:r w:rsidR="003A1792" w:rsidRPr="004055A2">
          <w:rPr>
            <w:rStyle w:val="Hyperlink"/>
            <w:rFonts w:eastAsiaTheme="majorEastAsia"/>
            <w:spacing w:val="4"/>
          </w:rPr>
          <w:t>Committee membership</w:t>
        </w:r>
        <w:r w:rsidR="003A1792">
          <w:rPr>
            <w:webHidden/>
          </w:rPr>
          <w:tab/>
        </w:r>
        <w:r w:rsidR="003A1792">
          <w:rPr>
            <w:webHidden/>
          </w:rPr>
          <w:fldChar w:fldCharType="begin"/>
        </w:r>
        <w:r w:rsidR="003A1792">
          <w:rPr>
            <w:webHidden/>
          </w:rPr>
          <w:instrText xml:space="preserve"> PAGEREF _Toc16763982 \h </w:instrText>
        </w:r>
        <w:r w:rsidR="003A1792">
          <w:rPr>
            <w:webHidden/>
          </w:rPr>
        </w:r>
        <w:r w:rsidR="003A1792">
          <w:rPr>
            <w:webHidden/>
          </w:rPr>
          <w:fldChar w:fldCharType="separate"/>
        </w:r>
        <w:r w:rsidR="00CB6D77">
          <w:rPr>
            <w:webHidden/>
          </w:rPr>
          <w:t>i</w:t>
        </w:r>
        <w:r w:rsidR="003A1792">
          <w:rPr>
            <w:webHidden/>
          </w:rPr>
          <w:fldChar w:fldCharType="end"/>
        </w:r>
      </w:hyperlink>
    </w:p>
    <w:p w14:paraId="6092F986" w14:textId="3F145A81" w:rsidR="003A1792" w:rsidRDefault="00833958">
      <w:pPr>
        <w:pStyle w:val="TOC3"/>
        <w:rPr>
          <w:rFonts w:asciiTheme="minorHAnsi" w:eastAsiaTheme="minorEastAsia" w:hAnsiTheme="minorHAnsi" w:cstheme="minorBidi"/>
          <w:b w:val="0"/>
          <w:szCs w:val="22"/>
          <w:lang w:eastAsia="zh-TW"/>
        </w:rPr>
      </w:pPr>
      <w:hyperlink w:anchor="_Toc16763983" w:history="1">
        <w:r w:rsidR="003A1792" w:rsidRPr="004055A2">
          <w:rPr>
            <w:rStyle w:val="Hyperlink"/>
            <w:rFonts w:eastAsiaTheme="majorEastAsia"/>
          </w:rPr>
          <w:t>Secretariat</w:t>
        </w:r>
        <w:r w:rsidR="003A1792">
          <w:rPr>
            <w:webHidden/>
          </w:rPr>
          <w:tab/>
        </w:r>
        <w:r w:rsidR="003A1792">
          <w:rPr>
            <w:webHidden/>
          </w:rPr>
          <w:fldChar w:fldCharType="begin"/>
        </w:r>
        <w:r w:rsidR="003A1792">
          <w:rPr>
            <w:webHidden/>
          </w:rPr>
          <w:instrText xml:space="preserve"> PAGEREF _Toc16763983 \h </w:instrText>
        </w:r>
        <w:r w:rsidR="003A1792">
          <w:rPr>
            <w:webHidden/>
          </w:rPr>
        </w:r>
        <w:r w:rsidR="003A1792">
          <w:rPr>
            <w:webHidden/>
          </w:rPr>
          <w:fldChar w:fldCharType="separate"/>
        </w:r>
        <w:r w:rsidR="00CB6D77">
          <w:rPr>
            <w:webHidden/>
          </w:rPr>
          <w:t>i</w:t>
        </w:r>
        <w:r w:rsidR="003A1792">
          <w:rPr>
            <w:webHidden/>
          </w:rPr>
          <w:fldChar w:fldCharType="end"/>
        </w:r>
      </w:hyperlink>
    </w:p>
    <w:p w14:paraId="017B80D2" w14:textId="6CCEF0F4" w:rsidR="003A1792" w:rsidRDefault="00833958">
      <w:pPr>
        <w:pStyle w:val="TOC3"/>
        <w:rPr>
          <w:rFonts w:asciiTheme="minorHAnsi" w:eastAsiaTheme="minorEastAsia" w:hAnsiTheme="minorHAnsi" w:cstheme="minorBidi"/>
          <w:b w:val="0"/>
          <w:szCs w:val="22"/>
          <w:lang w:eastAsia="zh-TW"/>
        </w:rPr>
      </w:pPr>
      <w:hyperlink w:anchor="_Toc16763984" w:history="1">
        <w:r w:rsidR="003A1792" w:rsidRPr="004055A2">
          <w:rPr>
            <w:rStyle w:val="Hyperlink"/>
            <w:rFonts w:eastAsiaTheme="majorEastAsia"/>
          </w:rPr>
          <w:t>Contact information</w:t>
        </w:r>
        <w:r w:rsidR="003A1792">
          <w:rPr>
            <w:webHidden/>
          </w:rPr>
          <w:tab/>
        </w:r>
        <w:r w:rsidR="003A1792">
          <w:rPr>
            <w:webHidden/>
          </w:rPr>
          <w:fldChar w:fldCharType="begin"/>
        </w:r>
        <w:r w:rsidR="003A1792">
          <w:rPr>
            <w:webHidden/>
          </w:rPr>
          <w:instrText xml:space="preserve"> PAGEREF _Toc16763984 \h </w:instrText>
        </w:r>
        <w:r w:rsidR="003A1792">
          <w:rPr>
            <w:webHidden/>
          </w:rPr>
        </w:r>
        <w:r w:rsidR="003A1792">
          <w:rPr>
            <w:webHidden/>
          </w:rPr>
          <w:fldChar w:fldCharType="separate"/>
        </w:r>
        <w:r w:rsidR="00CB6D77">
          <w:rPr>
            <w:webHidden/>
          </w:rPr>
          <w:t>i</w:t>
        </w:r>
        <w:r w:rsidR="003A1792">
          <w:rPr>
            <w:webHidden/>
          </w:rPr>
          <w:fldChar w:fldCharType="end"/>
        </w:r>
      </w:hyperlink>
    </w:p>
    <w:p w14:paraId="7A09A46B" w14:textId="1A2273B5" w:rsidR="003A1792" w:rsidRDefault="00833958">
      <w:pPr>
        <w:pStyle w:val="TOC3"/>
        <w:rPr>
          <w:rFonts w:asciiTheme="minorHAnsi" w:eastAsiaTheme="minorEastAsia" w:hAnsiTheme="minorHAnsi" w:cstheme="minorBidi"/>
          <w:b w:val="0"/>
          <w:szCs w:val="22"/>
          <w:lang w:eastAsia="zh-TW"/>
        </w:rPr>
      </w:pPr>
      <w:hyperlink w:anchor="_Toc16763985" w:history="1">
        <w:r w:rsidR="003A1792" w:rsidRPr="004055A2">
          <w:rPr>
            <w:rStyle w:val="Hyperlink"/>
            <w:rFonts w:eastAsiaTheme="majorEastAsia"/>
          </w:rPr>
          <w:t>Resolution of appointment</w:t>
        </w:r>
        <w:r w:rsidR="003A1792">
          <w:rPr>
            <w:webHidden/>
          </w:rPr>
          <w:tab/>
        </w:r>
        <w:r w:rsidR="003A1792">
          <w:rPr>
            <w:webHidden/>
          </w:rPr>
          <w:fldChar w:fldCharType="begin"/>
        </w:r>
        <w:r w:rsidR="003A1792">
          <w:rPr>
            <w:webHidden/>
          </w:rPr>
          <w:instrText xml:space="preserve"> PAGEREF _Toc16763985 \h </w:instrText>
        </w:r>
        <w:r w:rsidR="003A1792">
          <w:rPr>
            <w:webHidden/>
          </w:rPr>
        </w:r>
        <w:r w:rsidR="003A1792">
          <w:rPr>
            <w:webHidden/>
          </w:rPr>
          <w:fldChar w:fldCharType="separate"/>
        </w:r>
        <w:r w:rsidR="00CB6D77">
          <w:rPr>
            <w:webHidden/>
          </w:rPr>
          <w:t>ii</w:t>
        </w:r>
        <w:r w:rsidR="003A1792">
          <w:rPr>
            <w:webHidden/>
          </w:rPr>
          <w:fldChar w:fldCharType="end"/>
        </w:r>
      </w:hyperlink>
    </w:p>
    <w:p w14:paraId="5EF59C8C" w14:textId="25DD980F" w:rsidR="003A1792" w:rsidRDefault="00833958">
      <w:pPr>
        <w:pStyle w:val="TOC1"/>
        <w:rPr>
          <w:rFonts w:asciiTheme="minorHAnsi" w:eastAsiaTheme="minorEastAsia" w:hAnsiTheme="minorHAnsi" w:cstheme="minorBidi"/>
          <w:b w:val="0"/>
          <w:smallCaps w:val="0"/>
          <w:spacing w:val="0"/>
          <w:sz w:val="22"/>
          <w:lang w:eastAsia="zh-TW"/>
        </w:rPr>
      </w:pPr>
      <w:hyperlink w:anchor="_Toc16763986" w:history="1">
        <w:r w:rsidR="003A1792" w:rsidRPr="004055A2">
          <w:rPr>
            <w:rStyle w:val="Hyperlink"/>
            <w:rFonts w:eastAsiaTheme="majorEastAsia"/>
          </w:rPr>
          <w:t>Recommendations</w:t>
        </w:r>
        <w:r w:rsidR="003A1792">
          <w:rPr>
            <w:webHidden/>
          </w:rPr>
          <w:tab/>
        </w:r>
        <w:r w:rsidR="003A1792">
          <w:rPr>
            <w:webHidden/>
          </w:rPr>
          <w:fldChar w:fldCharType="begin"/>
        </w:r>
        <w:r w:rsidR="003A1792">
          <w:rPr>
            <w:webHidden/>
          </w:rPr>
          <w:instrText xml:space="preserve"> PAGEREF _Toc16763986 \h </w:instrText>
        </w:r>
        <w:r w:rsidR="003A1792">
          <w:rPr>
            <w:webHidden/>
          </w:rPr>
        </w:r>
        <w:r w:rsidR="003A1792">
          <w:rPr>
            <w:webHidden/>
          </w:rPr>
          <w:fldChar w:fldCharType="separate"/>
        </w:r>
        <w:r w:rsidR="00CB6D77">
          <w:rPr>
            <w:webHidden/>
          </w:rPr>
          <w:t>v</w:t>
        </w:r>
        <w:r w:rsidR="003A1792">
          <w:rPr>
            <w:webHidden/>
          </w:rPr>
          <w:fldChar w:fldCharType="end"/>
        </w:r>
      </w:hyperlink>
    </w:p>
    <w:p w14:paraId="0F83A006" w14:textId="68C93DB3" w:rsidR="003A1792" w:rsidRDefault="00833958">
      <w:pPr>
        <w:pStyle w:val="TOC1"/>
        <w:tabs>
          <w:tab w:val="left" w:pos="1588"/>
        </w:tabs>
        <w:rPr>
          <w:rFonts w:asciiTheme="minorHAnsi" w:eastAsiaTheme="minorEastAsia" w:hAnsiTheme="minorHAnsi" w:cstheme="minorBidi"/>
          <w:b w:val="0"/>
          <w:smallCaps w:val="0"/>
          <w:spacing w:val="0"/>
          <w:sz w:val="22"/>
          <w:lang w:eastAsia="zh-TW"/>
        </w:rPr>
      </w:pPr>
      <w:hyperlink w:anchor="_Toc16763987" w:history="1">
        <w:r w:rsidR="003A1792" w:rsidRPr="004055A2">
          <w:rPr>
            <w:rStyle w:val="Hyperlink"/>
            <w:rFonts w:eastAsiaTheme="majorEastAsia"/>
          </w:rPr>
          <w:t>1</w:t>
        </w:r>
        <w:r w:rsidR="003A1792">
          <w:rPr>
            <w:rFonts w:asciiTheme="minorHAnsi" w:eastAsiaTheme="minorEastAsia" w:hAnsiTheme="minorHAnsi" w:cstheme="minorBidi"/>
            <w:b w:val="0"/>
            <w:smallCaps w:val="0"/>
            <w:spacing w:val="0"/>
            <w:sz w:val="22"/>
            <w:lang w:eastAsia="zh-TW"/>
          </w:rPr>
          <w:tab/>
        </w:r>
        <w:r w:rsidR="003A1792" w:rsidRPr="004055A2">
          <w:rPr>
            <w:rStyle w:val="Hyperlink"/>
            <w:rFonts w:eastAsiaTheme="majorEastAsia"/>
          </w:rPr>
          <w:t>Introduction and conduct of inquiry</w:t>
        </w:r>
        <w:r w:rsidR="003A1792">
          <w:rPr>
            <w:webHidden/>
          </w:rPr>
          <w:tab/>
        </w:r>
        <w:r w:rsidR="003A1792">
          <w:rPr>
            <w:webHidden/>
          </w:rPr>
          <w:fldChar w:fldCharType="begin"/>
        </w:r>
        <w:r w:rsidR="003A1792">
          <w:rPr>
            <w:webHidden/>
          </w:rPr>
          <w:instrText xml:space="preserve"> PAGEREF _Toc16763987 \h </w:instrText>
        </w:r>
        <w:r w:rsidR="003A1792">
          <w:rPr>
            <w:webHidden/>
          </w:rPr>
        </w:r>
        <w:r w:rsidR="003A1792">
          <w:rPr>
            <w:webHidden/>
          </w:rPr>
          <w:fldChar w:fldCharType="separate"/>
        </w:r>
        <w:r w:rsidR="00CB6D77">
          <w:rPr>
            <w:webHidden/>
          </w:rPr>
          <w:t>1</w:t>
        </w:r>
        <w:r w:rsidR="003A1792">
          <w:rPr>
            <w:webHidden/>
          </w:rPr>
          <w:fldChar w:fldCharType="end"/>
        </w:r>
      </w:hyperlink>
    </w:p>
    <w:p w14:paraId="479EAEA4" w14:textId="3B81E546" w:rsidR="003A1792" w:rsidRDefault="00833958">
      <w:pPr>
        <w:pStyle w:val="TOC2"/>
        <w:rPr>
          <w:rFonts w:asciiTheme="minorHAnsi" w:eastAsiaTheme="minorEastAsia" w:hAnsiTheme="minorHAnsi" w:cstheme="minorBidi"/>
          <w:b w:val="0"/>
          <w:szCs w:val="22"/>
          <w:lang w:eastAsia="zh-TW"/>
        </w:rPr>
      </w:pPr>
      <w:hyperlink w:anchor="_Toc16763988" w:history="1">
        <w:r w:rsidR="003A1792" w:rsidRPr="004055A2">
          <w:rPr>
            <w:rStyle w:val="Hyperlink"/>
            <w:rFonts w:eastAsiaTheme="majorEastAsia"/>
          </w:rPr>
          <w:t>Inquiry referral</w:t>
        </w:r>
        <w:r w:rsidR="003A1792">
          <w:rPr>
            <w:webHidden/>
          </w:rPr>
          <w:tab/>
        </w:r>
        <w:r w:rsidR="003A1792">
          <w:rPr>
            <w:webHidden/>
          </w:rPr>
          <w:fldChar w:fldCharType="begin"/>
        </w:r>
        <w:r w:rsidR="003A1792">
          <w:rPr>
            <w:webHidden/>
          </w:rPr>
          <w:instrText xml:space="preserve"> PAGEREF _Toc16763988 \h </w:instrText>
        </w:r>
        <w:r w:rsidR="003A1792">
          <w:rPr>
            <w:webHidden/>
          </w:rPr>
        </w:r>
        <w:r w:rsidR="003A1792">
          <w:rPr>
            <w:webHidden/>
          </w:rPr>
          <w:fldChar w:fldCharType="separate"/>
        </w:r>
        <w:r w:rsidR="00CB6D77">
          <w:rPr>
            <w:webHidden/>
          </w:rPr>
          <w:t>1</w:t>
        </w:r>
        <w:r w:rsidR="003A1792">
          <w:rPr>
            <w:webHidden/>
          </w:rPr>
          <w:fldChar w:fldCharType="end"/>
        </w:r>
      </w:hyperlink>
    </w:p>
    <w:p w14:paraId="2D9EA6B7" w14:textId="602E1768" w:rsidR="003A1792" w:rsidRDefault="00833958">
      <w:pPr>
        <w:pStyle w:val="TOC2"/>
        <w:rPr>
          <w:rFonts w:asciiTheme="minorHAnsi" w:eastAsiaTheme="minorEastAsia" w:hAnsiTheme="minorHAnsi" w:cstheme="minorBidi"/>
          <w:b w:val="0"/>
          <w:szCs w:val="22"/>
          <w:lang w:eastAsia="zh-TW"/>
        </w:rPr>
      </w:pPr>
      <w:hyperlink w:anchor="_Toc16763989" w:history="1">
        <w:r w:rsidR="003A1792" w:rsidRPr="004055A2">
          <w:rPr>
            <w:rStyle w:val="Hyperlink"/>
            <w:rFonts w:eastAsiaTheme="majorEastAsia"/>
          </w:rPr>
          <w:t>Inquiry terms of reference</w:t>
        </w:r>
        <w:r w:rsidR="003A1792">
          <w:rPr>
            <w:webHidden/>
          </w:rPr>
          <w:tab/>
        </w:r>
        <w:r w:rsidR="003A1792">
          <w:rPr>
            <w:webHidden/>
          </w:rPr>
          <w:fldChar w:fldCharType="begin"/>
        </w:r>
        <w:r w:rsidR="003A1792">
          <w:rPr>
            <w:webHidden/>
          </w:rPr>
          <w:instrText xml:space="preserve"> PAGEREF _Toc16763989 \h </w:instrText>
        </w:r>
        <w:r w:rsidR="003A1792">
          <w:rPr>
            <w:webHidden/>
          </w:rPr>
        </w:r>
        <w:r w:rsidR="003A1792">
          <w:rPr>
            <w:webHidden/>
          </w:rPr>
          <w:fldChar w:fldCharType="separate"/>
        </w:r>
        <w:r w:rsidR="00CB6D77">
          <w:rPr>
            <w:webHidden/>
          </w:rPr>
          <w:t>1</w:t>
        </w:r>
        <w:r w:rsidR="003A1792">
          <w:rPr>
            <w:webHidden/>
          </w:rPr>
          <w:fldChar w:fldCharType="end"/>
        </w:r>
      </w:hyperlink>
    </w:p>
    <w:p w14:paraId="3A6E8BDA" w14:textId="61BC2BC8" w:rsidR="003A1792" w:rsidRDefault="00833958">
      <w:pPr>
        <w:pStyle w:val="TOC2"/>
        <w:rPr>
          <w:rFonts w:asciiTheme="minorHAnsi" w:eastAsiaTheme="minorEastAsia" w:hAnsiTheme="minorHAnsi" w:cstheme="minorBidi"/>
          <w:b w:val="0"/>
          <w:szCs w:val="22"/>
          <w:lang w:eastAsia="zh-TW"/>
        </w:rPr>
      </w:pPr>
      <w:hyperlink w:anchor="_Toc16763990" w:history="1">
        <w:r w:rsidR="003A1792" w:rsidRPr="004055A2">
          <w:rPr>
            <w:rStyle w:val="Hyperlink"/>
            <w:rFonts w:eastAsiaTheme="majorEastAsia"/>
          </w:rPr>
          <w:t>Conduct of the inquiry</w:t>
        </w:r>
        <w:r w:rsidR="003A1792">
          <w:rPr>
            <w:webHidden/>
          </w:rPr>
          <w:tab/>
        </w:r>
        <w:r w:rsidR="003A1792">
          <w:rPr>
            <w:webHidden/>
          </w:rPr>
          <w:fldChar w:fldCharType="begin"/>
        </w:r>
        <w:r w:rsidR="003A1792">
          <w:rPr>
            <w:webHidden/>
          </w:rPr>
          <w:instrText xml:space="preserve"> PAGEREF _Toc16763990 \h </w:instrText>
        </w:r>
        <w:r w:rsidR="003A1792">
          <w:rPr>
            <w:webHidden/>
          </w:rPr>
        </w:r>
        <w:r w:rsidR="003A1792">
          <w:rPr>
            <w:webHidden/>
          </w:rPr>
          <w:fldChar w:fldCharType="separate"/>
        </w:r>
        <w:r w:rsidR="00CB6D77">
          <w:rPr>
            <w:webHidden/>
          </w:rPr>
          <w:t>2</w:t>
        </w:r>
        <w:r w:rsidR="003A1792">
          <w:rPr>
            <w:webHidden/>
          </w:rPr>
          <w:fldChar w:fldCharType="end"/>
        </w:r>
      </w:hyperlink>
    </w:p>
    <w:p w14:paraId="3DF80E13" w14:textId="1758ED22" w:rsidR="003A1792" w:rsidRDefault="00833958">
      <w:pPr>
        <w:pStyle w:val="TOC2"/>
        <w:rPr>
          <w:rFonts w:asciiTheme="minorHAnsi" w:eastAsiaTheme="minorEastAsia" w:hAnsiTheme="minorHAnsi" w:cstheme="minorBidi"/>
          <w:b w:val="0"/>
          <w:szCs w:val="22"/>
          <w:lang w:eastAsia="zh-TW"/>
        </w:rPr>
      </w:pPr>
      <w:hyperlink w:anchor="_Toc16763991" w:history="1">
        <w:r w:rsidR="003A1792" w:rsidRPr="004055A2">
          <w:rPr>
            <w:rStyle w:val="Hyperlink"/>
            <w:rFonts w:eastAsiaTheme="majorEastAsia"/>
          </w:rPr>
          <w:t>Structure of the Committee’s report</w:t>
        </w:r>
        <w:r w:rsidR="003A1792">
          <w:rPr>
            <w:webHidden/>
          </w:rPr>
          <w:tab/>
        </w:r>
        <w:r w:rsidR="003A1792">
          <w:rPr>
            <w:webHidden/>
          </w:rPr>
          <w:fldChar w:fldCharType="begin"/>
        </w:r>
        <w:r w:rsidR="003A1792">
          <w:rPr>
            <w:webHidden/>
          </w:rPr>
          <w:instrText xml:space="preserve"> PAGEREF _Toc16763991 \h </w:instrText>
        </w:r>
        <w:r w:rsidR="003A1792">
          <w:rPr>
            <w:webHidden/>
          </w:rPr>
        </w:r>
        <w:r w:rsidR="003A1792">
          <w:rPr>
            <w:webHidden/>
          </w:rPr>
          <w:fldChar w:fldCharType="separate"/>
        </w:r>
        <w:r w:rsidR="00CB6D77">
          <w:rPr>
            <w:webHidden/>
          </w:rPr>
          <w:t>4</w:t>
        </w:r>
        <w:r w:rsidR="003A1792">
          <w:rPr>
            <w:webHidden/>
          </w:rPr>
          <w:fldChar w:fldCharType="end"/>
        </w:r>
      </w:hyperlink>
    </w:p>
    <w:p w14:paraId="7040CD9C" w14:textId="64036583" w:rsidR="003A1792" w:rsidRDefault="00833958">
      <w:pPr>
        <w:pStyle w:val="TOC2"/>
        <w:rPr>
          <w:rFonts w:asciiTheme="minorHAnsi" w:eastAsiaTheme="minorEastAsia" w:hAnsiTheme="minorHAnsi" w:cstheme="minorBidi"/>
          <w:b w:val="0"/>
          <w:szCs w:val="22"/>
          <w:lang w:eastAsia="zh-TW"/>
        </w:rPr>
      </w:pPr>
      <w:hyperlink w:anchor="_Toc16763992" w:history="1">
        <w:r w:rsidR="003A1792" w:rsidRPr="004055A2">
          <w:rPr>
            <w:rStyle w:val="Hyperlink"/>
            <w:rFonts w:eastAsiaTheme="majorEastAsia"/>
          </w:rPr>
          <w:t>Acknowledgements</w:t>
        </w:r>
        <w:r w:rsidR="003A1792">
          <w:rPr>
            <w:webHidden/>
          </w:rPr>
          <w:tab/>
        </w:r>
        <w:r w:rsidR="003A1792">
          <w:rPr>
            <w:webHidden/>
          </w:rPr>
          <w:fldChar w:fldCharType="begin"/>
        </w:r>
        <w:r w:rsidR="003A1792">
          <w:rPr>
            <w:webHidden/>
          </w:rPr>
          <w:instrText xml:space="preserve"> PAGEREF _Toc16763992 \h </w:instrText>
        </w:r>
        <w:r w:rsidR="003A1792">
          <w:rPr>
            <w:webHidden/>
          </w:rPr>
        </w:r>
        <w:r w:rsidR="003A1792">
          <w:rPr>
            <w:webHidden/>
          </w:rPr>
          <w:fldChar w:fldCharType="separate"/>
        </w:r>
        <w:r w:rsidR="00CB6D77">
          <w:rPr>
            <w:webHidden/>
          </w:rPr>
          <w:t>5</w:t>
        </w:r>
        <w:r w:rsidR="003A1792">
          <w:rPr>
            <w:webHidden/>
          </w:rPr>
          <w:fldChar w:fldCharType="end"/>
        </w:r>
      </w:hyperlink>
    </w:p>
    <w:p w14:paraId="011CCA4B" w14:textId="2F60DBDA" w:rsidR="003A1792" w:rsidRDefault="00833958">
      <w:pPr>
        <w:pStyle w:val="TOC1"/>
        <w:tabs>
          <w:tab w:val="left" w:pos="1588"/>
        </w:tabs>
        <w:rPr>
          <w:rFonts w:asciiTheme="minorHAnsi" w:eastAsiaTheme="minorEastAsia" w:hAnsiTheme="minorHAnsi" w:cstheme="minorBidi"/>
          <w:b w:val="0"/>
          <w:smallCaps w:val="0"/>
          <w:spacing w:val="0"/>
          <w:sz w:val="22"/>
          <w:lang w:eastAsia="zh-TW"/>
        </w:rPr>
      </w:pPr>
      <w:hyperlink w:anchor="_Toc16763993" w:history="1">
        <w:r w:rsidR="003A1792" w:rsidRPr="004055A2">
          <w:rPr>
            <w:rStyle w:val="Hyperlink"/>
            <w:rFonts w:eastAsiaTheme="majorEastAsia"/>
          </w:rPr>
          <w:t>2</w:t>
        </w:r>
        <w:r w:rsidR="003A1792">
          <w:rPr>
            <w:rFonts w:asciiTheme="minorHAnsi" w:eastAsiaTheme="minorEastAsia" w:hAnsiTheme="minorHAnsi" w:cstheme="minorBidi"/>
            <w:b w:val="0"/>
            <w:smallCaps w:val="0"/>
            <w:spacing w:val="0"/>
            <w:sz w:val="22"/>
            <w:lang w:eastAsia="zh-TW"/>
          </w:rPr>
          <w:tab/>
        </w:r>
        <w:r w:rsidR="003A1792" w:rsidRPr="004055A2">
          <w:rPr>
            <w:rStyle w:val="Hyperlink"/>
            <w:rFonts w:eastAsiaTheme="majorEastAsia"/>
          </w:rPr>
          <w:t>Inquiry context</w:t>
        </w:r>
        <w:r w:rsidR="003A1792">
          <w:rPr>
            <w:webHidden/>
          </w:rPr>
          <w:tab/>
        </w:r>
        <w:r w:rsidR="003A1792">
          <w:rPr>
            <w:webHidden/>
          </w:rPr>
          <w:fldChar w:fldCharType="begin"/>
        </w:r>
        <w:r w:rsidR="003A1792">
          <w:rPr>
            <w:webHidden/>
          </w:rPr>
          <w:instrText xml:space="preserve"> PAGEREF _Toc16763993 \h </w:instrText>
        </w:r>
        <w:r w:rsidR="003A1792">
          <w:rPr>
            <w:webHidden/>
          </w:rPr>
        </w:r>
        <w:r w:rsidR="003A1792">
          <w:rPr>
            <w:webHidden/>
          </w:rPr>
          <w:fldChar w:fldCharType="separate"/>
        </w:r>
        <w:r w:rsidR="00CB6D77">
          <w:rPr>
            <w:webHidden/>
          </w:rPr>
          <w:t>7</w:t>
        </w:r>
        <w:r w:rsidR="003A1792">
          <w:rPr>
            <w:webHidden/>
          </w:rPr>
          <w:fldChar w:fldCharType="end"/>
        </w:r>
      </w:hyperlink>
    </w:p>
    <w:p w14:paraId="48895305" w14:textId="55D6F187" w:rsidR="003A1792" w:rsidRDefault="00833958">
      <w:pPr>
        <w:pStyle w:val="TOC2"/>
        <w:rPr>
          <w:rFonts w:asciiTheme="minorHAnsi" w:eastAsiaTheme="minorEastAsia" w:hAnsiTheme="minorHAnsi" w:cstheme="minorBidi"/>
          <w:b w:val="0"/>
          <w:szCs w:val="22"/>
          <w:lang w:eastAsia="zh-TW"/>
        </w:rPr>
      </w:pPr>
      <w:hyperlink w:anchor="_Toc16763994" w:history="1">
        <w:r w:rsidR="003A1792" w:rsidRPr="004055A2">
          <w:rPr>
            <w:rStyle w:val="Hyperlink"/>
            <w:rFonts w:eastAsiaTheme="majorEastAsia"/>
          </w:rPr>
          <w:t>Defining domestic, family and intimate partner violence</w:t>
        </w:r>
        <w:r w:rsidR="003A1792">
          <w:rPr>
            <w:webHidden/>
          </w:rPr>
          <w:tab/>
        </w:r>
        <w:r w:rsidR="003A1792">
          <w:rPr>
            <w:webHidden/>
          </w:rPr>
          <w:fldChar w:fldCharType="begin"/>
        </w:r>
        <w:r w:rsidR="003A1792">
          <w:rPr>
            <w:webHidden/>
          </w:rPr>
          <w:instrText xml:space="preserve"> PAGEREF _Toc16763994 \h </w:instrText>
        </w:r>
        <w:r w:rsidR="003A1792">
          <w:rPr>
            <w:webHidden/>
          </w:rPr>
        </w:r>
        <w:r w:rsidR="003A1792">
          <w:rPr>
            <w:webHidden/>
          </w:rPr>
          <w:fldChar w:fldCharType="separate"/>
        </w:r>
        <w:r w:rsidR="00CB6D77">
          <w:rPr>
            <w:webHidden/>
          </w:rPr>
          <w:t>7</w:t>
        </w:r>
        <w:r w:rsidR="003A1792">
          <w:rPr>
            <w:webHidden/>
          </w:rPr>
          <w:fldChar w:fldCharType="end"/>
        </w:r>
      </w:hyperlink>
    </w:p>
    <w:p w14:paraId="5742D45D" w14:textId="44A463B8" w:rsidR="003A1792" w:rsidRDefault="00833958">
      <w:pPr>
        <w:pStyle w:val="TOC2"/>
        <w:rPr>
          <w:rFonts w:asciiTheme="minorHAnsi" w:eastAsiaTheme="minorEastAsia" w:hAnsiTheme="minorHAnsi" w:cstheme="minorBidi"/>
          <w:b w:val="0"/>
          <w:szCs w:val="22"/>
          <w:lang w:eastAsia="zh-TW"/>
        </w:rPr>
      </w:pPr>
      <w:hyperlink w:anchor="_Toc16763995" w:history="1">
        <w:r w:rsidR="003A1792" w:rsidRPr="004055A2">
          <w:rPr>
            <w:rStyle w:val="Hyperlink"/>
            <w:rFonts w:eastAsiaTheme="majorEastAsia"/>
          </w:rPr>
          <w:t>Evolution and Use of DFV Terminology</w:t>
        </w:r>
        <w:r w:rsidR="003A1792">
          <w:rPr>
            <w:webHidden/>
          </w:rPr>
          <w:tab/>
        </w:r>
        <w:r w:rsidR="003A1792">
          <w:rPr>
            <w:webHidden/>
          </w:rPr>
          <w:fldChar w:fldCharType="begin"/>
        </w:r>
        <w:r w:rsidR="003A1792">
          <w:rPr>
            <w:webHidden/>
          </w:rPr>
          <w:instrText xml:space="preserve"> PAGEREF _Toc16763995 \h </w:instrText>
        </w:r>
        <w:r w:rsidR="003A1792">
          <w:rPr>
            <w:webHidden/>
          </w:rPr>
        </w:r>
        <w:r w:rsidR="003A1792">
          <w:rPr>
            <w:webHidden/>
          </w:rPr>
          <w:fldChar w:fldCharType="separate"/>
        </w:r>
        <w:r w:rsidR="00CB6D77">
          <w:rPr>
            <w:webHidden/>
          </w:rPr>
          <w:t>10</w:t>
        </w:r>
        <w:r w:rsidR="003A1792">
          <w:rPr>
            <w:webHidden/>
          </w:rPr>
          <w:fldChar w:fldCharType="end"/>
        </w:r>
      </w:hyperlink>
    </w:p>
    <w:p w14:paraId="39D9C828" w14:textId="1AB8E336" w:rsidR="003A1792" w:rsidRDefault="00833958">
      <w:pPr>
        <w:pStyle w:val="TOC2"/>
        <w:rPr>
          <w:rFonts w:asciiTheme="minorHAnsi" w:eastAsiaTheme="minorEastAsia" w:hAnsiTheme="minorHAnsi" w:cstheme="minorBidi"/>
          <w:b w:val="0"/>
          <w:szCs w:val="22"/>
          <w:lang w:eastAsia="zh-TW"/>
        </w:rPr>
      </w:pPr>
      <w:hyperlink w:anchor="_Toc16763996" w:history="1">
        <w:r w:rsidR="003A1792" w:rsidRPr="004055A2">
          <w:rPr>
            <w:rStyle w:val="Hyperlink"/>
            <w:rFonts w:eastAsiaTheme="majorEastAsia"/>
          </w:rPr>
          <w:t>BACKGROUND - ACT Safer Families initiative</w:t>
        </w:r>
        <w:r w:rsidR="003A1792">
          <w:rPr>
            <w:webHidden/>
          </w:rPr>
          <w:tab/>
        </w:r>
        <w:r w:rsidR="003A1792">
          <w:rPr>
            <w:webHidden/>
          </w:rPr>
          <w:fldChar w:fldCharType="begin"/>
        </w:r>
        <w:r w:rsidR="003A1792">
          <w:rPr>
            <w:webHidden/>
          </w:rPr>
          <w:instrText xml:space="preserve"> PAGEREF _Toc16763996 \h </w:instrText>
        </w:r>
        <w:r w:rsidR="003A1792">
          <w:rPr>
            <w:webHidden/>
          </w:rPr>
        </w:r>
        <w:r w:rsidR="003A1792">
          <w:rPr>
            <w:webHidden/>
          </w:rPr>
          <w:fldChar w:fldCharType="separate"/>
        </w:r>
        <w:r w:rsidR="00CB6D77">
          <w:rPr>
            <w:webHidden/>
          </w:rPr>
          <w:t>11</w:t>
        </w:r>
        <w:r w:rsidR="003A1792">
          <w:rPr>
            <w:webHidden/>
          </w:rPr>
          <w:fldChar w:fldCharType="end"/>
        </w:r>
      </w:hyperlink>
    </w:p>
    <w:p w14:paraId="72E06E3C" w14:textId="60B7D66C" w:rsidR="003A1792" w:rsidRDefault="00833958">
      <w:pPr>
        <w:pStyle w:val="TOC1"/>
        <w:tabs>
          <w:tab w:val="left" w:pos="1588"/>
        </w:tabs>
        <w:rPr>
          <w:rFonts w:asciiTheme="minorHAnsi" w:eastAsiaTheme="minorEastAsia" w:hAnsiTheme="minorHAnsi" w:cstheme="minorBidi"/>
          <w:b w:val="0"/>
          <w:smallCaps w:val="0"/>
          <w:spacing w:val="0"/>
          <w:sz w:val="22"/>
          <w:lang w:eastAsia="zh-TW"/>
        </w:rPr>
      </w:pPr>
      <w:hyperlink w:anchor="_Toc16763997" w:history="1">
        <w:r w:rsidR="003A1792" w:rsidRPr="004055A2">
          <w:rPr>
            <w:rStyle w:val="Hyperlink"/>
            <w:rFonts w:eastAsiaTheme="majorEastAsia"/>
          </w:rPr>
          <w:t>3</w:t>
        </w:r>
        <w:r w:rsidR="003A1792">
          <w:rPr>
            <w:rFonts w:asciiTheme="minorHAnsi" w:eastAsiaTheme="minorEastAsia" w:hAnsiTheme="minorHAnsi" w:cstheme="minorBidi"/>
            <w:b w:val="0"/>
            <w:smallCaps w:val="0"/>
            <w:spacing w:val="0"/>
            <w:sz w:val="22"/>
            <w:lang w:eastAsia="zh-TW"/>
          </w:rPr>
          <w:tab/>
        </w:r>
        <w:r w:rsidR="003A1792" w:rsidRPr="004055A2">
          <w:rPr>
            <w:rStyle w:val="Hyperlink"/>
            <w:rFonts w:eastAsiaTheme="majorEastAsia"/>
          </w:rPr>
          <w:t>Views of submitters and witnesses</w:t>
        </w:r>
        <w:r w:rsidR="003A1792">
          <w:rPr>
            <w:webHidden/>
          </w:rPr>
          <w:tab/>
        </w:r>
        <w:r w:rsidR="003A1792">
          <w:rPr>
            <w:webHidden/>
          </w:rPr>
          <w:fldChar w:fldCharType="begin"/>
        </w:r>
        <w:r w:rsidR="003A1792">
          <w:rPr>
            <w:webHidden/>
          </w:rPr>
          <w:instrText xml:space="preserve"> PAGEREF _Toc16763997 \h </w:instrText>
        </w:r>
        <w:r w:rsidR="003A1792">
          <w:rPr>
            <w:webHidden/>
          </w:rPr>
        </w:r>
        <w:r w:rsidR="003A1792">
          <w:rPr>
            <w:webHidden/>
          </w:rPr>
          <w:fldChar w:fldCharType="separate"/>
        </w:r>
        <w:r w:rsidR="00CB6D77">
          <w:rPr>
            <w:webHidden/>
          </w:rPr>
          <w:t>15</w:t>
        </w:r>
        <w:r w:rsidR="003A1792">
          <w:rPr>
            <w:webHidden/>
          </w:rPr>
          <w:fldChar w:fldCharType="end"/>
        </w:r>
      </w:hyperlink>
    </w:p>
    <w:p w14:paraId="26F1ED7B" w14:textId="19801BF8" w:rsidR="003A1792" w:rsidRDefault="00833958">
      <w:pPr>
        <w:pStyle w:val="TOC2"/>
        <w:rPr>
          <w:rFonts w:asciiTheme="minorHAnsi" w:eastAsiaTheme="minorEastAsia" w:hAnsiTheme="minorHAnsi" w:cstheme="minorBidi"/>
          <w:b w:val="0"/>
          <w:szCs w:val="22"/>
          <w:lang w:eastAsia="zh-TW"/>
        </w:rPr>
      </w:pPr>
      <w:hyperlink w:anchor="_Toc16763998" w:history="1">
        <w:r w:rsidR="003A1792" w:rsidRPr="004055A2">
          <w:rPr>
            <w:rStyle w:val="Hyperlink"/>
            <w:rFonts w:eastAsiaTheme="majorEastAsia"/>
          </w:rPr>
          <w:t>Introduction</w:t>
        </w:r>
        <w:r w:rsidR="003A1792">
          <w:rPr>
            <w:webHidden/>
          </w:rPr>
          <w:tab/>
        </w:r>
        <w:r w:rsidR="003A1792">
          <w:rPr>
            <w:webHidden/>
          </w:rPr>
          <w:fldChar w:fldCharType="begin"/>
        </w:r>
        <w:r w:rsidR="003A1792">
          <w:rPr>
            <w:webHidden/>
          </w:rPr>
          <w:instrText xml:space="preserve"> PAGEREF _Toc16763998 \h </w:instrText>
        </w:r>
        <w:r w:rsidR="003A1792">
          <w:rPr>
            <w:webHidden/>
          </w:rPr>
        </w:r>
        <w:r w:rsidR="003A1792">
          <w:rPr>
            <w:webHidden/>
          </w:rPr>
          <w:fldChar w:fldCharType="separate"/>
        </w:r>
        <w:r w:rsidR="00CB6D77">
          <w:rPr>
            <w:webHidden/>
          </w:rPr>
          <w:t>15</w:t>
        </w:r>
        <w:r w:rsidR="003A1792">
          <w:rPr>
            <w:webHidden/>
          </w:rPr>
          <w:fldChar w:fldCharType="end"/>
        </w:r>
      </w:hyperlink>
    </w:p>
    <w:p w14:paraId="2A3060ED" w14:textId="25B3FF1F" w:rsidR="003A1792" w:rsidRDefault="00833958">
      <w:pPr>
        <w:pStyle w:val="TOC1"/>
        <w:tabs>
          <w:tab w:val="left" w:pos="1588"/>
        </w:tabs>
        <w:rPr>
          <w:rFonts w:asciiTheme="minorHAnsi" w:eastAsiaTheme="minorEastAsia" w:hAnsiTheme="minorHAnsi" w:cstheme="minorBidi"/>
          <w:b w:val="0"/>
          <w:smallCaps w:val="0"/>
          <w:spacing w:val="0"/>
          <w:sz w:val="22"/>
          <w:lang w:eastAsia="zh-TW"/>
        </w:rPr>
      </w:pPr>
      <w:hyperlink w:anchor="_Toc16763999" w:history="1">
        <w:r w:rsidR="003A1792" w:rsidRPr="004055A2">
          <w:rPr>
            <w:rStyle w:val="Hyperlink"/>
            <w:rFonts w:eastAsiaTheme="majorEastAsia"/>
          </w:rPr>
          <w:t>4</w:t>
        </w:r>
        <w:r w:rsidR="003A1792">
          <w:rPr>
            <w:rFonts w:asciiTheme="minorHAnsi" w:eastAsiaTheme="minorEastAsia" w:hAnsiTheme="minorHAnsi" w:cstheme="minorBidi"/>
            <w:b w:val="0"/>
            <w:smallCaps w:val="0"/>
            <w:spacing w:val="0"/>
            <w:sz w:val="22"/>
            <w:lang w:eastAsia="zh-TW"/>
          </w:rPr>
          <w:tab/>
        </w:r>
        <w:r w:rsidR="003A1792" w:rsidRPr="004055A2">
          <w:rPr>
            <w:rStyle w:val="Hyperlink"/>
            <w:rFonts w:eastAsiaTheme="majorEastAsia"/>
          </w:rPr>
          <w:t>Guiding principles informing the inquiry</w:t>
        </w:r>
        <w:r w:rsidR="003A1792">
          <w:rPr>
            <w:webHidden/>
          </w:rPr>
          <w:tab/>
        </w:r>
        <w:r w:rsidR="003A1792">
          <w:rPr>
            <w:webHidden/>
          </w:rPr>
          <w:fldChar w:fldCharType="begin"/>
        </w:r>
        <w:r w:rsidR="003A1792">
          <w:rPr>
            <w:webHidden/>
          </w:rPr>
          <w:instrText xml:space="preserve"> PAGEREF _Toc16763999 \h </w:instrText>
        </w:r>
        <w:r w:rsidR="003A1792">
          <w:rPr>
            <w:webHidden/>
          </w:rPr>
        </w:r>
        <w:r w:rsidR="003A1792">
          <w:rPr>
            <w:webHidden/>
          </w:rPr>
          <w:fldChar w:fldCharType="separate"/>
        </w:r>
        <w:r w:rsidR="00CB6D77">
          <w:rPr>
            <w:webHidden/>
          </w:rPr>
          <w:t>17</w:t>
        </w:r>
        <w:r w:rsidR="003A1792">
          <w:rPr>
            <w:webHidden/>
          </w:rPr>
          <w:fldChar w:fldCharType="end"/>
        </w:r>
      </w:hyperlink>
    </w:p>
    <w:p w14:paraId="1D032463" w14:textId="44BCF512" w:rsidR="003A1792" w:rsidRDefault="00833958">
      <w:pPr>
        <w:pStyle w:val="TOC1"/>
        <w:tabs>
          <w:tab w:val="left" w:pos="1588"/>
        </w:tabs>
        <w:rPr>
          <w:rFonts w:asciiTheme="minorHAnsi" w:eastAsiaTheme="minorEastAsia" w:hAnsiTheme="minorHAnsi" w:cstheme="minorBidi"/>
          <w:b w:val="0"/>
          <w:smallCaps w:val="0"/>
          <w:spacing w:val="0"/>
          <w:sz w:val="22"/>
          <w:lang w:eastAsia="zh-TW"/>
        </w:rPr>
      </w:pPr>
      <w:hyperlink w:anchor="_Toc16764000" w:history="1">
        <w:r w:rsidR="003A1792" w:rsidRPr="004055A2">
          <w:rPr>
            <w:rStyle w:val="Hyperlink"/>
            <w:rFonts w:eastAsiaTheme="majorEastAsia"/>
          </w:rPr>
          <w:t>5</w:t>
        </w:r>
        <w:r w:rsidR="003A1792">
          <w:rPr>
            <w:rFonts w:asciiTheme="minorHAnsi" w:eastAsiaTheme="minorEastAsia" w:hAnsiTheme="minorHAnsi" w:cstheme="minorBidi"/>
            <w:b w:val="0"/>
            <w:smallCaps w:val="0"/>
            <w:spacing w:val="0"/>
            <w:sz w:val="22"/>
            <w:lang w:eastAsia="zh-TW"/>
          </w:rPr>
          <w:tab/>
        </w:r>
        <w:r w:rsidR="003A1792" w:rsidRPr="004055A2">
          <w:rPr>
            <w:rStyle w:val="Hyperlink"/>
            <w:rFonts w:eastAsiaTheme="majorEastAsia"/>
          </w:rPr>
          <w:t>Adequacy and effectiveness of current policy approaches and responses</w:t>
        </w:r>
        <w:r w:rsidR="003A1792">
          <w:rPr>
            <w:webHidden/>
          </w:rPr>
          <w:tab/>
        </w:r>
        <w:r w:rsidR="003A1792">
          <w:rPr>
            <w:webHidden/>
          </w:rPr>
          <w:fldChar w:fldCharType="begin"/>
        </w:r>
        <w:r w:rsidR="003A1792">
          <w:rPr>
            <w:webHidden/>
          </w:rPr>
          <w:instrText xml:space="preserve"> PAGEREF _Toc16764000 \h </w:instrText>
        </w:r>
        <w:r w:rsidR="003A1792">
          <w:rPr>
            <w:webHidden/>
          </w:rPr>
        </w:r>
        <w:r w:rsidR="003A1792">
          <w:rPr>
            <w:webHidden/>
          </w:rPr>
          <w:fldChar w:fldCharType="separate"/>
        </w:r>
        <w:r w:rsidR="00CB6D77">
          <w:rPr>
            <w:webHidden/>
          </w:rPr>
          <w:t>21</w:t>
        </w:r>
        <w:r w:rsidR="003A1792">
          <w:rPr>
            <w:webHidden/>
          </w:rPr>
          <w:fldChar w:fldCharType="end"/>
        </w:r>
      </w:hyperlink>
    </w:p>
    <w:p w14:paraId="1C97BDF6" w14:textId="01EC1DBE" w:rsidR="003A1792" w:rsidRDefault="00833958">
      <w:pPr>
        <w:pStyle w:val="TOC2"/>
        <w:rPr>
          <w:rFonts w:asciiTheme="minorHAnsi" w:eastAsiaTheme="minorEastAsia" w:hAnsiTheme="minorHAnsi" w:cstheme="minorBidi"/>
          <w:b w:val="0"/>
          <w:szCs w:val="22"/>
          <w:lang w:eastAsia="zh-TW"/>
        </w:rPr>
      </w:pPr>
      <w:hyperlink w:anchor="_Toc16764001" w:history="1">
        <w:r w:rsidR="003A1792" w:rsidRPr="004055A2">
          <w:rPr>
            <w:rStyle w:val="Hyperlink"/>
            <w:rFonts w:eastAsiaTheme="majorEastAsia"/>
          </w:rPr>
          <w:t>Background on policy approaches and responses</w:t>
        </w:r>
        <w:r w:rsidR="003A1792">
          <w:rPr>
            <w:webHidden/>
          </w:rPr>
          <w:tab/>
        </w:r>
        <w:r w:rsidR="003A1792">
          <w:rPr>
            <w:webHidden/>
          </w:rPr>
          <w:fldChar w:fldCharType="begin"/>
        </w:r>
        <w:r w:rsidR="003A1792">
          <w:rPr>
            <w:webHidden/>
          </w:rPr>
          <w:instrText xml:space="preserve"> PAGEREF _Toc16764001 \h </w:instrText>
        </w:r>
        <w:r w:rsidR="003A1792">
          <w:rPr>
            <w:webHidden/>
          </w:rPr>
        </w:r>
        <w:r w:rsidR="003A1792">
          <w:rPr>
            <w:webHidden/>
          </w:rPr>
          <w:fldChar w:fldCharType="separate"/>
        </w:r>
        <w:r w:rsidR="00CB6D77">
          <w:rPr>
            <w:webHidden/>
          </w:rPr>
          <w:t>21</w:t>
        </w:r>
        <w:r w:rsidR="003A1792">
          <w:rPr>
            <w:webHidden/>
          </w:rPr>
          <w:fldChar w:fldCharType="end"/>
        </w:r>
      </w:hyperlink>
    </w:p>
    <w:p w14:paraId="045F5199" w14:textId="0D48F717" w:rsidR="003A1792" w:rsidRDefault="00833958">
      <w:pPr>
        <w:pStyle w:val="TOC2"/>
        <w:rPr>
          <w:rFonts w:asciiTheme="minorHAnsi" w:eastAsiaTheme="minorEastAsia" w:hAnsiTheme="minorHAnsi" w:cstheme="minorBidi"/>
          <w:b w:val="0"/>
          <w:szCs w:val="22"/>
          <w:lang w:eastAsia="zh-TW"/>
        </w:rPr>
      </w:pPr>
      <w:hyperlink w:anchor="_Toc16764002" w:history="1">
        <w:r w:rsidR="003A1792" w:rsidRPr="004055A2">
          <w:rPr>
            <w:rStyle w:val="Hyperlink"/>
            <w:rFonts w:eastAsiaTheme="majorEastAsia"/>
          </w:rPr>
          <w:t>Current policy approaches and responses</w:t>
        </w:r>
        <w:r w:rsidR="003A1792">
          <w:rPr>
            <w:webHidden/>
          </w:rPr>
          <w:tab/>
        </w:r>
        <w:r w:rsidR="003A1792">
          <w:rPr>
            <w:webHidden/>
          </w:rPr>
          <w:fldChar w:fldCharType="begin"/>
        </w:r>
        <w:r w:rsidR="003A1792">
          <w:rPr>
            <w:webHidden/>
          </w:rPr>
          <w:instrText xml:space="preserve"> PAGEREF _Toc16764002 \h </w:instrText>
        </w:r>
        <w:r w:rsidR="003A1792">
          <w:rPr>
            <w:webHidden/>
          </w:rPr>
        </w:r>
        <w:r w:rsidR="003A1792">
          <w:rPr>
            <w:webHidden/>
          </w:rPr>
          <w:fldChar w:fldCharType="separate"/>
        </w:r>
        <w:r w:rsidR="00CB6D77">
          <w:rPr>
            <w:webHidden/>
          </w:rPr>
          <w:t>22</w:t>
        </w:r>
        <w:r w:rsidR="003A1792">
          <w:rPr>
            <w:webHidden/>
          </w:rPr>
          <w:fldChar w:fldCharType="end"/>
        </w:r>
      </w:hyperlink>
    </w:p>
    <w:p w14:paraId="57CA1C25" w14:textId="6C60AF36" w:rsidR="003A1792" w:rsidRDefault="00833958">
      <w:pPr>
        <w:pStyle w:val="TOC2"/>
        <w:rPr>
          <w:rFonts w:asciiTheme="minorHAnsi" w:eastAsiaTheme="minorEastAsia" w:hAnsiTheme="minorHAnsi" w:cstheme="minorBidi"/>
          <w:b w:val="0"/>
          <w:szCs w:val="22"/>
          <w:lang w:eastAsia="zh-TW"/>
        </w:rPr>
      </w:pPr>
      <w:hyperlink w:anchor="_Toc16764003" w:history="1">
        <w:r w:rsidR="003A1792" w:rsidRPr="004055A2">
          <w:rPr>
            <w:rStyle w:val="Hyperlink"/>
            <w:rFonts w:eastAsiaTheme="majorEastAsia"/>
          </w:rPr>
          <w:t>Working out what works and who it works for?</w:t>
        </w:r>
        <w:r w:rsidR="003A1792">
          <w:rPr>
            <w:webHidden/>
          </w:rPr>
          <w:tab/>
        </w:r>
        <w:r w:rsidR="003A1792">
          <w:rPr>
            <w:webHidden/>
          </w:rPr>
          <w:fldChar w:fldCharType="begin"/>
        </w:r>
        <w:r w:rsidR="003A1792">
          <w:rPr>
            <w:webHidden/>
          </w:rPr>
          <w:instrText xml:space="preserve"> PAGEREF _Toc16764003 \h </w:instrText>
        </w:r>
        <w:r w:rsidR="003A1792">
          <w:rPr>
            <w:webHidden/>
          </w:rPr>
        </w:r>
        <w:r w:rsidR="003A1792">
          <w:rPr>
            <w:webHidden/>
          </w:rPr>
          <w:fldChar w:fldCharType="separate"/>
        </w:r>
        <w:r w:rsidR="00CB6D77">
          <w:rPr>
            <w:webHidden/>
          </w:rPr>
          <w:t>23</w:t>
        </w:r>
        <w:r w:rsidR="003A1792">
          <w:rPr>
            <w:webHidden/>
          </w:rPr>
          <w:fldChar w:fldCharType="end"/>
        </w:r>
      </w:hyperlink>
    </w:p>
    <w:p w14:paraId="7FA68ECE" w14:textId="1A738D75" w:rsidR="003A1792" w:rsidRDefault="00833958">
      <w:pPr>
        <w:pStyle w:val="TOC2"/>
        <w:rPr>
          <w:rFonts w:asciiTheme="minorHAnsi" w:eastAsiaTheme="minorEastAsia" w:hAnsiTheme="minorHAnsi" w:cstheme="minorBidi"/>
          <w:b w:val="0"/>
          <w:szCs w:val="22"/>
          <w:lang w:eastAsia="zh-TW"/>
        </w:rPr>
      </w:pPr>
      <w:hyperlink w:anchor="_Toc16764004" w:history="1">
        <w:r w:rsidR="003A1792" w:rsidRPr="004055A2">
          <w:rPr>
            <w:rStyle w:val="Hyperlink"/>
            <w:rFonts w:eastAsiaTheme="majorEastAsia"/>
          </w:rPr>
          <w:t>Inquiry comment and analysis –the adequacy and effectiveness of current ACT policy approaches and responses</w:t>
        </w:r>
        <w:r w:rsidR="003A1792">
          <w:rPr>
            <w:webHidden/>
          </w:rPr>
          <w:tab/>
        </w:r>
        <w:r w:rsidR="003A1792">
          <w:rPr>
            <w:webHidden/>
          </w:rPr>
          <w:fldChar w:fldCharType="begin"/>
        </w:r>
        <w:r w:rsidR="003A1792">
          <w:rPr>
            <w:webHidden/>
          </w:rPr>
          <w:instrText xml:space="preserve"> PAGEREF _Toc16764004 \h </w:instrText>
        </w:r>
        <w:r w:rsidR="003A1792">
          <w:rPr>
            <w:webHidden/>
          </w:rPr>
        </w:r>
        <w:r w:rsidR="003A1792">
          <w:rPr>
            <w:webHidden/>
          </w:rPr>
          <w:fldChar w:fldCharType="separate"/>
        </w:r>
        <w:r w:rsidR="00CB6D77">
          <w:rPr>
            <w:webHidden/>
          </w:rPr>
          <w:t>25</w:t>
        </w:r>
        <w:r w:rsidR="003A1792">
          <w:rPr>
            <w:webHidden/>
          </w:rPr>
          <w:fldChar w:fldCharType="end"/>
        </w:r>
      </w:hyperlink>
    </w:p>
    <w:p w14:paraId="33C16D19" w14:textId="3D6B7D30" w:rsidR="003A1792" w:rsidRDefault="00833958">
      <w:pPr>
        <w:pStyle w:val="TOC2"/>
        <w:rPr>
          <w:rFonts w:asciiTheme="minorHAnsi" w:eastAsiaTheme="minorEastAsia" w:hAnsiTheme="minorHAnsi" w:cstheme="minorBidi"/>
          <w:b w:val="0"/>
          <w:szCs w:val="22"/>
          <w:lang w:eastAsia="zh-TW"/>
        </w:rPr>
      </w:pPr>
      <w:hyperlink w:anchor="_Toc16764005" w:history="1">
        <w:r w:rsidR="003A1792" w:rsidRPr="004055A2">
          <w:rPr>
            <w:rStyle w:val="Hyperlink"/>
            <w:rFonts w:eastAsiaTheme="majorEastAsia"/>
          </w:rPr>
          <w:t>Enhancing Workforce Capability</w:t>
        </w:r>
        <w:r w:rsidR="003A1792">
          <w:rPr>
            <w:webHidden/>
          </w:rPr>
          <w:tab/>
        </w:r>
        <w:r w:rsidR="003A1792">
          <w:rPr>
            <w:webHidden/>
          </w:rPr>
          <w:fldChar w:fldCharType="begin"/>
        </w:r>
        <w:r w:rsidR="003A1792">
          <w:rPr>
            <w:webHidden/>
          </w:rPr>
          <w:instrText xml:space="preserve"> PAGEREF _Toc16764005 \h </w:instrText>
        </w:r>
        <w:r w:rsidR="003A1792">
          <w:rPr>
            <w:webHidden/>
          </w:rPr>
        </w:r>
        <w:r w:rsidR="003A1792">
          <w:rPr>
            <w:webHidden/>
          </w:rPr>
          <w:fldChar w:fldCharType="separate"/>
        </w:r>
        <w:r w:rsidR="00CB6D77">
          <w:rPr>
            <w:webHidden/>
          </w:rPr>
          <w:t>42</w:t>
        </w:r>
        <w:r w:rsidR="003A1792">
          <w:rPr>
            <w:webHidden/>
          </w:rPr>
          <w:fldChar w:fldCharType="end"/>
        </w:r>
      </w:hyperlink>
    </w:p>
    <w:p w14:paraId="1E832017" w14:textId="3F48A0A7" w:rsidR="003A1792" w:rsidRDefault="00833958">
      <w:pPr>
        <w:pStyle w:val="TOC2"/>
        <w:rPr>
          <w:rFonts w:asciiTheme="minorHAnsi" w:eastAsiaTheme="minorEastAsia" w:hAnsiTheme="minorHAnsi" w:cstheme="minorBidi"/>
          <w:b w:val="0"/>
          <w:szCs w:val="22"/>
          <w:lang w:eastAsia="zh-TW"/>
        </w:rPr>
      </w:pPr>
      <w:hyperlink w:anchor="_Toc16764006" w:history="1">
        <w:r w:rsidR="003A1792" w:rsidRPr="004055A2">
          <w:rPr>
            <w:rStyle w:val="Hyperlink"/>
            <w:rFonts w:eastAsiaTheme="majorEastAsia"/>
          </w:rPr>
          <w:t>Policing and Justice Responses</w:t>
        </w:r>
        <w:r w:rsidR="003A1792">
          <w:rPr>
            <w:webHidden/>
          </w:rPr>
          <w:tab/>
        </w:r>
        <w:r w:rsidR="003A1792">
          <w:rPr>
            <w:webHidden/>
          </w:rPr>
          <w:fldChar w:fldCharType="begin"/>
        </w:r>
        <w:r w:rsidR="003A1792">
          <w:rPr>
            <w:webHidden/>
          </w:rPr>
          <w:instrText xml:space="preserve"> PAGEREF _Toc16764006 \h </w:instrText>
        </w:r>
        <w:r w:rsidR="003A1792">
          <w:rPr>
            <w:webHidden/>
          </w:rPr>
        </w:r>
        <w:r w:rsidR="003A1792">
          <w:rPr>
            <w:webHidden/>
          </w:rPr>
          <w:fldChar w:fldCharType="separate"/>
        </w:r>
        <w:r w:rsidR="00CB6D77">
          <w:rPr>
            <w:webHidden/>
          </w:rPr>
          <w:t>47</w:t>
        </w:r>
        <w:r w:rsidR="003A1792">
          <w:rPr>
            <w:webHidden/>
          </w:rPr>
          <w:fldChar w:fldCharType="end"/>
        </w:r>
      </w:hyperlink>
    </w:p>
    <w:p w14:paraId="2772DB30" w14:textId="429F0B8C" w:rsidR="003A1792" w:rsidRDefault="00833958">
      <w:pPr>
        <w:pStyle w:val="TOC1"/>
        <w:tabs>
          <w:tab w:val="left" w:pos="1588"/>
        </w:tabs>
        <w:rPr>
          <w:rFonts w:asciiTheme="minorHAnsi" w:eastAsiaTheme="minorEastAsia" w:hAnsiTheme="minorHAnsi" w:cstheme="minorBidi"/>
          <w:b w:val="0"/>
          <w:smallCaps w:val="0"/>
          <w:spacing w:val="0"/>
          <w:sz w:val="22"/>
          <w:lang w:eastAsia="zh-TW"/>
        </w:rPr>
      </w:pPr>
      <w:hyperlink w:anchor="_Toc16764007" w:history="1">
        <w:r w:rsidR="003A1792" w:rsidRPr="004055A2">
          <w:rPr>
            <w:rStyle w:val="Hyperlink"/>
            <w:rFonts w:eastAsiaTheme="majorEastAsia"/>
          </w:rPr>
          <w:t>6</w:t>
        </w:r>
        <w:r w:rsidR="003A1792">
          <w:rPr>
            <w:rFonts w:asciiTheme="minorHAnsi" w:eastAsiaTheme="minorEastAsia" w:hAnsiTheme="minorHAnsi" w:cstheme="minorBidi"/>
            <w:b w:val="0"/>
            <w:smallCaps w:val="0"/>
            <w:spacing w:val="0"/>
            <w:sz w:val="22"/>
            <w:lang w:eastAsia="zh-TW"/>
          </w:rPr>
          <w:tab/>
        </w:r>
        <w:r w:rsidR="003A1792" w:rsidRPr="004055A2">
          <w:rPr>
            <w:rStyle w:val="Hyperlink"/>
            <w:rFonts w:eastAsiaTheme="majorEastAsia"/>
          </w:rPr>
          <w:t>National funding and agenda/policy setting—issues and policy challenges</w:t>
        </w:r>
        <w:r w:rsidR="003A1792">
          <w:rPr>
            <w:webHidden/>
          </w:rPr>
          <w:tab/>
        </w:r>
        <w:r w:rsidR="003A1792">
          <w:rPr>
            <w:webHidden/>
          </w:rPr>
          <w:fldChar w:fldCharType="begin"/>
        </w:r>
        <w:r w:rsidR="003A1792">
          <w:rPr>
            <w:webHidden/>
          </w:rPr>
          <w:instrText xml:space="preserve"> PAGEREF _Toc16764007 \h </w:instrText>
        </w:r>
        <w:r w:rsidR="003A1792">
          <w:rPr>
            <w:webHidden/>
          </w:rPr>
        </w:r>
        <w:r w:rsidR="003A1792">
          <w:rPr>
            <w:webHidden/>
          </w:rPr>
          <w:fldChar w:fldCharType="separate"/>
        </w:r>
        <w:r w:rsidR="00CB6D77">
          <w:rPr>
            <w:webHidden/>
          </w:rPr>
          <w:t>55</w:t>
        </w:r>
        <w:r w:rsidR="003A1792">
          <w:rPr>
            <w:webHidden/>
          </w:rPr>
          <w:fldChar w:fldCharType="end"/>
        </w:r>
      </w:hyperlink>
    </w:p>
    <w:p w14:paraId="7C4F8931" w14:textId="6D7A8E15" w:rsidR="003A1792" w:rsidRDefault="00833958">
      <w:pPr>
        <w:pStyle w:val="TOC2"/>
        <w:rPr>
          <w:rFonts w:asciiTheme="minorHAnsi" w:eastAsiaTheme="minorEastAsia" w:hAnsiTheme="minorHAnsi" w:cstheme="minorBidi"/>
          <w:b w:val="0"/>
          <w:szCs w:val="22"/>
          <w:lang w:eastAsia="zh-TW"/>
        </w:rPr>
      </w:pPr>
      <w:hyperlink w:anchor="_Toc16764008" w:history="1">
        <w:r w:rsidR="003A1792" w:rsidRPr="004055A2">
          <w:rPr>
            <w:rStyle w:val="Hyperlink"/>
            <w:rFonts w:eastAsiaTheme="majorEastAsia"/>
          </w:rPr>
          <w:t>Background National funding and agenda setting framework</w:t>
        </w:r>
        <w:r w:rsidR="003A1792">
          <w:rPr>
            <w:webHidden/>
          </w:rPr>
          <w:tab/>
        </w:r>
        <w:r w:rsidR="003A1792">
          <w:rPr>
            <w:webHidden/>
          </w:rPr>
          <w:fldChar w:fldCharType="begin"/>
        </w:r>
        <w:r w:rsidR="003A1792">
          <w:rPr>
            <w:webHidden/>
          </w:rPr>
          <w:instrText xml:space="preserve"> PAGEREF _Toc16764008 \h </w:instrText>
        </w:r>
        <w:r w:rsidR="003A1792">
          <w:rPr>
            <w:webHidden/>
          </w:rPr>
        </w:r>
        <w:r w:rsidR="003A1792">
          <w:rPr>
            <w:webHidden/>
          </w:rPr>
          <w:fldChar w:fldCharType="separate"/>
        </w:r>
        <w:r w:rsidR="00CB6D77">
          <w:rPr>
            <w:webHidden/>
          </w:rPr>
          <w:t>55</w:t>
        </w:r>
        <w:r w:rsidR="003A1792">
          <w:rPr>
            <w:webHidden/>
          </w:rPr>
          <w:fldChar w:fldCharType="end"/>
        </w:r>
      </w:hyperlink>
    </w:p>
    <w:p w14:paraId="124F04F4" w14:textId="3413F4AE" w:rsidR="003A1792" w:rsidRDefault="00833958">
      <w:pPr>
        <w:pStyle w:val="TOC2"/>
        <w:rPr>
          <w:rFonts w:asciiTheme="minorHAnsi" w:eastAsiaTheme="minorEastAsia" w:hAnsiTheme="minorHAnsi" w:cstheme="minorBidi"/>
          <w:b w:val="0"/>
          <w:szCs w:val="22"/>
          <w:lang w:eastAsia="zh-TW"/>
        </w:rPr>
      </w:pPr>
      <w:hyperlink w:anchor="_Toc16764009" w:history="1">
        <w:r w:rsidR="003A1792" w:rsidRPr="004055A2">
          <w:rPr>
            <w:rStyle w:val="Hyperlink"/>
            <w:rFonts w:eastAsiaTheme="majorEastAsia"/>
          </w:rPr>
          <w:t>Reporting and evaluation</w:t>
        </w:r>
        <w:r w:rsidR="003A1792">
          <w:rPr>
            <w:webHidden/>
          </w:rPr>
          <w:tab/>
        </w:r>
        <w:r w:rsidR="003A1792">
          <w:rPr>
            <w:webHidden/>
          </w:rPr>
          <w:fldChar w:fldCharType="begin"/>
        </w:r>
        <w:r w:rsidR="003A1792">
          <w:rPr>
            <w:webHidden/>
          </w:rPr>
          <w:instrText xml:space="preserve"> PAGEREF _Toc16764009 \h </w:instrText>
        </w:r>
        <w:r w:rsidR="003A1792">
          <w:rPr>
            <w:webHidden/>
          </w:rPr>
        </w:r>
        <w:r w:rsidR="003A1792">
          <w:rPr>
            <w:webHidden/>
          </w:rPr>
          <w:fldChar w:fldCharType="separate"/>
        </w:r>
        <w:r w:rsidR="00CB6D77">
          <w:rPr>
            <w:webHidden/>
          </w:rPr>
          <w:t>56</w:t>
        </w:r>
        <w:r w:rsidR="003A1792">
          <w:rPr>
            <w:webHidden/>
          </w:rPr>
          <w:fldChar w:fldCharType="end"/>
        </w:r>
      </w:hyperlink>
    </w:p>
    <w:p w14:paraId="7C7DCAB2" w14:textId="6A0A1313" w:rsidR="003A1792" w:rsidRDefault="00833958">
      <w:pPr>
        <w:pStyle w:val="TOC2"/>
        <w:rPr>
          <w:rFonts w:asciiTheme="minorHAnsi" w:eastAsiaTheme="minorEastAsia" w:hAnsiTheme="minorHAnsi" w:cstheme="minorBidi"/>
          <w:b w:val="0"/>
          <w:szCs w:val="22"/>
          <w:lang w:eastAsia="zh-TW"/>
        </w:rPr>
      </w:pPr>
      <w:hyperlink w:anchor="_Toc16764010" w:history="1">
        <w:r w:rsidR="003A1792" w:rsidRPr="004055A2">
          <w:rPr>
            <w:rStyle w:val="Hyperlink"/>
            <w:rFonts w:eastAsiaTheme="majorEastAsia"/>
          </w:rPr>
          <w:t>Issues and policy challenges for the ACT</w:t>
        </w:r>
        <w:r w:rsidR="003A1792">
          <w:rPr>
            <w:webHidden/>
          </w:rPr>
          <w:tab/>
        </w:r>
        <w:r w:rsidR="003A1792">
          <w:rPr>
            <w:webHidden/>
          </w:rPr>
          <w:fldChar w:fldCharType="begin"/>
        </w:r>
        <w:r w:rsidR="003A1792">
          <w:rPr>
            <w:webHidden/>
          </w:rPr>
          <w:instrText xml:space="preserve"> PAGEREF _Toc16764010 \h </w:instrText>
        </w:r>
        <w:r w:rsidR="003A1792">
          <w:rPr>
            <w:webHidden/>
          </w:rPr>
        </w:r>
        <w:r w:rsidR="003A1792">
          <w:rPr>
            <w:webHidden/>
          </w:rPr>
          <w:fldChar w:fldCharType="separate"/>
        </w:r>
        <w:r w:rsidR="00CB6D77">
          <w:rPr>
            <w:webHidden/>
          </w:rPr>
          <w:t>56</w:t>
        </w:r>
        <w:r w:rsidR="003A1792">
          <w:rPr>
            <w:webHidden/>
          </w:rPr>
          <w:fldChar w:fldCharType="end"/>
        </w:r>
      </w:hyperlink>
    </w:p>
    <w:p w14:paraId="00D60880" w14:textId="25720617" w:rsidR="003A1792" w:rsidRDefault="00833958">
      <w:pPr>
        <w:pStyle w:val="TOC1"/>
        <w:tabs>
          <w:tab w:val="left" w:pos="1588"/>
        </w:tabs>
        <w:rPr>
          <w:rFonts w:asciiTheme="minorHAnsi" w:eastAsiaTheme="minorEastAsia" w:hAnsiTheme="minorHAnsi" w:cstheme="minorBidi"/>
          <w:b w:val="0"/>
          <w:smallCaps w:val="0"/>
          <w:spacing w:val="0"/>
          <w:sz w:val="22"/>
          <w:lang w:eastAsia="zh-TW"/>
        </w:rPr>
      </w:pPr>
      <w:hyperlink w:anchor="_Toc16764011" w:history="1">
        <w:r w:rsidR="003A1792" w:rsidRPr="004055A2">
          <w:rPr>
            <w:rStyle w:val="Hyperlink"/>
            <w:rFonts w:eastAsiaTheme="majorEastAsia"/>
          </w:rPr>
          <w:t>7</w:t>
        </w:r>
        <w:r w:rsidR="003A1792">
          <w:rPr>
            <w:rFonts w:asciiTheme="minorHAnsi" w:eastAsiaTheme="minorEastAsia" w:hAnsiTheme="minorHAnsi" w:cstheme="minorBidi"/>
            <w:b w:val="0"/>
            <w:smallCaps w:val="0"/>
            <w:spacing w:val="0"/>
            <w:sz w:val="22"/>
            <w:lang w:eastAsia="zh-TW"/>
          </w:rPr>
          <w:tab/>
        </w:r>
        <w:r w:rsidR="003A1792" w:rsidRPr="004055A2">
          <w:rPr>
            <w:rStyle w:val="Hyperlink"/>
            <w:rFonts w:eastAsiaTheme="majorEastAsia"/>
          </w:rPr>
          <w:t>Implementation of the ACT Safer Families initiative</w:t>
        </w:r>
        <w:r w:rsidR="003A1792">
          <w:rPr>
            <w:webHidden/>
          </w:rPr>
          <w:tab/>
        </w:r>
        <w:r w:rsidR="003A1792">
          <w:rPr>
            <w:webHidden/>
          </w:rPr>
          <w:fldChar w:fldCharType="begin"/>
        </w:r>
        <w:r w:rsidR="003A1792">
          <w:rPr>
            <w:webHidden/>
          </w:rPr>
          <w:instrText xml:space="preserve"> PAGEREF _Toc16764011 \h </w:instrText>
        </w:r>
        <w:r w:rsidR="003A1792">
          <w:rPr>
            <w:webHidden/>
          </w:rPr>
        </w:r>
        <w:r w:rsidR="003A1792">
          <w:rPr>
            <w:webHidden/>
          </w:rPr>
          <w:fldChar w:fldCharType="separate"/>
        </w:r>
        <w:r w:rsidR="00CB6D77">
          <w:rPr>
            <w:webHidden/>
          </w:rPr>
          <w:t>63</w:t>
        </w:r>
        <w:r w:rsidR="003A1792">
          <w:rPr>
            <w:webHidden/>
          </w:rPr>
          <w:fldChar w:fldCharType="end"/>
        </w:r>
      </w:hyperlink>
    </w:p>
    <w:p w14:paraId="2E10D777" w14:textId="689EB475" w:rsidR="003A1792" w:rsidRDefault="00833958">
      <w:pPr>
        <w:pStyle w:val="TOC2"/>
        <w:rPr>
          <w:rFonts w:asciiTheme="minorHAnsi" w:eastAsiaTheme="minorEastAsia" w:hAnsiTheme="minorHAnsi" w:cstheme="minorBidi"/>
          <w:b w:val="0"/>
          <w:szCs w:val="22"/>
          <w:lang w:eastAsia="zh-TW"/>
        </w:rPr>
      </w:pPr>
      <w:hyperlink w:anchor="_Toc16764012" w:history="1">
        <w:r w:rsidR="003A1792" w:rsidRPr="004055A2">
          <w:rPr>
            <w:rStyle w:val="Hyperlink"/>
            <w:rFonts w:eastAsiaTheme="majorEastAsia"/>
          </w:rPr>
          <w:t xml:space="preserve">Background to ACT Safer Families </w:t>
        </w:r>
        <w:r w:rsidR="003A1792" w:rsidRPr="004055A2">
          <w:rPr>
            <w:rStyle w:val="Hyperlink"/>
            <w:rFonts w:eastAsiaTheme="majorEastAsia"/>
            <w:caps/>
          </w:rPr>
          <w:t>INITIATIVE</w:t>
        </w:r>
        <w:r w:rsidR="003A1792" w:rsidRPr="004055A2">
          <w:rPr>
            <w:rStyle w:val="Hyperlink"/>
            <w:rFonts w:eastAsiaTheme="majorEastAsia"/>
          </w:rPr>
          <w:t xml:space="preserve"> - including the levy concept</w:t>
        </w:r>
        <w:r w:rsidR="003A1792">
          <w:rPr>
            <w:webHidden/>
          </w:rPr>
          <w:tab/>
        </w:r>
        <w:r w:rsidR="003A1792">
          <w:rPr>
            <w:webHidden/>
          </w:rPr>
          <w:fldChar w:fldCharType="begin"/>
        </w:r>
        <w:r w:rsidR="003A1792">
          <w:rPr>
            <w:webHidden/>
          </w:rPr>
          <w:instrText xml:space="preserve"> PAGEREF _Toc16764012 \h </w:instrText>
        </w:r>
        <w:r w:rsidR="003A1792">
          <w:rPr>
            <w:webHidden/>
          </w:rPr>
        </w:r>
        <w:r w:rsidR="003A1792">
          <w:rPr>
            <w:webHidden/>
          </w:rPr>
          <w:fldChar w:fldCharType="separate"/>
        </w:r>
        <w:r w:rsidR="00CB6D77">
          <w:rPr>
            <w:webHidden/>
          </w:rPr>
          <w:t>63</w:t>
        </w:r>
        <w:r w:rsidR="003A1792">
          <w:rPr>
            <w:webHidden/>
          </w:rPr>
          <w:fldChar w:fldCharType="end"/>
        </w:r>
      </w:hyperlink>
    </w:p>
    <w:p w14:paraId="5726B637" w14:textId="15CF9162" w:rsidR="003A1792" w:rsidRDefault="00833958">
      <w:pPr>
        <w:pStyle w:val="TOC2"/>
        <w:rPr>
          <w:rFonts w:asciiTheme="minorHAnsi" w:eastAsiaTheme="minorEastAsia" w:hAnsiTheme="minorHAnsi" w:cstheme="minorBidi"/>
          <w:b w:val="0"/>
          <w:szCs w:val="22"/>
          <w:lang w:eastAsia="zh-TW"/>
        </w:rPr>
      </w:pPr>
      <w:hyperlink w:anchor="_Toc16764013" w:history="1">
        <w:r w:rsidR="003A1792" w:rsidRPr="004055A2">
          <w:rPr>
            <w:rStyle w:val="Hyperlink"/>
            <w:rFonts w:eastAsiaTheme="majorEastAsia"/>
          </w:rPr>
          <w:t>2016–17 Budget funding commitments</w:t>
        </w:r>
        <w:r w:rsidR="003A1792">
          <w:rPr>
            <w:webHidden/>
          </w:rPr>
          <w:tab/>
        </w:r>
        <w:r w:rsidR="003A1792">
          <w:rPr>
            <w:webHidden/>
          </w:rPr>
          <w:fldChar w:fldCharType="begin"/>
        </w:r>
        <w:r w:rsidR="003A1792">
          <w:rPr>
            <w:webHidden/>
          </w:rPr>
          <w:instrText xml:space="preserve"> PAGEREF _Toc16764013 \h </w:instrText>
        </w:r>
        <w:r w:rsidR="003A1792">
          <w:rPr>
            <w:webHidden/>
          </w:rPr>
        </w:r>
        <w:r w:rsidR="003A1792">
          <w:rPr>
            <w:webHidden/>
          </w:rPr>
          <w:fldChar w:fldCharType="separate"/>
        </w:r>
        <w:r w:rsidR="00CB6D77">
          <w:rPr>
            <w:webHidden/>
          </w:rPr>
          <w:t>64</w:t>
        </w:r>
        <w:r w:rsidR="003A1792">
          <w:rPr>
            <w:webHidden/>
          </w:rPr>
          <w:fldChar w:fldCharType="end"/>
        </w:r>
      </w:hyperlink>
    </w:p>
    <w:p w14:paraId="032933FD" w14:textId="10E02AC5" w:rsidR="003A1792" w:rsidRDefault="00833958">
      <w:pPr>
        <w:pStyle w:val="TOC2"/>
        <w:rPr>
          <w:rFonts w:asciiTheme="minorHAnsi" w:eastAsiaTheme="minorEastAsia" w:hAnsiTheme="minorHAnsi" w:cstheme="minorBidi"/>
          <w:b w:val="0"/>
          <w:szCs w:val="22"/>
          <w:lang w:eastAsia="zh-TW"/>
        </w:rPr>
      </w:pPr>
      <w:hyperlink w:anchor="_Toc16764014" w:history="1">
        <w:r w:rsidR="003A1792" w:rsidRPr="004055A2">
          <w:rPr>
            <w:rStyle w:val="Hyperlink"/>
            <w:rFonts w:eastAsia="Calibri"/>
          </w:rPr>
          <w:t>$21.42M Family violence package and annual levy</w:t>
        </w:r>
        <w:r w:rsidR="003A1792">
          <w:rPr>
            <w:webHidden/>
          </w:rPr>
          <w:tab/>
        </w:r>
        <w:r w:rsidR="003A1792">
          <w:rPr>
            <w:webHidden/>
          </w:rPr>
          <w:fldChar w:fldCharType="begin"/>
        </w:r>
        <w:r w:rsidR="003A1792">
          <w:rPr>
            <w:webHidden/>
          </w:rPr>
          <w:instrText xml:space="preserve"> PAGEREF _Toc16764014 \h </w:instrText>
        </w:r>
        <w:r w:rsidR="003A1792">
          <w:rPr>
            <w:webHidden/>
          </w:rPr>
        </w:r>
        <w:r w:rsidR="003A1792">
          <w:rPr>
            <w:webHidden/>
          </w:rPr>
          <w:fldChar w:fldCharType="separate"/>
        </w:r>
        <w:r w:rsidR="00CB6D77">
          <w:rPr>
            <w:webHidden/>
          </w:rPr>
          <w:t>65</w:t>
        </w:r>
        <w:r w:rsidR="003A1792">
          <w:rPr>
            <w:webHidden/>
          </w:rPr>
          <w:fldChar w:fldCharType="end"/>
        </w:r>
      </w:hyperlink>
    </w:p>
    <w:p w14:paraId="5EBC1E2A" w14:textId="53BE5C94" w:rsidR="003A1792" w:rsidRDefault="00833958">
      <w:pPr>
        <w:pStyle w:val="TOC2"/>
        <w:rPr>
          <w:rFonts w:asciiTheme="minorHAnsi" w:eastAsiaTheme="minorEastAsia" w:hAnsiTheme="minorHAnsi" w:cstheme="minorBidi"/>
          <w:b w:val="0"/>
          <w:szCs w:val="22"/>
          <w:lang w:eastAsia="zh-TW"/>
        </w:rPr>
      </w:pPr>
      <w:hyperlink w:anchor="_Toc16764015" w:history="1">
        <w:r w:rsidR="003A1792" w:rsidRPr="004055A2">
          <w:rPr>
            <w:rStyle w:val="Hyperlink"/>
            <w:rFonts w:eastAsia="Calibri"/>
          </w:rPr>
          <w:t>Coordinator-General for Family Safety</w:t>
        </w:r>
        <w:r w:rsidR="003A1792">
          <w:rPr>
            <w:webHidden/>
          </w:rPr>
          <w:tab/>
        </w:r>
        <w:r w:rsidR="003A1792">
          <w:rPr>
            <w:webHidden/>
          </w:rPr>
          <w:fldChar w:fldCharType="begin"/>
        </w:r>
        <w:r w:rsidR="003A1792">
          <w:rPr>
            <w:webHidden/>
          </w:rPr>
          <w:instrText xml:space="preserve"> PAGEREF _Toc16764015 \h </w:instrText>
        </w:r>
        <w:r w:rsidR="003A1792">
          <w:rPr>
            <w:webHidden/>
          </w:rPr>
        </w:r>
        <w:r w:rsidR="003A1792">
          <w:rPr>
            <w:webHidden/>
          </w:rPr>
          <w:fldChar w:fldCharType="separate"/>
        </w:r>
        <w:r w:rsidR="00CB6D77">
          <w:rPr>
            <w:webHidden/>
          </w:rPr>
          <w:t>65</w:t>
        </w:r>
        <w:r w:rsidR="003A1792">
          <w:rPr>
            <w:webHidden/>
          </w:rPr>
          <w:fldChar w:fldCharType="end"/>
        </w:r>
      </w:hyperlink>
    </w:p>
    <w:p w14:paraId="71DE265F" w14:textId="1BCAC1A3" w:rsidR="003A1792" w:rsidRDefault="00833958">
      <w:pPr>
        <w:pStyle w:val="TOC2"/>
        <w:rPr>
          <w:rFonts w:asciiTheme="minorHAnsi" w:eastAsiaTheme="minorEastAsia" w:hAnsiTheme="minorHAnsi" w:cstheme="minorBidi"/>
          <w:b w:val="0"/>
          <w:szCs w:val="22"/>
          <w:lang w:eastAsia="zh-TW"/>
        </w:rPr>
      </w:pPr>
      <w:hyperlink w:anchor="_Toc16764016" w:history="1">
        <w:r w:rsidR="003A1792" w:rsidRPr="004055A2">
          <w:rPr>
            <w:rStyle w:val="Hyperlink"/>
            <w:rFonts w:eastAsiaTheme="majorEastAsia"/>
          </w:rPr>
          <w:t>Progress to date – Safer Families Initiative</w:t>
        </w:r>
        <w:r w:rsidR="003A1792">
          <w:rPr>
            <w:webHidden/>
          </w:rPr>
          <w:tab/>
        </w:r>
        <w:r w:rsidR="003A1792">
          <w:rPr>
            <w:webHidden/>
          </w:rPr>
          <w:fldChar w:fldCharType="begin"/>
        </w:r>
        <w:r w:rsidR="003A1792">
          <w:rPr>
            <w:webHidden/>
          </w:rPr>
          <w:instrText xml:space="preserve"> PAGEREF _Toc16764016 \h </w:instrText>
        </w:r>
        <w:r w:rsidR="003A1792">
          <w:rPr>
            <w:webHidden/>
          </w:rPr>
        </w:r>
        <w:r w:rsidR="003A1792">
          <w:rPr>
            <w:webHidden/>
          </w:rPr>
          <w:fldChar w:fldCharType="separate"/>
        </w:r>
        <w:r w:rsidR="00CB6D77">
          <w:rPr>
            <w:webHidden/>
          </w:rPr>
          <w:t>66</w:t>
        </w:r>
        <w:r w:rsidR="003A1792">
          <w:rPr>
            <w:webHidden/>
          </w:rPr>
          <w:fldChar w:fldCharType="end"/>
        </w:r>
      </w:hyperlink>
    </w:p>
    <w:p w14:paraId="7272F7AE" w14:textId="7D6E5152" w:rsidR="003A1792" w:rsidRDefault="00833958">
      <w:pPr>
        <w:pStyle w:val="TOC2"/>
        <w:rPr>
          <w:rFonts w:asciiTheme="minorHAnsi" w:eastAsiaTheme="minorEastAsia" w:hAnsiTheme="minorHAnsi" w:cstheme="minorBidi"/>
          <w:b w:val="0"/>
          <w:szCs w:val="22"/>
          <w:lang w:eastAsia="zh-TW"/>
        </w:rPr>
      </w:pPr>
      <w:hyperlink w:anchor="_Toc16764017" w:history="1">
        <w:r w:rsidR="003A1792" w:rsidRPr="004055A2">
          <w:rPr>
            <w:rStyle w:val="Hyperlink"/>
            <w:rFonts w:eastAsiaTheme="majorEastAsia"/>
          </w:rPr>
          <w:t>Family Safety Hub</w:t>
        </w:r>
        <w:r w:rsidR="003A1792">
          <w:rPr>
            <w:webHidden/>
          </w:rPr>
          <w:tab/>
        </w:r>
        <w:r w:rsidR="003A1792">
          <w:rPr>
            <w:webHidden/>
          </w:rPr>
          <w:fldChar w:fldCharType="begin"/>
        </w:r>
        <w:r w:rsidR="003A1792">
          <w:rPr>
            <w:webHidden/>
          </w:rPr>
          <w:instrText xml:space="preserve"> PAGEREF _Toc16764017 \h </w:instrText>
        </w:r>
        <w:r w:rsidR="003A1792">
          <w:rPr>
            <w:webHidden/>
          </w:rPr>
        </w:r>
        <w:r w:rsidR="003A1792">
          <w:rPr>
            <w:webHidden/>
          </w:rPr>
          <w:fldChar w:fldCharType="separate"/>
        </w:r>
        <w:r w:rsidR="00CB6D77">
          <w:rPr>
            <w:webHidden/>
          </w:rPr>
          <w:t>69</w:t>
        </w:r>
        <w:r w:rsidR="003A1792">
          <w:rPr>
            <w:webHidden/>
          </w:rPr>
          <w:fldChar w:fldCharType="end"/>
        </w:r>
      </w:hyperlink>
    </w:p>
    <w:p w14:paraId="3F94C114" w14:textId="1094A0BF" w:rsidR="003A1792" w:rsidRDefault="00833958">
      <w:pPr>
        <w:pStyle w:val="TOC2"/>
        <w:rPr>
          <w:rFonts w:asciiTheme="minorHAnsi" w:eastAsiaTheme="minorEastAsia" w:hAnsiTheme="minorHAnsi" w:cstheme="minorBidi"/>
          <w:b w:val="0"/>
          <w:szCs w:val="22"/>
          <w:lang w:eastAsia="zh-TW"/>
        </w:rPr>
      </w:pPr>
      <w:hyperlink w:anchor="_Toc16764018" w:history="1">
        <w:r w:rsidR="003A1792" w:rsidRPr="004055A2">
          <w:rPr>
            <w:rStyle w:val="Hyperlink"/>
            <w:rFonts w:eastAsiaTheme="majorEastAsia"/>
          </w:rPr>
          <w:t>Outcomes framework—reporting and evaluation</w:t>
        </w:r>
        <w:r w:rsidR="003A1792">
          <w:rPr>
            <w:webHidden/>
          </w:rPr>
          <w:tab/>
        </w:r>
        <w:r w:rsidR="003A1792">
          <w:rPr>
            <w:webHidden/>
          </w:rPr>
          <w:fldChar w:fldCharType="begin"/>
        </w:r>
        <w:r w:rsidR="003A1792">
          <w:rPr>
            <w:webHidden/>
          </w:rPr>
          <w:instrText xml:space="preserve"> PAGEREF _Toc16764018 \h </w:instrText>
        </w:r>
        <w:r w:rsidR="003A1792">
          <w:rPr>
            <w:webHidden/>
          </w:rPr>
        </w:r>
        <w:r w:rsidR="003A1792">
          <w:rPr>
            <w:webHidden/>
          </w:rPr>
          <w:fldChar w:fldCharType="separate"/>
        </w:r>
        <w:r w:rsidR="00CB6D77">
          <w:rPr>
            <w:webHidden/>
          </w:rPr>
          <w:t>79</w:t>
        </w:r>
        <w:r w:rsidR="003A1792">
          <w:rPr>
            <w:webHidden/>
          </w:rPr>
          <w:fldChar w:fldCharType="end"/>
        </w:r>
      </w:hyperlink>
    </w:p>
    <w:p w14:paraId="48BFE146" w14:textId="398A8154" w:rsidR="003A1792" w:rsidRDefault="00833958">
      <w:pPr>
        <w:pStyle w:val="TOC1"/>
        <w:tabs>
          <w:tab w:val="left" w:pos="1588"/>
        </w:tabs>
        <w:rPr>
          <w:rFonts w:asciiTheme="minorHAnsi" w:eastAsiaTheme="minorEastAsia" w:hAnsiTheme="minorHAnsi" w:cstheme="minorBidi"/>
          <w:b w:val="0"/>
          <w:smallCaps w:val="0"/>
          <w:spacing w:val="0"/>
          <w:sz w:val="22"/>
          <w:lang w:eastAsia="zh-TW"/>
        </w:rPr>
      </w:pPr>
      <w:hyperlink w:anchor="_Toc16764019" w:history="1">
        <w:r w:rsidR="003A1792" w:rsidRPr="004055A2">
          <w:rPr>
            <w:rStyle w:val="Hyperlink"/>
            <w:rFonts w:eastAsiaTheme="majorEastAsia"/>
          </w:rPr>
          <w:t>8</w:t>
        </w:r>
        <w:r w:rsidR="003A1792">
          <w:rPr>
            <w:rFonts w:asciiTheme="minorHAnsi" w:eastAsiaTheme="minorEastAsia" w:hAnsiTheme="minorHAnsi" w:cstheme="minorBidi"/>
            <w:b w:val="0"/>
            <w:smallCaps w:val="0"/>
            <w:spacing w:val="0"/>
            <w:sz w:val="22"/>
            <w:lang w:eastAsia="zh-TW"/>
          </w:rPr>
          <w:tab/>
        </w:r>
        <w:r w:rsidR="003A1792" w:rsidRPr="004055A2">
          <w:rPr>
            <w:rStyle w:val="Hyperlink"/>
            <w:rFonts w:eastAsiaTheme="majorEastAsia"/>
          </w:rPr>
          <w:t>Most effective current policy approaches and responses</w:t>
        </w:r>
        <w:r w:rsidR="003A1792">
          <w:rPr>
            <w:webHidden/>
          </w:rPr>
          <w:tab/>
        </w:r>
        <w:r w:rsidR="003A1792">
          <w:rPr>
            <w:webHidden/>
          </w:rPr>
          <w:fldChar w:fldCharType="begin"/>
        </w:r>
        <w:r w:rsidR="003A1792">
          <w:rPr>
            <w:webHidden/>
          </w:rPr>
          <w:instrText xml:space="preserve"> PAGEREF _Toc16764019 \h </w:instrText>
        </w:r>
        <w:r w:rsidR="003A1792">
          <w:rPr>
            <w:webHidden/>
          </w:rPr>
        </w:r>
        <w:r w:rsidR="003A1792">
          <w:rPr>
            <w:webHidden/>
          </w:rPr>
          <w:fldChar w:fldCharType="separate"/>
        </w:r>
        <w:r w:rsidR="00CB6D77">
          <w:rPr>
            <w:webHidden/>
          </w:rPr>
          <w:t>83</w:t>
        </w:r>
        <w:r w:rsidR="003A1792">
          <w:rPr>
            <w:webHidden/>
          </w:rPr>
          <w:fldChar w:fldCharType="end"/>
        </w:r>
      </w:hyperlink>
    </w:p>
    <w:p w14:paraId="04321F70" w14:textId="6898465B" w:rsidR="003A1792" w:rsidRDefault="00833958">
      <w:pPr>
        <w:pStyle w:val="TOC2"/>
        <w:rPr>
          <w:rFonts w:asciiTheme="minorHAnsi" w:eastAsiaTheme="minorEastAsia" w:hAnsiTheme="minorHAnsi" w:cstheme="minorBidi"/>
          <w:b w:val="0"/>
          <w:szCs w:val="22"/>
          <w:lang w:eastAsia="zh-TW"/>
        </w:rPr>
      </w:pPr>
      <w:hyperlink w:anchor="_Toc16764020" w:history="1">
        <w:r w:rsidR="003A1792" w:rsidRPr="004055A2">
          <w:rPr>
            <w:rStyle w:val="Hyperlink"/>
            <w:rFonts w:eastAsiaTheme="majorEastAsia"/>
          </w:rPr>
          <w:t>approaches and responses being undertaken nationally and in other jurisdictions</w:t>
        </w:r>
        <w:r w:rsidR="003A1792">
          <w:rPr>
            <w:webHidden/>
          </w:rPr>
          <w:tab/>
        </w:r>
        <w:r w:rsidR="003A1792">
          <w:rPr>
            <w:webHidden/>
          </w:rPr>
          <w:fldChar w:fldCharType="begin"/>
        </w:r>
        <w:r w:rsidR="003A1792">
          <w:rPr>
            <w:webHidden/>
          </w:rPr>
          <w:instrText xml:space="preserve"> PAGEREF _Toc16764020 \h </w:instrText>
        </w:r>
        <w:r w:rsidR="003A1792">
          <w:rPr>
            <w:webHidden/>
          </w:rPr>
        </w:r>
        <w:r w:rsidR="003A1792">
          <w:rPr>
            <w:webHidden/>
          </w:rPr>
          <w:fldChar w:fldCharType="separate"/>
        </w:r>
        <w:r w:rsidR="00CB6D77">
          <w:rPr>
            <w:webHidden/>
          </w:rPr>
          <w:t>83</w:t>
        </w:r>
        <w:r w:rsidR="003A1792">
          <w:rPr>
            <w:webHidden/>
          </w:rPr>
          <w:fldChar w:fldCharType="end"/>
        </w:r>
      </w:hyperlink>
    </w:p>
    <w:p w14:paraId="11ECB979" w14:textId="2C6CB1F0" w:rsidR="003A1792" w:rsidRDefault="00833958">
      <w:pPr>
        <w:pStyle w:val="TOC2"/>
        <w:rPr>
          <w:rFonts w:asciiTheme="minorHAnsi" w:eastAsiaTheme="minorEastAsia" w:hAnsiTheme="minorHAnsi" w:cstheme="minorBidi"/>
          <w:b w:val="0"/>
          <w:szCs w:val="22"/>
          <w:lang w:eastAsia="zh-TW"/>
        </w:rPr>
      </w:pPr>
      <w:hyperlink w:anchor="_Toc16764021" w:history="1">
        <w:r w:rsidR="003A1792" w:rsidRPr="004055A2">
          <w:rPr>
            <w:rStyle w:val="Hyperlink"/>
            <w:rFonts w:eastAsiaTheme="majorEastAsia"/>
          </w:rPr>
          <w:t>ACT initiatives</w:t>
        </w:r>
        <w:r w:rsidR="003A1792">
          <w:rPr>
            <w:webHidden/>
          </w:rPr>
          <w:tab/>
        </w:r>
        <w:r w:rsidR="003A1792">
          <w:rPr>
            <w:webHidden/>
          </w:rPr>
          <w:fldChar w:fldCharType="begin"/>
        </w:r>
        <w:r w:rsidR="003A1792">
          <w:rPr>
            <w:webHidden/>
          </w:rPr>
          <w:instrText xml:space="preserve"> PAGEREF _Toc16764021 \h </w:instrText>
        </w:r>
        <w:r w:rsidR="003A1792">
          <w:rPr>
            <w:webHidden/>
          </w:rPr>
        </w:r>
        <w:r w:rsidR="003A1792">
          <w:rPr>
            <w:webHidden/>
          </w:rPr>
          <w:fldChar w:fldCharType="separate"/>
        </w:r>
        <w:r w:rsidR="00CB6D77">
          <w:rPr>
            <w:webHidden/>
          </w:rPr>
          <w:t>85</w:t>
        </w:r>
        <w:r w:rsidR="003A1792">
          <w:rPr>
            <w:webHidden/>
          </w:rPr>
          <w:fldChar w:fldCharType="end"/>
        </w:r>
      </w:hyperlink>
    </w:p>
    <w:p w14:paraId="419409C2" w14:textId="66614BEA" w:rsidR="003A1792" w:rsidRDefault="00833958">
      <w:pPr>
        <w:pStyle w:val="TOC1"/>
        <w:tabs>
          <w:tab w:val="left" w:pos="1588"/>
        </w:tabs>
        <w:rPr>
          <w:rFonts w:asciiTheme="minorHAnsi" w:eastAsiaTheme="minorEastAsia" w:hAnsiTheme="minorHAnsi" w:cstheme="minorBidi"/>
          <w:b w:val="0"/>
          <w:smallCaps w:val="0"/>
          <w:spacing w:val="0"/>
          <w:sz w:val="22"/>
          <w:lang w:eastAsia="zh-TW"/>
        </w:rPr>
      </w:pPr>
      <w:hyperlink w:anchor="_Toc16764022" w:history="1">
        <w:r w:rsidR="003A1792" w:rsidRPr="004055A2">
          <w:rPr>
            <w:rStyle w:val="Hyperlink"/>
            <w:rFonts w:eastAsiaTheme="majorEastAsia"/>
          </w:rPr>
          <w:t>9</w:t>
        </w:r>
        <w:r w:rsidR="003A1792">
          <w:rPr>
            <w:rFonts w:asciiTheme="minorHAnsi" w:eastAsiaTheme="minorEastAsia" w:hAnsiTheme="minorHAnsi" w:cstheme="minorBidi"/>
            <w:b w:val="0"/>
            <w:smallCaps w:val="0"/>
            <w:spacing w:val="0"/>
            <w:sz w:val="22"/>
            <w:lang w:eastAsia="zh-TW"/>
          </w:rPr>
          <w:tab/>
        </w:r>
        <w:r w:rsidR="003A1792" w:rsidRPr="004055A2">
          <w:rPr>
            <w:rStyle w:val="Hyperlink"/>
            <w:rFonts w:eastAsiaTheme="majorEastAsia"/>
          </w:rPr>
          <w:t>Conclusion</w:t>
        </w:r>
        <w:r w:rsidR="003A1792">
          <w:rPr>
            <w:webHidden/>
          </w:rPr>
          <w:tab/>
        </w:r>
        <w:r w:rsidR="003A1792">
          <w:rPr>
            <w:webHidden/>
          </w:rPr>
          <w:fldChar w:fldCharType="begin"/>
        </w:r>
        <w:r w:rsidR="003A1792">
          <w:rPr>
            <w:webHidden/>
          </w:rPr>
          <w:instrText xml:space="preserve"> PAGEREF _Toc16764022 \h </w:instrText>
        </w:r>
        <w:r w:rsidR="003A1792">
          <w:rPr>
            <w:webHidden/>
          </w:rPr>
        </w:r>
        <w:r w:rsidR="003A1792">
          <w:rPr>
            <w:webHidden/>
          </w:rPr>
          <w:fldChar w:fldCharType="separate"/>
        </w:r>
        <w:r w:rsidR="00CB6D77">
          <w:rPr>
            <w:webHidden/>
          </w:rPr>
          <w:t>89</w:t>
        </w:r>
        <w:r w:rsidR="003A1792">
          <w:rPr>
            <w:webHidden/>
          </w:rPr>
          <w:fldChar w:fldCharType="end"/>
        </w:r>
      </w:hyperlink>
    </w:p>
    <w:p w14:paraId="67473728" w14:textId="49A31B7D" w:rsidR="003A1792" w:rsidRDefault="00833958">
      <w:pPr>
        <w:pStyle w:val="TOC1"/>
        <w:tabs>
          <w:tab w:val="left" w:pos="2329"/>
        </w:tabs>
        <w:rPr>
          <w:rFonts w:asciiTheme="minorHAnsi" w:eastAsiaTheme="minorEastAsia" w:hAnsiTheme="minorHAnsi" w:cstheme="minorBidi"/>
          <w:b w:val="0"/>
          <w:smallCaps w:val="0"/>
          <w:spacing w:val="0"/>
          <w:sz w:val="22"/>
          <w:lang w:eastAsia="zh-TW"/>
        </w:rPr>
      </w:pPr>
      <w:hyperlink w:anchor="_Toc16764023" w:history="1">
        <w:r w:rsidR="003A1792" w:rsidRPr="004055A2">
          <w:rPr>
            <w:rStyle w:val="Hyperlink"/>
            <w:rFonts w:eastAsiaTheme="majorEastAsia"/>
            <w14:scene3d>
              <w14:camera w14:prst="orthographicFront"/>
              <w14:lightRig w14:rig="threePt" w14:dir="t">
                <w14:rot w14:lat="0" w14:lon="0" w14:rev="0"/>
              </w14:lightRig>
            </w14:scene3d>
          </w:rPr>
          <w:t>Appendix A</w:t>
        </w:r>
        <w:r w:rsidR="003A1792">
          <w:rPr>
            <w:rFonts w:asciiTheme="minorHAnsi" w:eastAsiaTheme="minorEastAsia" w:hAnsiTheme="minorHAnsi" w:cstheme="minorBidi"/>
            <w:b w:val="0"/>
            <w:smallCaps w:val="0"/>
            <w:spacing w:val="0"/>
            <w:sz w:val="22"/>
            <w:lang w:eastAsia="zh-TW"/>
          </w:rPr>
          <w:tab/>
        </w:r>
        <w:r w:rsidR="003A1792" w:rsidRPr="004055A2">
          <w:rPr>
            <w:rStyle w:val="Hyperlink"/>
            <w:rFonts w:eastAsiaTheme="majorEastAsia"/>
          </w:rPr>
          <w:t>Interstate field visit—Melbourne, Victoria</w:t>
        </w:r>
        <w:r w:rsidR="003A1792">
          <w:rPr>
            <w:webHidden/>
          </w:rPr>
          <w:tab/>
        </w:r>
        <w:r w:rsidR="003A1792">
          <w:rPr>
            <w:webHidden/>
          </w:rPr>
          <w:fldChar w:fldCharType="begin"/>
        </w:r>
        <w:r w:rsidR="003A1792">
          <w:rPr>
            <w:webHidden/>
          </w:rPr>
          <w:instrText xml:space="preserve"> PAGEREF _Toc16764023 \h </w:instrText>
        </w:r>
        <w:r w:rsidR="003A1792">
          <w:rPr>
            <w:webHidden/>
          </w:rPr>
        </w:r>
        <w:r w:rsidR="003A1792">
          <w:rPr>
            <w:webHidden/>
          </w:rPr>
          <w:fldChar w:fldCharType="separate"/>
        </w:r>
        <w:r w:rsidR="00CB6D77">
          <w:rPr>
            <w:webHidden/>
          </w:rPr>
          <w:t>91</w:t>
        </w:r>
        <w:r w:rsidR="003A1792">
          <w:rPr>
            <w:webHidden/>
          </w:rPr>
          <w:fldChar w:fldCharType="end"/>
        </w:r>
      </w:hyperlink>
    </w:p>
    <w:p w14:paraId="321BF803" w14:textId="059BA936" w:rsidR="003A1792" w:rsidRDefault="00833958">
      <w:pPr>
        <w:pStyle w:val="TOC1"/>
        <w:tabs>
          <w:tab w:val="left" w:pos="2318"/>
        </w:tabs>
        <w:rPr>
          <w:rFonts w:asciiTheme="minorHAnsi" w:eastAsiaTheme="minorEastAsia" w:hAnsiTheme="minorHAnsi" w:cstheme="minorBidi"/>
          <w:b w:val="0"/>
          <w:smallCaps w:val="0"/>
          <w:spacing w:val="0"/>
          <w:sz w:val="22"/>
          <w:lang w:eastAsia="zh-TW"/>
        </w:rPr>
      </w:pPr>
      <w:hyperlink w:anchor="_Toc16764024" w:history="1">
        <w:r w:rsidR="003A1792" w:rsidRPr="004055A2">
          <w:rPr>
            <w:rStyle w:val="Hyperlink"/>
            <w:rFonts w:eastAsiaTheme="majorEastAsia"/>
            <w14:scene3d>
              <w14:camera w14:prst="orthographicFront"/>
              <w14:lightRig w14:rig="threePt" w14:dir="t">
                <w14:rot w14:lat="0" w14:lon="0" w14:rev="0"/>
              </w14:lightRig>
            </w14:scene3d>
          </w:rPr>
          <w:t>Appendix B</w:t>
        </w:r>
        <w:r w:rsidR="003A1792">
          <w:rPr>
            <w:rFonts w:asciiTheme="minorHAnsi" w:eastAsiaTheme="minorEastAsia" w:hAnsiTheme="minorHAnsi" w:cstheme="minorBidi"/>
            <w:b w:val="0"/>
            <w:smallCaps w:val="0"/>
            <w:spacing w:val="0"/>
            <w:sz w:val="22"/>
            <w:lang w:eastAsia="zh-TW"/>
          </w:rPr>
          <w:tab/>
        </w:r>
        <w:r w:rsidR="003A1792" w:rsidRPr="004055A2">
          <w:rPr>
            <w:rStyle w:val="Hyperlink"/>
            <w:rFonts w:eastAsiaTheme="majorEastAsia"/>
          </w:rPr>
          <w:t>List of written submissions</w:t>
        </w:r>
        <w:r w:rsidR="003A1792">
          <w:rPr>
            <w:webHidden/>
          </w:rPr>
          <w:tab/>
        </w:r>
        <w:r w:rsidR="003A1792">
          <w:rPr>
            <w:webHidden/>
          </w:rPr>
          <w:fldChar w:fldCharType="begin"/>
        </w:r>
        <w:r w:rsidR="003A1792">
          <w:rPr>
            <w:webHidden/>
          </w:rPr>
          <w:instrText xml:space="preserve"> PAGEREF _Toc16764024 \h </w:instrText>
        </w:r>
        <w:r w:rsidR="003A1792">
          <w:rPr>
            <w:webHidden/>
          </w:rPr>
        </w:r>
        <w:r w:rsidR="003A1792">
          <w:rPr>
            <w:webHidden/>
          </w:rPr>
          <w:fldChar w:fldCharType="separate"/>
        </w:r>
        <w:r w:rsidR="00CB6D77">
          <w:rPr>
            <w:webHidden/>
          </w:rPr>
          <w:t>93</w:t>
        </w:r>
        <w:r w:rsidR="003A1792">
          <w:rPr>
            <w:webHidden/>
          </w:rPr>
          <w:fldChar w:fldCharType="end"/>
        </w:r>
      </w:hyperlink>
    </w:p>
    <w:p w14:paraId="760655F1" w14:textId="72D96D96" w:rsidR="003A1792" w:rsidRDefault="00833958">
      <w:pPr>
        <w:pStyle w:val="TOC1"/>
        <w:tabs>
          <w:tab w:val="left" w:pos="2311"/>
        </w:tabs>
        <w:rPr>
          <w:rFonts w:asciiTheme="minorHAnsi" w:eastAsiaTheme="minorEastAsia" w:hAnsiTheme="minorHAnsi" w:cstheme="minorBidi"/>
          <w:b w:val="0"/>
          <w:smallCaps w:val="0"/>
          <w:spacing w:val="0"/>
          <w:sz w:val="22"/>
          <w:lang w:eastAsia="zh-TW"/>
        </w:rPr>
      </w:pPr>
      <w:hyperlink w:anchor="_Toc16764025" w:history="1">
        <w:r w:rsidR="003A1792" w:rsidRPr="004055A2">
          <w:rPr>
            <w:rStyle w:val="Hyperlink"/>
            <w:rFonts w:eastAsiaTheme="majorEastAsia"/>
            <w14:scene3d>
              <w14:camera w14:prst="orthographicFront"/>
              <w14:lightRig w14:rig="threePt" w14:dir="t">
                <w14:rot w14:lat="0" w14:lon="0" w14:rev="0"/>
              </w14:lightRig>
            </w14:scene3d>
          </w:rPr>
          <w:t>Appendix C</w:t>
        </w:r>
        <w:r w:rsidR="003A1792">
          <w:rPr>
            <w:rFonts w:asciiTheme="minorHAnsi" w:eastAsiaTheme="minorEastAsia" w:hAnsiTheme="minorHAnsi" w:cstheme="minorBidi"/>
            <w:b w:val="0"/>
            <w:smallCaps w:val="0"/>
            <w:spacing w:val="0"/>
            <w:sz w:val="22"/>
            <w:lang w:eastAsia="zh-TW"/>
          </w:rPr>
          <w:tab/>
        </w:r>
        <w:r w:rsidR="003A1792" w:rsidRPr="004055A2">
          <w:rPr>
            <w:rStyle w:val="Hyperlink"/>
            <w:rFonts w:eastAsiaTheme="majorEastAsia"/>
          </w:rPr>
          <w:t>Committee public hearings</w:t>
        </w:r>
        <w:r w:rsidR="003A1792">
          <w:rPr>
            <w:webHidden/>
          </w:rPr>
          <w:tab/>
        </w:r>
        <w:r w:rsidR="003A1792">
          <w:rPr>
            <w:webHidden/>
          </w:rPr>
          <w:fldChar w:fldCharType="begin"/>
        </w:r>
        <w:r w:rsidR="003A1792">
          <w:rPr>
            <w:webHidden/>
          </w:rPr>
          <w:instrText xml:space="preserve"> PAGEREF _Toc16764025 \h </w:instrText>
        </w:r>
        <w:r w:rsidR="003A1792">
          <w:rPr>
            <w:webHidden/>
          </w:rPr>
        </w:r>
        <w:r w:rsidR="003A1792">
          <w:rPr>
            <w:webHidden/>
          </w:rPr>
          <w:fldChar w:fldCharType="separate"/>
        </w:r>
        <w:r w:rsidR="00CB6D77">
          <w:rPr>
            <w:webHidden/>
          </w:rPr>
          <w:t>97</w:t>
        </w:r>
        <w:r w:rsidR="003A1792">
          <w:rPr>
            <w:webHidden/>
          </w:rPr>
          <w:fldChar w:fldCharType="end"/>
        </w:r>
      </w:hyperlink>
    </w:p>
    <w:p w14:paraId="0D52D9F8" w14:textId="710636C4" w:rsidR="00E61C26" w:rsidRDefault="00E61C26" w:rsidP="00E61C26">
      <w:pPr>
        <w:pStyle w:val="Prelimmajorheading"/>
        <w:keepNext w:val="0"/>
        <w:pageBreakBefore w:val="0"/>
        <w:rPr>
          <w:rFonts w:ascii="Arial" w:hAnsi="Arial" w:cs="Times New Roman"/>
          <w:bCs w:val="0"/>
          <w:spacing w:val="0"/>
          <w:kern w:val="0"/>
          <w:sz w:val="20"/>
          <w:szCs w:val="20"/>
        </w:rPr>
        <w:sectPr w:rsidR="00E61C26" w:rsidSect="000229E8">
          <w:headerReference w:type="even" r:id="rId14"/>
          <w:headerReference w:type="default" r:id="rId15"/>
          <w:footerReference w:type="even" r:id="rId16"/>
          <w:footerReference w:type="default" r:id="rId17"/>
          <w:headerReference w:type="first" r:id="rId18"/>
          <w:type w:val="oddPage"/>
          <w:pgSz w:w="11907" w:h="16840" w:code="9"/>
          <w:pgMar w:top="1588" w:right="1418" w:bottom="1418" w:left="1418" w:header="720" w:footer="851" w:gutter="0"/>
          <w:pgNumType w:fmt="lowerRoman" w:start="1"/>
          <w:cols w:space="720"/>
          <w:docGrid w:linePitch="360"/>
        </w:sectPr>
      </w:pPr>
      <w:r>
        <w:rPr>
          <w:rFonts w:ascii="Arial" w:hAnsi="Arial" w:cs="Times New Roman"/>
          <w:bCs w:val="0"/>
          <w:spacing w:val="0"/>
          <w:kern w:val="0"/>
          <w:sz w:val="20"/>
          <w:szCs w:val="20"/>
        </w:rPr>
        <w:fldChar w:fldCharType="end"/>
      </w:r>
    </w:p>
    <w:p w14:paraId="3E80A994" w14:textId="77777777" w:rsidR="00E61C26" w:rsidRDefault="00E61C26" w:rsidP="00E61C26">
      <w:pPr>
        <w:pStyle w:val="Prelimmajorheading"/>
        <w:keepNext w:val="0"/>
        <w:pageBreakBefore w:val="0"/>
        <w:spacing w:after="480"/>
      </w:pPr>
      <w:bookmarkStart w:id="32" w:name="_Toc341433424"/>
      <w:bookmarkStart w:id="33" w:name="_Toc341687869"/>
      <w:bookmarkStart w:id="34" w:name="_Toc16763986"/>
      <w:r>
        <w:lastRenderedPageBreak/>
        <w:t>Recommendations</w:t>
      </w:r>
      <w:bookmarkEnd w:id="32"/>
      <w:bookmarkEnd w:id="33"/>
      <w:bookmarkEnd w:id="34"/>
    </w:p>
    <w:p w14:paraId="31A67480" w14:textId="77777777" w:rsidR="0058160C" w:rsidRDefault="00E61C26">
      <w:pPr>
        <w:pStyle w:val="TOC1"/>
        <w:rPr>
          <w:rFonts w:asciiTheme="minorHAnsi" w:eastAsiaTheme="minorEastAsia" w:hAnsiTheme="minorHAnsi" w:cstheme="minorBidi"/>
          <w:b w:val="0"/>
          <w:smallCaps w:val="0"/>
          <w:spacing w:val="0"/>
          <w:sz w:val="22"/>
          <w:lang w:eastAsia="zh-TW"/>
        </w:rPr>
      </w:pPr>
      <w:r>
        <w:rPr>
          <w:b w:val="0"/>
          <w:bCs/>
        </w:rPr>
        <w:fldChar w:fldCharType="begin"/>
      </w:r>
      <w:r>
        <w:rPr>
          <w:b w:val="0"/>
          <w:bCs/>
        </w:rPr>
        <w:instrText xml:space="preserve"> TOC \n \p " " \h \z \t "Recommendation,1,Recommendation Text,2,Recommendation Bullet,3" </w:instrText>
      </w:r>
      <w:r>
        <w:rPr>
          <w:b w:val="0"/>
          <w:bCs/>
        </w:rPr>
        <w:fldChar w:fldCharType="separate"/>
      </w:r>
      <w:hyperlink w:anchor="_Toc17279433" w:history="1">
        <w:r w:rsidR="0058160C" w:rsidRPr="00086922">
          <w:rPr>
            <w:rStyle w:val="Hyperlink"/>
            <w:rFonts w:eastAsiaTheme="majorEastAsia"/>
          </w:rPr>
          <w:t>Recommendation 1</w:t>
        </w:r>
      </w:hyperlink>
    </w:p>
    <w:p w14:paraId="59D021D9" w14:textId="77777777" w:rsidR="0058160C" w:rsidRDefault="00833958">
      <w:pPr>
        <w:pStyle w:val="TOC2"/>
        <w:rPr>
          <w:rFonts w:asciiTheme="minorHAnsi" w:eastAsiaTheme="minorEastAsia" w:hAnsiTheme="minorHAnsi" w:cstheme="minorBidi"/>
          <w:b w:val="0"/>
          <w:szCs w:val="22"/>
          <w:lang w:eastAsia="zh-TW"/>
        </w:rPr>
      </w:pPr>
      <w:hyperlink w:anchor="_Toc17279434" w:history="1">
        <w:r w:rsidR="0058160C" w:rsidRPr="00086922">
          <w:rPr>
            <w:rStyle w:val="Hyperlink"/>
            <w:rFonts w:eastAsiaTheme="majorEastAsia"/>
          </w:rPr>
          <w:t>1.26</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that the current approach to addressing Domestic and Family Violence (DFV) in the ACT be the subject of an annual report to be presented as a special budget paper by the Minister to the Legislative Assembly with ACT Government’s annual Budget Papers.</w:t>
        </w:r>
      </w:hyperlink>
    </w:p>
    <w:p w14:paraId="20AF6963"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435" w:history="1">
        <w:r w:rsidR="0058160C" w:rsidRPr="00086922">
          <w:rPr>
            <w:rStyle w:val="Hyperlink"/>
            <w:rFonts w:eastAsiaTheme="majorEastAsia"/>
          </w:rPr>
          <w:t>Recommendation 2</w:t>
        </w:r>
      </w:hyperlink>
    </w:p>
    <w:p w14:paraId="046AAF7E" w14:textId="77777777" w:rsidR="0058160C" w:rsidRDefault="00833958">
      <w:pPr>
        <w:pStyle w:val="TOC2"/>
        <w:rPr>
          <w:rFonts w:asciiTheme="minorHAnsi" w:eastAsiaTheme="minorEastAsia" w:hAnsiTheme="minorHAnsi" w:cstheme="minorBidi"/>
          <w:b w:val="0"/>
          <w:szCs w:val="22"/>
          <w:lang w:eastAsia="zh-TW"/>
        </w:rPr>
      </w:pPr>
      <w:hyperlink w:anchor="_Toc17279436" w:history="1">
        <w:r w:rsidR="0058160C" w:rsidRPr="00086922">
          <w:rPr>
            <w:rStyle w:val="Hyperlink"/>
            <w:rFonts w:eastAsiaTheme="majorEastAsia"/>
          </w:rPr>
          <w:t>1.27</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that the Coordinator-General of Family safety prepare an annual report from that office for attachment to the annual report recommended in Recommendation 1, and that the two reports be presented to the Legislative Assembly.</w:t>
        </w:r>
      </w:hyperlink>
    </w:p>
    <w:p w14:paraId="0BDB34EA" w14:textId="77777777" w:rsidR="0058160C" w:rsidRDefault="00833958">
      <w:pPr>
        <w:pStyle w:val="TOC2"/>
        <w:rPr>
          <w:rFonts w:asciiTheme="minorHAnsi" w:eastAsiaTheme="minorEastAsia" w:hAnsiTheme="minorHAnsi" w:cstheme="minorBidi"/>
          <w:b w:val="0"/>
          <w:szCs w:val="22"/>
          <w:lang w:eastAsia="zh-TW"/>
        </w:rPr>
      </w:pPr>
      <w:hyperlink w:anchor="_Toc17279437" w:history="1">
        <w:r w:rsidR="0058160C" w:rsidRPr="00086922">
          <w:rPr>
            <w:rStyle w:val="Hyperlink"/>
            <w:rFonts w:eastAsiaTheme="majorEastAsia"/>
          </w:rPr>
          <w:t>1.28</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That these two reports be referred to the Justice and Community Safety Committee for a response to be tabled 3 months after the Minister’s Report is tabled annually.</w:t>
        </w:r>
      </w:hyperlink>
    </w:p>
    <w:p w14:paraId="7389BB10"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438" w:history="1">
        <w:r w:rsidR="0058160C" w:rsidRPr="00086922">
          <w:rPr>
            <w:rStyle w:val="Hyperlink"/>
            <w:rFonts w:eastAsiaTheme="majorEastAsia"/>
          </w:rPr>
          <w:t>Recommendation 3</w:t>
        </w:r>
      </w:hyperlink>
    </w:p>
    <w:p w14:paraId="05DA4EA6" w14:textId="77777777" w:rsidR="0058160C" w:rsidRDefault="00833958">
      <w:pPr>
        <w:pStyle w:val="TOC2"/>
        <w:rPr>
          <w:rFonts w:asciiTheme="minorHAnsi" w:eastAsiaTheme="minorEastAsia" w:hAnsiTheme="minorHAnsi" w:cstheme="minorBidi"/>
          <w:b w:val="0"/>
          <w:szCs w:val="22"/>
          <w:lang w:eastAsia="zh-TW"/>
        </w:rPr>
      </w:pPr>
      <w:hyperlink w:anchor="_Toc17279439" w:history="1">
        <w:r w:rsidR="0058160C" w:rsidRPr="00086922">
          <w:rPr>
            <w:rStyle w:val="Hyperlink"/>
            <w:rFonts w:eastAsiaTheme="majorEastAsia"/>
          </w:rPr>
          <w:t>5.35</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the use of language in the DFV context which allows for perpetrators of DFV to envisage change and to have a place of respect in society if they embrace change.</w:t>
        </w:r>
      </w:hyperlink>
    </w:p>
    <w:p w14:paraId="2307F745"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440" w:history="1">
        <w:r w:rsidR="0058160C" w:rsidRPr="00086922">
          <w:rPr>
            <w:rStyle w:val="Hyperlink"/>
            <w:rFonts w:eastAsiaTheme="majorEastAsia"/>
          </w:rPr>
          <w:t>Recommendation 4</w:t>
        </w:r>
      </w:hyperlink>
    </w:p>
    <w:p w14:paraId="03A5D80E" w14:textId="77777777" w:rsidR="0058160C" w:rsidRDefault="00833958">
      <w:pPr>
        <w:pStyle w:val="TOC2"/>
        <w:rPr>
          <w:rFonts w:asciiTheme="minorHAnsi" w:eastAsiaTheme="minorEastAsia" w:hAnsiTheme="minorHAnsi" w:cstheme="minorBidi"/>
          <w:b w:val="0"/>
          <w:szCs w:val="22"/>
          <w:lang w:eastAsia="zh-TW"/>
        </w:rPr>
      </w:pPr>
      <w:hyperlink w:anchor="_Toc17279441" w:history="1">
        <w:r w:rsidR="0058160C" w:rsidRPr="00086922">
          <w:rPr>
            <w:rStyle w:val="Hyperlink"/>
            <w:rFonts w:eastAsiaTheme="majorEastAsia"/>
          </w:rPr>
          <w:t>5.36</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the use of language in the DFV context which does not exclude any male victims of DFV.</w:t>
        </w:r>
      </w:hyperlink>
    </w:p>
    <w:p w14:paraId="0C5E373A"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442" w:history="1">
        <w:r w:rsidR="0058160C" w:rsidRPr="00086922">
          <w:rPr>
            <w:rStyle w:val="Hyperlink"/>
            <w:rFonts w:eastAsiaTheme="majorEastAsia"/>
          </w:rPr>
          <w:t>Recommendation 5</w:t>
        </w:r>
      </w:hyperlink>
    </w:p>
    <w:p w14:paraId="15797102" w14:textId="77777777" w:rsidR="0058160C" w:rsidRDefault="00833958">
      <w:pPr>
        <w:pStyle w:val="TOC2"/>
        <w:rPr>
          <w:rFonts w:asciiTheme="minorHAnsi" w:eastAsiaTheme="minorEastAsia" w:hAnsiTheme="minorHAnsi" w:cstheme="minorBidi"/>
          <w:b w:val="0"/>
          <w:szCs w:val="22"/>
          <w:lang w:eastAsia="zh-TW"/>
        </w:rPr>
      </w:pPr>
      <w:hyperlink w:anchor="_Toc17279443" w:history="1">
        <w:r w:rsidR="0058160C" w:rsidRPr="00086922">
          <w:rPr>
            <w:rStyle w:val="Hyperlink"/>
            <w:rFonts w:eastAsiaTheme="majorEastAsia"/>
          </w:rPr>
          <w:t>5.53</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that, in reflecting the need for community awareness and gender equality, several principles be adopted, namely that:</w:t>
        </w:r>
      </w:hyperlink>
    </w:p>
    <w:p w14:paraId="6EF11165" w14:textId="77777777" w:rsidR="0058160C" w:rsidRDefault="00833958">
      <w:pPr>
        <w:pStyle w:val="TOC2"/>
        <w:rPr>
          <w:rFonts w:asciiTheme="minorHAnsi" w:eastAsiaTheme="minorEastAsia" w:hAnsiTheme="minorHAnsi" w:cstheme="minorBidi"/>
          <w:b w:val="0"/>
          <w:szCs w:val="22"/>
          <w:lang w:eastAsia="zh-TW"/>
        </w:rPr>
      </w:pPr>
      <w:hyperlink w:anchor="_Toc17279444" w:history="1">
        <w:r w:rsidR="0058160C" w:rsidRPr="00086922">
          <w:rPr>
            <w:rStyle w:val="Hyperlink"/>
            <w:rFonts w:eastAsiaTheme="majorEastAsia"/>
          </w:rPr>
          <w:t>(i)</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In discussing the issues of DFV, language used acknowledges the majority of those presenting for assistance and support are women, and;</w:t>
        </w:r>
      </w:hyperlink>
    </w:p>
    <w:p w14:paraId="31354E52" w14:textId="77777777" w:rsidR="0058160C" w:rsidRDefault="00833958">
      <w:pPr>
        <w:pStyle w:val="TOC2"/>
        <w:rPr>
          <w:rFonts w:asciiTheme="minorHAnsi" w:eastAsiaTheme="minorEastAsia" w:hAnsiTheme="minorHAnsi" w:cstheme="minorBidi"/>
          <w:b w:val="0"/>
          <w:szCs w:val="22"/>
          <w:lang w:eastAsia="zh-TW"/>
        </w:rPr>
      </w:pPr>
      <w:hyperlink w:anchor="_Toc17279445" w:history="1">
        <w:r w:rsidR="0058160C" w:rsidRPr="00086922">
          <w:rPr>
            <w:rStyle w:val="Hyperlink"/>
            <w:rFonts w:eastAsiaTheme="majorEastAsia"/>
          </w:rPr>
          <w:t>(ii)</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due to both the importance of positive language in reinforcing the ability of many individuals to change and choose to improve themselves, but also because of the gendered nature of the current debate around violence in intimate relationships, that in all communication on this issue, language used be based on the highly motivating concepts of people becoming strong and good partners, fathers mothers and parents.</w:t>
        </w:r>
      </w:hyperlink>
    </w:p>
    <w:p w14:paraId="650A78BA"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446" w:history="1">
        <w:r w:rsidR="0058160C" w:rsidRPr="00086922">
          <w:rPr>
            <w:rStyle w:val="Hyperlink"/>
            <w:rFonts w:eastAsiaTheme="majorEastAsia"/>
          </w:rPr>
          <w:t>Recommendation 6</w:t>
        </w:r>
      </w:hyperlink>
    </w:p>
    <w:p w14:paraId="5DC668B6" w14:textId="77777777" w:rsidR="0058160C" w:rsidRDefault="00833958">
      <w:pPr>
        <w:pStyle w:val="TOC2"/>
        <w:rPr>
          <w:rFonts w:asciiTheme="minorHAnsi" w:eastAsiaTheme="minorEastAsia" w:hAnsiTheme="minorHAnsi" w:cstheme="minorBidi"/>
          <w:b w:val="0"/>
          <w:szCs w:val="22"/>
          <w:lang w:eastAsia="zh-TW"/>
        </w:rPr>
      </w:pPr>
      <w:hyperlink w:anchor="_Toc17279447" w:history="1">
        <w:r w:rsidR="0058160C" w:rsidRPr="00086922">
          <w:rPr>
            <w:rStyle w:val="Hyperlink"/>
            <w:rFonts w:eastAsiaTheme="majorEastAsia"/>
            <w:bCs/>
          </w:rPr>
          <w:t>5.60</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bCs/>
          </w:rPr>
          <w:t>The Committee recommends that current school-based programs aimed at educating young people on recognising and combatting DFV ensure that there is a focus on violence prevention, healthy conflict resolution and anger management.</w:t>
        </w:r>
      </w:hyperlink>
    </w:p>
    <w:p w14:paraId="1FABF299"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448" w:history="1">
        <w:r w:rsidR="0058160C" w:rsidRPr="00086922">
          <w:rPr>
            <w:rStyle w:val="Hyperlink"/>
            <w:rFonts w:eastAsiaTheme="majorEastAsia"/>
          </w:rPr>
          <w:t>Recommendation 7</w:t>
        </w:r>
      </w:hyperlink>
    </w:p>
    <w:p w14:paraId="2286A150" w14:textId="77777777" w:rsidR="0058160C" w:rsidRDefault="00833958">
      <w:pPr>
        <w:pStyle w:val="TOC2"/>
        <w:rPr>
          <w:rFonts w:asciiTheme="minorHAnsi" w:eastAsiaTheme="minorEastAsia" w:hAnsiTheme="minorHAnsi" w:cstheme="minorBidi"/>
          <w:b w:val="0"/>
          <w:szCs w:val="22"/>
          <w:lang w:eastAsia="zh-TW"/>
        </w:rPr>
      </w:pPr>
      <w:hyperlink w:anchor="_Toc17279449" w:history="1">
        <w:r w:rsidR="0058160C" w:rsidRPr="00086922">
          <w:rPr>
            <w:rStyle w:val="Hyperlink"/>
            <w:rFonts w:eastAsiaTheme="majorEastAsia"/>
            <w:bCs/>
          </w:rPr>
          <w:t>5.61</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bCs/>
          </w:rPr>
          <w:t>The Committee also recommends that each annual report for the Education Directorate provide detail on educational programs directed at prevention of DFV and an evaluation and assessment of the performance, outcomes and success of those programs for each reporting period of that report be included</w:t>
        </w:r>
      </w:hyperlink>
    </w:p>
    <w:p w14:paraId="21E749B7"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450" w:history="1">
        <w:r w:rsidR="0058160C" w:rsidRPr="00086922">
          <w:rPr>
            <w:rStyle w:val="Hyperlink"/>
            <w:rFonts w:eastAsiaTheme="majorEastAsia"/>
          </w:rPr>
          <w:t>Recommendation 8</w:t>
        </w:r>
      </w:hyperlink>
    </w:p>
    <w:p w14:paraId="4103A82E" w14:textId="77777777" w:rsidR="0058160C" w:rsidRDefault="00833958">
      <w:pPr>
        <w:pStyle w:val="TOC2"/>
        <w:rPr>
          <w:rFonts w:asciiTheme="minorHAnsi" w:eastAsiaTheme="minorEastAsia" w:hAnsiTheme="minorHAnsi" w:cstheme="minorBidi"/>
          <w:b w:val="0"/>
          <w:szCs w:val="22"/>
          <w:lang w:eastAsia="zh-TW"/>
        </w:rPr>
      </w:pPr>
      <w:hyperlink w:anchor="_Toc17279451" w:history="1">
        <w:r w:rsidR="0058160C" w:rsidRPr="00086922">
          <w:rPr>
            <w:rStyle w:val="Hyperlink"/>
            <w:rFonts w:eastAsiaTheme="majorEastAsia"/>
          </w:rPr>
          <w:t>5.64</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that an assessment be done of Housing ACT’s categorisation of clients as needing crisis action, and that there be an evaluation and report on whether the service is too slow or inaccurate.</w:t>
        </w:r>
      </w:hyperlink>
    </w:p>
    <w:p w14:paraId="4457B71D"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452" w:history="1">
        <w:r w:rsidR="0058160C" w:rsidRPr="00086922">
          <w:rPr>
            <w:rStyle w:val="Hyperlink"/>
            <w:rFonts w:eastAsiaTheme="majorEastAsia"/>
          </w:rPr>
          <w:t>Recommendation 9</w:t>
        </w:r>
      </w:hyperlink>
    </w:p>
    <w:p w14:paraId="7418BB88" w14:textId="77777777" w:rsidR="0058160C" w:rsidRDefault="00833958">
      <w:pPr>
        <w:pStyle w:val="TOC2"/>
        <w:rPr>
          <w:rFonts w:asciiTheme="minorHAnsi" w:eastAsiaTheme="minorEastAsia" w:hAnsiTheme="minorHAnsi" w:cstheme="minorBidi"/>
          <w:b w:val="0"/>
          <w:szCs w:val="22"/>
          <w:lang w:eastAsia="zh-TW"/>
        </w:rPr>
      </w:pPr>
      <w:hyperlink w:anchor="_Toc17279453" w:history="1">
        <w:r w:rsidR="0058160C" w:rsidRPr="00086922">
          <w:rPr>
            <w:rStyle w:val="Hyperlink"/>
            <w:rFonts w:eastAsiaTheme="majorEastAsia"/>
          </w:rPr>
          <w:t>5.65</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that the term ‘internally’ recognised by ACT Housing – ‘Housing First’ - be incorporated in all response mechanisms in order that a sense of permanency and security can be encouraged.</w:t>
        </w:r>
      </w:hyperlink>
    </w:p>
    <w:p w14:paraId="73DF551A"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454" w:history="1">
        <w:r w:rsidR="0058160C" w:rsidRPr="00086922">
          <w:rPr>
            <w:rStyle w:val="Hyperlink"/>
            <w:rFonts w:eastAsiaTheme="majorEastAsia"/>
          </w:rPr>
          <w:t>Recommendation 10</w:t>
        </w:r>
      </w:hyperlink>
    </w:p>
    <w:p w14:paraId="59D0BAA8" w14:textId="77777777" w:rsidR="0058160C" w:rsidRDefault="00833958">
      <w:pPr>
        <w:pStyle w:val="TOC2"/>
        <w:rPr>
          <w:rFonts w:asciiTheme="minorHAnsi" w:eastAsiaTheme="minorEastAsia" w:hAnsiTheme="minorHAnsi" w:cstheme="minorBidi"/>
          <w:b w:val="0"/>
          <w:szCs w:val="22"/>
          <w:lang w:eastAsia="zh-TW"/>
        </w:rPr>
      </w:pPr>
      <w:hyperlink w:anchor="_Toc17279455" w:history="1">
        <w:r w:rsidR="0058160C" w:rsidRPr="00086922">
          <w:rPr>
            <w:rStyle w:val="Hyperlink"/>
            <w:rFonts w:eastAsiaTheme="majorEastAsia"/>
          </w:rPr>
          <w:t>5.66</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that all assessments by ACT Housing of women requiring emergency housing include keeping families together, particularly when accessing overnight temporary care.</w:t>
        </w:r>
      </w:hyperlink>
    </w:p>
    <w:p w14:paraId="3795B4BF"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456" w:history="1">
        <w:r w:rsidR="0058160C" w:rsidRPr="00086922">
          <w:rPr>
            <w:rStyle w:val="Hyperlink"/>
            <w:rFonts w:eastAsiaTheme="majorEastAsia"/>
          </w:rPr>
          <w:t>Recommendation 11</w:t>
        </w:r>
      </w:hyperlink>
    </w:p>
    <w:p w14:paraId="0543C494" w14:textId="77777777" w:rsidR="0058160C" w:rsidRDefault="00833958">
      <w:pPr>
        <w:pStyle w:val="TOC2"/>
        <w:rPr>
          <w:rFonts w:asciiTheme="minorHAnsi" w:eastAsiaTheme="minorEastAsia" w:hAnsiTheme="minorHAnsi" w:cstheme="minorBidi"/>
          <w:b w:val="0"/>
          <w:szCs w:val="22"/>
          <w:lang w:eastAsia="zh-TW"/>
        </w:rPr>
      </w:pPr>
      <w:hyperlink w:anchor="_Toc17279457" w:history="1">
        <w:r w:rsidR="0058160C" w:rsidRPr="00086922">
          <w:rPr>
            <w:rStyle w:val="Hyperlink"/>
            <w:rFonts w:eastAsiaTheme="majorEastAsia"/>
          </w:rPr>
          <w:t>5.67</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that the speed of categorising people as in “crisis” or highest priority be improved, to adhere to the best practice guidelines from the Ministerial Review Council.</w:t>
        </w:r>
      </w:hyperlink>
    </w:p>
    <w:p w14:paraId="13D9164B"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458" w:history="1">
        <w:r w:rsidR="0058160C" w:rsidRPr="00086922">
          <w:rPr>
            <w:rStyle w:val="Hyperlink"/>
            <w:rFonts w:eastAsiaTheme="majorEastAsia"/>
          </w:rPr>
          <w:t>Recommendation 12</w:t>
        </w:r>
      </w:hyperlink>
    </w:p>
    <w:p w14:paraId="0A38FB63" w14:textId="77777777" w:rsidR="0058160C" w:rsidRDefault="00833958">
      <w:pPr>
        <w:pStyle w:val="TOC2"/>
        <w:rPr>
          <w:rFonts w:asciiTheme="minorHAnsi" w:eastAsiaTheme="minorEastAsia" w:hAnsiTheme="minorHAnsi" w:cstheme="minorBidi"/>
          <w:b w:val="0"/>
          <w:szCs w:val="22"/>
          <w:lang w:eastAsia="zh-TW"/>
        </w:rPr>
      </w:pPr>
      <w:hyperlink w:anchor="_Toc17279459" w:history="1">
        <w:r w:rsidR="0058160C" w:rsidRPr="00086922">
          <w:rPr>
            <w:rStyle w:val="Hyperlink"/>
            <w:rFonts w:eastAsiaTheme="majorEastAsia"/>
          </w:rPr>
          <w:t>5.68</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ACT Government work with the RSPCA or similar body to develop a volunteer fostering system to allow for people with pets fleeing DFV.</w:t>
        </w:r>
      </w:hyperlink>
    </w:p>
    <w:p w14:paraId="4710CB06"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460" w:history="1">
        <w:r w:rsidR="0058160C" w:rsidRPr="00086922">
          <w:rPr>
            <w:rStyle w:val="Hyperlink"/>
            <w:rFonts w:eastAsiaTheme="majorEastAsia"/>
          </w:rPr>
          <w:t>Recommendation 13</w:t>
        </w:r>
      </w:hyperlink>
    </w:p>
    <w:p w14:paraId="6A4978A6" w14:textId="24F92EF3" w:rsidR="00925807" w:rsidRDefault="00833958">
      <w:pPr>
        <w:pStyle w:val="TOC2"/>
        <w:rPr>
          <w:rStyle w:val="Hyperlink"/>
          <w:rFonts w:eastAsiaTheme="majorEastAsia"/>
        </w:rPr>
      </w:pPr>
      <w:hyperlink w:anchor="_Toc17279461" w:history="1">
        <w:r w:rsidR="0058160C" w:rsidRPr="00086922">
          <w:rPr>
            <w:rStyle w:val="Hyperlink"/>
            <w:rFonts w:eastAsiaTheme="majorEastAsia"/>
          </w:rPr>
          <w:t>5.69</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that that systems within ACT Housing be adopted to allow for DFV victims to be able to stay in their home while the perpetrator is re-housed.</w:t>
        </w:r>
      </w:hyperlink>
    </w:p>
    <w:p w14:paraId="068ADBC6" w14:textId="77777777" w:rsidR="00925807" w:rsidRDefault="00925807">
      <w:pPr>
        <w:spacing w:after="160" w:line="259" w:lineRule="auto"/>
        <w:rPr>
          <w:rStyle w:val="Hyperlink"/>
          <w:rFonts w:eastAsiaTheme="majorEastAsia" w:cs="Calibri"/>
          <w:b/>
          <w:noProof/>
        </w:rPr>
      </w:pPr>
      <w:r>
        <w:rPr>
          <w:rStyle w:val="Hyperlink"/>
          <w:rFonts w:eastAsiaTheme="majorEastAsia"/>
        </w:rPr>
        <w:br w:type="page"/>
      </w:r>
    </w:p>
    <w:p w14:paraId="1FA65F7C"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462" w:history="1">
        <w:r w:rsidR="0058160C" w:rsidRPr="00086922">
          <w:rPr>
            <w:rStyle w:val="Hyperlink"/>
            <w:rFonts w:eastAsiaTheme="majorEastAsia"/>
          </w:rPr>
          <w:t>Recommendation 14</w:t>
        </w:r>
      </w:hyperlink>
    </w:p>
    <w:p w14:paraId="4CA9D018" w14:textId="77777777" w:rsidR="0058160C" w:rsidRDefault="00833958">
      <w:pPr>
        <w:pStyle w:val="TOC2"/>
        <w:rPr>
          <w:rFonts w:asciiTheme="minorHAnsi" w:eastAsiaTheme="minorEastAsia" w:hAnsiTheme="minorHAnsi" w:cstheme="minorBidi"/>
          <w:b w:val="0"/>
          <w:szCs w:val="22"/>
          <w:lang w:eastAsia="zh-TW"/>
        </w:rPr>
      </w:pPr>
      <w:hyperlink w:anchor="_Toc17279463" w:history="1">
        <w:r w:rsidR="0058160C" w:rsidRPr="00086922">
          <w:rPr>
            <w:rStyle w:val="Hyperlink"/>
            <w:rFonts w:eastAsiaTheme="majorEastAsia"/>
          </w:rPr>
          <w:t>5.70</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that ACT Housing investigate:</w:t>
        </w:r>
      </w:hyperlink>
    </w:p>
    <w:p w14:paraId="29A0FD77" w14:textId="77777777" w:rsidR="0058160C" w:rsidRDefault="00833958">
      <w:pPr>
        <w:pStyle w:val="TOC2"/>
        <w:rPr>
          <w:rFonts w:asciiTheme="minorHAnsi" w:eastAsiaTheme="minorEastAsia" w:hAnsiTheme="minorHAnsi" w:cstheme="minorBidi"/>
          <w:b w:val="0"/>
          <w:szCs w:val="22"/>
          <w:lang w:eastAsia="zh-TW"/>
        </w:rPr>
      </w:pPr>
      <w:hyperlink w:anchor="_Toc17279464" w:history="1">
        <w:r w:rsidR="0058160C" w:rsidRPr="00086922">
          <w:rPr>
            <w:rStyle w:val="Hyperlink"/>
            <w:rFonts w:eastAsiaTheme="majorEastAsia"/>
          </w:rPr>
          <w:t>(i)</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How to support victims of DFV living in public housing, who flee properties to avoid rental arrears;</w:t>
        </w:r>
      </w:hyperlink>
    </w:p>
    <w:p w14:paraId="2028826B" w14:textId="77777777" w:rsidR="0058160C" w:rsidRDefault="00833958">
      <w:pPr>
        <w:pStyle w:val="TOC2"/>
        <w:rPr>
          <w:rFonts w:asciiTheme="minorHAnsi" w:eastAsiaTheme="minorEastAsia" w:hAnsiTheme="minorHAnsi" w:cstheme="minorBidi"/>
          <w:b w:val="0"/>
          <w:szCs w:val="22"/>
          <w:lang w:eastAsia="zh-TW"/>
        </w:rPr>
      </w:pPr>
      <w:hyperlink w:anchor="_Toc17279465" w:history="1">
        <w:r w:rsidR="0058160C" w:rsidRPr="00086922">
          <w:rPr>
            <w:rStyle w:val="Hyperlink"/>
            <w:rFonts w:eastAsiaTheme="majorEastAsia"/>
          </w:rPr>
          <w:t>(ii)</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implementation of a rebate/program to assist victims of DFV who need additional security at their place of residence and how reimbursement can be made.</w:t>
        </w:r>
      </w:hyperlink>
    </w:p>
    <w:p w14:paraId="4D200196"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466" w:history="1">
        <w:r w:rsidR="0058160C" w:rsidRPr="00086922">
          <w:rPr>
            <w:rStyle w:val="Hyperlink"/>
            <w:rFonts w:eastAsiaTheme="majorEastAsia"/>
          </w:rPr>
          <w:t>Recommendation 15</w:t>
        </w:r>
      </w:hyperlink>
    </w:p>
    <w:p w14:paraId="5FE9B29A" w14:textId="77777777" w:rsidR="0058160C" w:rsidRDefault="00833958">
      <w:pPr>
        <w:pStyle w:val="TOC2"/>
        <w:rPr>
          <w:rFonts w:asciiTheme="minorHAnsi" w:eastAsiaTheme="minorEastAsia" w:hAnsiTheme="minorHAnsi" w:cstheme="minorBidi"/>
          <w:b w:val="0"/>
          <w:szCs w:val="22"/>
          <w:lang w:eastAsia="zh-TW"/>
        </w:rPr>
      </w:pPr>
      <w:hyperlink w:anchor="_Toc17279467" w:history="1">
        <w:r w:rsidR="0058160C" w:rsidRPr="00086922">
          <w:rPr>
            <w:rStyle w:val="Hyperlink"/>
            <w:rFonts w:eastAsiaTheme="majorEastAsia"/>
          </w:rPr>
          <w:t>5.71</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that a review of services to enable contact between parents and children in relation to DFV be reviewed to ensure contact is not lost due to a lack of funded supervised visits, but safety is adhered to.</w:t>
        </w:r>
      </w:hyperlink>
    </w:p>
    <w:p w14:paraId="2375B95B"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468" w:history="1">
        <w:r w:rsidR="0058160C" w:rsidRPr="00086922">
          <w:rPr>
            <w:rStyle w:val="Hyperlink"/>
            <w:rFonts w:eastAsiaTheme="majorEastAsia"/>
          </w:rPr>
          <w:t>Recommendation 16</w:t>
        </w:r>
      </w:hyperlink>
    </w:p>
    <w:p w14:paraId="765491C0" w14:textId="77777777" w:rsidR="0058160C" w:rsidRDefault="00833958">
      <w:pPr>
        <w:pStyle w:val="TOC2"/>
        <w:rPr>
          <w:rFonts w:asciiTheme="minorHAnsi" w:eastAsiaTheme="minorEastAsia" w:hAnsiTheme="minorHAnsi" w:cstheme="minorBidi"/>
          <w:b w:val="0"/>
          <w:szCs w:val="22"/>
          <w:lang w:eastAsia="zh-TW"/>
        </w:rPr>
      </w:pPr>
      <w:hyperlink w:anchor="_Toc17279469" w:history="1">
        <w:r w:rsidR="0058160C" w:rsidRPr="00086922">
          <w:rPr>
            <w:rStyle w:val="Hyperlink"/>
            <w:rFonts w:eastAsiaTheme="majorEastAsia"/>
          </w:rPr>
          <w:t>5.72</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that an analysis be done as to how many people are using hotel, motel or other itinerant accommodation indefinitely because they are unable to access public housing and to use data collected from this analysis to inform housing options and availability for vulnerable Canberrans.</w:t>
        </w:r>
      </w:hyperlink>
    </w:p>
    <w:p w14:paraId="25686DB6"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470" w:history="1">
        <w:r w:rsidR="0058160C" w:rsidRPr="00086922">
          <w:rPr>
            <w:rStyle w:val="Hyperlink"/>
            <w:rFonts w:eastAsiaTheme="majorEastAsia"/>
          </w:rPr>
          <w:t>Recommendation 17</w:t>
        </w:r>
      </w:hyperlink>
    </w:p>
    <w:p w14:paraId="32459571" w14:textId="77777777" w:rsidR="0058160C" w:rsidRDefault="00833958">
      <w:pPr>
        <w:pStyle w:val="TOC2"/>
        <w:rPr>
          <w:rFonts w:asciiTheme="minorHAnsi" w:eastAsiaTheme="minorEastAsia" w:hAnsiTheme="minorHAnsi" w:cstheme="minorBidi"/>
          <w:b w:val="0"/>
          <w:szCs w:val="22"/>
          <w:lang w:eastAsia="zh-TW"/>
        </w:rPr>
      </w:pPr>
      <w:hyperlink w:anchor="_Toc17279471" w:history="1">
        <w:r w:rsidR="0058160C" w:rsidRPr="00086922">
          <w:rPr>
            <w:rStyle w:val="Hyperlink"/>
            <w:rFonts w:eastAsiaTheme="majorEastAsia"/>
          </w:rPr>
          <w:t>5.81</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that funding of programs to support young male family violence offenders—12 to 19 years—including establishment of anger management and practical plans for development of the individual.</w:t>
        </w:r>
      </w:hyperlink>
    </w:p>
    <w:p w14:paraId="3282DDFA"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472" w:history="1">
        <w:r w:rsidR="0058160C" w:rsidRPr="00086922">
          <w:rPr>
            <w:rStyle w:val="Hyperlink"/>
            <w:rFonts w:eastAsiaTheme="majorEastAsia"/>
          </w:rPr>
          <w:t>Recommendation 18</w:t>
        </w:r>
      </w:hyperlink>
    </w:p>
    <w:p w14:paraId="618A9610" w14:textId="77777777" w:rsidR="0058160C" w:rsidRDefault="00833958">
      <w:pPr>
        <w:pStyle w:val="TOC2"/>
        <w:rPr>
          <w:rFonts w:asciiTheme="minorHAnsi" w:eastAsiaTheme="minorEastAsia" w:hAnsiTheme="minorHAnsi" w:cstheme="minorBidi"/>
          <w:b w:val="0"/>
          <w:szCs w:val="22"/>
          <w:lang w:eastAsia="zh-TW"/>
        </w:rPr>
      </w:pPr>
      <w:hyperlink w:anchor="_Toc17279473" w:history="1">
        <w:r w:rsidR="0058160C" w:rsidRPr="00086922">
          <w:rPr>
            <w:rStyle w:val="Hyperlink"/>
            <w:rFonts w:eastAsiaTheme="majorEastAsia"/>
          </w:rPr>
          <w:t>5.82</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that ACT Government investigate how to introduce programs such as the ‘silence is deadly program’ or the “anger jumpstart” program as a support for victims and as a skills development and prevention tool for young people.</w:t>
        </w:r>
      </w:hyperlink>
    </w:p>
    <w:p w14:paraId="1CABC047"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474" w:history="1">
        <w:r w:rsidR="0058160C" w:rsidRPr="00086922">
          <w:rPr>
            <w:rStyle w:val="Hyperlink"/>
            <w:rFonts w:eastAsiaTheme="majorEastAsia"/>
          </w:rPr>
          <w:t>Recommendation 19</w:t>
        </w:r>
      </w:hyperlink>
    </w:p>
    <w:p w14:paraId="03FC1CD1" w14:textId="77777777" w:rsidR="0058160C" w:rsidRDefault="00833958">
      <w:pPr>
        <w:pStyle w:val="TOC2"/>
        <w:rPr>
          <w:rFonts w:asciiTheme="minorHAnsi" w:eastAsiaTheme="minorEastAsia" w:hAnsiTheme="minorHAnsi" w:cstheme="minorBidi"/>
          <w:b w:val="0"/>
          <w:szCs w:val="22"/>
          <w:lang w:eastAsia="zh-TW"/>
        </w:rPr>
      </w:pPr>
      <w:hyperlink w:anchor="_Toc17279475" w:history="1">
        <w:r w:rsidR="0058160C" w:rsidRPr="00086922">
          <w:rPr>
            <w:rStyle w:val="Hyperlink"/>
            <w:rFonts w:eastAsiaTheme="majorEastAsia"/>
          </w:rPr>
          <w:t>5.83</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that more funding should be provided for Menslink to improve access to a youth cohort who, because of their youth, can learn and adapt more successfully to new and positive modes of behaviour.</w:t>
        </w:r>
      </w:hyperlink>
    </w:p>
    <w:p w14:paraId="79EA3A2A"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476" w:history="1">
        <w:r w:rsidR="0058160C" w:rsidRPr="00086922">
          <w:rPr>
            <w:rStyle w:val="Hyperlink"/>
            <w:rFonts w:eastAsiaTheme="majorEastAsia"/>
          </w:rPr>
          <w:t>Recommendation 20</w:t>
        </w:r>
      </w:hyperlink>
    </w:p>
    <w:p w14:paraId="29C65EF6" w14:textId="77777777" w:rsidR="0058160C" w:rsidRDefault="00833958">
      <w:pPr>
        <w:pStyle w:val="TOC2"/>
        <w:rPr>
          <w:rFonts w:asciiTheme="minorHAnsi" w:eastAsiaTheme="minorEastAsia" w:hAnsiTheme="minorHAnsi" w:cstheme="minorBidi"/>
          <w:b w:val="0"/>
          <w:szCs w:val="22"/>
          <w:lang w:eastAsia="zh-TW"/>
        </w:rPr>
      </w:pPr>
      <w:hyperlink w:anchor="_Toc17279477" w:history="1">
        <w:r w:rsidR="0058160C" w:rsidRPr="00086922">
          <w:rPr>
            <w:rStyle w:val="Hyperlink"/>
            <w:rFonts w:eastAsiaTheme="majorEastAsia"/>
          </w:rPr>
          <w:t>5.93</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that programs and responses involving children not only include counselling but other appropriate services, for example socialisation or exercise activities which can assist children in broader self-development.</w:t>
        </w:r>
      </w:hyperlink>
    </w:p>
    <w:p w14:paraId="3A35C707"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478" w:history="1">
        <w:r w:rsidR="0058160C" w:rsidRPr="00086922">
          <w:rPr>
            <w:rStyle w:val="Hyperlink"/>
            <w:rFonts w:eastAsiaTheme="majorEastAsia"/>
          </w:rPr>
          <w:t>Recommendation 21</w:t>
        </w:r>
      </w:hyperlink>
    </w:p>
    <w:p w14:paraId="3C213235" w14:textId="77777777" w:rsidR="0058160C" w:rsidRDefault="00833958">
      <w:pPr>
        <w:pStyle w:val="TOC2"/>
        <w:rPr>
          <w:rFonts w:asciiTheme="minorHAnsi" w:eastAsiaTheme="minorEastAsia" w:hAnsiTheme="minorHAnsi" w:cstheme="minorBidi"/>
          <w:b w:val="0"/>
          <w:szCs w:val="22"/>
          <w:lang w:eastAsia="zh-TW"/>
        </w:rPr>
      </w:pPr>
      <w:hyperlink w:anchor="_Toc17279479" w:history="1">
        <w:r w:rsidR="0058160C" w:rsidRPr="00086922">
          <w:rPr>
            <w:rStyle w:val="Hyperlink"/>
            <w:rFonts w:eastAsiaTheme="majorEastAsia"/>
          </w:rPr>
          <w:t>5.94</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that, as part of ACT Government’s restorative justice work, initiated with young perpetrators, further options be promoted and included in responses including mediation for young perpetrators to enable skills development for positive change.</w:t>
        </w:r>
      </w:hyperlink>
    </w:p>
    <w:p w14:paraId="608FECD9"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480" w:history="1">
        <w:r w:rsidR="0058160C" w:rsidRPr="00086922">
          <w:rPr>
            <w:rStyle w:val="Hyperlink"/>
            <w:rFonts w:eastAsiaTheme="majorEastAsia"/>
          </w:rPr>
          <w:t>Recommendation 22</w:t>
        </w:r>
      </w:hyperlink>
    </w:p>
    <w:p w14:paraId="0C7E399F" w14:textId="77777777" w:rsidR="0058160C" w:rsidRDefault="00833958">
      <w:pPr>
        <w:pStyle w:val="TOC2"/>
        <w:rPr>
          <w:rFonts w:asciiTheme="minorHAnsi" w:eastAsiaTheme="minorEastAsia" w:hAnsiTheme="minorHAnsi" w:cstheme="minorBidi"/>
          <w:b w:val="0"/>
          <w:szCs w:val="22"/>
          <w:lang w:eastAsia="zh-TW"/>
        </w:rPr>
      </w:pPr>
      <w:hyperlink w:anchor="_Toc17279481" w:history="1">
        <w:r w:rsidR="0058160C" w:rsidRPr="00086922">
          <w:rPr>
            <w:rStyle w:val="Hyperlink"/>
            <w:rFonts w:eastAsiaTheme="majorEastAsia"/>
          </w:rPr>
          <w:t>5.95</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that ACT Government look at the New Zealand Restorative Justice model for restoring relationships especially for perpetrators.</w:t>
        </w:r>
      </w:hyperlink>
    </w:p>
    <w:p w14:paraId="617534BE"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482" w:history="1">
        <w:r w:rsidR="0058160C" w:rsidRPr="00086922">
          <w:rPr>
            <w:rStyle w:val="Hyperlink"/>
            <w:rFonts w:eastAsiaTheme="majorEastAsia"/>
          </w:rPr>
          <w:t>Recommendation 23</w:t>
        </w:r>
      </w:hyperlink>
    </w:p>
    <w:p w14:paraId="68754EC3" w14:textId="77777777" w:rsidR="0058160C" w:rsidRDefault="00833958">
      <w:pPr>
        <w:pStyle w:val="TOC2"/>
        <w:rPr>
          <w:rFonts w:asciiTheme="minorHAnsi" w:eastAsiaTheme="minorEastAsia" w:hAnsiTheme="minorHAnsi" w:cstheme="minorBidi"/>
          <w:b w:val="0"/>
          <w:szCs w:val="22"/>
          <w:lang w:eastAsia="zh-TW"/>
        </w:rPr>
      </w:pPr>
      <w:hyperlink w:anchor="_Toc17279483" w:history="1">
        <w:r w:rsidR="0058160C" w:rsidRPr="00086922">
          <w:rPr>
            <w:rStyle w:val="Hyperlink"/>
            <w:rFonts w:eastAsiaTheme="majorEastAsia"/>
          </w:rPr>
          <w:t>5.96</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that that in all work with perpetrators, those who do change or take up opportunities to change through our systems are encouraged so that hope is retained for those interested in bettering their approach and effecting changing behaviour in themselves.</w:t>
        </w:r>
      </w:hyperlink>
    </w:p>
    <w:p w14:paraId="775B84B3"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484" w:history="1">
        <w:r w:rsidR="0058160C" w:rsidRPr="00086922">
          <w:rPr>
            <w:rStyle w:val="Hyperlink"/>
            <w:rFonts w:eastAsiaTheme="majorEastAsia"/>
          </w:rPr>
          <w:t>Recommendation 24</w:t>
        </w:r>
      </w:hyperlink>
    </w:p>
    <w:p w14:paraId="0CFEBC85" w14:textId="77777777" w:rsidR="0058160C" w:rsidRDefault="00833958">
      <w:pPr>
        <w:pStyle w:val="TOC2"/>
        <w:rPr>
          <w:rFonts w:asciiTheme="minorHAnsi" w:eastAsiaTheme="minorEastAsia" w:hAnsiTheme="minorHAnsi" w:cstheme="minorBidi"/>
          <w:b w:val="0"/>
          <w:szCs w:val="22"/>
          <w:lang w:eastAsia="zh-TW"/>
        </w:rPr>
      </w:pPr>
      <w:hyperlink w:anchor="_Toc17279485" w:history="1">
        <w:r w:rsidR="0058160C" w:rsidRPr="00086922">
          <w:rPr>
            <w:rStyle w:val="Hyperlink"/>
            <w:rFonts w:eastAsiaTheme="majorEastAsia"/>
          </w:rPr>
          <w:t>5.97</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that personalised care plans be developed across the sector and that the same level of holistic service to be offered to all seeking assistance whether victims or perpetrators.</w:t>
        </w:r>
      </w:hyperlink>
    </w:p>
    <w:p w14:paraId="2392E69A"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486" w:history="1">
        <w:r w:rsidR="0058160C" w:rsidRPr="00086922">
          <w:rPr>
            <w:rStyle w:val="Hyperlink"/>
            <w:rFonts w:eastAsiaTheme="majorEastAsia"/>
          </w:rPr>
          <w:t>Recommendation 25</w:t>
        </w:r>
      </w:hyperlink>
    </w:p>
    <w:p w14:paraId="55A562D5" w14:textId="77777777" w:rsidR="0058160C" w:rsidRDefault="00833958">
      <w:pPr>
        <w:pStyle w:val="TOC2"/>
        <w:rPr>
          <w:rFonts w:asciiTheme="minorHAnsi" w:eastAsiaTheme="minorEastAsia" w:hAnsiTheme="minorHAnsi" w:cstheme="minorBidi"/>
          <w:b w:val="0"/>
          <w:szCs w:val="22"/>
          <w:lang w:eastAsia="zh-TW"/>
        </w:rPr>
      </w:pPr>
      <w:hyperlink w:anchor="_Toc17279487" w:history="1">
        <w:r w:rsidR="0058160C" w:rsidRPr="00086922">
          <w:rPr>
            <w:rStyle w:val="Hyperlink"/>
            <w:rFonts w:eastAsiaTheme="majorEastAsia"/>
          </w:rPr>
          <w:t>5.98</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that ACT Government acknowledge the intensive assistance needed for the long term to keep victims linked in with available services.</w:t>
        </w:r>
      </w:hyperlink>
    </w:p>
    <w:p w14:paraId="44CD6AC2"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488" w:history="1">
        <w:r w:rsidR="0058160C" w:rsidRPr="00086922">
          <w:rPr>
            <w:rStyle w:val="Hyperlink"/>
            <w:rFonts w:eastAsiaTheme="majorEastAsia"/>
          </w:rPr>
          <w:t>Recommendation 26</w:t>
        </w:r>
      </w:hyperlink>
    </w:p>
    <w:p w14:paraId="1785651A" w14:textId="77777777" w:rsidR="0058160C" w:rsidRDefault="00833958">
      <w:pPr>
        <w:pStyle w:val="TOC2"/>
        <w:rPr>
          <w:rFonts w:asciiTheme="minorHAnsi" w:eastAsiaTheme="minorEastAsia" w:hAnsiTheme="minorHAnsi" w:cstheme="minorBidi"/>
          <w:b w:val="0"/>
          <w:szCs w:val="22"/>
          <w:lang w:eastAsia="zh-TW"/>
        </w:rPr>
      </w:pPr>
      <w:hyperlink w:anchor="_Toc17279489" w:history="1">
        <w:r w:rsidR="0058160C" w:rsidRPr="00086922">
          <w:rPr>
            <w:rStyle w:val="Hyperlink"/>
            <w:rFonts w:eastAsiaTheme="majorEastAsia"/>
          </w:rPr>
          <w:t>5.99</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and acknowledges that better coordination and education required in identifying DFV issues in patients who present in the medical setting including information on where they should go.</w:t>
        </w:r>
      </w:hyperlink>
    </w:p>
    <w:p w14:paraId="73845B00"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490" w:history="1">
        <w:r w:rsidR="0058160C" w:rsidRPr="00086922">
          <w:rPr>
            <w:rStyle w:val="Hyperlink"/>
            <w:rFonts w:eastAsiaTheme="majorEastAsia"/>
          </w:rPr>
          <w:t>Recommendation 27</w:t>
        </w:r>
      </w:hyperlink>
    </w:p>
    <w:p w14:paraId="41CDF825" w14:textId="6A2C7BA0" w:rsidR="00925807" w:rsidRDefault="0058160C" w:rsidP="00925807">
      <w:pPr>
        <w:pStyle w:val="TOC2"/>
        <w:rPr>
          <w:rFonts w:eastAsiaTheme="majorEastAsia"/>
          <w:color w:val="0000FF"/>
          <w:u w:val="single"/>
        </w:rPr>
      </w:pPr>
      <w:r w:rsidRPr="00925807">
        <w:rPr>
          <w:rFonts w:eastAsiaTheme="majorEastAsia"/>
        </w:rPr>
        <w:t>5.100</w:t>
      </w:r>
      <w:r>
        <w:rPr>
          <w:rFonts w:asciiTheme="minorHAnsi" w:eastAsiaTheme="minorEastAsia" w:hAnsiTheme="minorHAnsi" w:cstheme="minorBidi"/>
          <w:b w:val="0"/>
          <w:szCs w:val="22"/>
          <w:lang w:eastAsia="zh-TW"/>
        </w:rPr>
        <w:tab/>
      </w:r>
      <w:r w:rsidRPr="00925807">
        <w:rPr>
          <w:rFonts w:eastAsiaTheme="majorEastAsia"/>
        </w:rPr>
        <w:t>The Committee recommends that ACT Government studies and identifies system gaps especially for Aboriginal and Torres Strait Islander victims in accordance with recommendations made to the Committee by the Women’s Legal Centre in its submission.</w:t>
      </w:r>
    </w:p>
    <w:p w14:paraId="478F97A5" w14:textId="77777777" w:rsidR="00925807" w:rsidRDefault="00925807">
      <w:pPr>
        <w:spacing w:after="160" w:line="259" w:lineRule="auto"/>
        <w:rPr>
          <w:rFonts w:eastAsiaTheme="majorEastAsia" w:cs="Calibri"/>
          <w:b/>
          <w:noProof/>
          <w:color w:val="0000FF"/>
          <w:u w:val="single"/>
        </w:rPr>
      </w:pPr>
      <w:r>
        <w:rPr>
          <w:rFonts w:eastAsiaTheme="majorEastAsia"/>
          <w:color w:val="0000FF"/>
          <w:u w:val="single"/>
        </w:rPr>
        <w:br w:type="page"/>
      </w:r>
    </w:p>
    <w:p w14:paraId="2D102265"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492" w:history="1">
        <w:r w:rsidR="0058160C" w:rsidRPr="00086922">
          <w:rPr>
            <w:rStyle w:val="Hyperlink"/>
            <w:rFonts w:eastAsiaTheme="majorEastAsia"/>
          </w:rPr>
          <w:t>Recommendation 28</w:t>
        </w:r>
      </w:hyperlink>
    </w:p>
    <w:p w14:paraId="5F043B2E" w14:textId="77777777" w:rsidR="0058160C" w:rsidRDefault="00833958">
      <w:pPr>
        <w:pStyle w:val="TOC2"/>
        <w:rPr>
          <w:rFonts w:asciiTheme="minorHAnsi" w:eastAsiaTheme="minorEastAsia" w:hAnsiTheme="minorHAnsi" w:cstheme="minorBidi"/>
          <w:b w:val="0"/>
          <w:szCs w:val="22"/>
          <w:lang w:eastAsia="zh-TW"/>
        </w:rPr>
      </w:pPr>
      <w:hyperlink w:anchor="_Toc17279493" w:history="1">
        <w:r w:rsidR="0058160C" w:rsidRPr="00086922">
          <w:rPr>
            <w:rStyle w:val="Hyperlink"/>
            <w:rFonts w:eastAsiaTheme="majorEastAsia"/>
          </w:rPr>
          <w:t>5.102</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the ACT Government develop a model, similar to that of “Melaleuca Place”, for engaging with children and young people who suffer trauma due to Domestic and Family Violence and/or being involved in the care and protection system.</w:t>
        </w:r>
      </w:hyperlink>
    </w:p>
    <w:p w14:paraId="405F4048"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494" w:history="1">
        <w:r w:rsidR="0058160C" w:rsidRPr="00086922">
          <w:rPr>
            <w:rStyle w:val="Hyperlink"/>
            <w:rFonts w:eastAsiaTheme="majorEastAsia"/>
          </w:rPr>
          <w:t>Recommendation 29</w:t>
        </w:r>
      </w:hyperlink>
    </w:p>
    <w:p w14:paraId="2131EB91" w14:textId="77777777" w:rsidR="0058160C" w:rsidRDefault="00833958">
      <w:pPr>
        <w:pStyle w:val="TOC2"/>
        <w:rPr>
          <w:rFonts w:asciiTheme="minorHAnsi" w:eastAsiaTheme="minorEastAsia" w:hAnsiTheme="minorHAnsi" w:cstheme="minorBidi"/>
          <w:b w:val="0"/>
          <w:szCs w:val="22"/>
          <w:lang w:eastAsia="zh-TW"/>
        </w:rPr>
      </w:pPr>
      <w:hyperlink w:anchor="_Toc17279495" w:history="1">
        <w:r w:rsidR="0058160C" w:rsidRPr="00086922">
          <w:rPr>
            <w:rStyle w:val="Hyperlink"/>
            <w:rFonts w:eastAsiaTheme="majorEastAsia"/>
          </w:rPr>
          <w:t>5.103</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increased access to support and clinical services for children and young people who use violence, including sibling to sibling violence, as well as access and support for parents and siblings.</w:t>
        </w:r>
      </w:hyperlink>
    </w:p>
    <w:p w14:paraId="1326D240"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496" w:history="1">
        <w:r w:rsidR="0058160C" w:rsidRPr="00086922">
          <w:rPr>
            <w:rStyle w:val="Hyperlink"/>
            <w:rFonts w:eastAsiaTheme="majorEastAsia"/>
          </w:rPr>
          <w:t>Recommendation 30</w:t>
        </w:r>
      </w:hyperlink>
    </w:p>
    <w:p w14:paraId="535C9A0B" w14:textId="77777777" w:rsidR="0058160C" w:rsidRDefault="00833958">
      <w:pPr>
        <w:pStyle w:val="TOC2"/>
        <w:rPr>
          <w:rFonts w:asciiTheme="minorHAnsi" w:eastAsiaTheme="minorEastAsia" w:hAnsiTheme="minorHAnsi" w:cstheme="minorBidi"/>
          <w:b w:val="0"/>
          <w:szCs w:val="22"/>
          <w:lang w:eastAsia="zh-TW"/>
        </w:rPr>
      </w:pPr>
      <w:hyperlink w:anchor="_Toc17279497" w:history="1">
        <w:r w:rsidR="0058160C" w:rsidRPr="00086922">
          <w:rPr>
            <w:rStyle w:val="Hyperlink"/>
            <w:rFonts w:eastAsiaTheme="majorEastAsia"/>
          </w:rPr>
          <w:t>5.104</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that ACT Government analyse availability and need for accommodation for the escaping parent with male children over 10 years who are not always allowed in women’s refuges and fund alternate solutions.</w:t>
        </w:r>
      </w:hyperlink>
    </w:p>
    <w:p w14:paraId="228E8C10"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498" w:history="1">
        <w:r w:rsidR="0058160C" w:rsidRPr="00086922">
          <w:rPr>
            <w:rStyle w:val="Hyperlink"/>
            <w:rFonts w:eastAsiaTheme="majorEastAsia"/>
          </w:rPr>
          <w:t>Recommendation 31</w:t>
        </w:r>
      </w:hyperlink>
    </w:p>
    <w:p w14:paraId="51A00326" w14:textId="77777777" w:rsidR="0058160C" w:rsidRDefault="00833958">
      <w:pPr>
        <w:pStyle w:val="TOC2"/>
        <w:rPr>
          <w:rFonts w:asciiTheme="minorHAnsi" w:eastAsiaTheme="minorEastAsia" w:hAnsiTheme="minorHAnsi" w:cstheme="minorBidi"/>
          <w:b w:val="0"/>
          <w:szCs w:val="22"/>
          <w:lang w:eastAsia="zh-TW"/>
        </w:rPr>
      </w:pPr>
      <w:hyperlink w:anchor="_Toc17279499" w:history="1">
        <w:r w:rsidR="0058160C" w:rsidRPr="00086922">
          <w:rPr>
            <w:rStyle w:val="Hyperlink"/>
            <w:rFonts w:eastAsiaTheme="majorEastAsia"/>
          </w:rPr>
          <w:t>5.105</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that ACT Government ensure that at all levels of response, whether as government services or court proceedings, interpreters are available to ensure all involved fully comprehend their options, rights and outcomes.</w:t>
        </w:r>
      </w:hyperlink>
    </w:p>
    <w:p w14:paraId="02A5B1A2"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500" w:history="1">
        <w:r w:rsidR="0058160C" w:rsidRPr="00086922">
          <w:rPr>
            <w:rStyle w:val="Hyperlink"/>
            <w:rFonts w:eastAsiaTheme="majorEastAsia"/>
          </w:rPr>
          <w:t>Recommendation 32</w:t>
        </w:r>
      </w:hyperlink>
    </w:p>
    <w:p w14:paraId="299C4BC0" w14:textId="77777777" w:rsidR="0058160C" w:rsidRDefault="00833958">
      <w:pPr>
        <w:pStyle w:val="TOC2"/>
        <w:rPr>
          <w:rFonts w:asciiTheme="minorHAnsi" w:eastAsiaTheme="minorEastAsia" w:hAnsiTheme="minorHAnsi" w:cstheme="minorBidi"/>
          <w:b w:val="0"/>
          <w:szCs w:val="22"/>
          <w:lang w:eastAsia="zh-TW"/>
        </w:rPr>
      </w:pPr>
      <w:hyperlink w:anchor="_Toc17279501" w:history="1">
        <w:r w:rsidR="0058160C" w:rsidRPr="00086922">
          <w:rPr>
            <w:rStyle w:val="Hyperlink"/>
            <w:rFonts w:eastAsiaTheme="majorEastAsia"/>
          </w:rPr>
          <w:t>5.106</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that thought be given to those with disabilities, in particular women with disabilities to ensure they are able to access services, such as escaping from abusive carers.</w:t>
        </w:r>
      </w:hyperlink>
    </w:p>
    <w:p w14:paraId="6C12CB8F" w14:textId="77777777" w:rsidR="0058160C" w:rsidRDefault="00833958">
      <w:pPr>
        <w:pStyle w:val="TOC2"/>
        <w:rPr>
          <w:rFonts w:asciiTheme="minorHAnsi" w:eastAsiaTheme="minorEastAsia" w:hAnsiTheme="minorHAnsi" w:cstheme="minorBidi"/>
          <w:b w:val="0"/>
          <w:szCs w:val="22"/>
          <w:lang w:eastAsia="zh-TW"/>
        </w:rPr>
      </w:pPr>
      <w:hyperlink w:anchor="_Toc17279502" w:history="1">
        <w:r w:rsidR="0058160C" w:rsidRPr="00086922">
          <w:rPr>
            <w:rStyle w:val="Hyperlink"/>
            <w:rFonts w:eastAsiaTheme="majorEastAsia"/>
          </w:rPr>
          <w:t>5.129</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Based on witness presentations and submissions to the Committee, the Committee recommends the following changes:</w:t>
        </w:r>
      </w:hyperlink>
    </w:p>
    <w:p w14:paraId="28181061"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503" w:history="1">
        <w:r w:rsidR="0058160C" w:rsidRPr="00086922">
          <w:rPr>
            <w:rStyle w:val="Hyperlink"/>
            <w:rFonts w:eastAsiaTheme="majorEastAsia"/>
          </w:rPr>
          <w:t>Recommendation 33</w:t>
        </w:r>
      </w:hyperlink>
    </w:p>
    <w:p w14:paraId="3E393494" w14:textId="77777777" w:rsidR="0058160C" w:rsidRDefault="00833958">
      <w:pPr>
        <w:pStyle w:val="TOC2"/>
        <w:rPr>
          <w:rFonts w:asciiTheme="minorHAnsi" w:eastAsiaTheme="minorEastAsia" w:hAnsiTheme="minorHAnsi" w:cstheme="minorBidi"/>
          <w:b w:val="0"/>
          <w:szCs w:val="22"/>
          <w:lang w:eastAsia="zh-TW"/>
        </w:rPr>
      </w:pPr>
      <w:hyperlink w:anchor="_Toc17279504" w:history="1">
        <w:r w:rsidR="0058160C" w:rsidRPr="00086922">
          <w:rPr>
            <w:rStyle w:val="Hyperlink"/>
            <w:rFonts w:eastAsiaTheme="majorEastAsia"/>
          </w:rPr>
          <w:t>5.130</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that such changes be made to allow police to make the application for Domestic Family Orders so that the victim is removed from making those decisions where permission is granted to this course by the victim.</w:t>
        </w:r>
      </w:hyperlink>
    </w:p>
    <w:p w14:paraId="33A2D55A"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505" w:history="1">
        <w:r w:rsidR="0058160C" w:rsidRPr="00086922">
          <w:rPr>
            <w:rStyle w:val="Hyperlink"/>
            <w:rFonts w:eastAsiaTheme="majorEastAsia"/>
          </w:rPr>
          <w:t>Recommendation 34</w:t>
        </w:r>
      </w:hyperlink>
    </w:p>
    <w:p w14:paraId="08DFB165" w14:textId="335C439B" w:rsidR="00925807" w:rsidRDefault="00833958">
      <w:pPr>
        <w:pStyle w:val="TOC2"/>
        <w:rPr>
          <w:rStyle w:val="Hyperlink"/>
          <w:rFonts w:eastAsiaTheme="majorEastAsia"/>
        </w:rPr>
      </w:pPr>
      <w:hyperlink w:anchor="_Toc17279506" w:history="1">
        <w:r w:rsidR="0058160C" w:rsidRPr="00086922">
          <w:rPr>
            <w:rStyle w:val="Hyperlink"/>
            <w:rFonts w:eastAsiaTheme="majorEastAsia"/>
          </w:rPr>
          <w:t>5.131</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that the ACT Policing Family Violence Unit be sufficiently staffed with all appropriately trained personnel.</w:t>
        </w:r>
      </w:hyperlink>
    </w:p>
    <w:p w14:paraId="759A63F4" w14:textId="77777777" w:rsidR="00925807" w:rsidRDefault="00925807">
      <w:pPr>
        <w:spacing w:after="160" w:line="259" w:lineRule="auto"/>
        <w:rPr>
          <w:rStyle w:val="Hyperlink"/>
          <w:rFonts w:eastAsiaTheme="majorEastAsia" w:cs="Calibri"/>
          <w:b/>
          <w:noProof/>
        </w:rPr>
      </w:pPr>
      <w:r>
        <w:rPr>
          <w:rStyle w:val="Hyperlink"/>
          <w:rFonts w:eastAsiaTheme="majorEastAsia"/>
        </w:rPr>
        <w:br w:type="page"/>
      </w:r>
    </w:p>
    <w:p w14:paraId="08A51F0D"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507" w:history="1">
        <w:r w:rsidR="0058160C" w:rsidRPr="00086922">
          <w:rPr>
            <w:rStyle w:val="Hyperlink"/>
            <w:rFonts w:eastAsiaTheme="majorEastAsia"/>
          </w:rPr>
          <w:t>Recommendation 35</w:t>
        </w:r>
      </w:hyperlink>
    </w:p>
    <w:p w14:paraId="41A4E168" w14:textId="77777777" w:rsidR="0058160C" w:rsidRDefault="00833958">
      <w:pPr>
        <w:pStyle w:val="TOC2"/>
        <w:rPr>
          <w:rFonts w:asciiTheme="minorHAnsi" w:eastAsiaTheme="minorEastAsia" w:hAnsiTheme="minorHAnsi" w:cstheme="minorBidi"/>
          <w:b w:val="0"/>
          <w:szCs w:val="22"/>
          <w:lang w:eastAsia="zh-TW"/>
        </w:rPr>
      </w:pPr>
      <w:hyperlink w:anchor="_Toc17279508" w:history="1">
        <w:r w:rsidR="0058160C" w:rsidRPr="00086922">
          <w:rPr>
            <w:rStyle w:val="Hyperlink"/>
            <w:rFonts w:eastAsiaTheme="majorEastAsia"/>
          </w:rPr>
          <w:t>5.132</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that a police risk assessment tool be developed as a decision-making tool for an interim measure or safety notice or family violence order.</w:t>
        </w:r>
      </w:hyperlink>
    </w:p>
    <w:p w14:paraId="6D6828A6"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509" w:history="1">
        <w:r w:rsidR="0058160C" w:rsidRPr="00086922">
          <w:rPr>
            <w:rStyle w:val="Hyperlink"/>
            <w:rFonts w:eastAsiaTheme="majorEastAsia"/>
          </w:rPr>
          <w:t>Recommendation 36</w:t>
        </w:r>
      </w:hyperlink>
    </w:p>
    <w:p w14:paraId="4FEC484A" w14:textId="77777777" w:rsidR="0058160C" w:rsidRDefault="00833958">
      <w:pPr>
        <w:pStyle w:val="TOC2"/>
        <w:rPr>
          <w:rFonts w:asciiTheme="minorHAnsi" w:eastAsiaTheme="minorEastAsia" w:hAnsiTheme="minorHAnsi" w:cstheme="minorBidi"/>
          <w:b w:val="0"/>
          <w:szCs w:val="22"/>
          <w:lang w:eastAsia="zh-TW"/>
        </w:rPr>
      </w:pPr>
      <w:hyperlink w:anchor="_Toc17279510" w:history="1">
        <w:r w:rsidR="0058160C" w:rsidRPr="00086922">
          <w:rPr>
            <w:rStyle w:val="Hyperlink"/>
            <w:rFonts w:eastAsiaTheme="majorEastAsia"/>
          </w:rPr>
          <w:t>5.133</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that police procedures be revised in consultation with victims who have previously called police to ensure barriers do not exist which prevent people calling police.</w:t>
        </w:r>
      </w:hyperlink>
    </w:p>
    <w:p w14:paraId="369E0C96"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511" w:history="1">
        <w:r w:rsidR="0058160C" w:rsidRPr="00086922">
          <w:rPr>
            <w:rStyle w:val="Hyperlink"/>
            <w:rFonts w:eastAsiaTheme="majorEastAsia"/>
          </w:rPr>
          <w:t>Recommendation 37</w:t>
        </w:r>
      </w:hyperlink>
    </w:p>
    <w:p w14:paraId="685597D4" w14:textId="77777777" w:rsidR="0058160C" w:rsidRDefault="00833958">
      <w:pPr>
        <w:pStyle w:val="TOC2"/>
        <w:rPr>
          <w:rFonts w:asciiTheme="minorHAnsi" w:eastAsiaTheme="minorEastAsia" w:hAnsiTheme="minorHAnsi" w:cstheme="minorBidi"/>
          <w:b w:val="0"/>
          <w:szCs w:val="22"/>
          <w:lang w:eastAsia="zh-TW"/>
        </w:rPr>
      </w:pPr>
      <w:hyperlink w:anchor="_Toc17279512" w:history="1">
        <w:r w:rsidR="0058160C" w:rsidRPr="00086922">
          <w:rPr>
            <w:rStyle w:val="Hyperlink"/>
            <w:rFonts w:eastAsiaTheme="majorEastAsia"/>
          </w:rPr>
          <w:t>5.134</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that, in the development of DFV policies, recognition be clear that the choice to leave is one option and that for those who prefer another option, not to leave is another distinct and supported option for families where it is safe to do so.</w:t>
        </w:r>
      </w:hyperlink>
    </w:p>
    <w:p w14:paraId="36AE88D7"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513" w:history="1">
        <w:r w:rsidR="0058160C" w:rsidRPr="00086922">
          <w:rPr>
            <w:rStyle w:val="Hyperlink"/>
            <w:rFonts w:eastAsiaTheme="majorEastAsia"/>
          </w:rPr>
          <w:t>Recommendation 38</w:t>
        </w:r>
      </w:hyperlink>
    </w:p>
    <w:p w14:paraId="60C47E5D" w14:textId="77777777" w:rsidR="0058160C" w:rsidRDefault="00833958">
      <w:pPr>
        <w:pStyle w:val="TOC2"/>
        <w:rPr>
          <w:rFonts w:asciiTheme="minorHAnsi" w:eastAsiaTheme="minorEastAsia" w:hAnsiTheme="minorHAnsi" w:cstheme="minorBidi"/>
          <w:b w:val="0"/>
          <w:szCs w:val="22"/>
          <w:lang w:eastAsia="zh-TW"/>
        </w:rPr>
      </w:pPr>
      <w:hyperlink w:anchor="_Toc17279514" w:history="1">
        <w:r w:rsidR="0058160C" w:rsidRPr="00086922">
          <w:rPr>
            <w:rStyle w:val="Hyperlink"/>
            <w:rFonts w:eastAsiaTheme="majorEastAsia"/>
          </w:rPr>
          <w:t>5.135</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that a non-police option should be available and that this option be developed and supported out of respect for those who prefer to seek an alternative.</w:t>
        </w:r>
      </w:hyperlink>
    </w:p>
    <w:p w14:paraId="6D30A2F4"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515" w:history="1">
        <w:r w:rsidR="0058160C" w:rsidRPr="00086922">
          <w:rPr>
            <w:rStyle w:val="Hyperlink"/>
            <w:rFonts w:eastAsiaTheme="majorEastAsia"/>
          </w:rPr>
          <w:t>Recommendation 39</w:t>
        </w:r>
      </w:hyperlink>
    </w:p>
    <w:p w14:paraId="7DE85D6D" w14:textId="77777777" w:rsidR="0058160C" w:rsidRDefault="00833958">
      <w:pPr>
        <w:pStyle w:val="TOC2"/>
        <w:rPr>
          <w:rFonts w:asciiTheme="minorHAnsi" w:eastAsiaTheme="minorEastAsia" w:hAnsiTheme="minorHAnsi" w:cstheme="minorBidi"/>
          <w:b w:val="0"/>
          <w:szCs w:val="22"/>
          <w:lang w:eastAsia="zh-TW"/>
        </w:rPr>
      </w:pPr>
      <w:hyperlink w:anchor="_Toc17279516" w:history="1">
        <w:r w:rsidR="0058160C" w:rsidRPr="00086922">
          <w:rPr>
            <w:rStyle w:val="Hyperlink"/>
            <w:rFonts w:eastAsiaTheme="majorEastAsia"/>
          </w:rPr>
          <w:t>5.136</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that police to be able to issue ‘on-the-spot’ protection orders as is currently possible in Tasmania which can help while waiting for a family violence order to be issued.</w:t>
        </w:r>
      </w:hyperlink>
    </w:p>
    <w:p w14:paraId="5655294A"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517" w:history="1">
        <w:r w:rsidR="0058160C" w:rsidRPr="00086922">
          <w:rPr>
            <w:rStyle w:val="Hyperlink"/>
            <w:rFonts w:eastAsiaTheme="majorEastAsia"/>
          </w:rPr>
          <w:t>Recommendation 40</w:t>
        </w:r>
      </w:hyperlink>
    </w:p>
    <w:p w14:paraId="1C1DDE1E" w14:textId="77777777" w:rsidR="0058160C" w:rsidRDefault="00833958">
      <w:pPr>
        <w:pStyle w:val="TOC2"/>
        <w:rPr>
          <w:rFonts w:asciiTheme="minorHAnsi" w:eastAsiaTheme="minorEastAsia" w:hAnsiTheme="minorHAnsi" w:cstheme="minorBidi"/>
          <w:b w:val="0"/>
          <w:szCs w:val="22"/>
          <w:lang w:eastAsia="zh-TW"/>
        </w:rPr>
      </w:pPr>
      <w:hyperlink w:anchor="_Toc17279518" w:history="1">
        <w:r w:rsidR="0058160C" w:rsidRPr="00086922">
          <w:rPr>
            <w:rStyle w:val="Hyperlink"/>
            <w:rFonts w:eastAsiaTheme="majorEastAsia"/>
          </w:rPr>
          <w:t>5.138</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that ACT legal aid centres work on enhancing information for the community at large, including the publication of suggestions for how to have open conversations with people who may think they are, or who are, experiencing domestic, family and intimate partner violence</w:t>
        </w:r>
      </w:hyperlink>
    </w:p>
    <w:p w14:paraId="40DEDD65"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519" w:history="1">
        <w:r w:rsidR="0058160C" w:rsidRPr="00086922">
          <w:rPr>
            <w:rStyle w:val="Hyperlink"/>
            <w:rFonts w:eastAsiaTheme="majorEastAsia"/>
          </w:rPr>
          <w:t>Recommendation 41</w:t>
        </w:r>
      </w:hyperlink>
    </w:p>
    <w:p w14:paraId="40E043E2" w14:textId="77777777" w:rsidR="0058160C" w:rsidRDefault="00833958">
      <w:pPr>
        <w:pStyle w:val="TOC2"/>
        <w:rPr>
          <w:rFonts w:asciiTheme="minorHAnsi" w:eastAsiaTheme="minorEastAsia" w:hAnsiTheme="minorHAnsi" w:cstheme="minorBidi"/>
          <w:b w:val="0"/>
          <w:szCs w:val="22"/>
          <w:lang w:eastAsia="zh-TW"/>
        </w:rPr>
      </w:pPr>
      <w:hyperlink w:anchor="_Toc17279520" w:history="1">
        <w:r w:rsidR="0058160C" w:rsidRPr="00086922">
          <w:rPr>
            <w:rStyle w:val="Hyperlink"/>
            <w:rFonts w:eastAsiaTheme="majorEastAsia"/>
          </w:rPr>
          <w:t>5.139</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that Included in an educational and information package should be means of identifying someone who may be experiencing domestic, family and/or intimate partner violence.</w:t>
        </w:r>
      </w:hyperlink>
    </w:p>
    <w:p w14:paraId="769906EC"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521" w:history="1">
        <w:r w:rsidR="0058160C" w:rsidRPr="00086922">
          <w:rPr>
            <w:rStyle w:val="Hyperlink"/>
            <w:rFonts w:eastAsiaTheme="majorEastAsia"/>
          </w:rPr>
          <w:t>Recommendation 42</w:t>
        </w:r>
      </w:hyperlink>
    </w:p>
    <w:p w14:paraId="67AB730F" w14:textId="4C4CF98C" w:rsidR="00925807" w:rsidRDefault="00833958">
      <w:pPr>
        <w:pStyle w:val="TOC2"/>
        <w:rPr>
          <w:rStyle w:val="Hyperlink"/>
          <w:rFonts w:eastAsiaTheme="majorEastAsia"/>
        </w:rPr>
      </w:pPr>
      <w:hyperlink w:anchor="_Toc17279522" w:history="1">
        <w:r w:rsidR="0058160C" w:rsidRPr="00086922">
          <w:rPr>
            <w:rStyle w:val="Hyperlink"/>
            <w:rFonts w:eastAsiaTheme="majorEastAsia"/>
          </w:rPr>
          <w:t>5.140</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that currently provided and identified extra funding for legal aid in the area of DFV be maintained.</w:t>
        </w:r>
      </w:hyperlink>
    </w:p>
    <w:p w14:paraId="400E5D1B" w14:textId="77777777" w:rsidR="00925807" w:rsidRDefault="00925807">
      <w:pPr>
        <w:spacing w:after="160" w:line="259" w:lineRule="auto"/>
        <w:rPr>
          <w:rStyle w:val="Hyperlink"/>
          <w:rFonts w:eastAsiaTheme="majorEastAsia" w:cs="Calibri"/>
          <w:b/>
          <w:noProof/>
        </w:rPr>
      </w:pPr>
      <w:r>
        <w:rPr>
          <w:rStyle w:val="Hyperlink"/>
          <w:rFonts w:eastAsiaTheme="majorEastAsia"/>
        </w:rPr>
        <w:br w:type="page"/>
      </w:r>
    </w:p>
    <w:p w14:paraId="3769F2DF"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523" w:history="1">
        <w:r w:rsidR="0058160C" w:rsidRPr="00086922">
          <w:rPr>
            <w:rStyle w:val="Hyperlink"/>
            <w:rFonts w:eastAsiaTheme="majorEastAsia"/>
          </w:rPr>
          <w:t>Recommendation 43</w:t>
        </w:r>
      </w:hyperlink>
    </w:p>
    <w:p w14:paraId="7697287B" w14:textId="77777777" w:rsidR="0058160C" w:rsidRDefault="00833958">
      <w:pPr>
        <w:pStyle w:val="TOC2"/>
        <w:rPr>
          <w:rFonts w:asciiTheme="minorHAnsi" w:eastAsiaTheme="minorEastAsia" w:hAnsiTheme="minorHAnsi" w:cstheme="minorBidi"/>
          <w:b w:val="0"/>
          <w:szCs w:val="22"/>
          <w:lang w:eastAsia="zh-TW"/>
        </w:rPr>
      </w:pPr>
      <w:hyperlink w:anchor="_Toc17279524" w:history="1">
        <w:r w:rsidR="0058160C" w:rsidRPr="00086922">
          <w:rPr>
            <w:rStyle w:val="Hyperlink"/>
            <w:rFonts w:eastAsiaTheme="majorEastAsia"/>
          </w:rPr>
          <w:t>5.141</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that access to low-cost legal representation be publicised or made available through DFV support and resources services as an alternative to the use of legal aid services</w:t>
        </w:r>
      </w:hyperlink>
    </w:p>
    <w:p w14:paraId="1FF8DDDD"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525" w:history="1">
        <w:r w:rsidR="0058160C" w:rsidRPr="00086922">
          <w:rPr>
            <w:rStyle w:val="Hyperlink"/>
            <w:rFonts w:eastAsiaTheme="majorEastAsia"/>
          </w:rPr>
          <w:t>Recommendation 44</w:t>
        </w:r>
      </w:hyperlink>
    </w:p>
    <w:p w14:paraId="29641F68" w14:textId="77777777" w:rsidR="0058160C" w:rsidRDefault="00833958">
      <w:pPr>
        <w:pStyle w:val="TOC2"/>
        <w:rPr>
          <w:rFonts w:asciiTheme="minorHAnsi" w:eastAsiaTheme="minorEastAsia" w:hAnsiTheme="minorHAnsi" w:cstheme="minorBidi"/>
          <w:b w:val="0"/>
          <w:szCs w:val="22"/>
          <w:lang w:eastAsia="zh-TW"/>
        </w:rPr>
      </w:pPr>
      <w:hyperlink w:anchor="_Toc17279526" w:history="1">
        <w:r w:rsidR="0058160C" w:rsidRPr="00086922">
          <w:rPr>
            <w:rStyle w:val="Hyperlink"/>
            <w:rFonts w:eastAsiaTheme="majorEastAsia"/>
          </w:rPr>
          <w:t>5.142</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that Identifiable resources be available to assist the elderly while ensuring they retain their ability to make decisions about their lives as a means of ensuring support in addressing elder abuse issues</w:t>
        </w:r>
      </w:hyperlink>
    </w:p>
    <w:p w14:paraId="0115B47F"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527" w:history="1">
        <w:r w:rsidR="0058160C" w:rsidRPr="00086922">
          <w:rPr>
            <w:rStyle w:val="Hyperlink"/>
            <w:rFonts w:eastAsiaTheme="majorEastAsia"/>
          </w:rPr>
          <w:t>Recommendation 45</w:t>
        </w:r>
      </w:hyperlink>
    </w:p>
    <w:p w14:paraId="38BA2C34" w14:textId="77777777" w:rsidR="0058160C" w:rsidRDefault="00833958">
      <w:pPr>
        <w:pStyle w:val="TOC2"/>
        <w:rPr>
          <w:rFonts w:asciiTheme="minorHAnsi" w:eastAsiaTheme="minorEastAsia" w:hAnsiTheme="minorHAnsi" w:cstheme="minorBidi"/>
          <w:b w:val="0"/>
          <w:szCs w:val="22"/>
          <w:lang w:eastAsia="zh-TW"/>
        </w:rPr>
      </w:pPr>
      <w:hyperlink w:anchor="_Toc17279528" w:history="1">
        <w:r w:rsidR="0058160C" w:rsidRPr="00086922">
          <w:rPr>
            <w:rStyle w:val="Hyperlink"/>
            <w:rFonts w:eastAsiaTheme="majorEastAsia"/>
          </w:rPr>
          <w:t>5.143</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that criteria for assistance for legal aid be clarified to ensure that aid is available to people whose personal wealth is tied up in assets which may be effectively frozen or unavailable to use for funding legal services.</w:t>
        </w:r>
      </w:hyperlink>
    </w:p>
    <w:p w14:paraId="593E85FB"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529" w:history="1">
        <w:r w:rsidR="0058160C" w:rsidRPr="00086922">
          <w:rPr>
            <w:rStyle w:val="Hyperlink"/>
            <w:rFonts w:eastAsiaTheme="majorEastAsia"/>
          </w:rPr>
          <w:t>Recommendation 46</w:t>
        </w:r>
      </w:hyperlink>
    </w:p>
    <w:p w14:paraId="4EA6D13D" w14:textId="77777777" w:rsidR="0058160C" w:rsidRDefault="00833958">
      <w:pPr>
        <w:pStyle w:val="TOC2"/>
        <w:rPr>
          <w:rFonts w:asciiTheme="minorHAnsi" w:eastAsiaTheme="minorEastAsia" w:hAnsiTheme="minorHAnsi" w:cstheme="minorBidi"/>
          <w:b w:val="0"/>
          <w:szCs w:val="22"/>
          <w:lang w:eastAsia="zh-TW"/>
        </w:rPr>
      </w:pPr>
      <w:hyperlink w:anchor="_Toc17279530" w:history="1">
        <w:r w:rsidR="0058160C" w:rsidRPr="00086922">
          <w:rPr>
            <w:rStyle w:val="Hyperlink"/>
            <w:rFonts w:eastAsiaTheme="majorEastAsia"/>
            <w:bCs/>
          </w:rPr>
          <w:t>5.144</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that, in systems development, we acknowledge and adopt case management and ongoing support to those experiencing abuse via the legal system.</w:t>
        </w:r>
      </w:hyperlink>
    </w:p>
    <w:p w14:paraId="70B5EFF1" w14:textId="77777777" w:rsidR="0058160C" w:rsidRDefault="00833958">
      <w:pPr>
        <w:pStyle w:val="TOC2"/>
        <w:rPr>
          <w:rFonts w:asciiTheme="minorHAnsi" w:eastAsiaTheme="minorEastAsia" w:hAnsiTheme="minorHAnsi" w:cstheme="minorBidi"/>
          <w:b w:val="0"/>
          <w:szCs w:val="22"/>
          <w:lang w:eastAsia="zh-TW"/>
        </w:rPr>
      </w:pPr>
      <w:hyperlink w:anchor="_Toc17279531" w:history="1">
        <w:r w:rsidR="0058160C" w:rsidRPr="00086922">
          <w:rPr>
            <w:rStyle w:val="Hyperlink"/>
            <w:rFonts w:eastAsiaTheme="majorEastAsia"/>
          </w:rPr>
          <w:t>5.145</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After considering evidence and opinion offered to the Committee regarding the courts and court proceedings, the Committee recommends as follows:</w:t>
        </w:r>
      </w:hyperlink>
    </w:p>
    <w:p w14:paraId="0EC2E824"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532" w:history="1">
        <w:r w:rsidR="0058160C" w:rsidRPr="00086922">
          <w:rPr>
            <w:rStyle w:val="Hyperlink"/>
            <w:rFonts w:eastAsiaTheme="majorEastAsia"/>
          </w:rPr>
          <w:t>Recommendation 47</w:t>
        </w:r>
      </w:hyperlink>
    </w:p>
    <w:p w14:paraId="66505CA8" w14:textId="77777777" w:rsidR="0058160C" w:rsidRDefault="00833958">
      <w:pPr>
        <w:pStyle w:val="TOC2"/>
        <w:rPr>
          <w:rFonts w:asciiTheme="minorHAnsi" w:eastAsiaTheme="minorEastAsia" w:hAnsiTheme="minorHAnsi" w:cstheme="minorBidi"/>
          <w:b w:val="0"/>
          <w:szCs w:val="22"/>
          <w:lang w:eastAsia="zh-TW"/>
        </w:rPr>
      </w:pPr>
      <w:hyperlink w:anchor="_Toc17279533" w:history="1">
        <w:r w:rsidR="0058160C" w:rsidRPr="00086922">
          <w:rPr>
            <w:rStyle w:val="Hyperlink"/>
            <w:rFonts w:eastAsiaTheme="majorEastAsia"/>
          </w:rPr>
          <w:t>5.146</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that the Minister or Co-ordinator General for Family Safety represent to the Federal Government the need for interim orders via the Magistrates Court, as a part of any changes the Federal Government is planning to make in relation to DFV matters.</w:t>
        </w:r>
      </w:hyperlink>
    </w:p>
    <w:p w14:paraId="33FF7FFC"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534" w:history="1">
        <w:r w:rsidR="0058160C" w:rsidRPr="00086922">
          <w:rPr>
            <w:rStyle w:val="Hyperlink"/>
            <w:rFonts w:eastAsiaTheme="majorEastAsia"/>
          </w:rPr>
          <w:t>Recommendation 48</w:t>
        </w:r>
      </w:hyperlink>
    </w:p>
    <w:p w14:paraId="6BDDB00D" w14:textId="77777777" w:rsidR="0058160C" w:rsidRDefault="00833958">
      <w:pPr>
        <w:pStyle w:val="TOC2"/>
        <w:rPr>
          <w:rFonts w:asciiTheme="minorHAnsi" w:eastAsiaTheme="minorEastAsia" w:hAnsiTheme="minorHAnsi" w:cstheme="minorBidi"/>
          <w:b w:val="0"/>
          <w:szCs w:val="22"/>
          <w:lang w:eastAsia="zh-TW"/>
        </w:rPr>
      </w:pPr>
      <w:hyperlink w:anchor="_Toc17279535" w:history="1">
        <w:r w:rsidR="0058160C" w:rsidRPr="00086922">
          <w:rPr>
            <w:rStyle w:val="Hyperlink"/>
            <w:rFonts w:eastAsiaTheme="majorEastAsia"/>
          </w:rPr>
          <w:t>5.148</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that ACT Government assess service of Family Violence Orders to ensure appropriate timeliness.</w:t>
        </w:r>
      </w:hyperlink>
    </w:p>
    <w:p w14:paraId="32B7C3D5"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536" w:history="1">
        <w:r w:rsidR="0058160C" w:rsidRPr="00086922">
          <w:rPr>
            <w:rStyle w:val="Hyperlink"/>
            <w:rFonts w:eastAsiaTheme="majorEastAsia"/>
          </w:rPr>
          <w:t>Recommendation 49</w:t>
        </w:r>
      </w:hyperlink>
    </w:p>
    <w:p w14:paraId="4EE08570" w14:textId="7A454077" w:rsidR="00925807" w:rsidRDefault="00833958">
      <w:pPr>
        <w:pStyle w:val="TOC2"/>
        <w:rPr>
          <w:rStyle w:val="Hyperlink"/>
          <w:rFonts w:eastAsiaTheme="majorEastAsia"/>
        </w:rPr>
      </w:pPr>
      <w:hyperlink w:anchor="_Toc17279537" w:history="1">
        <w:r w:rsidR="0058160C" w:rsidRPr="00086922">
          <w:rPr>
            <w:rStyle w:val="Hyperlink"/>
            <w:rFonts w:eastAsiaTheme="majorEastAsia"/>
          </w:rPr>
          <w:t>5.149</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that more information sharing between the Federal Circuit Court and ACT Child and Youth Protection Services be implemented to avoid a child being returned to violent parents.</w:t>
        </w:r>
      </w:hyperlink>
    </w:p>
    <w:p w14:paraId="4DC72086" w14:textId="77777777" w:rsidR="00925807" w:rsidRDefault="00925807">
      <w:pPr>
        <w:spacing w:after="160" w:line="259" w:lineRule="auto"/>
        <w:rPr>
          <w:rStyle w:val="Hyperlink"/>
          <w:rFonts w:eastAsiaTheme="majorEastAsia" w:cs="Calibri"/>
          <w:b/>
          <w:noProof/>
        </w:rPr>
      </w:pPr>
      <w:r>
        <w:rPr>
          <w:rStyle w:val="Hyperlink"/>
          <w:rFonts w:eastAsiaTheme="majorEastAsia"/>
        </w:rPr>
        <w:br w:type="page"/>
      </w:r>
    </w:p>
    <w:p w14:paraId="166C0955"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538" w:history="1">
        <w:r w:rsidR="0058160C" w:rsidRPr="00086922">
          <w:rPr>
            <w:rStyle w:val="Hyperlink"/>
            <w:rFonts w:eastAsiaTheme="majorEastAsia"/>
          </w:rPr>
          <w:t>Recommendation 50</w:t>
        </w:r>
      </w:hyperlink>
    </w:p>
    <w:p w14:paraId="49AECE15" w14:textId="77777777" w:rsidR="0058160C" w:rsidRDefault="00833958">
      <w:pPr>
        <w:pStyle w:val="TOC2"/>
        <w:rPr>
          <w:rFonts w:asciiTheme="minorHAnsi" w:eastAsiaTheme="minorEastAsia" w:hAnsiTheme="minorHAnsi" w:cstheme="minorBidi"/>
          <w:b w:val="0"/>
          <w:szCs w:val="22"/>
          <w:lang w:eastAsia="zh-TW"/>
        </w:rPr>
      </w:pPr>
      <w:hyperlink w:anchor="_Toc17279539" w:history="1">
        <w:r w:rsidR="0058160C" w:rsidRPr="00086922">
          <w:rPr>
            <w:rStyle w:val="Hyperlink"/>
            <w:rFonts w:eastAsiaTheme="majorEastAsia"/>
          </w:rPr>
          <w:t>5.150</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more cross jurisdictional communication between the Federal Circuit Court and the ACT Children’s Court.</w:t>
        </w:r>
      </w:hyperlink>
    </w:p>
    <w:p w14:paraId="5224CB0D"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540" w:history="1">
        <w:r w:rsidR="0058160C" w:rsidRPr="00086922">
          <w:rPr>
            <w:rStyle w:val="Hyperlink"/>
            <w:rFonts w:eastAsiaTheme="majorEastAsia"/>
          </w:rPr>
          <w:t>Recommendation 51</w:t>
        </w:r>
      </w:hyperlink>
    </w:p>
    <w:p w14:paraId="688EA03D" w14:textId="77777777" w:rsidR="0058160C" w:rsidRDefault="00833958">
      <w:pPr>
        <w:pStyle w:val="TOC2"/>
        <w:rPr>
          <w:rFonts w:asciiTheme="minorHAnsi" w:eastAsiaTheme="minorEastAsia" w:hAnsiTheme="minorHAnsi" w:cstheme="minorBidi"/>
          <w:b w:val="0"/>
          <w:szCs w:val="22"/>
          <w:lang w:eastAsia="zh-TW"/>
        </w:rPr>
      </w:pPr>
      <w:hyperlink w:anchor="_Toc17279541" w:history="1">
        <w:r w:rsidR="0058160C" w:rsidRPr="00086922">
          <w:rPr>
            <w:rStyle w:val="Hyperlink"/>
            <w:rFonts w:eastAsiaTheme="majorEastAsia"/>
          </w:rPr>
          <w:t>5.151</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that ACT Government consider that if Family Violence Orders have been made with consent where evidence is not contested but settled it could be considered that it not impact Working With Vulnerable People and other ACT Government controlled matters.</w:t>
        </w:r>
      </w:hyperlink>
    </w:p>
    <w:p w14:paraId="42A6414A"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542" w:history="1">
        <w:r w:rsidR="0058160C" w:rsidRPr="00086922">
          <w:rPr>
            <w:rStyle w:val="Hyperlink"/>
            <w:rFonts w:eastAsiaTheme="majorEastAsia"/>
          </w:rPr>
          <w:t>Recommendation 52</w:t>
        </w:r>
      </w:hyperlink>
    </w:p>
    <w:p w14:paraId="7F239AC1" w14:textId="77777777" w:rsidR="0058160C" w:rsidRDefault="00833958">
      <w:pPr>
        <w:pStyle w:val="TOC2"/>
        <w:rPr>
          <w:rFonts w:asciiTheme="minorHAnsi" w:eastAsiaTheme="minorEastAsia" w:hAnsiTheme="minorHAnsi" w:cstheme="minorBidi"/>
          <w:b w:val="0"/>
          <w:szCs w:val="22"/>
          <w:lang w:eastAsia="zh-TW"/>
        </w:rPr>
      </w:pPr>
      <w:hyperlink w:anchor="_Toc17279543" w:history="1">
        <w:r w:rsidR="0058160C" w:rsidRPr="00086922">
          <w:rPr>
            <w:rStyle w:val="Hyperlink"/>
            <w:rFonts w:eastAsiaTheme="majorEastAsia"/>
          </w:rPr>
          <w:t>5.152</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that forensic accounting services be made available to victims to assist in ascertaining the full picture of their own and/partner or spouse’s financial situation.</w:t>
        </w:r>
      </w:hyperlink>
    </w:p>
    <w:p w14:paraId="13F4ED61"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544" w:history="1">
        <w:r w:rsidR="0058160C" w:rsidRPr="00086922">
          <w:rPr>
            <w:rStyle w:val="Hyperlink"/>
            <w:rFonts w:eastAsiaTheme="majorEastAsia"/>
          </w:rPr>
          <w:t>Recommendation 53</w:t>
        </w:r>
      </w:hyperlink>
    </w:p>
    <w:p w14:paraId="3643611B" w14:textId="77777777" w:rsidR="0058160C" w:rsidRDefault="00833958">
      <w:pPr>
        <w:pStyle w:val="TOC2"/>
        <w:rPr>
          <w:rFonts w:asciiTheme="minorHAnsi" w:eastAsiaTheme="minorEastAsia" w:hAnsiTheme="minorHAnsi" w:cstheme="minorBidi"/>
          <w:b w:val="0"/>
          <w:szCs w:val="22"/>
          <w:lang w:eastAsia="zh-TW"/>
        </w:rPr>
      </w:pPr>
      <w:hyperlink w:anchor="_Toc17279545" w:history="1">
        <w:r w:rsidR="0058160C" w:rsidRPr="00086922">
          <w:rPr>
            <w:rStyle w:val="Hyperlink"/>
            <w:rFonts w:eastAsiaTheme="majorEastAsia"/>
          </w:rPr>
          <w:t>5.153</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that more be done to ensure fair and reasonable property settlement for a reasonable future be achieved for all parties.</w:t>
        </w:r>
      </w:hyperlink>
    </w:p>
    <w:p w14:paraId="51F10B7E"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546" w:history="1">
        <w:r w:rsidR="0058160C" w:rsidRPr="00086922">
          <w:rPr>
            <w:rStyle w:val="Hyperlink"/>
            <w:rFonts w:eastAsiaTheme="majorEastAsia"/>
          </w:rPr>
          <w:t>Recommendation 54</w:t>
        </w:r>
      </w:hyperlink>
    </w:p>
    <w:p w14:paraId="2752D3F1" w14:textId="77777777" w:rsidR="0058160C" w:rsidRDefault="00833958">
      <w:pPr>
        <w:pStyle w:val="TOC2"/>
        <w:rPr>
          <w:rFonts w:asciiTheme="minorHAnsi" w:eastAsiaTheme="minorEastAsia" w:hAnsiTheme="minorHAnsi" w:cstheme="minorBidi"/>
          <w:b w:val="0"/>
          <w:szCs w:val="22"/>
          <w:lang w:eastAsia="zh-TW"/>
        </w:rPr>
      </w:pPr>
      <w:hyperlink w:anchor="_Toc17279547" w:history="1">
        <w:r w:rsidR="0058160C" w:rsidRPr="00086922">
          <w:rPr>
            <w:rStyle w:val="Hyperlink"/>
            <w:rFonts w:eastAsiaTheme="majorEastAsia"/>
          </w:rPr>
          <w:t>5.154</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that ACT Government extend provisions to allow for cross examination of witnesses in DFV matters in accordance with changes that have been made in court procedures in relation to sexual assault matters to allow video link evidence and using a statement taken at the time of reporting a DFV incident.</w:t>
        </w:r>
      </w:hyperlink>
    </w:p>
    <w:p w14:paraId="2F997EFF"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548" w:history="1">
        <w:r w:rsidR="0058160C" w:rsidRPr="00086922">
          <w:rPr>
            <w:rStyle w:val="Hyperlink"/>
            <w:rFonts w:eastAsiaTheme="majorEastAsia"/>
          </w:rPr>
          <w:t>Recommendation 55</w:t>
        </w:r>
      </w:hyperlink>
    </w:p>
    <w:p w14:paraId="2EA9CA30" w14:textId="77777777" w:rsidR="0058160C" w:rsidRDefault="00833958">
      <w:pPr>
        <w:pStyle w:val="TOC2"/>
        <w:rPr>
          <w:rFonts w:asciiTheme="minorHAnsi" w:eastAsiaTheme="minorEastAsia" w:hAnsiTheme="minorHAnsi" w:cstheme="minorBidi"/>
          <w:b w:val="0"/>
          <w:szCs w:val="22"/>
          <w:lang w:eastAsia="zh-TW"/>
        </w:rPr>
      </w:pPr>
      <w:hyperlink w:anchor="_Toc17279549" w:history="1">
        <w:r w:rsidR="0058160C" w:rsidRPr="00086922">
          <w:rPr>
            <w:rStyle w:val="Hyperlink"/>
            <w:rFonts w:eastAsiaTheme="majorEastAsia"/>
          </w:rPr>
          <w:t>5.157</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that children have a voice in proceedings in a similar manner to Canada’s ‘speak for themselves’ clinician involved program.</w:t>
        </w:r>
      </w:hyperlink>
    </w:p>
    <w:p w14:paraId="42BE6D34"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550" w:history="1">
        <w:r w:rsidR="0058160C" w:rsidRPr="00086922">
          <w:rPr>
            <w:rStyle w:val="Hyperlink"/>
            <w:rFonts w:eastAsiaTheme="majorEastAsia"/>
          </w:rPr>
          <w:t>Recommendation 56</w:t>
        </w:r>
      </w:hyperlink>
    </w:p>
    <w:p w14:paraId="1E702E99" w14:textId="77777777" w:rsidR="0058160C" w:rsidRDefault="00833958">
      <w:pPr>
        <w:pStyle w:val="TOC2"/>
        <w:rPr>
          <w:rFonts w:asciiTheme="minorHAnsi" w:eastAsiaTheme="minorEastAsia" w:hAnsiTheme="minorHAnsi" w:cstheme="minorBidi"/>
          <w:b w:val="0"/>
          <w:szCs w:val="22"/>
          <w:lang w:eastAsia="zh-TW"/>
        </w:rPr>
      </w:pPr>
      <w:hyperlink w:anchor="_Toc17279551" w:history="1">
        <w:r w:rsidR="0058160C" w:rsidRPr="00086922">
          <w:rPr>
            <w:rStyle w:val="Hyperlink"/>
            <w:rFonts w:eastAsiaTheme="majorEastAsia"/>
            <w:bCs/>
          </w:rPr>
          <w:t>5.158</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that ACT Government consider instigating an intermediaries program (similar to programs in England and Wales) to ensure age-appropriate questioning during children’s evidence utilising psychologist’s advice, as currently being trialled in NSW and via remote location</w:t>
        </w:r>
      </w:hyperlink>
    </w:p>
    <w:p w14:paraId="50B85ABB"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552" w:history="1">
        <w:r w:rsidR="0058160C" w:rsidRPr="00086922">
          <w:rPr>
            <w:rStyle w:val="Hyperlink"/>
            <w:rFonts w:eastAsiaTheme="majorEastAsia"/>
          </w:rPr>
          <w:t>Recommendation 57</w:t>
        </w:r>
      </w:hyperlink>
    </w:p>
    <w:p w14:paraId="4B7D85C9" w14:textId="5B862019" w:rsidR="00925807" w:rsidRDefault="00833958">
      <w:pPr>
        <w:pStyle w:val="TOC2"/>
        <w:rPr>
          <w:rStyle w:val="Hyperlink"/>
          <w:rFonts w:eastAsiaTheme="majorEastAsia"/>
        </w:rPr>
      </w:pPr>
      <w:hyperlink w:anchor="_Toc17279553" w:history="1">
        <w:r w:rsidR="0058160C" w:rsidRPr="00086922">
          <w:rPr>
            <w:rStyle w:val="Hyperlink"/>
            <w:rFonts w:eastAsiaTheme="majorEastAsia"/>
          </w:rPr>
          <w:t>6.34</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that assessment of success of outcomes must include victims and families own views on their own circumstances—not only the views of support, officials, or social workers.</w:t>
        </w:r>
      </w:hyperlink>
    </w:p>
    <w:p w14:paraId="438A4B5B" w14:textId="77777777" w:rsidR="00925807" w:rsidRDefault="00925807">
      <w:pPr>
        <w:spacing w:after="160" w:line="259" w:lineRule="auto"/>
        <w:rPr>
          <w:rStyle w:val="Hyperlink"/>
          <w:rFonts w:eastAsiaTheme="majorEastAsia" w:cs="Calibri"/>
          <w:b/>
          <w:noProof/>
        </w:rPr>
      </w:pPr>
      <w:r>
        <w:rPr>
          <w:rStyle w:val="Hyperlink"/>
          <w:rFonts w:eastAsiaTheme="majorEastAsia"/>
        </w:rPr>
        <w:br w:type="page"/>
      </w:r>
    </w:p>
    <w:p w14:paraId="29823F4C"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554" w:history="1">
        <w:r w:rsidR="0058160C" w:rsidRPr="00086922">
          <w:rPr>
            <w:rStyle w:val="Hyperlink"/>
            <w:rFonts w:eastAsiaTheme="majorEastAsia"/>
            <w:lang w:eastAsia="en-AU"/>
          </w:rPr>
          <w:t>Recommendation 58</w:t>
        </w:r>
      </w:hyperlink>
    </w:p>
    <w:p w14:paraId="04C300D5" w14:textId="77777777" w:rsidR="0058160C" w:rsidRDefault="00833958">
      <w:pPr>
        <w:pStyle w:val="TOC2"/>
        <w:rPr>
          <w:rFonts w:asciiTheme="minorHAnsi" w:eastAsiaTheme="minorEastAsia" w:hAnsiTheme="minorHAnsi" w:cstheme="minorBidi"/>
          <w:b w:val="0"/>
          <w:szCs w:val="22"/>
          <w:lang w:eastAsia="zh-TW"/>
        </w:rPr>
      </w:pPr>
      <w:hyperlink w:anchor="_Toc17279555" w:history="1">
        <w:r w:rsidR="0058160C" w:rsidRPr="00086922">
          <w:rPr>
            <w:rStyle w:val="Hyperlink"/>
            <w:rFonts w:eastAsiaTheme="majorEastAsia"/>
          </w:rPr>
          <w:t>6.35</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that current policy challenges for the ACT arising from the current National Plan to Reduce Violence Against women and Their Children, through the structure and mechanism of the National Partnerships Program, under the National Plan continue.</w:t>
        </w:r>
      </w:hyperlink>
    </w:p>
    <w:p w14:paraId="4803A406"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556" w:history="1">
        <w:r w:rsidR="0058160C" w:rsidRPr="00086922">
          <w:rPr>
            <w:rStyle w:val="Hyperlink"/>
            <w:rFonts w:eastAsiaTheme="majorEastAsia"/>
          </w:rPr>
          <w:t>Recommendation 59</w:t>
        </w:r>
      </w:hyperlink>
    </w:p>
    <w:p w14:paraId="4EB8604E" w14:textId="77777777" w:rsidR="0058160C" w:rsidRDefault="00833958">
      <w:pPr>
        <w:pStyle w:val="TOC2"/>
        <w:rPr>
          <w:rFonts w:asciiTheme="minorHAnsi" w:eastAsiaTheme="minorEastAsia" w:hAnsiTheme="minorHAnsi" w:cstheme="minorBidi"/>
          <w:b w:val="0"/>
          <w:szCs w:val="22"/>
          <w:lang w:eastAsia="zh-TW"/>
        </w:rPr>
      </w:pPr>
      <w:hyperlink w:anchor="_Toc17279557" w:history="1">
        <w:r w:rsidR="0058160C" w:rsidRPr="00086922">
          <w:rPr>
            <w:rStyle w:val="Hyperlink"/>
            <w:rFonts w:eastAsiaTheme="majorEastAsia"/>
          </w:rPr>
          <w:t>7.56</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shd w:val="clear" w:color="auto" w:fill="FFFFFF" w:themeFill="background1"/>
          </w:rPr>
          <w:t>The Committee recommends that the term Family Safety Hub be re-considered given the changes in direction to planning and programs, rather than a ‘one-stop-shop’ as originally envisaged</w:t>
        </w:r>
        <w:r w:rsidR="0058160C" w:rsidRPr="00086922">
          <w:rPr>
            <w:rStyle w:val="Hyperlink"/>
            <w:rFonts w:eastAsiaTheme="majorEastAsia"/>
          </w:rPr>
          <w:t>.</w:t>
        </w:r>
      </w:hyperlink>
    </w:p>
    <w:p w14:paraId="12538048" w14:textId="77777777" w:rsidR="0058160C" w:rsidRDefault="00833958">
      <w:pPr>
        <w:pStyle w:val="TOC1"/>
        <w:rPr>
          <w:rFonts w:asciiTheme="minorHAnsi" w:eastAsiaTheme="minorEastAsia" w:hAnsiTheme="minorHAnsi" w:cstheme="minorBidi"/>
          <w:b w:val="0"/>
          <w:smallCaps w:val="0"/>
          <w:spacing w:val="0"/>
          <w:sz w:val="22"/>
          <w:lang w:eastAsia="zh-TW"/>
        </w:rPr>
      </w:pPr>
      <w:hyperlink w:anchor="_Toc17279558" w:history="1">
        <w:r w:rsidR="0058160C" w:rsidRPr="00086922">
          <w:rPr>
            <w:rStyle w:val="Hyperlink"/>
            <w:rFonts w:eastAsiaTheme="majorEastAsia"/>
          </w:rPr>
          <w:t>Recommendation 60</w:t>
        </w:r>
      </w:hyperlink>
    </w:p>
    <w:p w14:paraId="286D0BDF" w14:textId="77777777" w:rsidR="0058160C" w:rsidRDefault="00833958">
      <w:pPr>
        <w:pStyle w:val="TOC2"/>
        <w:rPr>
          <w:rFonts w:asciiTheme="minorHAnsi" w:eastAsiaTheme="minorEastAsia" w:hAnsiTheme="minorHAnsi" w:cstheme="minorBidi"/>
          <w:b w:val="0"/>
          <w:szCs w:val="22"/>
          <w:lang w:eastAsia="zh-TW"/>
        </w:rPr>
      </w:pPr>
      <w:hyperlink w:anchor="_Toc17279559" w:history="1">
        <w:r w:rsidR="0058160C" w:rsidRPr="00086922">
          <w:rPr>
            <w:rStyle w:val="Hyperlink"/>
            <w:rFonts w:eastAsiaTheme="majorEastAsia"/>
            <w:iCs/>
          </w:rPr>
          <w:t>7.64</w:t>
        </w:r>
        <w:r w:rsidR="0058160C">
          <w:rPr>
            <w:rFonts w:asciiTheme="minorHAnsi" w:eastAsiaTheme="minorEastAsia" w:hAnsiTheme="minorHAnsi" w:cstheme="minorBidi"/>
            <w:b w:val="0"/>
            <w:szCs w:val="22"/>
            <w:lang w:eastAsia="zh-TW"/>
          </w:rPr>
          <w:tab/>
        </w:r>
        <w:r w:rsidR="0058160C" w:rsidRPr="00086922">
          <w:rPr>
            <w:rStyle w:val="Hyperlink"/>
            <w:rFonts w:eastAsiaTheme="majorEastAsia"/>
          </w:rPr>
          <w:t>The Committee recommends that progress of the Family Safety Hub, its developing role and any measurable outcomes, be the subject of regular reporting.</w:t>
        </w:r>
      </w:hyperlink>
    </w:p>
    <w:p w14:paraId="1EEFD675" w14:textId="32F9BBCD" w:rsidR="00E61C26" w:rsidRDefault="00E61C26" w:rsidP="00E61C26">
      <w:pPr>
        <w:pStyle w:val="Heading1"/>
        <w:keepNext w:val="0"/>
        <w:pageBreakBefore w:val="0"/>
        <w:numPr>
          <w:ilvl w:val="0"/>
          <w:numId w:val="0"/>
        </w:numPr>
        <w:ind w:left="567"/>
        <w:sectPr w:rsidR="00E61C26" w:rsidSect="005722A6">
          <w:footerReference w:type="default" r:id="rId19"/>
          <w:headerReference w:type="first" r:id="rId20"/>
          <w:type w:val="oddPage"/>
          <w:pgSz w:w="11907" w:h="16840" w:code="9"/>
          <w:pgMar w:top="1588" w:right="1418" w:bottom="1418" w:left="1418" w:header="720" w:footer="851" w:gutter="0"/>
          <w:pgNumType w:fmt="lowerRoman"/>
          <w:cols w:space="720"/>
          <w:docGrid w:linePitch="360"/>
        </w:sectPr>
      </w:pPr>
      <w:r>
        <w:rPr>
          <w:rFonts w:ascii="Calibri" w:hAnsi="Calibri" w:cs="Calibri"/>
          <w:b/>
          <w:bCs w:val="0"/>
          <w:noProof/>
          <w:kern w:val="0"/>
          <w:sz w:val="24"/>
          <w:szCs w:val="22"/>
        </w:rPr>
        <w:fldChar w:fldCharType="end"/>
      </w:r>
    </w:p>
    <w:p w14:paraId="7202FB40" w14:textId="77777777" w:rsidR="00E61C26" w:rsidRDefault="00E61C26" w:rsidP="00E61C26">
      <w:pPr>
        <w:pStyle w:val="Heading1"/>
      </w:pPr>
      <w:bookmarkStart w:id="35" w:name="_Toc341433425"/>
      <w:bookmarkStart w:id="36" w:name="_Toc341687870"/>
      <w:bookmarkStart w:id="37" w:name="_Toc16763987"/>
      <w:r>
        <w:lastRenderedPageBreak/>
        <w:t>Introduction</w:t>
      </w:r>
      <w:bookmarkEnd w:id="35"/>
      <w:bookmarkEnd w:id="36"/>
      <w:r>
        <w:t xml:space="preserve"> and conduct of inquiry</w:t>
      </w:r>
      <w:bookmarkEnd w:id="37"/>
    </w:p>
    <w:p w14:paraId="776DC1A7" w14:textId="77777777" w:rsidR="00E61C26" w:rsidRDefault="00E61C26" w:rsidP="00E61C26">
      <w:pPr>
        <w:pStyle w:val="Headinglevel2"/>
      </w:pPr>
      <w:bookmarkStart w:id="38" w:name="_Toc492217419"/>
      <w:bookmarkStart w:id="39" w:name="_Toc16763988"/>
      <w:bookmarkStart w:id="40" w:name="_Toc497043073"/>
      <w:r>
        <w:t>Inquiry referral</w:t>
      </w:r>
      <w:bookmarkEnd w:id="38"/>
      <w:bookmarkEnd w:id="39"/>
      <w:r>
        <w:t xml:space="preserve"> </w:t>
      </w:r>
      <w:bookmarkEnd w:id="40"/>
    </w:p>
    <w:p w14:paraId="48AB2A2A" w14:textId="77777777" w:rsidR="00E61C26" w:rsidRDefault="00E61C26" w:rsidP="00E61C26">
      <w:pPr>
        <w:pStyle w:val="BodyText2"/>
        <w:numPr>
          <w:ilvl w:val="5"/>
          <w:numId w:val="6"/>
        </w:numPr>
      </w:pPr>
      <w:r w:rsidRPr="0000577A">
        <w:t>Under the ACT Legislative Assembly’s Standing Orders</w:t>
      </w:r>
      <w:r w:rsidRPr="00562173">
        <w:rPr>
          <w:rStyle w:val="FootnoteReference"/>
        </w:rPr>
        <w:footnoteReference w:id="4"/>
      </w:r>
      <w:r w:rsidRPr="0000577A">
        <w:t xml:space="preserve">, </w:t>
      </w:r>
      <w:r>
        <w:t xml:space="preserve">the </w:t>
      </w:r>
      <w:r w:rsidRPr="0000577A">
        <w:t xml:space="preserve">Standing Committee on </w:t>
      </w:r>
      <w:r>
        <w:t>Justice and Community Safety (</w:t>
      </w:r>
      <w:r w:rsidRPr="0000577A">
        <w:t xml:space="preserve">the Committee) has the power to self-refer inquiries and resolved to conduct an inquiry into </w:t>
      </w:r>
      <w:r>
        <w:t>domestic and family violence—policy approaches and responses</w:t>
      </w:r>
      <w:r w:rsidRPr="0000577A">
        <w:t>.</w:t>
      </w:r>
    </w:p>
    <w:p w14:paraId="697D68E5" w14:textId="77777777" w:rsidR="00E61C26" w:rsidRDefault="00E61C26" w:rsidP="00E61C26">
      <w:pPr>
        <w:pStyle w:val="BodyText1"/>
      </w:pPr>
      <w:r>
        <w:t xml:space="preserve">On 30 March 2017, the Committee informed the ACT Legislative Assembly, that pursuant to Standing Order 216, it had resolved to </w:t>
      </w:r>
      <w:r w:rsidRPr="002C472D">
        <w:t>inquire into domestic and family violence as it relates to policy approaches and responses.</w:t>
      </w:r>
      <w:r>
        <w:rPr>
          <w:rStyle w:val="FootnoteReference"/>
        </w:rPr>
        <w:footnoteReference w:id="5"/>
      </w:r>
    </w:p>
    <w:p w14:paraId="0B2DF8A7" w14:textId="77777777" w:rsidR="00E61C26" w:rsidRDefault="00E61C26" w:rsidP="00E61C26">
      <w:pPr>
        <w:pStyle w:val="Headinglevel2"/>
      </w:pPr>
      <w:bookmarkStart w:id="41" w:name="_Toc16763989"/>
      <w:r>
        <w:t>Inquiry t</w:t>
      </w:r>
      <w:r w:rsidRPr="00065263">
        <w:t>erms of reference</w:t>
      </w:r>
      <w:bookmarkEnd w:id="41"/>
    </w:p>
    <w:p w14:paraId="7DA8E1E0" w14:textId="77777777" w:rsidR="00E61C26" w:rsidRDefault="00E61C26" w:rsidP="00E61C26">
      <w:pPr>
        <w:pStyle w:val="BodyText1"/>
      </w:pPr>
      <w:r>
        <w:t xml:space="preserve">The Committee noted on 30 March 2017 that as the inquiry coverage had potential to cross-over with the resolution of establishment(s) for the Standing Committees on Education, Employment and Youth Affairs; and Health, Ageing and Community Services, after consultation with these committees, it would inform the Assembly, at its next meeting, of the terms of reference. </w:t>
      </w:r>
    </w:p>
    <w:p w14:paraId="52EE4BF4" w14:textId="5941F3C5" w:rsidR="00E61C26" w:rsidRDefault="00E61C26" w:rsidP="00E61C26">
      <w:pPr>
        <w:pStyle w:val="BodyText1"/>
      </w:pPr>
      <w:r>
        <w:t>Accordingly, on 11 May 2017, the Committee informed the Assembly of its terms of reference (T of R) for its inquiry into domestic and family violence (policy approaches and responses).   Specifically, the T of R</w:t>
      </w:r>
      <w:r w:rsidR="00A27C29">
        <w:t xml:space="preserve"> </w:t>
      </w:r>
      <w:r>
        <w:t xml:space="preserve">are to inquire into and report, on: </w:t>
      </w:r>
    </w:p>
    <w:p w14:paraId="1AE4B9F7" w14:textId="09852405" w:rsidR="00E61C26" w:rsidRDefault="00E61C26" w:rsidP="003745A3">
      <w:pPr>
        <w:pStyle w:val="ListBullet"/>
        <w:numPr>
          <w:ilvl w:val="0"/>
          <w:numId w:val="20"/>
        </w:numPr>
      </w:pPr>
      <w:r>
        <w:t xml:space="preserve">the adequacy and effectiveness of current policy </w:t>
      </w:r>
      <w:r w:rsidR="00A27C29">
        <w:t>approaches and</w:t>
      </w:r>
      <w:r>
        <w:t xml:space="preserve"> responses in preventing and responding to domestic and family violence in the ACT;</w:t>
      </w:r>
    </w:p>
    <w:p w14:paraId="53BF08E7" w14:textId="4E52B575" w:rsidR="00E61C26" w:rsidRDefault="00E61C26" w:rsidP="003745A3">
      <w:pPr>
        <w:pStyle w:val="ListBullet"/>
        <w:numPr>
          <w:ilvl w:val="0"/>
          <w:numId w:val="20"/>
        </w:numPr>
      </w:pPr>
      <w:r>
        <w:t xml:space="preserve">the implementation of the ACT Government’s 2016–17 funding commitments to prevent and respond to domestic and family violence in the </w:t>
      </w:r>
      <w:r w:rsidR="00A27C29">
        <w:t>ACT,</w:t>
      </w:r>
      <w:r>
        <w:t xml:space="preserve"> and </w:t>
      </w:r>
      <w:r w:rsidR="00A27C29">
        <w:t>how</w:t>
      </w:r>
      <w:r>
        <w:t xml:space="preserve"> outcomes are being measured; </w:t>
      </w:r>
    </w:p>
    <w:p w14:paraId="62C56D64" w14:textId="77777777" w:rsidR="00E61C26" w:rsidRDefault="00E61C26" w:rsidP="003745A3">
      <w:pPr>
        <w:pStyle w:val="ListBullet"/>
        <w:numPr>
          <w:ilvl w:val="0"/>
          <w:numId w:val="20"/>
        </w:numPr>
      </w:pPr>
      <w:r>
        <w:t xml:space="preserve">the issues and policy challenges (if any) for the ACT arising from the National funding and agenda/policy setting regime/framework—including how outcomes are measured and reported;   </w:t>
      </w:r>
    </w:p>
    <w:p w14:paraId="4B028F9C" w14:textId="77777777" w:rsidR="00E61C26" w:rsidRDefault="00E61C26" w:rsidP="003745A3">
      <w:pPr>
        <w:pStyle w:val="ListBullet"/>
        <w:numPr>
          <w:ilvl w:val="0"/>
          <w:numId w:val="20"/>
        </w:numPr>
      </w:pPr>
      <w:r>
        <w:t>best practice policy approaches and responses being undertaken in other jurisdictions to prevent and/or respond to domestic and family violence; and</w:t>
      </w:r>
    </w:p>
    <w:p w14:paraId="3C4C3E4C" w14:textId="77777777" w:rsidR="00E61C26" w:rsidRDefault="00E61C26" w:rsidP="003745A3">
      <w:pPr>
        <w:pStyle w:val="ListBullet"/>
        <w:numPr>
          <w:ilvl w:val="0"/>
          <w:numId w:val="20"/>
        </w:numPr>
      </w:pPr>
      <w:r>
        <w:t xml:space="preserve">any other related matters. </w:t>
      </w:r>
    </w:p>
    <w:p w14:paraId="53FEAF4B" w14:textId="77777777" w:rsidR="00E61C26" w:rsidRDefault="00E61C26" w:rsidP="00E61C26">
      <w:pPr>
        <w:pStyle w:val="BodyText1"/>
      </w:pPr>
      <w:r>
        <w:lastRenderedPageBreak/>
        <w:t>In considering the Inquiry T of R—the Committee’s overarching focus is concerned with the adequacy and effectiveness of policy approaches and responses in preventing and responding to domestic and family violence—in particular, a focus on outcomes (as opposed to outputs and activities); evaluating and measuring effectiveness; the evidence base for different types of interventions; and the funding and agenda/policy setting regime/framework for domestic and family violence.</w:t>
      </w:r>
    </w:p>
    <w:p w14:paraId="6C97A73C" w14:textId="77777777" w:rsidR="00E61C26" w:rsidRDefault="00E61C26" w:rsidP="00E61C26">
      <w:pPr>
        <w:pStyle w:val="Headinglevel2"/>
      </w:pPr>
      <w:bookmarkStart w:id="42" w:name="_Toc16763990"/>
      <w:r>
        <w:t>Conduct of the inquiry</w:t>
      </w:r>
      <w:bookmarkEnd w:id="42"/>
    </w:p>
    <w:p w14:paraId="10F7A495" w14:textId="77777777" w:rsidR="00E61C26" w:rsidRDefault="00E61C26" w:rsidP="00E61C26">
      <w:pPr>
        <w:pStyle w:val="Headinglevel4"/>
      </w:pPr>
      <w:r>
        <w:t>Field visits</w:t>
      </w:r>
    </w:p>
    <w:p w14:paraId="07719E4E" w14:textId="77777777" w:rsidR="00E61C26" w:rsidRDefault="00E61C26" w:rsidP="00E61C26">
      <w:pPr>
        <w:pStyle w:val="BodyText2"/>
        <w:numPr>
          <w:ilvl w:val="5"/>
          <w:numId w:val="6"/>
        </w:numPr>
        <w:rPr>
          <w:rFonts w:eastAsia="Calibri" w:cs="Calibri"/>
          <w:szCs w:val="22"/>
          <w:lang w:eastAsia="en-AU"/>
        </w:rPr>
      </w:pPr>
      <w:r>
        <w:t>As a part of its inquiry, the Committee held an interstate field visit to gather information</w:t>
      </w:r>
      <w:r>
        <w:rPr>
          <w:rFonts w:eastAsia="Calibri" w:cs="Calibri"/>
          <w:szCs w:val="22"/>
          <w:lang w:eastAsia="en-AU"/>
        </w:rPr>
        <w:t xml:space="preserve"> as follows:</w:t>
      </w:r>
    </w:p>
    <w:p w14:paraId="2CD2D654" w14:textId="77777777" w:rsidR="00E61C26" w:rsidRPr="002B0F54" w:rsidRDefault="00E61C26" w:rsidP="00E61C26">
      <w:pPr>
        <w:pStyle w:val="ListNumber3"/>
        <w:numPr>
          <w:ilvl w:val="0"/>
          <w:numId w:val="1"/>
        </w:numPr>
      </w:pPr>
      <w:r w:rsidRPr="002B0F54">
        <w:t>Victoria (one day)—Wednesday 3 May 2017</w:t>
      </w:r>
    </w:p>
    <w:p w14:paraId="2F750CA3" w14:textId="77777777" w:rsidR="00E61C26" w:rsidRPr="008B201B" w:rsidRDefault="00E61C26" w:rsidP="00E61C26">
      <w:pPr>
        <w:pStyle w:val="BodyText1"/>
      </w:pPr>
      <w:r w:rsidRPr="008B201B">
        <w:t xml:space="preserve">The Committee </w:t>
      </w:r>
      <w:r>
        <w:t>was</w:t>
      </w:r>
      <w:r w:rsidRPr="008B201B">
        <w:t xml:space="preserve"> of the view that given the recent Victorian Royal Commission into Family Violence (March 2016) and the subsequent Government response (which include</w:t>
      </w:r>
      <w:r>
        <w:t>d</w:t>
      </w:r>
      <w:r w:rsidRPr="008B201B">
        <w:t xml:space="preserve"> the formation of several governance bodies to guide the agenda for implementing the Commission’s 227 recommendations) </w:t>
      </w:r>
      <w:r>
        <w:t xml:space="preserve">that </w:t>
      </w:r>
      <w:r w:rsidRPr="008B201B">
        <w:t>a visit to Victoria to meet with representatives from the lead public service area coordinating and leading the policy response</w:t>
      </w:r>
      <w:r>
        <w:t xml:space="preserve">, together with  other organisations working in domestic and family violence policy, frontline service delivery and advocacy </w:t>
      </w:r>
      <w:r w:rsidRPr="008B201B">
        <w:t>would be worthwhile.</w:t>
      </w:r>
    </w:p>
    <w:p w14:paraId="3872A4EE" w14:textId="77777777" w:rsidR="00E61C26" w:rsidRDefault="00E61C26" w:rsidP="00E61C26">
      <w:pPr>
        <w:pStyle w:val="BodyText2"/>
        <w:numPr>
          <w:ilvl w:val="5"/>
          <w:numId w:val="6"/>
        </w:numPr>
      </w:pPr>
      <w:r w:rsidRPr="00747F39">
        <w:rPr>
          <w:rFonts w:eastAsia="Calibri"/>
          <w:lang w:eastAsia="en-AU"/>
        </w:rPr>
        <w:t>The Committee met with key people from</w:t>
      </w:r>
      <w:r>
        <w:rPr>
          <w:rFonts w:eastAsia="Calibri"/>
          <w:lang w:eastAsia="en-AU"/>
        </w:rPr>
        <w:t xml:space="preserve"> a range of government, non-government and professional organisations. </w:t>
      </w:r>
      <w:r w:rsidRPr="00747F39">
        <w:rPr>
          <w:rFonts w:eastAsia="Calibri"/>
          <w:lang w:eastAsia="en-AU"/>
        </w:rPr>
        <w:t xml:space="preserve"> </w:t>
      </w:r>
      <w:r>
        <w:t xml:space="preserve">A summary of the Committee’s meeting schedule(s) for this visit is at </w:t>
      </w:r>
      <w:r w:rsidRPr="00747F39">
        <w:rPr>
          <w:b/>
        </w:rPr>
        <w:t>Appendix A</w:t>
      </w:r>
      <w:r>
        <w:t>.</w:t>
      </w:r>
    </w:p>
    <w:p w14:paraId="212DFE87" w14:textId="77777777" w:rsidR="00E61C26" w:rsidRDefault="00E61C26" w:rsidP="00E61C26">
      <w:pPr>
        <w:pStyle w:val="BodyText2"/>
        <w:numPr>
          <w:ilvl w:val="5"/>
          <w:numId w:val="6"/>
        </w:numPr>
      </w:pPr>
      <w:r>
        <w:t>The Committee also thanks those individuals and organisations for making time available to meet with it.</w:t>
      </w:r>
    </w:p>
    <w:p w14:paraId="7C8A4021" w14:textId="77777777" w:rsidR="00E61C26" w:rsidRDefault="00E61C26" w:rsidP="00E61C26">
      <w:pPr>
        <w:pStyle w:val="Headinglevel4"/>
      </w:pPr>
      <w:r>
        <w:t>Other visits and briefings</w:t>
      </w:r>
    </w:p>
    <w:p w14:paraId="5ECB2FF1" w14:textId="77777777" w:rsidR="00E61C26" w:rsidRPr="00F11E46" w:rsidRDefault="00E61C26" w:rsidP="00E61C26">
      <w:pPr>
        <w:pStyle w:val="BodyText2"/>
        <w:numPr>
          <w:ilvl w:val="5"/>
          <w:numId w:val="6"/>
        </w:numPr>
      </w:pPr>
      <w:r w:rsidRPr="00F11E46">
        <w:t>The Committee met with several organisations in the ACT as part of its familiarisation with the detail of how those responsible for the development, implementation, support and monitoring of ACT programs.</w:t>
      </w:r>
    </w:p>
    <w:p w14:paraId="33FB176E" w14:textId="59560AC8" w:rsidR="00E61C26" w:rsidRPr="00F11E46" w:rsidRDefault="00E61C26" w:rsidP="00E61C26">
      <w:pPr>
        <w:pStyle w:val="BodyText2"/>
        <w:numPr>
          <w:ilvl w:val="5"/>
          <w:numId w:val="6"/>
        </w:numPr>
      </w:pPr>
      <w:r w:rsidRPr="00F11E46">
        <w:t>These vis</w:t>
      </w:r>
      <w:r>
        <w:t>i</w:t>
      </w:r>
      <w:r w:rsidRPr="00F11E46">
        <w:t xml:space="preserve">ts included a </w:t>
      </w:r>
      <w:r w:rsidR="00A27C29" w:rsidRPr="00F11E46">
        <w:t>visit</w:t>
      </w:r>
      <w:r w:rsidRPr="00F11E46">
        <w:t xml:space="preserve"> to:</w:t>
      </w:r>
    </w:p>
    <w:p w14:paraId="42BE997F" w14:textId="77777777" w:rsidR="00E61C26" w:rsidRPr="00F11E46" w:rsidRDefault="00E61C26" w:rsidP="003745A3">
      <w:pPr>
        <w:pStyle w:val="ListBullet"/>
        <w:numPr>
          <w:ilvl w:val="0"/>
          <w:numId w:val="22"/>
        </w:numPr>
      </w:pPr>
      <w:r w:rsidRPr="00F11E46">
        <w:t>ACT Legal Aid and Family Violence training team – April 2018</w:t>
      </w:r>
    </w:p>
    <w:p w14:paraId="2513825E" w14:textId="77777777" w:rsidR="00E61C26" w:rsidRPr="00F11E46" w:rsidRDefault="00E61C26" w:rsidP="003745A3">
      <w:pPr>
        <w:pStyle w:val="ListBullet"/>
        <w:numPr>
          <w:ilvl w:val="0"/>
          <w:numId w:val="22"/>
        </w:numPr>
      </w:pPr>
      <w:r>
        <w:t xml:space="preserve">A series of </w:t>
      </w:r>
      <w:r w:rsidRPr="00F11E46">
        <w:t>discussions and briefings on the ACT Family Safety Hub – May and June 2018</w:t>
      </w:r>
    </w:p>
    <w:p w14:paraId="787D12D5" w14:textId="7DAC6483" w:rsidR="00E61C26" w:rsidRPr="00AD1B6E" w:rsidRDefault="00E61C26" w:rsidP="003745A3">
      <w:pPr>
        <w:pStyle w:val="ListBullet"/>
        <w:numPr>
          <w:ilvl w:val="0"/>
          <w:numId w:val="22"/>
        </w:numPr>
      </w:pPr>
      <w:r w:rsidRPr="00AD1B6E">
        <w:lastRenderedPageBreak/>
        <w:t xml:space="preserve">An update discussion and briefing by the Coordinator-General of Family Safety on a wide range current and proposed policy responses (including the Family Safety </w:t>
      </w:r>
      <w:r w:rsidR="00A27C29" w:rsidRPr="00AD1B6E">
        <w:t>Hub) -</w:t>
      </w:r>
      <w:r w:rsidRPr="00AD1B6E">
        <w:t xml:space="preserve"> February 2019</w:t>
      </w:r>
    </w:p>
    <w:p w14:paraId="7148688A" w14:textId="77777777" w:rsidR="00E61C26" w:rsidRDefault="00E61C26" w:rsidP="00E61C26">
      <w:pPr>
        <w:pStyle w:val="Headinglevel4"/>
      </w:pPr>
      <w:r>
        <w:t>Submissions</w:t>
      </w:r>
    </w:p>
    <w:p w14:paraId="01DF7D62" w14:textId="77777777" w:rsidR="00E61C26" w:rsidRDefault="00E61C26" w:rsidP="00E61C26">
      <w:pPr>
        <w:pStyle w:val="BodyText2"/>
        <w:numPr>
          <w:ilvl w:val="5"/>
          <w:numId w:val="6"/>
        </w:numPr>
      </w:pPr>
      <w:r>
        <w:t>The Committee invited public submissions for its inquiry on 15 June 2017 via a media conference;</w:t>
      </w:r>
      <w:r w:rsidRPr="001B2CC4">
        <w:t xml:space="preserve"> advertising in the </w:t>
      </w:r>
      <w:r w:rsidRPr="001B2CC4">
        <w:rPr>
          <w:i/>
        </w:rPr>
        <w:t>Canberra Times</w:t>
      </w:r>
      <w:r w:rsidRPr="001B2CC4">
        <w:t>, placing a notice on the ACT Legislative Assembly website</w:t>
      </w:r>
      <w:r>
        <w:t xml:space="preserve">; and via social media communication channels.  </w:t>
      </w:r>
      <w:r w:rsidRPr="001B2CC4">
        <w:t>The Committee also directly invited key stakeholders, interest groups and organisations, with an interest in the Inquiry</w:t>
      </w:r>
      <w:r>
        <w:t xml:space="preserve">, to make a written submission. </w:t>
      </w:r>
    </w:p>
    <w:p w14:paraId="75D9C6D4" w14:textId="77777777" w:rsidR="00E61C26" w:rsidRDefault="00E61C26" w:rsidP="00E61C26">
      <w:pPr>
        <w:pStyle w:val="BodyText2"/>
        <w:numPr>
          <w:ilvl w:val="5"/>
          <w:numId w:val="6"/>
        </w:numPr>
      </w:pPr>
      <w:r>
        <w:t>From the outset of the Inquiry, as part of its call for written submissions, the Committee noted:</w:t>
      </w:r>
    </w:p>
    <w:p w14:paraId="3EADB5FE" w14:textId="77777777" w:rsidR="00E61C26" w:rsidRDefault="00E61C26" w:rsidP="00E61C26">
      <w:pPr>
        <w:pStyle w:val="Quote"/>
      </w:pPr>
      <w:r>
        <w:t xml:space="preserve">...that it has </w:t>
      </w:r>
      <w:r w:rsidRPr="00B37FFC">
        <w:t>a broad public interest mandate and</w:t>
      </w:r>
      <w:r>
        <w:t xml:space="preserve"> was</w:t>
      </w:r>
      <w:r w:rsidRPr="00B37FFC">
        <w:t xml:space="preserve"> not in a position to determine the rights and wrongs of individual cases.  The Committee process is not a forum to resolve issues pertaining solely to individual cases or grievances but is a forum to explore the general matters of principle, policy or public administration relevant to the </w:t>
      </w:r>
      <w:r>
        <w:t>terms of reference</w:t>
      </w:r>
      <w:r w:rsidRPr="00B37FFC">
        <w:t xml:space="preserve">.  </w:t>
      </w:r>
      <w:r>
        <w:t>The Committee will be confining its inquiry to its terms of reference</w:t>
      </w:r>
      <w:r>
        <w:rPr>
          <w:rFonts w:ascii="ZWAdobeF" w:hAnsi="ZWAdobeF" w:cs="ZWAdobeF"/>
          <w:sz w:val="2"/>
          <w:szCs w:val="2"/>
        </w:rPr>
        <w:t>7F</w:t>
      </w:r>
      <w:r>
        <w:rPr>
          <w:rStyle w:val="FootnoteReference"/>
        </w:rPr>
        <w:footnoteReference w:id="6"/>
      </w:r>
      <w:r w:rsidRPr="00B37FFC">
        <w:t xml:space="preserve"> </w:t>
      </w:r>
    </w:p>
    <w:p w14:paraId="292BAF4F" w14:textId="77777777" w:rsidR="00E61C26" w:rsidRDefault="00E61C26" w:rsidP="00E61C26">
      <w:pPr>
        <w:pStyle w:val="BodyText2"/>
        <w:numPr>
          <w:ilvl w:val="5"/>
          <w:numId w:val="6"/>
        </w:numPr>
      </w:pPr>
      <w:r>
        <w:t xml:space="preserve">The individuals and organisations who lodged written submissions are listed at </w:t>
      </w:r>
      <w:r w:rsidRPr="00F91731">
        <w:rPr>
          <w:b/>
        </w:rPr>
        <w:t xml:space="preserve">Appendix </w:t>
      </w:r>
      <w:r>
        <w:rPr>
          <w:b/>
        </w:rPr>
        <w:t>B</w:t>
      </w:r>
      <w:r>
        <w:t>.  Copies of these submissions can be downloaded from the Committee homepage.</w:t>
      </w:r>
      <w:r>
        <w:rPr>
          <w:rFonts w:ascii="ZWAdobeF" w:hAnsi="ZWAdobeF" w:cs="ZWAdobeF"/>
          <w:sz w:val="2"/>
          <w:szCs w:val="2"/>
        </w:rPr>
        <w:t>8F</w:t>
      </w:r>
      <w:r>
        <w:rPr>
          <w:rStyle w:val="FootnoteReference"/>
        </w:rPr>
        <w:footnoteReference w:id="7"/>
      </w:r>
      <w:r>
        <w:t xml:space="preserve">  Further detail on submissions received is set out in chapter three.</w:t>
      </w:r>
    </w:p>
    <w:p w14:paraId="0BF141F8" w14:textId="77777777" w:rsidR="00E61C26" w:rsidRDefault="00E61C26" w:rsidP="00E61C26">
      <w:pPr>
        <w:pStyle w:val="Headinglevel4"/>
      </w:pPr>
      <w:r>
        <w:t>Discussion paper</w:t>
      </w:r>
    </w:p>
    <w:p w14:paraId="417C7985" w14:textId="77777777" w:rsidR="00E61C26" w:rsidRDefault="00E61C26" w:rsidP="00E61C26">
      <w:pPr>
        <w:pStyle w:val="BodyText2"/>
        <w:numPr>
          <w:ilvl w:val="5"/>
          <w:numId w:val="6"/>
        </w:numPr>
      </w:pPr>
      <w:r>
        <w:t>The Committee released</w:t>
      </w:r>
      <w:r>
        <w:rPr>
          <w:rFonts w:ascii="ZWAdobeF" w:hAnsi="ZWAdobeF" w:cs="ZWAdobeF"/>
          <w:sz w:val="2"/>
          <w:szCs w:val="2"/>
        </w:rPr>
        <w:t>9F</w:t>
      </w:r>
      <w:r>
        <w:rPr>
          <w:rStyle w:val="FootnoteReference"/>
        </w:rPr>
        <w:footnoteReference w:id="8"/>
      </w:r>
      <w:r>
        <w:t xml:space="preserve"> a discussion paper entitled, </w:t>
      </w:r>
      <w:r w:rsidRPr="00FB62BA">
        <w:rPr>
          <w:i/>
        </w:rPr>
        <w:t>Domestic and Family Violence—Policy approaches and responses</w:t>
      </w:r>
      <w:r w:rsidRPr="003B302D">
        <w:t>,</w:t>
      </w:r>
      <w:r>
        <w:rPr>
          <w:i/>
        </w:rPr>
        <w:t xml:space="preserve"> </w:t>
      </w:r>
      <w:r>
        <w:t xml:space="preserve">to assist individuals and organisations to prepare submissions to its inquiry.  </w:t>
      </w:r>
    </w:p>
    <w:p w14:paraId="5F4EC685" w14:textId="77777777" w:rsidR="00E61C26" w:rsidRDefault="00E61C26" w:rsidP="00E61C26">
      <w:pPr>
        <w:pStyle w:val="Headinglevel4"/>
      </w:pPr>
      <w:r>
        <w:t>Public hearings</w:t>
      </w:r>
    </w:p>
    <w:p w14:paraId="6C22C909" w14:textId="77777777" w:rsidR="00E61C26" w:rsidRDefault="00E61C26" w:rsidP="00E61C26">
      <w:pPr>
        <w:pStyle w:val="BodyText2"/>
        <w:numPr>
          <w:ilvl w:val="5"/>
          <w:numId w:val="6"/>
        </w:numPr>
      </w:pPr>
      <w:r>
        <w:t>The Committee held public hearings on 23 November 2017; 8 February 2018; 8, 15 and 27 March 2018; 3 April 2018; 3 and 15 May 2018.</w:t>
      </w:r>
    </w:p>
    <w:p w14:paraId="0D874D9E" w14:textId="77777777" w:rsidR="00E61C26" w:rsidRDefault="00E61C26" w:rsidP="00E61C26">
      <w:pPr>
        <w:pStyle w:val="BodyText2"/>
        <w:numPr>
          <w:ilvl w:val="5"/>
          <w:numId w:val="6"/>
        </w:numPr>
      </w:pPr>
      <w:r>
        <w:lastRenderedPageBreak/>
        <w:t xml:space="preserve">A list of witnesses who appeared before the Committee is at </w:t>
      </w:r>
      <w:r w:rsidRPr="00913239">
        <w:rPr>
          <w:b/>
        </w:rPr>
        <w:t xml:space="preserve">Appendix </w:t>
      </w:r>
      <w:r>
        <w:rPr>
          <w:b/>
        </w:rPr>
        <w:t>C</w:t>
      </w:r>
      <w:r w:rsidRPr="00C545DC">
        <w:t>.  Full transcripts of</w:t>
      </w:r>
      <w:r>
        <w:t xml:space="preserve"> public hearings are available on the Legislative Assembly website at: </w:t>
      </w:r>
      <w:hyperlink r:id="rId21" w:anchor="justice" w:history="1">
        <w:r w:rsidRPr="000E6E9C">
          <w:rPr>
            <w:rStyle w:val="Hyperlink"/>
            <w:rFonts w:eastAsiaTheme="majorEastAsia"/>
          </w:rPr>
          <w:t>http://www.hansard.act.gov.au/hansard/2017/comms/default.htm - justice</w:t>
        </w:r>
      </w:hyperlink>
      <w:r>
        <w:t>.</w:t>
      </w:r>
    </w:p>
    <w:p w14:paraId="1AB956E1" w14:textId="77777777" w:rsidR="00E61C26" w:rsidRDefault="00E61C26" w:rsidP="00E61C26">
      <w:pPr>
        <w:pStyle w:val="Headinglevel4"/>
      </w:pPr>
      <w:r>
        <w:t>Questions</w:t>
      </w:r>
    </w:p>
    <w:p w14:paraId="5346BD38" w14:textId="66187246" w:rsidR="00E61C26" w:rsidRDefault="00A27C29" w:rsidP="00E61C26">
      <w:pPr>
        <w:pStyle w:val="BodyText2"/>
        <w:numPr>
          <w:ilvl w:val="5"/>
          <w:numId w:val="6"/>
        </w:numPr>
      </w:pPr>
      <w:r>
        <w:t>Several</w:t>
      </w:r>
      <w:r w:rsidR="00E61C26">
        <w:t xml:space="preserve"> </w:t>
      </w:r>
      <w:r w:rsidR="00E61C26" w:rsidRPr="00B77020">
        <w:t xml:space="preserve">witnesses undertook to provide further </w:t>
      </w:r>
      <w:r w:rsidRPr="00B77020">
        <w:t>information or</w:t>
      </w:r>
      <w:r w:rsidR="00E61C26" w:rsidRPr="00B77020">
        <w:t xml:space="preserve"> took questions on notice </w:t>
      </w:r>
      <w:r w:rsidR="00E61C26">
        <w:t>at public hearings.  The Committee acknowledges that taking questions on notice means that a considered and accurate answer can be provided.</w:t>
      </w:r>
    </w:p>
    <w:p w14:paraId="5BD5F21F" w14:textId="77777777" w:rsidR="00E61C26" w:rsidRDefault="00E61C26" w:rsidP="00E61C26">
      <w:pPr>
        <w:pStyle w:val="BodyText1"/>
      </w:pPr>
      <w:r>
        <w:t>The Committee thanks all witnesses for their assistance with the provision of responses and additional information.  This information assisted the Committee in its understanding of the many issues it considered during the inquiry.</w:t>
      </w:r>
    </w:p>
    <w:p w14:paraId="39B674DD" w14:textId="77777777" w:rsidR="00E61C26" w:rsidRDefault="00E61C26" w:rsidP="00E61C26">
      <w:pPr>
        <w:pStyle w:val="BodyText1"/>
      </w:pPr>
      <w:r>
        <w:t>Responses to these questions can be accessed from the inquiry homepage at: [insert hyperlink]</w:t>
      </w:r>
    </w:p>
    <w:p w14:paraId="27AE27D1" w14:textId="77777777" w:rsidR="00E61C26" w:rsidRDefault="00E61C26" w:rsidP="00E61C26">
      <w:pPr>
        <w:pStyle w:val="Headinglevel4"/>
      </w:pPr>
      <w:r>
        <w:t>Report adoption</w:t>
      </w:r>
    </w:p>
    <w:p w14:paraId="5F3A351F" w14:textId="3F34E635" w:rsidR="00E61C26" w:rsidRPr="002D51F6" w:rsidRDefault="00E61C26" w:rsidP="00E61C26">
      <w:pPr>
        <w:pStyle w:val="BodyText2"/>
        <w:numPr>
          <w:ilvl w:val="5"/>
          <w:numId w:val="6"/>
        </w:numPr>
      </w:pPr>
      <w:r>
        <w:t xml:space="preserve">The Committee met </w:t>
      </w:r>
      <w:r w:rsidRPr="00C545DC">
        <w:t xml:space="preserve">on </w:t>
      </w:r>
      <w:r>
        <w:t xml:space="preserve">7 May </w:t>
      </w:r>
      <w:r w:rsidRPr="00C545DC">
        <w:t xml:space="preserve">to consider the Chair’s draft report and the </w:t>
      </w:r>
      <w:r w:rsidRPr="002D51F6">
        <w:t>report, as amended, was adopted by the Committee</w:t>
      </w:r>
      <w:r>
        <w:t xml:space="preserve"> on </w:t>
      </w:r>
      <w:r w:rsidR="0090594A" w:rsidRPr="0090594A">
        <w:t>11</w:t>
      </w:r>
      <w:r w:rsidRPr="0090594A">
        <w:t xml:space="preserve"> June 2019</w:t>
      </w:r>
    </w:p>
    <w:p w14:paraId="5714C8F1" w14:textId="77777777" w:rsidR="00E61C26" w:rsidRDefault="00E61C26" w:rsidP="00E61C26">
      <w:pPr>
        <w:pStyle w:val="Headinglevel2"/>
      </w:pPr>
      <w:bookmarkStart w:id="43" w:name="_Toc492217421"/>
      <w:bookmarkStart w:id="44" w:name="_Toc497043075"/>
      <w:bookmarkStart w:id="45" w:name="_Toc16763991"/>
      <w:r>
        <w:t>Structure of the Committee’s report</w:t>
      </w:r>
      <w:bookmarkEnd w:id="43"/>
      <w:bookmarkEnd w:id="44"/>
      <w:bookmarkEnd w:id="45"/>
    </w:p>
    <w:p w14:paraId="536DA7DB" w14:textId="77777777" w:rsidR="00E61C26" w:rsidRDefault="00E61C26" w:rsidP="00E61C26">
      <w:pPr>
        <w:pStyle w:val="BodyText2"/>
        <w:numPr>
          <w:ilvl w:val="5"/>
          <w:numId w:val="6"/>
        </w:numPr>
      </w:pPr>
      <w:r>
        <w:t>The Committee’s report is divided into three parts, comprising 12 chapters, covering the following main topics:</w:t>
      </w:r>
    </w:p>
    <w:p w14:paraId="30CD6263" w14:textId="77777777" w:rsidR="00E61C26" w:rsidRPr="00081ACF" w:rsidRDefault="00E61C26" w:rsidP="00E61C26">
      <w:pPr>
        <w:pStyle w:val="Bodytextnonumbering"/>
        <w:keepNext w:val="0"/>
        <w:spacing w:before="120"/>
        <w:ind w:left="426"/>
        <w:rPr>
          <w:i/>
          <w:u w:val="single"/>
        </w:rPr>
      </w:pPr>
      <w:r w:rsidRPr="00081ACF">
        <w:rPr>
          <w:i/>
          <w:u w:val="single"/>
        </w:rPr>
        <w:t>Part 1—Context to the Inquiry</w:t>
      </w:r>
    </w:p>
    <w:p w14:paraId="52444409" w14:textId="77777777" w:rsidR="00E61C26" w:rsidRDefault="00E61C26" w:rsidP="00E61C26">
      <w:pPr>
        <w:pStyle w:val="Bodytextnonumbering"/>
        <w:keepNext w:val="0"/>
        <w:numPr>
          <w:ilvl w:val="0"/>
          <w:numId w:val="14"/>
        </w:numPr>
        <w:spacing w:before="120"/>
      </w:pPr>
      <w:r>
        <w:t>Chapter 1—Introduction and conduct of the Inquiry</w:t>
      </w:r>
    </w:p>
    <w:p w14:paraId="1FF2DF78" w14:textId="29D487B2" w:rsidR="00E61C26" w:rsidRDefault="00E61C26" w:rsidP="00E61C26">
      <w:pPr>
        <w:pStyle w:val="Bodytextnonumbering"/>
        <w:keepNext w:val="0"/>
        <w:numPr>
          <w:ilvl w:val="0"/>
          <w:numId w:val="14"/>
        </w:numPr>
        <w:spacing w:before="120"/>
      </w:pPr>
      <w:r>
        <w:t xml:space="preserve">Chapter 2—Inquiry context which deals with the inquiry subject matter </w:t>
      </w:r>
      <w:r w:rsidR="00A27C29">
        <w:t>and</w:t>
      </w:r>
      <w:r>
        <w:t xml:space="preserve"> describes the ACT local context.</w:t>
      </w:r>
    </w:p>
    <w:p w14:paraId="4373BC09" w14:textId="77777777" w:rsidR="00E61C26" w:rsidRPr="00081ACF" w:rsidRDefault="00E61C26" w:rsidP="00E61C26">
      <w:pPr>
        <w:pStyle w:val="Bodytextnonumbering"/>
        <w:keepNext w:val="0"/>
        <w:spacing w:before="120"/>
        <w:ind w:left="426"/>
        <w:rPr>
          <w:i/>
          <w:u w:val="single"/>
        </w:rPr>
      </w:pPr>
      <w:r w:rsidRPr="00081ACF">
        <w:rPr>
          <w:i/>
          <w:u w:val="single"/>
        </w:rPr>
        <w:t xml:space="preserve">Part 2—Views </w:t>
      </w:r>
      <w:r>
        <w:rPr>
          <w:i/>
          <w:u w:val="single"/>
        </w:rPr>
        <w:t>from submitters and witnesses</w:t>
      </w:r>
    </w:p>
    <w:p w14:paraId="4A017D03" w14:textId="77777777" w:rsidR="00E61C26" w:rsidRDefault="00E61C26" w:rsidP="00E61C26">
      <w:pPr>
        <w:pStyle w:val="Bodytextnonumbering"/>
        <w:keepNext w:val="0"/>
        <w:numPr>
          <w:ilvl w:val="0"/>
          <w:numId w:val="15"/>
        </w:numPr>
        <w:spacing w:before="120"/>
      </w:pPr>
      <w:r>
        <w:t>Chapter 3—Views of submitters and witnesses</w:t>
      </w:r>
    </w:p>
    <w:p w14:paraId="3625AA77" w14:textId="77777777" w:rsidR="00E61C26" w:rsidRDefault="00E61C26" w:rsidP="00E61C26">
      <w:pPr>
        <w:pStyle w:val="Bodytextnonumbering"/>
        <w:keepNext w:val="0"/>
        <w:spacing w:before="120"/>
        <w:ind w:left="426"/>
        <w:rPr>
          <w:i/>
          <w:u w:val="single"/>
        </w:rPr>
      </w:pPr>
      <w:r w:rsidRPr="00081ACF">
        <w:rPr>
          <w:i/>
          <w:u w:val="single"/>
        </w:rPr>
        <w:t xml:space="preserve">Part </w:t>
      </w:r>
      <w:r>
        <w:rPr>
          <w:i/>
          <w:u w:val="single"/>
        </w:rPr>
        <w:t>4</w:t>
      </w:r>
      <w:r w:rsidRPr="00081ACF">
        <w:rPr>
          <w:i/>
          <w:u w:val="single"/>
        </w:rPr>
        <w:t>—</w:t>
      </w:r>
      <w:r>
        <w:rPr>
          <w:i/>
          <w:u w:val="single"/>
        </w:rPr>
        <w:t>Views of the Committee</w:t>
      </w:r>
    </w:p>
    <w:p w14:paraId="5E0970EB" w14:textId="77777777" w:rsidR="00E61C26" w:rsidRPr="00F67281" w:rsidRDefault="00E61C26" w:rsidP="00E61C26">
      <w:pPr>
        <w:pStyle w:val="Bodytextnonumbering"/>
        <w:keepNext w:val="0"/>
        <w:numPr>
          <w:ilvl w:val="0"/>
          <w:numId w:val="16"/>
        </w:numPr>
        <w:spacing w:before="120"/>
      </w:pPr>
      <w:r>
        <w:t>Chapter 4—Guiding principles informing elements of design, form, functions and powers</w:t>
      </w:r>
    </w:p>
    <w:p w14:paraId="2B3DD179" w14:textId="77777777" w:rsidR="00E61C26" w:rsidRDefault="00E61C26" w:rsidP="00E61C26">
      <w:pPr>
        <w:pStyle w:val="Bodytextnonumbering"/>
        <w:keepNext w:val="0"/>
        <w:numPr>
          <w:ilvl w:val="0"/>
          <w:numId w:val="16"/>
        </w:numPr>
        <w:spacing w:before="120"/>
      </w:pPr>
      <w:r w:rsidRPr="00F67281">
        <w:t xml:space="preserve">Chapter </w:t>
      </w:r>
      <w:r>
        <w:t>5</w:t>
      </w:r>
      <w:r w:rsidRPr="00F67281">
        <w:t>—</w:t>
      </w:r>
      <w:r w:rsidRPr="00167A9E">
        <w:t xml:space="preserve">Adequacy and effectiveness of current </w:t>
      </w:r>
      <w:r>
        <w:t xml:space="preserve">ACT </w:t>
      </w:r>
      <w:r w:rsidRPr="00167A9E">
        <w:t>policy approaches and responses</w:t>
      </w:r>
    </w:p>
    <w:p w14:paraId="7D99CA39" w14:textId="77777777" w:rsidR="00E61C26" w:rsidRDefault="00E61C26" w:rsidP="00E61C26">
      <w:pPr>
        <w:pStyle w:val="Bodytextnonumbering"/>
        <w:keepNext w:val="0"/>
        <w:numPr>
          <w:ilvl w:val="0"/>
          <w:numId w:val="16"/>
        </w:numPr>
        <w:spacing w:before="120"/>
      </w:pPr>
      <w:r>
        <w:t xml:space="preserve">Chapter 6— </w:t>
      </w:r>
      <w:r w:rsidRPr="00167A9E">
        <w:t>Implementation of the ACT Safer Families initiative</w:t>
      </w:r>
      <w:r>
        <w:t>s and associated programs – 2018-19</w:t>
      </w:r>
    </w:p>
    <w:p w14:paraId="0FEFE08D" w14:textId="77777777" w:rsidR="00E61C26" w:rsidRPr="00442305" w:rsidRDefault="00E61C26" w:rsidP="00E61C26">
      <w:pPr>
        <w:pStyle w:val="Bodytextnonumbering"/>
        <w:ind w:left="360"/>
        <w:rPr>
          <w:i/>
          <w:u w:val="single"/>
        </w:rPr>
      </w:pPr>
      <w:r w:rsidRPr="00442305">
        <w:rPr>
          <w:i/>
          <w:u w:val="single"/>
        </w:rPr>
        <w:lastRenderedPageBreak/>
        <w:t xml:space="preserve">Part 5 – Other Issues Including National policy settings on DFV relevant to ACT policy approaches and responses </w:t>
      </w:r>
    </w:p>
    <w:p w14:paraId="00862DCF" w14:textId="77777777" w:rsidR="00E61C26" w:rsidRDefault="00E61C26" w:rsidP="00E61C26">
      <w:pPr>
        <w:pStyle w:val="Bodytextnonumbering"/>
        <w:keepNext w:val="0"/>
        <w:numPr>
          <w:ilvl w:val="0"/>
          <w:numId w:val="16"/>
        </w:numPr>
        <w:spacing w:before="120"/>
      </w:pPr>
      <w:r>
        <w:t>Chapter 7 - I</w:t>
      </w:r>
      <w:r w:rsidRPr="00167A9E">
        <w:t>ssues and poli</w:t>
      </w:r>
      <w:r>
        <w:t>cy challenges arising from the current n</w:t>
      </w:r>
      <w:r w:rsidRPr="00167A9E">
        <w:t>ational funding and agenda/policy setting regime/framework</w:t>
      </w:r>
    </w:p>
    <w:p w14:paraId="36981499" w14:textId="77777777" w:rsidR="00E61C26" w:rsidRDefault="00E61C26" w:rsidP="00E61C26">
      <w:pPr>
        <w:pStyle w:val="Bodytextnonumbering"/>
        <w:keepNext w:val="0"/>
        <w:numPr>
          <w:ilvl w:val="0"/>
          <w:numId w:val="16"/>
        </w:numPr>
        <w:spacing w:before="120"/>
      </w:pPr>
      <w:r>
        <w:t>Chapter 8—</w:t>
      </w:r>
      <w:r w:rsidRPr="00167A9E">
        <w:t>Best practice policy approaches and responses</w:t>
      </w:r>
    </w:p>
    <w:p w14:paraId="035B067B" w14:textId="77777777" w:rsidR="00E61C26" w:rsidRPr="00F67281" w:rsidRDefault="00E61C26" w:rsidP="00E61C26">
      <w:pPr>
        <w:pStyle w:val="Bodytextnonumbering"/>
        <w:keepNext w:val="0"/>
        <w:numPr>
          <w:ilvl w:val="0"/>
          <w:numId w:val="16"/>
        </w:numPr>
        <w:spacing w:before="120"/>
      </w:pPr>
      <w:r>
        <w:t xml:space="preserve">Chapter 9—Conclusion </w:t>
      </w:r>
    </w:p>
    <w:p w14:paraId="561453E8" w14:textId="77777777" w:rsidR="00E61C26" w:rsidRDefault="00E61C26" w:rsidP="00E61C26">
      <w:pPr>
        <w:pStyle w:val="Headinglevel2"/>
      </w:pPr>
      <w:bookmarkStart w:id="46" w:name="_Toc492217422"/>
      <w:bookmarkStart w:id="47" w:name="_Toc497043076"/>
      <w:bookmarkStart w:id="48" w:name="_Toc16763992"/>
      <w:r>
        <w:t>Acknowledgements</w:t>
      </w:r>
      <w:bookmarkEnd w:id="46"/>
      <w:bookmarkEnd w:id="47"/>
      <w:bookmarkEnd w:id="48"/>
    </w:p>
    <w:p w14:paraId="64E3C019" w14:textId="77777777" w:rsidR="00E61C26" w:rsidRDefault="00E61C26" w:rsidP="00E61C26">
      <w:pPr>
        <w:pStyle w:val="BodyText2"/>
        <w:numPr>
          <w:ilvl w:val="5"/>
          <w:numId w:val="6"/>
        </w:numPr>
      </w:pPr>
      <w:r>
        <w:rPr>
          <w:lang w:eastAsia="zh-TW"/>
        </w:rPr>
        <w:t>The Committee thanks all those who contributed to the Inquiry by making submissions, providing additional information and/or appearing before it to give evidence.</w:t>
      </w:r>
    </w:p>
    <w:p w14:paraId="104D709A" w14:textId="77777777" w:rsidR="00E61C26" w:rsidRDefault="00E61C26" w:rsidP="00E61C26">
      <w:pPr>
        <w:pStyle w:val="BodyText2"/>
        <w:numPr>
          <w:ilvl w:val="5"/>
          <w:numId w:val="6"/>
        </w:numPr>
      </w:pPr>
      <w:r>
        <w:t>The Committee recognises the significant commitment of time and resources required to participate in an inquiry of this nature and is grateful that it was able to draw on a broad range of expertise and experience in its deliberations.  The Committee has based many of its recommendations, or variations thereof, on suggestions by inquiry participants.</w:t>
      </w:r>
    </w:p>
    <w:p w14:paraId="05E57E8B" w14:textId="77777777" w:rsidR="00E61C26" w:rsidRDefault="00E61C26" w:rsidP="00E61C26">
      <w:pPr>
        <w:pStyle w:val="BodyText2"/>
        <w:numPr>
          <w:ilvl w:val="5"/>
          <w:numId w:val="6"/>
        </w:numPr>
      </w:pPr>
      <w:r>
        <w:t>During the Committee’s inquiry and hearings, it became apparent that this area of public policy, though not new, has become such a renewed focus of government action and expenditure that it is incumbent upon government to report regularly on expenditure, achievements and measurable outcomes.</w:t>
      </w:r>
    </w:p>
    <w:p w14:paraId="50344F9F" w14:textId="77777777" w:rsidR="00E61C26" w:rsidRDefault="00E61C26" w:rsidP="00E61C26">
      <w:pPr>
        <w:pStyle w:val="Recommendation"/>
      </w:pPr>
      <w:bookmarkStart w:id="49" w:name="_Toc17279433"/>
      <w:bookmarkEnd w:id="49"/>
    </w:p>
    <w:p w14:paraId="01DF584A" w14:textId="77777777" w:rsidR="00E61C26" w:rsidRPr="00442305" w:rsidRDefault="00E61C26" w:rsidP="00E61C26">
      <w:pPr>
        <w:pStyle w:val="RecommendationText"/>
      </w:pPr>
      <w:bookmarkStart w:id="50" w:name="_Toc17279434"/>
      <w:r w:rsidRPr="00442305">
        <w:t>The Committee recommends that the current approach to addressin</w:t>
      </w:r>
      <w:r>
        <w:t>g Domestic and Family V</w:t>
      </w:r>
      <w:r w:rsidRPr="00442305">
        <w:t xml:space="preserve">iolence (DFV) in the ACT be the subject of an annual report to be presented </w:t>
      </w:r>
      <w:r>
        <w:t xml:space="preserve">as a special </w:t>
      </w:r>
      <w:r w:rsidRPr="00442305">
        <w:t>budget paper by the Minister to th</w:t>
      </w:r>
      <w:r>
        <w:t xml:space="preserve">e Legislative Assembly with ACT </w:t>
      </w:r>
      <w:r w:rsidRPr="00442305">
        <w:t>Government’s annual Budget Papers.</w:t>
      </w:r>
      <w:bookmarkEnd w:id="50"/>
    </w:p>
    <w:p w14:paraId="704AB3F8" w14:textId="77777777" w:rsidR="00E61C26" w:rsidRDefault="00E61C26" w:rsidP="00E61C26">
      <w:pPr>
        <w:pStyle w:val="Recommendation"/>
      </w:pPr>
      <w:bookmarkStart w:id="51" w:name="_Toc17279435"/>
      <w:bookmarkEnd w:id="51"/>
    </w:p>
    <w:p w14:paraId="7CE72DEC" w14:textId="77777777" w:rsidR="00E61C26" w:rsidRPr="002D5375" w:rsidRDefault="00E61C26" w:rsidP="00E61C26">
      <w:pPr>
        <w:pStyle w:val="RecommendationText"/>
      </w:pPr>
      <w:bookmarkStart w:id="52" w:name="_Toc17279436"/>
      <w:r w:rsidRPr="002D5375">
        <w:t xml:space="preserve">The Committee recommends that the Coordinator-General of Family safety prepare an annual report </w:t>
      </w:r>
      <w:r>
        <w:t xml:space="preserve">from that office </w:t>
      </w:r>
      <w:r w:rsidRPr="002D5375">
        <w:t>for attachment to the annual report recommended in Recommendation 1</w:t>
      </w:r>
      <w:r>
        <w:t xml:space="preserve">, and that the two reports be </w:t>
      </w:r>
      <w:r w:rsidRPr="002D5375">
        <w:t>presented to the Legislative Assembly.</w:t>
      </w:r>
      <w:bookmarkEnd w:id="52"/>
    </w:p>
    <w:p w14:paraId="4BD9BF2E" w14:textId="77777777" w:rsidR="00E61C26" w:rsidRPr="007B100D" w:rsidRDefault="00E61C26" w:rsidP="00E61C26">
      <w:pPr>
        <w:pStyle w:val="RecommendationText"/>
      </w:pPr>
      <w:bookmarkStart w:id="53" w:name="_Toc17279437"/>
      <w:r>
        <w:t xml:space="preserve">That these two reports </w:t>
      </w:r>
      <w:r w:rsidRPr="007B100D">
        <w:t xml:space="preserve">be referred to the </w:t>
      </w:r>
      <w:r>
        <w:t xml:space="preserve">Justice and Community Safety Committee </w:t>
      </w:r>
      <w:r w:rsidRPr="007B100D">
        <w:t>for a response to be tabled 3 months after the Minister’s Report is tabled</w:t>
      </w:r>
      <w:r>
        <w:t xml:space="preserve"> annually.</w:t>
      </w:r>
      <w:bookmarkEnd w:id="53"/>
    </w:p>
    <w:p w14:paraId="7B8818B5" w14:textId="77777777" w:rsidR="00E61C26" w:rsidRDefault="00E61C26" w:rsidP="00E61C26">
      <w:pPr>
        <w:pStyle w:val="BodyText1"/>
        <w:numPr>
          <w:ilvl w:val="0"/>
          <w:numId w:val="0"/>
        </w:numPr>
        <w:ind w:left="567"/>
      </w:pPr>
    </w:p>
    <w:p w14:paraId="2F28BF28" w14:textId="77777777" w:rsidR="00E61C26" w:rsidRPr="001E35C1" w:rsidRDefault="00E61C26" w:rsidP="00E61C26">
      <w:pPr>
        <w:pStyle w:val="BodyText1"/>
        <w:numPr>
          <w:ilvl w:val="0"/>
          <w:numId w:val="0"/>
        </w:numPr>
        <w:ind w:left="567"/>
        <w:sectPr w:rsidR="00E61C26" w:rsidRPr="001E35C1" w:rsidSect="005722A6">
          <w:footerReference w:type="even" r:id="rId22"/>
          <w:footerReference w:type="default" r:id="rId23"/>
          <w:headerReference w:type="first" r:id="rId24"/>
          <w:type w:val="oddPage"/>
          <w:pgSz w:w="11907" w:h="16840" w:code="9"/>
          <w:pgMar w:top="1588" w:right="1418" w:bottom="1418" w:left="1418" w:header="720" w:footer="851" w:gutter="0"/>
          <w:pgNumType w:start="1"/>
          <w:cols w:space="720"/>
          <w:docGrid w:linePitch="360"/>
        </w:sectPr>
      </w:pPr>
    </w:p>
    <w:p w14:paraId="493A2E7B" w14:textId="77777777" w:rsidR="00E61C26" w:rsidRDefault="00E61C26" w:rsidP="00E61C26">
      <w:pPr>
        <w:pStyle w:val="Heading1"/>
      </w:pPr>
      <w:bookmarkStart w:id="54" w:name="_Toc16763993"/>
      <w:r>
        <w:lastRenderedPageBreak/>
        <w:t>Inquiry context</w:t>
      </w:r>
      <w:bookmarkEnd w:id="54"/>
    </w:p>
    <w:p w14:paraId="5816136D" w14:textId="77777777" w:rsidR="00E61C26" w:rsidRDefault="00E61C26" w:rsidP="00E61C26">
      <w:pPr>
        <w:pStyle w:val="BodyText1"/>
      </w:pPr>
      <w:r>
        <w:t>In considering the Inquiry Terms of Reference (ToR)—the Committee’s overarching focus is concerned with the adequacy and effectiveness of policy approaches and responses in preventing and responding to domestic and family violence—in particular, a focus on outcomes (as opposed to outputs and activities); evaluating and measuring effectiveness; the evidence base for different types of interventions; and the funding and agenda/policy setting regime/framework for domestic and family violence.</w:t>
      </w:r>
    </w:p>
    <w:p w14:paraId="61F42845" w14:textId="77777777" w:rsidR="00E61C26" w:rsidRDefault="00E61C26" w:rsidP="00E61C26">
      <w:pPr>
        <w:pStyle w:val="BodyText1"/>
      </w:pPr>
      <w:r>
        <w:t>To assist with setting a context for the Inquiry, this chapter provides information as it concerns:</w:t>
      </w:r>
    </w:p>
    <w:p w14:paraId="6EB9B994" w14:textId="77777777" w:rsidR="00E61C26" w:rsidRDefault="00E61C26" w:rsidP="00E61C26">
      <w:pPr>
        <w:pStyle w:val="ListNumber3"/>
        <w:numPr>
          <w:ilvl w:val="0"/>
          <w:numId w:val="1"/>
        </w:numPr>
      </w:pPr>
      <w:r>
        <w:t>defining domestic, family and intimate partner violence</w:t>
      </w:r>
    </w:p>
    <w:p w14:paraId="66114CCA" w14:textId="77777777" w:rsidR="00E61C26" w:rsidRDefault="00E61C26" w:rsidP="00E61C26">
      <w:pPr>
        <w:pStyle w:val="ListNumber3"/>
        <w:numPr>
          <w:ilvl w:val="0"/>
          <w:numId w:val="1"/>
        </w:numPr>
      </w:pPr>
      <w:r>
        <w:t>evolution of terminology and coverage; and</w:t>
      </w:r>
    </w:p>
    <w:p w14:paraId="40BBBC1F" w14:textId="77777777" w:rsidR="00E61C26" w:rsidRDefault="00E61C26" w:rsidP="00E61C26">
      <w:pPr>
        <w:pStyle w:val="ListNumber3"/>
        <w:numPr>
          <w:ilvl w:val="0"/>
          <w:numId w:val="1"/>
        </w:numPr>
      </w:pPr>
      <w:r>
        <w:t>background on the ACT Safer Families initiative.</w:t>
      </w:r>
    </w:p>
    <w:p w14:paraId="7D2CC9D3" w14:textId="77777777" w:rsidR="00E61C26" w:rsidRDefault="00E61C26" w:rsidP="00E61C26">
      <w:pPr>
        <w:pStyle w:val="Headinglevel2"/>
      </w:pPr>
      <w:bookmarkStart w:id="55" w:name="_Toc16763994"/>
      <w:r w:rsidRPr="00632DDE">
        <w:t>Defining domestic, family and intimate partner violence</w:t>
      </w:r>
      <w:bookmarkEnd w:id="55"/>
    </w:p>
    <w:p w14:paraId="3A479851" w14:textId="77777777" w:rsidR="00E61C26" w:rsidRDefault="00E61C26" w:rsidP="00E61C26">
      <w:pPr>
        <w:pStyle w:val="Quote"/>
      </w:pPr>
      <w:r>
        <w:rPr>
          <w:lang w:eastAsia="en-AU"/>
        </w:rPr>
        <w:t>There is no single nationally or internationally agreed definition as to what constitutes 'family violence', 'domestic violence', ‘intimate partner violence’ or any similar, related term. The broad term 'Family and Domestic Violence' is a combination of the terms 'Family Violence' and 'Domestic Violence'. These terms can be defined with reference to various contextual elements such as relationships, location of offences, and/or domestic arrangements; and may be interpreted differently depending on the particular legal, policy, service provision, or research view being taken.</w:t>
      </w:r>
      <w:r>
        <w:rPr>
          <w:rStyle w:val="FootnoteReference"/>
          <w:lang w:eastAsia="en-AU"/>
        </w:rPr>
        <w:footnoteReference w:id="9"/>
      </w:r>
    </w:p>
    <w:p w14:paraId="67AB2E38" w14:textId="77777777" w:rsidR="00E61C26" w:rsidRDefault="00E61C26" w:rsidP="00E61C26">
      <w:pPr>
        <w:pStyle w:val="BodyText1"/>
      </w:pPr>
      <w:r>
        <w:t xml:space="preserve">Whilst domestic violence has been long established as a public policy issue (in different guises) for well over thirty years, due to its multi-dimensional make-up, a standard or working definition that spans </w:t>
      </w:r>
      <w:r w:rsidRPr="007077D2">
        <w:t xml:space="preserve">legal, policy, service provision, </w:t>
      </w:r>
      <w:r>
        <w:t xml:space="preserve">and </w:t>
      </w:r>
      <w:r w:rsidRPr="007077D2">
        <w:t xml:space="preserve">research </w:t>
      </w:r>
      <w:r>
        <w:t>domains/spheres remains absent.</w:t>
      </w:r>
    </w:p>
    <w:p w14:paraId="2D190F88" w14:textId="77777777" w:rsidR="00E61C26" w:rsidRPr="00A07C25" w:rsidRDefault="00E61C26" w:rsidP="00E61C26">
      <w:pPr>
        <w:pStyle w:val="BodyText1"/>
      </w:pPr>
      <w:r>
        <w:t xml:space="preserve">Since its emergence as a public policy issue over thirty years ago, a range of terminology has been used with regard to defining domestic and family violence.  Furthermore, how it is understood and its coverage has changed over time.  </w:t>
      </w:r>
      <w:r w:rsidRPr="00A07C25">
        <w:t xml:space="preserve">While the focus was initially on physical violence against women by an abusive male partner, definitions have been broadened and now also include a range of other forms of abuse, including emotional abuse, </w:t>
      </w:r>
      <w:r>
        <w:t xml:space="preserve">financial abuse, </w:t>
      </w:r>
      <w:r w:rsidRPr="00A07C25">
        <w:lastRenderedPageBreak/>
        <w:t>intimidation</w:t>
      </w:r>
      <w:r>
        <w:t xml:space="preserve">, and </w:t>
      </w:r>
      <w:r w:rsidRPr="00A07C25">
        <w:t>stalking</w:t>
      </w:r>
      <w:r>
        <w:t xml:space="preserve"> (further detail on the evolution of terminology and coverage as it concerns domestic and family violence is set out in chapter five).</w:t>
      </w:r>
    </w:p>
    <w:p w14:paraId="3575B18B" w14:textId="77777777" w:rsidR="00E61C26" w:rsidRDefault="00E61C26" w:rsidP="00E61C26">
      <w:pPr>
        <w:pStyle w:val="BodyText1"/>
      </w:pPr>
      <w:r w:rsidRPr="00A07C25">
        <w:t>These developments are reflected in</w:t>
      </w:r>
      <w:r>
        <w:t xml:space="preserve"> contemporary </w:t>
      </w:r>
      <w:r w:rsidRPr="00A07C25">
        <w:t>legislation and policy frameworks across jurisdictions in Australia as well as research and data collection.</w:t>
      </w:r>
    </w:p>
    <w:p w14:paraId="7F28F2DD" w14:textId="77777777" w:rsidR="00E61C26" w:rsidRDefault="00E61C26" w:rsidP="00E61C26">
      <w:pPr>
        <w:pStyle w:val="BodyText1"/>
      </w:pPr>
      <w:r>
        <w:t xml:space="preserve">Importantly, when considering the significant changes that have occurred with regard to its definition and coverage—policy shifts and service developments have built on the campaigns and lobbying of the women’s movement in the 1970’s and the subsequent work of bureaucrats across all levels of government in Australia.  During the 1980s—in various guises, all levels of government examined, in some form, the nature and magnitude of domestic and family violence—which resulted in commitments by government(s) to respond to such violence in a more integrated way than the </w:t>
      </w:r>
      <w:r w:rsidRPr="00C32B3F">
        <w:rPr>
          <w:i/>
        </w:rPr>
        <w:t>ad hoc</w:t>
      </w:r>
      <w:r>
        <w:t xml:space="preserve"> manner which had characterised policy approaches of previous decades.</w:t>
      </w:r>
      <w:r>
        <w:rPr>
          <w:rStyle w:val="FootnoteReference"/>
        </w:rPr>
        <w:footnoteReference w:id="10"/>
      </w:r>
    </w:p>
    <w:p w14:paraId="60FA1287" w14:textId="77777777" w:rsidR="00E61C26" w:rsidRPr="00A07C25" w:rsidRDefault="00E61C26" w:rsidP="00E61C26">
      <w:pPr>
        <w:pStyle w:val="BodyText1"/>
      </w:pPr>
      <w:r>
        <w:t xml:space="preserve">Prior to the implementation of the current framework (the </w:t>
      </w:r>
      <w:r w:rsidRPr="00C32B3F">
        <w:rPr>
          <w:i/>
        </w:rPr>
        <w:t>National Plan to Reduce Violence Against Women and Children 2010–2022</w:t>
      </w:r>
      <w:r>
        <w:t>) to connect the efforts of all Australian governments dealing with issues around domestic and family violence (DFV), governments across all levels have maintained an interest in DFV with a variety of approaches and analyses as it concerned different types of relationships.</w:t>
      </w:r>
      <w:r>
        <w:rPr>
          <w:rStyle w:val="FootnoteReference"/>
        </w:rPr>
        <w:footnoteReference w:id="11"/>
      </w:r>
    </w:p>
    <w:p w14:paraId="74A5A3D3" w14:textId="77777777" w:rsidR="00E61C26" w:rsidRDefault="00E61C26" w:rsidP="00E61C26">
      <w:pPr>
        <w:pStyle w:val="Headinglevel5"/>
      </w:pPr>
      <w:r>
        <w:t>Legislation</w:t>
      </w:r>
    </w:p>
    <w:p w14:paraId="118ACD3E" w14:textId="455C411D" w:rsidR="00E61C26" w:rsidRDefault="00E61C26" w:rsidP="00E61C26">
      <w:pPr>
        <w:pStyle w:val="BodyText1"/>
      </w:pPr>
      <w:r w:rsidRPr="00A07C25">
        <w:t xml:space="preserve">Federal and </w:t>
      </w:r>
      <w:r>
        <w:t>s</w:t>
      </w:r>
      <w:r w:rsidRPr="00A07C25">
        <w:t>tate/</w:t>
      </w:r>
      <w:r>
        <w:t>t</w:t>
      </w:r>
      <w:r w:rsidRPr="00A07C25">
        <w:t xml:space="preserve">erritory legislation </w:t>
      </w:r>
      <w:r>
        <w:t xml:space="preserve">have </w:t>
      </w:r>
      <w:r w:rsidRPr="00A07C25">
        <w:t>reflect</w:t>
      </w:r>
      <w:r>
        <w:t>ed</w:t>
      </w:r>
      <w:r w:rsidRPr="00A07C25">
        <w:t xml:space="preserve"> different views about </w:t>
      </w:r>
      <w:r>
        <w:t xml:space="preserve">domestic </w:t>
      </w:r>
      <w:r w:rsidRPr="00A07C25">
        <w:t xml:space="preserve">and </w:t>
      </w:r>
      <w:r>
        <w:t xml:space="preserve">family </w:t>
      </w:r>
      <w:r w:rsidRPr="00A07C25">
        <w:t>violence. Th</w:t>
      </w:r>
      <w:r>
        <w:t xml:space="preserve">ese views are </w:t>
      </w:r>
      <w:r w:rsidRPr="00A07C25">
        <w:t>reflected in the names of Acts, the definitions included, as well as provisions about the sorts of actions and the range of relationships that are included</w:t>
      </w:r>
      <w:r>
        <w:t xml:space="preserve">. </w:t>
      </w:r>
      <w:r w:rsidR="00A27C29">
        <w:t>Legislative initiatives</w:t>
      </w:r>
      <w:r>
        <w:t xml:space="preserve"> are an essential recognition of DFV as distinct forms of violent behaviour and of their consequences whilst placed in the broader context of all violence.</w:t>
      </w:r>
    </w:p>
    <w:p w14:paraId="14F0731B" w14:textId="77777777" w:rsidR="00E61C26" w:rsidRDefault="00E61C26" w:rsidP="00E61C26">
      <w:pPr>
        <w:pStyle w:val="BodyText1"/>
      </w:pPr>
      <w:r>
        <w:t xml:space="preserve">In various legislation—the terms ‘domestic violence’ and ‘family violence’ are used separately and sometimes together.  In some jurisdictions, a distinction is drawn between family or domestic violence and personal violence.  Legislation also sometimes refers to various forms of abuse. </w:t>
      </w:r>
    </w:p>
    <w:p w14:paraId="677C9365" w14:textId="77777777" w:rsidR="00E61C26" w:rsidRDefault="00E61C26" w:rsidP="00E61C26">
      <w:pPr>
        <w:pStyle w:val="BodyText1"/>
      </w:pPr>
      <w:r>
        <w:t xml:space="preserve">As a result of the national programs and schemes established to respond to DFV, considerable legislative reforms have been introduced in recent years in Australian jurisdictions which reflect views about domestic and family violence.  In the case of the ACT, the </w:t>
      </w:r>
      <w:r w:rsidRPr="00C32B3F">
        <w:rPr>
          <w:i/>
        </w:rPr>
        <w:t xml:space="preserve">Family Violence Act 2016 </w:t>
      </w:r>
      <w:r w:rsidRPr="003A15EA">
        <w:t>was passed in 2016 and</w:t>
      </w:r>
      <w:r w:rsidRPr="00C32B3F">
        <w:rPr>
          <w:i/>
        </w:rPr>
        <w:t xml:space="preserve"> </w:t>
      </w:r>
      <w:r>
        <w:t xml:space="preserve">became effective on 1 May 2017. The ACT has also passed the </w:t>
      </w:r>
      <w:r w:rsidRPr="00C32B3F">
        <w:rPr>
          <w:i/>
        </w:rPr>
        <w:t>Personal Violence Act 2016.</w:t>
      </w:r>
      <w:r>
        <w:rPr>
          <w:i/>
        </w:rPr>
        <w:t xml:space="preserve">  </w:t>
      </w:r>
      <w:r>
        <w:t>These legislative initiatives represent recognition of the need for establishment of specific legal frameworks to support and enforce domestic and family violence orders issued in Australia.</w:t>
      </w:r>
    </w:p>
    <w:p w14:paraId="312F7990" w14:textId="3DC6BB28" w:rsidR="00E61C26" w:rsidRPr="00275984" w:rsidRDefault="00E61C26" w:rsidP="00E61C26">
      <w:pPr>
        <w:pStyle w:val="BodyText1"/>
      </w:pPr>
      <w:r>
        <w:lastRenderedPageBreak/>
        <w:t xml:space="preserve">In the ACT, as in other jurisdictions, the enactment of legislation and implementation of legislative schemes empowering the granting and enforcement of domestic and family violence orders are directed to recognition of the significant health and welfare issue in </w:t>
      </w:r>
      <w:r w:rsidR="00A27C29">
        <w:t>Australia that</w:t>
      </w:r>
      <w:r>
        <w:t xml:space="preserve"> DFV presents across all ages and across all sociodemographic groups, but mainly as it affects women and children.  </w:t>
      </w:r>
    </w:p>
    <w:p w14:paraId="0557440F" w14:textId="77777777" w:rsidR="00E61C26" w:rsidRDefault="00E61C26" w:rsidP="00E61C26">
      <w:pPr>
        <w:pStyle w:val="Headinglevel5"/>
      </w:pPr>
      <w:r>
        <w:t xml:space="preserve">Strategic policy </w:t>
      </w:r>
    </w:p>
    <w:p w14:paraId="7FDAB682" w14:textId="77777777" w:rsidR="00E61C26" w:rsidRDefault="00E61C26" w:rsidP="00E61C26">
      <w:pPr>
        <w:pStyle w:val="BodyText1"/>
      </w:pPr>
      <w:r>
        <w:t>Various definitions for DFV are provided in different Commonwealth and state/territory strategic policy documents.</w:t>
      </w:r>
    </w:p>
    <w:p w14:paraId="049888E0" w14:textId="77777777" w:rsidR="00E61C26" w:rsidRDefault="00E61C26" w:rsidP="00E61C26">
      <w:pPr>
        <w:pStyle w:val="BodyText1"/>
      </w:pPr>
      <w:r>
        <w:t xml:space="preserve">The 2011 Council of Australian Government’s </w:t>
      </w:r>
      <w:r w:rsidRPr="00C32B3F">
        <w:rPr>
          <w:i/>
        </w:rPr>
        <w:t>National Plan to Reduce Violence Against Women and their Children</w:t>
      </w:r>
      <w:r>
        <w:t xml:space="preserve"> defines domestic violence and family violence as follows:</w:t>
      </w:r>
    </w:p>
    <w:p w14:paraId="6AC79F5D" w14:textId="70098B0F" w:rsidR="00E61C26" w:rsidRPr="00005613" w:rsidRDefault="00E61C26" w:rsidP="00E61C26">
      <w:pPr>
        <w:pStyle w:val="Quote"/>
      </w:pPr>
      <w:r w:rsidRPr="00005613">
        <w:t xml:space="preserve">Domestic violence refers to acts of violence that occur between people who have, or have had, an intimate relationship. While there is no single definition, the central element of domestic violence is an ongoing pattern of behaviour aimed at controlling a partner through fear, for example by using behaviour which is violent and threatening. In most cases, the violent behaviour is part of a range of tactics to exercise power and control over women and their </w:t>
      </w:r>
      <w:r w:rsidR="00A27C29" w:rsidRPr="00005613">
        <w:t>children and</w:t>
      </w:r>
      <w:r w:rsidRPr="00005613">
        <w:t xml:space="preserve"> can be both criminal and non-criminal.</w:t>
      </w:r>
    </w:p>
    <w:p w14:paraId="07399026" w14:textId="77777777" w:rsidR="00E61C26" w:rsidRPr="00005613" w:rsidRDefault="00E61C26" w:rsidP="00E61C26">
      <w:pPr>
        <w:pStyle w:val="Quote"/>
      </w:pPr>
      <w:r w:rsidRPr="00005613">
        <w:t>Domestic violence includes physical, sexual, emotional and psychological abuse.</w:t>
      </w:r>
    </w:p>
    <w:p w14:paraId="465BC1DE" w14:textId="77777777" w:rsidR="00E61C26" w:rsidRPr="00005613" w:rsidRDefault="00E61C26" w:rsidP="00E61C26">
      <w:pPr>
        <w:pStyle w:val="Quote"/>
      </w:pPr>
      <w:r w:rsidRPr="00005613">
        <w:t xml:space="preserve">Physical violence can include slaps, shoves, hits, punches, pushes, being thrown down stairs or across the room, kicking, twisting of arms, choking, and being burnt or stabbed. </w:t>
      </w:r>
    </w:p>
    <w:p w14:paraId="4929471A" w14:textId="77777777" w:rsidR="00E61C26" w:rsidRPr="00005613" w:rsidRDefault="00E61C26" w:rsidP="00E61C26">
      <w:pPr>
        <w:pStyle w:val="Quote"/>
      </w:pPr>
      <w:r w:rsidRPr="00005613">
        <w:t xml:space="preserve">Sexual assault or sexual violence can include rape, sexual assault with implements, being forced to watch or engage in pornography, enforced prostitution, and being made to have sex with friends of the perpetrator. </w:t>
      </w:r>
    </w:p>
    <w:p w14:paraId="4F998809" w14:textId="77777777" w:rsidR="00E61C26" w:rsidRPr="00005613" w:rsidRDefault="00E61C26" w:rsidP="00E61C26">
      <w:pPr>
        <w:pStyle w:val="Quote"/>
      </w:pPr>
      <w:r w:rsidRPr="00005613">
        <w:t>Psychological and emotional abuse can include a range of controlling behaviours such as control of finances, isolation from family and friends, continual humiliation, threats against children or being threatened with injury or death.</w:t>
      </w:r>
    </w:p>
    <w:p w14:paraId="5004A812" w14:textId="77777777" w:rsidR="00E61C26" w:rsidRPr="00005613" w:rsidRDefault="00E61C26" w:rsidP="00E61C26">
      <w:pPr>
        <w:pStyle w:val="Quote"/>
      </w:pPr>
      <w:r w:rsidRPr="00005613">
        <w:t>Family violence is a broader term that refers to violence between family members, as well as violence between intimate partners. It involves the same sorts of behaviours as described for domestic violence. As with domestic violence, the National Plan recognises that although only some aspects of family violence are criminal offences, any behaviour that causes the victim to live in fear is unacceptable. The term, ‘family violence’ is the most widely used term to identify the experiences of Indigenous people, because it includes the broad range of marital and kinship relationships in which violence may occur.</w:t>
      </w:r>
      <w:r>
        <w:rPr>
          <w:rStyle w:val="FootnoteReference"/>
        </w:rPr>
        <w:footnoteReference w:id="12"/>
      </w:r>
    </w:p>
    <w:p w14:paraId="5DB09C78" w14:textId="77777777" w:rsidR="00E61C26" w:rsidRDefault="00E61C26" w:rsidP="00E61C26">
      <w:pPr>
        <w:pStyle w:val="Headinglevel5"/>
      </w:pPr>
      <w:r>
        <w:lastRenderedPageBreak/>
        <w:t>Statistical/data collections</w:t>
      </w:r>
    </w:p>
    <w:p w14:paraId="5B6F90F1" w14:textId="77777777" w:rsidR="00E61C26" w:rsidRDefault="00E61C26" w:rsidP="00E61C26">
      <w:pPr>
        <w:pStyle w:val="BodyText1"/>
      </w:pPr>
      <w:r>
        <w:t>V</w:t>
      </w:r>
      <w:r w:rsidRPr="00056A2B">
        <w:t xml:space="preserve">arious definitions of </w:t>
      </w:r>
      <w:r>
        <w:t>DFV</w:t>
      </w:r>
      <w:r w:rsidRPr="00056A2B">
        <w:t xml:space="preserve"> have been used in different data collections in Australia. </w:t>
      </w:r>
      <w:r>
        <w:t xml:space="preserve"> </w:t>
      </w:r>
      <w:r w:rsidRPr="00056A2B">
        <w:t xml:space="preserve">This reflects </w:t>
      </w:r>
      <w:r>
        <w:t xml:space="preserve">evolving and </w:t>
      </w:r>
      <w:r w:rsidRPr="00056A2B">
        <w:t xml:space="preserve">changing views about the meaning of </w:t>
      </w:r>
      <w:r>
        <w:t>DFV</w:t>
      </w:r>
      <w:r w:rsidRPr="00056A2B">
        <w:t xml:space="preserve"> and the various actions </w:t>
      </w:r>
      <w:r>
        <w:t>that these terms include.</w:t>
      </w:r>
    </w:p>
    <w:p w14:paraId="62185639" w14:textId="77777777" w:rsidR="00E61C26" w:rsidRDefault="00E61C26" w:rsidP="00E61C26">
      <w:pPr>
        <w:pStyle w:val="BodyText1"/>
      </w:pPr>
      <w:r>
        <w:t xml:space="preserve">It is noted that the development of nationally consistent data definitions and collection methods is underway.  Whilst a national data collection and reporting framework will assist with </w:t>
      </w:r>
      <w:r w:rsidRPr="005C1A6B">
        <w:t>informing service delivery and public policy</w:t>
      </w:r>
      <w:r>
        <w:t xml:space="preserve">, it is not expected to be </w:t>
      </w:r>
      <w:r w:rsidRPr="005C1A6B">
        <w:t>operational until 2022.</w:t>
      </w:r>
      <w:r>
        <w:rPr>
          <w:rStyle w:val="FootnoteReference"/>
        </w:rPr>
        <w:footnoteReference w:id="13"/>
      </w:r>
      <w:r>
        <w:t xml:space="preserve"> </w:t>
      </w:r>
    </w:p>
    <w:p w14:paraId="5AB0BF64" w14:textId="77777777" w:rsidR="00E61C26" w:rsidRDefault="00E61C26" w:rsidP="00E61C26">
      <w:pPr>
        <w:pStyle w:val="Headinglevel2"/>
      </w:pPr>
      <w:bookmarkStart w:id="56" w:name="_Toc16763995"/>
      <w:r>
        <w:t>Evolution and Use of DFV Terminology</w:t>
      </w:r>
      <w:bookmarkEnd w:id="56"/>
    </w:p>
    <w:p w14:paraId="49AB54BE" w14:textId="77777777" w:rsidR="00E61C26" w:rsidRPr="00D7533D" w:rsidRDefault="00E61C26" w:rsidP="00E61C26">
      <w:pPr>
        <w:pStyle w:val="Headinglevel4"/>
      </w:pPr>
      <w:r>
        <w:t>History</w:t>
      </w:r>
    </w:p>
    <w:p w14:paraId="4CDEC8B3" w14:textId="77777777" w:rsidR="00E61C26" w:rsidRPr="00A53287" w:rsidRDefault="00E61C26" w:rsidP="00E61C26">
      <w:pPr>
        <w:pStyle w:val="BodyText1"/>
      </w:pPr>
      <w:r w:rsidRPr="00A53287">
        <w:t xml:space="preserve">Prior to the 1970s feminist activism that brought it into public focus, domestic violence, when </w:t>
      </w:r>
      <w:r>
        <w:t xml:space="preserve">such violence </w:t>
      </w:r>
      <w:r w:rsidRPr="00A53287">
        <w:t xml:space="preserve">was spoken of at all, was often referred to </w:t>
      </w:r>
      <w:r>
        <w:t>using out-of-date terminology such as</w:t>
      </w:r>
      <w:r w:rsidRPr="00A53287">
        <w:t xml:space="preserve"> wife </w:t>
      </w:r>
      <w:r>
        <w:t>beating</w:t>
      </w:r>
      <w:r w:rsidRPr="00A53287">
        <w:t xml:space="preserve"> wife abuse or spouse assault.</w:t>
      </w:r>
    </w:p>
    <w:p w14:paraId="19C66667" w14:textId="77777777" w:rsidR="00E61C26" w:rsidRPr="00A53287" w:rsidRDefault="00E61C26" w:rsidP="00E61C26">
      <w:pPr>
        <w:pStyle w:val="BodyText1"/>
      </w:pPr>
      <w:r>
        <w:t>Organising</w:t>
      </w:r>
      <w:r w:rsidRPr="00A53287">
        <w:t xml:space="preserve"> under the banner of “we will not be beaten”</w:t>
      </w:r>
      <w:r>
        <w:t>,</w:t>
      </w:r>
      <w:r w:rsidRPr="00A53287">
        <w:t xml:space="preserve"> grassroots feminist activists and </w:t>
      </w:r>
      <w:r>
        <w:t xml:space="preserve">women with lived experience of violence </w:t>
      </w:r>
      <w:r w:rsidRPr="00A53287">
        <w:t>launched a nationwide campaign in the mid-1970s to expose domestic violence against women, provide shelter and support, and demand radical change from law, medicine, and society.</w:t>
      </w:r>
      <w:r w:rsidRPr="00A53287">
        <w:rPr>
          <w:rStyle w:val="FootnoteReference"/>
          <w:szCs w:val="22"/>
        </w:rPr>
        <w:footnoteReference w:id="14"/>
      </w:r>
    </w:p>
    <w:p w14:paraId="6B533C0E" w14:textId="77777777" w:rsidR="00E61C26" w:rsidRPr="00A53287" w:rsidRDefault="00E61C26" w:rsidP="00E61C26">
      <w:pPr>
        <w:pStyle w:val="BodyText1"/>
      </w:pPr>
      <w:r w:rsidRPr="00A53287">
        <w:t xml:space="preserve">The term </w:t>
      </w:r>
      <w:r>
        <w:t>“</w:t>
      </w:r>
      <w:r w:rsidRPr="00A53287">
        <w:t>family violence</w:t>
      </w:r>
      <w:r>
        <w:t>”</w:t>
      </w:r>
      <w:r w:rsidRPr="00A53287">
        <w:t xml:space="preserve"> was sometimes used, but there was concern about differentiating it from child abuse, which was already publicly recognised as a social issue.</w:t>
      </w:r>
      <w:r w:rsidRPr="00A53287">
        <w:rPr>
          <w:rStyle w:val="FootnoteReference"/>
          <w:szCs w:val="22"/>
        </w:rPr>
        <w:footnoteReference w:id="15"/>
      </w:r>
      <w:r w:rsidRPr="00A53287">
        <w:t xml:space="preserve"> The need to reform public attitudes, social services and legislation necessitated large research projects to provide detailed information on the problem and benchmarks for evaluating responses. The work of the Queensland Domestic Violence Taskforce and the Office of the Status of Women in the Department of the Prime Minister and Cabinet were two of the larger projects co</w:t>
      </w:r>
      <w:r>
        <w:t>mmissioned</w:t>
      </w:r>
      <w:r w:rsidRPr="00A53287">
        <w:t xml:space="preserve"> in Australia in the mid-late 1980s. </w:t>
      </w:r>
    </w:p>
    <w:p w14:paraId="7333DF97" w14:textId="77777777" w:rsidR="00E61C26" w:rsidRPr="00A53287" w:rsidRDefault="00E61C26" w:rsidP="00E61C26">
      <w:pPr>
        <w:pStyle w:val="BodyText1"/>
      </w:pPr>
      <w:r w:rsidRPr="00A53287">
        <w:t>In 1987, a study by the NSW Domestic Violence Committee of ‘non-spousal family violence’, acknowledg</w:t>
      </w:r>
      <w:r>
        <w:t>ed</w:t>
      </w:r>
      <w:r w:rsidRPr="00A53287">
        <w:t xml:space="preserve"> the existence of violence against women </w:t>
      </w:r>
      <w:r>
        <w:t xml:space="preserve">as also including </w:t>
      </w:r>
      <w:r w:rsidRPr="00A53287">
        <w:t xml:space="preserve">other family members. </w:t>
      </w:r>
      <w:r>
        <w:t xml:space="preserve"> </w:t>
      </w:r>
      <w:r w:rsidRPr="00A53287">
        <w:t xml:space="preserve">Domestic violence legislation around Australia was reviewed and the definitions of </w:t>
      </w:r>
      <w:r w:rsidRPr="00A53287">
        <w:lastRenderedPageBreak/>
        <w:t>the types of relationships that could be included for the purpose of obtaining a protection order were broadened.</w:t>
      </w:r>
      <w:r w:rsidRPr="00A53287">
        <w:rPr>
          <w:rStyle w:val="FootnoteReference"/>
          <w:szCs w:val="22"/>
        </w:rPr>
        <w:footnoteReference w:id="16"/>
      </w:r>
    </w:p>
    <w:p w14:paraId="2815A376" w14:textId="77777777" w:rsidR="00E61C26" w:rsidRPr="00A53287" w:rsidRDefault="00E61C26" w:rsidP="00E61C26">
      <w:pPr>
        <w:pStyle w:val="BodyText1"/>
      </w:pPr>
      <w:r w:rsidRPr="00A53287">
        <w:t xml:space="preserve">In the 1990s, the focus of research and state and national programs became both broader and more nuanced. </w:t>
      </w:r>
      <w:r>
        <w:t xml:space="preserve"> </w:t>
      </w:r>
      <w:r w:rsidRPr="00A53287">
        <w:t>For example, there was recognition of the differing experiences and impacts of domestic violence among Australian women dependent on their social, cultural and linguistic background,</w:t>
      </w:r>
      <w:r w:rsidRPr="00A53287">
        <w:rPr>
          <w:rStyle w:val="FootnoteReference"/>
          <w:szCs w:val="22"/>
        </w:rPr>
        <w:footnoteReference w:id="17"/>
      </w:r>
      <w:r w:rsidRPr="00A53287">
        <w:t xml:space="preserve"> and a greater acknowledgement of the effect of domestic violence on children. </w:t>
      </w:r>
      <w:r>
        <w:t>Notwithstanding,</w:t>
      </w:r>
      <w:r w:rsidRPr="00A53287">
        <w:t xml:space="preserve"> there was also a shift in public campaigns to address violence against women more generally, leading to the 2004 </w:t>
      </w:r>
      <w:r>
        <w:t>“</w:t>
      </w:r>
      <w:r w:rsidRPr="00A53287">
        <w:t>Violence Against Women, Australia Says No</w:t>
      </w:r>
      <w:r>
        <w:t>”</w:t>
      </w:r>
      <w:r w:rsidRPr="00A53287">
        <w:t xml:space="preserve"> campaign.</w:t>
      </w:r>
    </w:p>
    <w:p w14:paraId="612CA63B" w14:textId="5572E2D4" w:rsidR="00E61C26" w:rsidRDefault="00E61C26" w:rsidP="00E61C26">
      <w:pPr>
        <w:pStyle w:val="BodyText1"/>
      </w:pPr>
      <w:r w:rsidRPr="00A53287">
        <w:t xml:space="preserve">In recent years, as many jurisdictions have strengthened their legislative and policy responses to domestic </w:t>
      </w:r>
      <w:r>
        <w:t xml:space="preserve">and family </w:t>
      </w:r>
      <w:r w:rsidRPr="00A53287">
        <w:t xml:space="preserve">violence, a more holistic approach has emerged. </w:t>
      </w:r>
      <w:r>
        <w:t xml:space="preserve"> </w:t>
      </w:r>
      <w:r w:rsidRPr="00A53287">
        <w:t xml:space="preserve">It is now common </w:t>
      </w:r>
      <w:r>
        <w:t xml:space="preserve">for approaches in this policy space to be </w:t>
      </w:r>
      <w:r w:rsidRPr="00A53287">
        <w:t xml:space="preserve">part of larger strategies to </w:t>
      </w:r>
      <w:r>
        <w:t>prevent and reduce</w:t>
      </w:r>
      <w:r w:rsidRPr="00A53287">
        <w:t xml:space="preserve"> violence in communities and increase the safety of individuals and families. Reflecting th</w:t>
      </w:r>
      <w:r>
        <w:t>is</w:t>
      </w:r>
      <w:r w:rsidRPr="00A53287">
        <w:t xml:space="preserve"> broader approach, legislation in all states except Tasmania now define domestic violence as occurring between intimate partners (including</w:t>
      </w:r>
      <w:r>
        <w:t>,</w:t>
      </w:r>
      <w:r w:rsidRPr="00A53287">
        <w:t xml:space="preserve"> those who don’t live together) and between family members. </w:t>
      </w:r>
      <w:r>
        <w:t xml:space="preserve"> </w:t>
      </w:r>
      <w:r w:rsidRPr="00A53287">
        <w:t xml:space="preserve">Definitions in these terms acknowledge that men can also be victims of domestic </w:t>
      </w:r>
      <w:r w:rsidR="00A27C29" w:rsidRPr="00A53287">
        <w:t>violence and</w:t>
      </w:r>
      <w:r w:rsidRPr="00A53287">
        <w:t xml:space="preserve"> reflect changing societal attitudes around same-sex and other </w:t>
      </w:r>
      <w:r>
        <w:t>“n</w:t>
      </w:r>
      <w:r w:rsidRPr="00A53287">
        <w:t>on-traditional</w:t>
      </w:r>
      <w:r>
        <w:t>”</w:t>
      </w:r>
      <w:r w:rsidRPr="00A53287">
        <w:t xml:space="preserve"> relationships. </w:t>
      </w:r>
      <w:r>
        <w:t xml:space="preserve"> </w:t>
      </w:r>
      <w:r w:rsidRPr="00A53287">
        <w:t xml:space="preserve">The term </w:t>
      </w:r>
      <w:r>
        <w:t>“</w:t>
      </w:r>
      <w:r w:rsidRPr="00A53287">
        <w:t>domestic and family violence</w:t>
      </w:r>
      <w:r>
        <w:t>”</w:t>
      </w:r>
      <w:r w:rsidRPr="00A53287">
        <w:t xml:space="preserve"> is now used extensively in policy, legislation, campaigns and the media.</w:t>
      </w:r>
    </w:p>
    <w:p w14:paraId="08F20066" w14:textId="77777777" w:rsidR="00E61C26" w:rsidRDefault="00E61C26" w:rsidP="00E61C26">
      <w:pPr>
        <w:pStyle w:val="BodyText1"/>
      </w:pPr>
      <w:r>
        <w:t xml:space="preserve">It is noted that the YWCA suggests that the term DFV is lacking relevance for young people in intimate relationships or not yet set up as a family unit.  The YWCA suggests that the term intimate partner violence may be a better alternative, however that term also has its limitations. </w:t>
      </w:r>
    </w:p>
    <w:p w14:paraId="47061029" w14:textId="77777777" w:rsidR="00E61C26" w:rsidRDefault="00E61C26" w:rsidP="00E61C26">
      <w:pPr>
        <w:pStyle w:val="BodyText1"/>
        <w:rPr>
          <w:lang w:eastAsia="en-AU"/>
        </w:rPr>
      </w:pPr>
      <w:r>
        <w:rPr>
          <w:lang w:eastAsia="en-AU"/>
        </w:rPr>
        <w:t>As noted earlier, a working definition of DFV, amongst other things, is important for designing appropriately targeted policy approaches.  Further, as the terminology and coverage as it concerns DFV has evolved, so too have policy approaches and responses.</w:t>
      </w:r>
    </w:p>
    <w:p w14:paraId="4EA6DD32" w14:textId="01B4BCE9" w:rsidR="00E61C26" w:rsidRDefault="00A27C29" w:rsidP="00E61C26">
      <w:pPr>
        <w:pStyle w:val="Headinglevel2"/>
      </w:pPr>
      <w:bookmarkStart w:id="57" w:name="_Toc16763996"/>
      <w:r w:rsidRPr="00632DDE">
        <w:t>BACKGROUND -</w:t>
      </w:r>
      <w:r w:rsidR="00E61C26">
        <w:t xml:space="preserve"> </w:t>
      </w:r>
      <w:r w:rsidR="00E61C26" w:rsidRPr="00632DDE">
        <w:t>ACT Safer Families initiative</w:t>
      </w:r>
      <w:bookmarkEnd w:id="57"/>
    </w:p>
    <w:p w14:paraId="72809B02" w14:textId="77777777" w:rsidR="00E61C26" w:rsidRDefault="00E61C26" w:rsidP="00E61C26">
      <w:pPr>
        <w:pStyle w:val="BodyText1"/>
      </w:pPr>
      <w:r>
        <w:t xml:space="preserve">As part of its inquiry, the Committee is considering the implementation over several budget periods of the ACT Government’s 2016–17 funding commitments (the Safer Families initiative) to support and respond to DFV in the ACT, and in particular how the outcomes of this program are being measured.  In particular, the Committee has examined current ACT policy approaches to building and implementing policy approaches to support DFV victims, their </w:t>
      </w:r>
      <w:r>
        <w:lastRenderedPageBreak/>
        <w:t>families and to provide opportunities of perpetrators to accept their role in DFV and to learn behaviours which will overcome DFV cycles.</w:t>
      </w:r>
    </w:p>
    <w:p w14:paraId="4AC77F62" w14:textId="77777777" w:rsidR="00E61C26" w:rsidRDefault="00E61C26" w:rsidP="00E61C26">
      <w:pPr>
        <w:pStyle w:val="BodyText1"/>
      </w:pPr>
      <w:r>
        <w:t>The Initiative represents a re-focusing of the ACT Government’s efforts to prevent and respond to DFV in the ACT.  The driver for the re-focusing of efforts can be attributed to three reports which made recommendations for improving service responses to domestic and family violence.</w:t>
      </w:r>
    </w:p>
    <w:p w14:paraId="626E9C8E" w14:textId="77777777" w:rsidR="00E61C26" w:rsidRDefault="00E61C26" w:rsidP="00E61C26">
      <w:pPr>
        <w:pStyle w:val="BodyText1"/>
      </w:pPr>
      <w:r>
        <w:t>The three reports, made public on 20 May 2016, were:</w:t>
      </w:r>
    </w:p>
    <w:p w14:paraId="4878D824" w14:textId="77777777" w:rsidR="00E61C26" w:rsidRDefault="00E61C26" w:rsidP="00E61C26">
      <w:pPr>
        <w:pStyle w:val="ListNumber3"/>
        <w:numPr>
          <w:ilvl w:val="0"/>
          <w:numId w:val="1"/>
        </w:numPr>
      </w:pPr>
      <w:r w:rsidRPr="00C3447C">
        <w:rPr>
          <w:i/>
        </w:rPr>
        <w:t>Review into the system level responses to family violence in the ACT</w:t>
      </w:r>
      <w:r>
        <w:t xml:space="preserve"> by Mr Laurie Glanfield AM (the Glanfield Inquiry).  The Glanfield Inquiry made findings and 31 recommendations concerning the service system—in particular, child protection and family violence services.</w:t>
      </w:r>
    </w:p>
    <w:p w14:paraId="5F08ADC6" w14:textId="5515FBAA" w:rsidR="00E61C26" w:rsidRDefault="00E61C26" w:rsidP="00E61C26">
      <w:pPr>
        <w:pStyle w:val="ListNumber3"/>
        <w:numPr>
          <w:ilvl w:val="0"/>
          <w:numId w:val="1"/>
        </w:numPr>
      </w:pPr>
      <w:r w:rsidRPr="00C3447C">
        <w:rPr>
          <w:i/>
        </w:rPr>
        <w:t>Findings and Recommendations from the Review of Domestic and Family Violence Deaths in the ACT by the Domestic Violence Prevention Council</w:t>
      </w:r>
      <w:r>
        <w:t xml:space="preserve"> (the Death Review).   The Death Review covered issues that were relevant to mainstream and specialist </w:t>
      </w:r>
      <w:r w:rsidR="00A27C29">
        <w:t>services and</w:t>
      </w:r>
      <w:r>
        <w:t xml:space="preserve"> found that community awareness of non-physical forms of family violence needed to improve. The Death Review made 28 recommendations.</w:t>
      </w:r>
    </w:p>
    <w:p w14:paraId="6AFF76D2" w14:textId="77777777" w:rsidR="00E61C26" w:rsidRDefault="00E61C26" w:rsidP="00E61C26">
      <w:pPr>
        <w:pStyle w:val="ListNumber3"/>
        <w:numPr>
          <w:ilvl w:val="0"/>
          <w:numId w:val="1"/>
        </w:numPr>
      </w:pPr>
      <w:r w:rsidRPr="00C3447C">
        <w:rPr>
          <w:i/>
        </w:rPr>
        <w:t>ACT Domestic Violence Service System Final Gap Analysis Report</w:t>
      </w:r>
      <w:r>
        <w:t xml:space="preserve"> (the Gap Analysis).  The Gap Analysis was undertaken by the Community Services Directorate and it identified areas for improvement in service system responses to family violence. </w:t>
      </w:r>
    </w:p>
    <w:p w14:paraId="657E33B9" w14:textId="77777777" w:rsidR="00E61C26" w:rsidRDefault="00E61C26" w:rsidP="00E61C26">
      <w:pPr>
        <w:pStyle w:val="BodyText1"/>
      </w:pPr>
      <w:r>
        <w:t>The Government has indicated that the three reports into the DFV system ‘provide a map for reform in the ACT’.  Specifically, the five consistent themes and identified from the three reports, are to ‘shape the next stage of reform’ and ‘represent the characteristics of a cohesive and integrated service system’.</w:t>
      </w:r>
    </w:p>
    <w:p w14:paraId="35932D87" w14:textId="77777777" w:rsidR="00E61C26" w:rsidRDefault="00E61C26" w:rsidP="00E61C26">
      <w:pPr>
        <w:pStyle w:val="BodyText1"/>
      </w:pPr>
      <w:r>
        <w:t xml:space="preserve">The five themes were: </w:t>
      </w:r>
    </w:p>
    <w:p w14:paraId="6A466E67" w14:textId="77777777" w:rsidR="00E61C26" w:rsidRDefault="00E61C26" w:rsidP="00E61C26">
      <w:pPr>
        <w:pStyle w:val="ListNumber3"/>
        <w:numPr>
          <w:ilvl w:val="0"/>
          <w:numId w:val="1"/>
        </w:numPr>
      </w:pPr>
      <w:r>
        <w:t xml:space="preserve">leadership and cultural change; </w:t>
      </w:r>
    </w:p>
    <w:p w14:paraId="2B0667DF" w14:textId="77777777" w:rsidR="00E61C26" w:rsidRDefault="00E61C26" w:rsidP="00E61C26">
      <w:pPr>
        <w:pStyle w:val="ListNumber3"/>
        <w:numPr>
          <w:ilvl w:val="0"/>
          <w:numId w:val="1"/>
        </w:numPr>
      </w:pPr>
      <w:r>
        <w:t xml:space="preserve">prevention and early intervention; </w:t>
      </w:r>
    </w:p>
    <w:p w14:paraId="2FCB928E" w14:textId="77777777" w:rsidR="00E61C26" w:rsidRDefault="00E61C26" w:rsidP="00E61C26">
      <w:pPr>
        <w:pStyle w:val="ListNumber3"/>
        <w:numPr>
          <w:ilvl w:val="0"/>
          <w:numId w:val="1"/>
        </w:numPr>
      </w:pPr>
      <w:r>
        <w:t xml:space="preserve">information sharing; </w:t>
      </w:r>
    </w:p>
    <w:p w14:paraId="2FC2226F" w14:textId="77777777" w:rsidR="00E61C26" w:rsidRDefault="00E61C26" w:rsidP="00E61C26">
      <w:pPr>
        <w:pStyle w:val="ListNumber3"/>
        <w:numPr>
          <w:ilvl w:val="0"/>
          <w:numId w:val="1"/>
        </w:numPr>
      </w:pPr>
      <w:r>
        <w:t xml:space="preserve">collaboration and integration; and </w:t>
      </w:r>
    </w:p>
    <w:p w14:paraId="45AFD5CA" w14:textId="77777777" w:rsidR="00E61C26" w:rsidRDefault="00E61C26" w:rsidP="00E61C26">
      <w:pPr>
        <w:pStyle w:val="ListNumber3"/>
        <w:numPr>
          <w:ilvl w:val="0"/>
          <w:numId w:val="1"/>
        </w:numPr>
      </w:pPr>
      <w:r>
        <w:t xml:space="preserve">transparency and accountability. </w:t>
      </w:r>
    </w:p>
    <w:p w14:paraId="05A97B95" w14:textId="77777777" w:rsidR="00E61C26" w:rsidRDefault="00E61C26" w:rsidP="00E61C26">
      <w:pPr>
        <w:pStyle w:val="Headinglevel4"/>
      </w:pPr>
      <w:r>
        <w:t>2016–17 Budget funding commitments</w:t>
      </w:r>
    </w:p>
    <w:p w14:paraId="51F6A465" w14:textId="3560D503" w:rsidR="00E61C26" w:rsidRDefault="00E61C26" w:rsidP="00E61C26">
      <w:pPr>
        <w:pStyle w:val="BodyText1"/>
      </w:pPr>
      <w:r>
        <w:t xml:space="preserve">The 2016–17 Budget, delivered on 6 June 2016, funded a $21.42 million domestic violence package over four years —referred to as Safer Families. This initiative targets </w:t>
      </w:r>
      <w:r w:rsidR="00A27C29">
        <w:t>several</w:t>
      </w:r>
      <w:r>
        <w:t xml:space="preserve"> areas, with an overall objective to ‘drive the next phase of reform in whole of government, community-backed responses to family violence’.  The domestic violence package—Safer Families initiative(s) included:     </w:t>
      </w:r>
    </w:p>
    <w:p w14:paraId="7E0DA967" w14:textId="77777777" w:rsidR="00E61C26" w:rsidRDefault="00E61C26" w:rsidP="00E61C26">
      <w:pPr>
        <w:pStyle w:val="ListNumber3"/>
        <w:numPr>
          <w:ilvl w:val="0"/>
          <w:numId w:val="1"/>
        </w:numPr>
      </w:pPr>
      <w:r>
        <w:t>introduction of a new dimension to service integration and coordination in the ACT, as a formal response, to three commissioned reports on family violence in the Territory;</w:t>
      </w:r>
    </w:p>
    <w:p w14:paraId="6D28D824" w14:textId="77777777" w:rsidR="00E61C26" w:rsidRDefault="00E61C26" w:rsidP="00E61C26">
      <w:pPr>
        <w:pStyle w:val="ListNumber3"/>
        <w:numPr>
          <w:ilvl w:val="0"/>
          <w:numId w:val="1"/>
        </w:numPr>
      </w:pPr>
      <w:r>
        <w:lastRenderedPageBreak/>
        <w:t xml:space="preserve">a $30 annual levy which is applicable to all ACT ratepayers will provide the majority of funding for the Safer Families initiative(s). This means of raising revenue to address DFV is considered to be a first in any Australian state or territory; </w:t>
      </w:r>
    </w:p>
    <w:p w14:paraId="52F8C381" w14:textId="77777777" w:rsidR="00E61C26" w:rsidRDefault="00E61C26" w:rsidP="00E61C26">
      <w:pPr>
        <w:pStyle w:val="ListNumber3"/>
        <w:numPr>
          <w:ilvl w:val="0"/>
          <w:numId w:val="1"/>
        </w:numPr>
      </w:pPr>
      <w:r>
        <w:t>supplementation of the levied funds through the Confiscated Assets Trust Fund, allowing forfeited proceeds of crime to go towards priority criminal justice initiatives and support organisations committed to reducing domestic violence; and</w:t>
      </w:r>
    </w:p>
    <w:p w14:paraId="2C711165" w14:textId="77777777" w:rsidR="00E61C26" w:rsidRDefault="00E61C26" w:rsidP="00E61C26">
      <w:pPr>
        <w:pStyle w:val="ListNumber3"/>
        <w:numPr>
          <w:ilvl w:val="0"/>
          <w:numId w:val="1"/>
        </w:numPr>
      </w:pPr>
      <w:r>
        <w:t xml:space="preserve">the appointment of a full-time Coordinator-General for Family Safety and a dedicated safer families team ($3,070,000) to: (i) lead the whole of government effort to improve outcomes for victims and their families through collaboration, information sharing, awareness raising and working in partnership with the community; and (ii) oversee strategic efforts in this policy area and will drive the second implementation plan for the ACT Prevention of Violence Against Women and Children Strategy 2011–17.   </w:t>
      </w:r>
    </w:p>
    <w:p w14:paraId="08B507E4" w14:textId="77777777" w:rsidR="00E61C26" w:rsidRDefault="00E61C26" w:rsidP="00E61C26">
      <w:pPr>
        <w:pStyle w:val="BodyText1"/>
      </w:pPr>
      <w:r>
        <w:t>Further detail on the implementation of the Safer Families Initiative and associated programs is set out in Chapter 7.</w:t>
      </w:r>
    </w:p>
    <w:p w14:paraId="23FC7226" w14:textId="77777777" w:rsidR="00E61C26" w:rsidRDefault="00E61C26" w:rsidP="00E61C26">
      <w:pPr>
        <w:pStyle w:val="Heading1"/>
        <w:sectPr w:rsidR="00E61C26" w:rsidSect="005722A6">
          <w:headerReference w:type="first" r:id="rId25"/>
          <w:type w:val="oddPage"/>
          <w:pgSz w:w="11907" w:h="16840" w:code="9"/>
          <w:pgMar w:top="1588" w:right="1418" w:bottom="1418" w:left="1418" w:header="720" w:footer="851" w:gutter="0"/>
          <w:cols w:space="720"/>
          <w:docGrid w:linePitch="360"/>
        </w:sectPr>
      </w:pPr>
    </w:p>
    <w:p w14:paraId="26B3D7C0" w14:textId="77777777" w:rsidR="00E61C26" w:rsidRDefault="00E61C26" w:rsidP="00E61C26">
      <w:pPr>
        <w:pStyle w:val="Heading1"/>
      </w:pPr>
      <w:bookmarkStart w:id="58" w:name="_Toc16763997"/>
      <w:r>
        <w:lastRenderedPageBreak/>
        <w:t>Views of submitters and witnesses</w:t>
      </w:r>
      <w:bookmarkEnd w:id="58"/>
    </w:p>
    <w:p w14:paraId="5C68A036" w14:textId="77777777" w:rsidR="00E61C26" w:rsidRDefault="00E61C26" w:rsidP="00E61C26">
      <w:pPr>
        <w:pStyle w:val="Headinglevel2"/>
      </w:pPr>
      <w:bookmarkStart w:id="59" w:name="_Toc497043082"/>
      <w:bookmarkStart w:id="60" w:name="_Toc16763998"/>
      <w:r>
        <w:t>Introduction</w:t>
      </w:r>
      <w:bookmarkEnd w:id="59"/>
      <w:bookmarkEnd w:id="60"/>
    </w:p>
    <w:p w14:paraId="34D7320D" w14:textId="05643850" w:rsidR="00E61C26" w:rsidRDefault="00E61C26" w:rsidP="00E61C26">
      <w:pPr>
        <w:pStyle w:val="BodyText1"/>
      </w:pPr>
      <w:r w:rsidRPr="00C879DC">
        <w:t xml:space="preserve">This chapter considers views </w:t>
      </w:r>
      <w:r>
        <w:t>on the inquiry terms of reference</w:t>
      </w:r>
      <w:r w:rsidRPr="00C879DC">
        <w:t xml:space="preserve">—as expressed in </w:t>
      </w:r>
      <w:r>
        <w:t xml:space="preserve">written </w:t>
      </w:r>
      <w:r w:rsidRPr="00C879DC">
        <w:t>submissions provided to the Committee</w:t>
      </w:r>
      <w:r>
        <w:t>, and as represented in appearances and evidence to the Committee from witnesses.</w:t>
      </w:r>
    </w:p>
    <w:p w14:paraId="3EA7EEEB" w14:textId="35A02F90" w:rsidR="00E61C26" w:rsidRDefault="00E61C26" w:rsidP="00E61C26">
      <w:pPr>
        <w:pStyle w:val="BodyText1"/>
      </w:pPr>
      <w:r>
        <w:t>The Committee received a total of 32 submissions and 1 supplementary submission.  One of the 32 submissions which was received in-confidence and was therefore not published.</w:t>
      </w:r>
    </w:p>
    <w:p w14:paraId="4B85912D" w14:textId="77777777" w:rsidR="00E61C26" w:rsidRDefault="00E61C26" w:rsidP="00E61C26">
      <w:pPr>
        <w:pStyle w:val="BodyText1"/>
      </w:pPr>
      <w:r>
        <w:t>As to the submission analytics—submissions were received from a range of key stakeholder groups—public sector, policing; legal and justice stakeholders, frontline service providers, key interest groups and organisations, professional associations, policy and research institutes, union groups, academics and interested individuals.  A summary of submissions</w:t>
      </w:r>
      <w:r>
        <w:rPr>
          <w:rFonts w:ascii="ZWAdobeF" w:hAnsi="ZWAdobeF" w:cs="ZWAdobeF"/>
          <w:sz w:val="2"/>
          <w:szCs w:val="2"/>
        </w:rPr>
        <w:t>60F</w:t>
      </w:r>
      <w:r>
        <w:rPr>
          <w:rStyle w:val="FootnoteReference"/>
        </w:rPr>
        <w:footnoteReference w:id="18"/>
      </w:r>
      <w:r>
        <w:t xml:space="preserve"> received across these stakeholder groups is detailed in Table 3.1.</w:t>
      </w:r>
    </w:p>
    <w:p w14:paraId="5E1F4316" w14:textId="77777777" w:rsidR="00E61C26" w:rsidRDefault="00E61C26" w:rsidP="00E61C26">
      <w:pPr>
        <w:pStyle w:val="Headinglevel4"/>
      </w:pPr>
      <w:r>
        <w:t>Table 3.1—Summary of submissions received across stakeholder groups</w:t>
      </w:r>
    </w:p>
    <w:tbl>
      <w:tblPr>
        <w:tblStyle w:val="TableGrid"/>
        <w:tblW w:w="0" w:type="auto"/>
        <w:tblInd w:w="638" w:type="dxa"/>
        <w:tblLook w:val="04A0" w:firstRow="1" w:lastRow="0" w:firstColumn="1" w:lastColumn="0" w:noHBand="0" w:noVBand="1"/>
      </w:tblPr>
      <w:tblGrid>
        <w:gridCol w:w="4144"/>
        <w:gridCol w:w="4144"/>
      </w:tblGrid>
      <w:tr w:rsidR="00E61C26" w:rsidRPr="003A2D97" w14:paraId="050E4FF0" w14:textId="77777777" w:rsidTr="005722A6">
        <w:tc>
          <w:tcPr>
            <w:tcW w:w="4144" w:type="dxa"/>
            <w:shd w:val="pct12" w:color="auto" w:fill="auto"/>
          </w:tcPr>
          <w:p w14:paraId="705D97BA" w14:textId="77777777" w:rsidR="00E61C26" w:rsidRPr="003A2D97" w:rsidRDefault="00E61C26" w:rsidP="005722A6">
            <w:pPr>
              <w:jc w:val="center"/>
              <w:rPr>
                <w:b/>
              </w:rPr>
            </w:pPr>
            <w:r w:rsidRPr="003A2D97">
              <w:rPr>
                <w:b/>
              </w:rPr>
              <w:t>Stakeholder group(s)</w:t>
            </w:r>
          </w:p>
        </w:tc>
        <w:tc>
          <w:tcPr>
            <w:tcW w:w="4144" w:type="dxa"/>
            <w:shd w:val="pct12" w:color="auto" w:fill="auto"/>
          </w:tcPr>
          <w:p w14:paraId="5192BA9F" w14:textId="77777777" w:rsidR="00E61C26" w:rsidRPr="003A2D97" w:rsidRDefault="00E61C26" w:rsidP="005722A6">
            <w:pPr>
              <w:jc w:val="center"/>
              <w:rPr>
                <w:b/>
              </w:rPr>
            </w:pPr>
            <w:r w:rsidRPr="003A2D97">
              <w:rPr>
                <w:b/>
              </w:rPr>
              <w:t>N</w:t>
            </w:r>
            <w:r>
              <w:rPr>
                <w:b/>
              </w:rPr>
              <w:t>umber of submissions</w:t>
            </w:r>
            <w:r w:rsidRPr="003A2D97">
              <w:rPr>
                <w:b/>
              </w:rPr>
              <w:t xml:space="preserve"> received</w:t>
            </w:r>
          </w:p>
        </w:tc>
      </w:tr>
      <w:tr w:rsidR="00E61C26" w:rsidRPr="004B2CEE" w14:paraId="040F15D1" w14:textId="77777777" w:rsidTr="005722A6">
        <w:tc>
          <w:tcPr>
            <w:tcW w:w="4144" w:type="dxa"/>
          </w:tcPr>
          <w:p w14:paraId="111D6C6D" w14:textId="77777777" w:rsidR="00E61C26" w:rsidRPr="00002A9D" w:rsidRDefault="00E61C26" w:rsidP="005722A6">
            <w:pPr>
              <w:spacing w:after="120"/>
              <w:rPr>
                <w:szCs w:val="20"/>
              </w:rPr>
            </w:pPr>
            <w:r>
              <w:rPr>
                <w:szCs w:val="20"/>
              </w:rPr>
              <w:t>ACT Government</w:t>
            </w:r>
          </w:p>
        </w:tc>
        <w:tc>
          <w:tcPr>
            <w:tcW w:w="4144" w:type="dxa"/>
          </w:tcPr>
          <w:p w14:paraId="30D55AF4" w14:textId="77777777" w:rsidR="00E61C26" w:rsidRPr="005A1C95" w:rsidRDefault="00E61C26" w:rsidP="005722A6">
            <w:pPr>
              <w:spacing w:after="120"/>
              <w:ind w:left="33"/>
              <w:jc w:val="center"/>
              <w:rPr>
                <w:szCs w:val="20"/>
              </w:rPr>
            </w:pPr>
            <w:r w:rsidRPr="005A1C95">
              <w:rPr>
                <w:szCs w:val="20"/>
              </w:rPr>
              <w:t>1</w:t>
            </w:r>
          </w:p>
        </w:tc>
      </w:tr>
      <w:tr w:rsidR="00E61C26" w:rsidRPr="004B2CEE" w14:paraId="5091FFF5" w14:textId="77777777" w:rsidTr="005722A6">
        <w:tc>
          <w:tcPr>
            <w:tcW w:w="4144" w:type="dxa"/>
          </w:tcPr>
          <w:p w14:paraId="51C497DD" w14:textId="77777777" w:rsidR="00E61C26" w:rsidRPr="00002A9D" w:rsidRDefault="00E61C26" w:rsidP="005722A6">
            <w:pPr>
              <w:spacing w:after="120"/>
              <w:rPr>
                <w:szCs w:val="20"/>
              </w:rPr>
            </w:pPr>
            <w:r>
              <w:rPr>
                <w:szCs w:val="20"/>
              </w:rPr>
              <w:t>L</w:t>
            </w:r>
            <w:r w:rsidRPr="00C32B3F">
              <w:rPr>
                <w:szCs w:val="20"/>
              </w:rPr>
              <w:t>egal and justice stakeholders</w:t>
            </w:r>
          </w:p>
        </w:tc>
        <w:tc>
          <w:tcPr>
            <w:tcW w:w="4144" w:type="dxa"/>
          </w:tcPr>
          <w:p w14:paraId="7E02E82D" w14:textId="77777777" w:rsidR="00E61C26" w:rsidRPr="005A1C95" w:rsidRDefault="00E61C26" w:rsidP="005722A6">
            <w:pPr>
              <w:spacing w:after="120"/>
              <w:ind w:left="33"/>
              <w:jc w:val="center"/>
              <w:rPr>
                <w:szCs w:val="20"/>
              </w:rPr>
            </w:pPr>
            <w:r w:rsidRPr="005A1C95">
              <w:rPr>
                <w:szCs w:val="20"/>
              </w:rPr>
              <w:t>7</w:t>
            </w:r>
          </w:p>
        </w:tc>
      </w:tr>
      <w:tr w:rsidR="00E61C26" w:rsidRPr="004B2CEE" w14:paraId="4C675C67" w14:textId="77777777" w:rsidTr="005722A6">
        <w:tc>
          <w:tcPr>
            <w:tcW w:w="4144" w:type="dxa"/>
          </w:tcPr>
          <w:p w14:paraId="0C152C5B" w14:textId="77777777" w:rsidR="00E61C26" w:rsidRPr="00002A9D" w:rsidRDefault="00E61C26" w:rsidP="005722A6">
            <w:pPr>
              <w:spacing w:after="120"/>
              <w:rPr>
                <w:szCs w:val="20"/>
              </w:rPr>
            </w:pPr>
            <w:r w:rsidRPr="00002A9D">
              <w:rPr>
                <w:szCs w:val="20"/>
              </w:rPr>
              <w:t>Polic</w:t>
            </w:r>
            <w:r>
              <w:rPr>
                <w:szCs w:val="20"/>
              </w:rPr>
              <w:t>ing</w:t>
            </w:r>
          </w:p>
        </w:tc>
        <w:tc>
          <w:tcPr>
            <w:tcW w:w="4144" w:type="dxa"/>
          </w:tcPr>
          <w:p w14:paraId="23534413" w14:textId="77777777" w:rsidR="00E61C26" w:rsidRPr="005A1C95" w:rsidRDefault="00E61C26" w:rsidP="005722A6">
            <w:pPr>
              <w:spacing w:after="120"/>
              <w:ind w:left="33"/>
              <w:jc w:val="center"/>
              <w:rPr>
                <w:szCs w:val="20"/>
              </w:rPr>
            </w:pPr>
            <w:r w:rsidRPr="005A1C95">
              <w:rPr>
                <w:szCs w:val="20"/>
              </w:rPr>
              <w:t>1</w:t>
            </w:r>
          </w:p>
        </w:tc>
      </w:tr>
      <w:tr w:rsidR="00E61C26" w:rsidRPr="004B2CEE" w14:paraId="6BED7154" w14:textId="77777777" w:rsidTr="005722A6">
        <w:tc>
          <w:tcPr>
            <w:tcW w:w="4144" w:type="dxa"/>
          </w:tcPr>
          <w:p w14:paraId="3450AA8B" w14:textId="77777777" w:rsidR="00E61C26" w:rsidRPr="00002A9D" w:rsidRDefault="00E61C26" w:rsidP="005722A6">
            <w:pPr>
              <w:spacing w:after="120"/>
              <w:rPr>
                <w:szCs w:val="20"/>
              </w:rPr>
            </w:pPr>
            <w:r w:rsidRPr="00002A9D">
              <w:rPr>
                <w:szCs w:val="20"/>
              </w:rPr>
              <w:t>Policy and research institutes</w:t>
            </w:r>
          </w:p>
        </w:tc>
        <w:tc>
          <w:tcPr>
            <w:tcW w:w="4144" w:type="dxa"/>
          </w:tcPr>
          <w:p w14:paraId="15AB6925" w14:textId="77777777" w:rsidR="00E61C26" w:rsidRPr="005A1C95" w:rsidRDefault="00E61C26" w:rsidP="005722A6">
            <w:pPr>
              <w:spacing w:after="120"/>
              <w:ind w:left="33"/>
              <w:jc w:val="center"/>
              <w:rPr>
                <w:szCs w:val="20"/>
              </w:rPr>
            </w:pPr>
            <w:r w:rsidRPr="005A1C95">
              <w:rPr>
                <w:szCs w:val="20"/>
              </w:rPr>
              <w:t>2</w:t>
            </w:r>
          </w:p>
        </w:tc>
      </w:tr>
      <w:tr w:rsidR="00E61C26" w:rsidRPr="004B2CEE" w14:paraId="14EFBB5C" w14:textId="77777777" w:rsidTr="005722A6">
        <w:tc>
          <w:tcPr>
            <w:tcW w:w="4144" w:type="dxa"/>
          </w:tcPr>
          <w:p w14:paraId="0F2188E6" w14:textId="77777777" w:rsidR="00E61C26" w:rsidRPr="00002A9D" w:rsidRDefault="00E61C26" w:rsidP="005722A6">
            <w:pPr>
              <w:spacing w:after="120"/>
              <w:rPr>
                <w:szCs w:val="20"/>
              </w:rPr>
            </w:pPr>
            <w:r w:rsidRPr="00002A9D">
              <w:rPr>
                <w:szCs w:val="20"/>
              </w:rPr>
              <w:t>Professional associations</w:t>
            </w:r>
          </w:p>
        </w:tc>
        <w:tc>
          <w:tcPr>
            <w:tcW w:w="4144" w:type="dxa"/>
          </w:tcPr>
          <w:p w14:paraId="148D89E4" w14:textId="77777777" w:rsidR="00E61C26" w:rsidRPr="005A1C95" w:rsidRDefault="00E61C26" w:rsidP="005722A6">
            <w:pPr>
              <w:spacing w:after="120"/>
              <w:ind w:left="33"/>
              <w:jc w:val="center"/>
              <w:rPr>
                <w:szCs w:val="20"/>
              </w:rPr>
            </w:pPr>
            <w:r w:rsidRPr="005A1C95">
              <w:rPr>
                <w:szCs w:val="20"/>
              </w:rPr>
              <w:t>1</w:t>
            </w:r>
          </w:p>
        </w:tc>
      </w:tr>
      <w:tr w:rsidR="00E61C26" w:rsidRPr="004B2CEE" w14:paraId="5A6AED36" w14:textId="77777777" w:rsidTr="005722A6">
        <w:tc>
          <w:tcPr>
            <w:tcW w:w="4144" w:type="dxa"/>
          </w:tcPr>
          <w:p w14:paraId="4BF36F7E" w14:textId="77777777" w:rsidR="00E61C26" w:rsidRPr="00002A9D" w:rsidRDefault="00E61C26" w:rsidP="005722A6">
            <w:pPr>
              <w:spacing w:after="120"/>
              <w:rPr>
                <w:szCs w:val="20"/>
              </w:rPr>
            </w:pPr>
            <w:r>
              <w:rPr>
                <w:szCs w:val="20"/>
              </w:rPr>
              <w:t>Frontline service providers</w:t>
            </w:r>
          </w:p>
        </w:tc>
        <w:tc>
          <w:tcPr>
            <w:tcW w:w="4144" w:type="dxa"/>
          </w:tcPr>
          <w:p w14:paraId="55092205" w14:textId="77777777" w:rsidR="00E61C26" w:rsidRPr="005A1C95" w:rsidRDefault="00E61C26" w:rsidP="005722A6">
            <w:pPr>
              <w:spacing w:after="120"/>
              <w:ind w:left="33"/>
              <w:jc w:val="center"/>
              <w:rPr>
                <w:szCs w:val="20"/>
              </w:rPr>
            </w:pPr>
            <w:r w:rsidRPr="005A1C95">
              <w:rPr>
                <w:szCs w:val="20"/>
              </w:rPr>
              <w:t>4</w:t>
            </w:r>
          </w:p>
        </w:tc>
      </w:tr>
      <w:tr w:rsidR="00E61C26" w:rsidRPr="004B2CEE" w14:paraId="40744C72" w14:textId="77777777" w:rsidTr="005722A6">
        <w:trPr>
          <w:trHeight w:val="378"/>
        </w:trPr>
        <w:tc>
          <w:tcPr>
            <w:tcW w:w="4144" w:type="dxa"/>
          </w:tcPr>
          <w:p w14:paraId="531B10D3" w14:textId="77777777" w:rsidR="00E61C26" w:rsidRPr="00002A9D" w:rsidRDefault="00E61C26" w:rsidP="005722A6">
            <w:pPr>
              <w:spacing w:after="120"/>
              <w:rPr>
                <w:szCs w:val="20"/>
              </w:rPr>
            </w:pPr>
            <w:r w:rsidRPr="00002A9D">
              <w:rPr>
                <w:szCs w:val="20"/>
              </w:rPr>
              <w:t>Union groups</w:t>
            </w:r>
          </w:p>
        </w:tc>
        <w:tc>
          <w:tcPr>
            <w:tcW w:w="4144" w:type="dxa"/>
          </w:tcPr>
          <w:p w14:paraId="5061512F" w14:textId="77777777" w:rsidR="00E61C26" w:rsidRPr="005A1C95" w:rsidRDefault="00E61C26" w:rsidP="005722A6">
            <w:pPr>
              <w:spacing w:after="120"/>
              <w:ind w:left="33"/>
              <w:jc w:val="center"/>
              <w:rPr>
                <w:szCs w:val="20"/>
              </w:rPr>
            </w:pPr>
            <w:r w:rsidRPr="005A1C95">
              <w:rPr>
                <w:szCs w:val="20"/>
              </w:rPr>
              <w:t>1</w:t>
            </w:r>
          </w:p>
        </w:tc>
      </w:tr>
      <w:tr w:rsidR="00E61C26" w:rsidRPr="004B2CEE" w14:paraId="038CC65F" w14:textId="77777777" w:rsidTr="005722A6">
        <w:tc>
          <w:tcPr>
            <w:tcW w:w="4144" w:type="dxa"/>
          </w:tcPr>
          <w:p w14:paraId="48A5791F" w14:textId="77777777" w:rsidR="00E61C26" w:rsidRPr="00002A9D" w:rsidRDefault="00E61C26" w:rsidP="005722A6">
            <w:pPr>
              <w:spacing w:after="120"/>
              <w:rPr>
                <w:szCs w:val="20"/>
              </w:rPr>
            </w:pPr>
            <w:r w:rsidRPr="00002A9D">
              <w:rPr>
                <w:szCs w:val="20"/>
              </w:rPr>
              <w:t>Academics</w:t>
            </w:r>
          </w:p>
        </w:tc>
        <w:tc>
          <w:tcPr>
            <w:tcW w:w="4144" w:type="dxa"/>
          </w:tcPr>
          <w:p w14:paraId="0F246D96" w14:textId="77777777" w:rsidR="00E61C26" w:rsidRPr="005A1C95" w:rsidRDefault="00E61C26" w:rsidP="005722A6">
            <w:pPr>
              <w:spacing w:after="120"/>
              <w:ind w:left="33"/>
              <w:jc w:val="center"/>
              <w:rPr>
                <w:szCs w:val="20"/>
              </w:rPr>
            </w:pPr>
            <w:r w:rsidRPr="005A1C95">
              <w:rPr>
                <w:szCs w:val="20"/>
              </w:rPr>
              <w:t>2</w:t>
            </w:r>
          </w:p>
        </w:tc>
      </w:tr>
      <w:tr w:rsidR="00E61C26" w:rsidRPr="004B2CEE" w14:paraId="67645CD2" w14:textId="77777777" w:rsidTr="005722A6">
        <w:tc>
          <w:tcPr>
            <w:tcW w:w="4144" w:type="dxa"/>
          </w:tcPr>
          <w:p w14:paraId="4AA2EACD" w14:textId="77777777" w:rsidR="00E61C26" w:rsidRPr="00002A9D" w:rsidRDefault="00E61C26" w:rsidP="005722A6">
            <w:pPr>
              <w:spacing w:after="120"/>
              <w:rPr>
                <w:szCs w:val="20"/>
              </w:rPr>
            </w:pPr>
            <w:r w:rsidRPr="00C32B3F">
              <w:rPr>
                <w:szCs w:val="20"/>
              </w:rPr>
              <w:t>key interest groups and organisations</w:t>
            </w:r>
          </w:p>
        </w:tc>
        <w:tc>
          <w:tcPr>
            <w:tcW w:w="4144" w:type="dxa"/>
          </w:tcPr>
          <w:p w14:paraId="67168E77" w14:textId="77777777" w:rsidR="00E61C26" w:rsidRPr="005A1C95" w:rsidRDefault="00E61C26" w:rsidP="005722A6">
            <w:pPr>
              <w:spacing w:after="120"/>
              <w:ind w:left="33"/>
              <w:jc w:val="center"/>
              <w:rPr>
                <w:szCs w:val="20"/>
              </w:rPr>
            </w:pPr>
            <w:r w:rsidRPr="005A1C95">
              <w:rPr>
                <w:szCs w:val="20"/>
              </w:rPr>
              <w:t>6</w:t>
            </w:r>
          </w:p>
        </w:tc>
      </w:tr>
      <w:tr w:rsidR="00E61C26" w:rsidRPr="004B2CEE" w14:paraId="0C6DF53B" w14:textId="77777777" w:rsidTr="005722A6">
        <w:tc>
          <w:tcPr>
            <w:tcW w:w="4144" w:type="dxa"/>
          </w:tcPr>
          <w:p w14:paraId="1049CC38" w14:textId="77777777" w:rsidR="00E61C26" w:rsidRPr="00002A9D" w:rsidRDefault="00E61C26" w:rsidP="005722A6">
            <w:pPr>
              <w:spacing w:after="120"/>
              <w:rPr>
                <w:szCs w:val="20"/>
              </w:rPr>
            </w:pPr>
            <w:r>
              <w:rPr>
                <w:szCs w:val="20"/>
              </w:rPr>
              <w:t>Ministerial advisory councils</w:t>
            </w:r>
          </w:p>
        </w:tc>
        <w:tc>
          <w:tcPr>
            <w:tcW w:w="4144" w:type="dxa"/>
          </w:tcPr>
          <w:p w14:paraId="7A2C3158" w14:textId="77777777" w:rsidR="00E61C26" w:rsidRPr="005A1C95" w:rsidRDefault="00E61C26" w:rsidP="005722A6">
            <w:pPr>
              <w:spacing w:after="120"/>
              <w:ind w:left="33"/>
              <w:jc w:val="center"/>
              <w:rPr>
                <w:szCs w:val="20"/>
              </w:rPr>
            </w:pPr>
            <w:r w:rsidRPr="005A1C95">
              <w:rPr>
                <w:szCs w:val="20"/>
              </w:rPr>
              <w:t>2</w:t>
            </w:r>
          </w:p>
        </w:tc>
      </w:tr>
      <w:tr w:rsidR="00E61C26" w:rsidRPr="004B2CEE" w14:paraId="4E0EC1DB" w14:textId="77777777" w:rsidTr="005722A6">
        <w:tc>
          <w:tcPr>
            <w:tcW w:w="4144" w:type="dxa"/>
          </w:tcPr>
          <w:p w14:paraId="7165A070" w14:textId="77777777" w:rsidR="00E61C26" w:rsidRPr="00002A9D" w:rsidRDefault="00E61C26" w:rsidP="005722A6">
            <w:pPr>
              <w:spacing w:after="120"/>
              <w:rPr>
                <w:szCs w:val="20"/>
              </w:rPr>
            </w:pPr>
            <w:r w:rsidRPr="00002A9D">
              <w:rPr>
                <w:szCs w:val="20"/>
              </w:rPr>
              <w:t>NGOs</w:t>
            </w:r>
          </w:p>
        </w:tc>
        <w:tc>
          <w:tcPr>
            <w:tcW w:w="4144" w:type="dxa"/>
          </w:tcPr>
          <w:p w14:paraId="62C8D7E1" w14:textId="77777777" w:rsidR="00E61C26" w:rsidRPr="005A1C95" w:rsidRDefault="00E61C26" w:rsidP="005722A6">
            <w:pPr>
              <w:spacing w:after="120"/>
              <w:ind w:left="33"/>
              <w:jc w:val="center"/>
              <w:rPr>
                <w:szCs w:val="20"/>
              </w:rPr>
            </w:pPr>
            <w:r w:rsidRPr="005A1C95">
              <w:rPr>
                <w:szCs w:val="20"/>
              </w:rPr>
              <w:t>2</w:t>
            </w:r>
          </w:p>
        </w:tc>
      </w:tr>
      <w:tr w:rsidR="00E61C26" w:rsidRPr="004B2CEE" w14:paraId="29EF3414" w14:textId="77777777" w:rsidTr="005722A6">
        <w:tc>
          <w:tcPr>
            <w:tcW w:w="4144" w:type="dxa"/>
          </w:tcPr>
          <w:p w14:paraId="272FD6B6" w14:textId="77777777" w:rsidR="00E61C26" w:rsidRPr="00002A9D" w:rsidRDefault="00E61C26" w:rsidP="005722A6">
            <w:pPr>
              <w:spacing w:after="120"/>
              <w:rPr>
                <w:szCs w:val="20"/>
              </w:rPr>
            </w:pPr>
            <w:r w:rsidRPr="00002A9D">
              <w:rPr>
                <w:szCs w:val="20"/>
              </w:rPr>
              <w:t>Interested individuals</w:t>
            </w:r>
          </w:p>
        </w:tc>
        <w:tc>
          <w:tcPr>
            <w:tcW w:w="4144" w:type="dxa"/>
          </w:tcPr>
          <w:p w14:paraId="714CCA06" w14:textId="77777777" w:rsidR="00E61C26" w:rsidRPr="005A1C95" w:rsidRDefault="00E61C26" w:rsidP="005722A6">
            <w:pPr>
              <w:spacing w:after="120"/>
              <w:ind w:left="33"/>
              <w:jc w:val="center"/>
              <w:rPr>
                <w:szCs w:val="20"/>
              </w:rPr>
            </w:pPr>
            <w:r w:rsidRPr="005A1C95">
              <w:rPr>
                <w:szCs w:val="20"/>
              </w:rPr>
              <w:t>2</w:t>
            </w:r>
          </w:p>
        </w:tc>
      </w:tr>
    </w:tbl>
    <w:p w14:paraId="58ADAC52" w14:textId="77777777" w:rsidR="00E61C26" w:rsidRDefault="00E61C26" w:rsidP="00E61C26">
      <w:pPr>
        <w:pStyle w:val="BodyText1"/>
      </w:pPr>
      <w:r>
        <w:t xml:space="preserve">The Committee notes that this is not an exhaustive list, as several submissions deal with aspects of the issues from more than one perspective and experience.  So, ACT Government, </w:t>
      </w:r>
      <w:r>
        <w:lastRenderedPageBreak/>
        <w:t>legal and justice stakeholder and policing are represented by submissions from several ACT government and legal and justice stakeholders.  The table presents a summary of the cross-section of stakeholders presenting views to the Committee.</w:t>
      </w:r>
    </w:p>
    <w:p w14:paraId="19B8A374" w14:textId="77777777" w:rsidR="00E61C26" w:rsidRDefault="00E61C26" w:rsidP="00E61C26">
      <w:pPr>
        <w:pStyle w:val="Headinglevel4"/>
      </w:pPr>
      <w:r>
        <w:t>Table 3.2—Summary of witnesses presenting to the committee’s inquiry received across stakeholder groups</w:t>
      </w:r>
    </w:p>
    <w:tbl>
      <w:tblPr>
        <w:tblStyle w:val="TableGrid"/>
        <w:tblW w:w="0" w:type="auto"/>
        <w:tblInd w:w="638" w:type="dxa"/>
        <w:tblLook w:val="04A0" w:firstRow="1" w:lastRow="0" w:firstColumn="1" w:lastColumn="0" w:noHBand="0" w:noVBand="1"/>
      </w:tblPr>
      <w:tblGrid>
        <w:gridCol w:w="4200"/>
        <w:gridCol w:w="4201"/>
      </w:tblGrid>
      <w:tr w:rsidR="00E61C26" w:rsidRPr="003A2D97" w14:paraId="59651C16" w14:textId="77777777" w:rsidTr="005722A6">
        <w:tc>
          <w:tcPr>
            <w:tcW w:w="4200" w:type="dxa"/>
            <w:shd w:val="pct12" w:color="auto" w:fill="auto"/>
          </w:tcPr>
          <w:p w14:paraId="5B634E90" w14:textId="77777777" w:rsidR="00E61C26" w:rsidRPr="003A2D97" w:rsidRDefault="00E61C26" w:rsidP="005722A6">
            <w:pPr>
              <w:jc w:val="center"/>
              <w:rPr>
                <w:b/>
              </w:rPr>
            </w:pPr>
            <w:r w:rsidRPr="003A2D97">
              <w:rPr>
                <w:b/>
              </w:rPr>
              <w:t>Stakeholder group(s)</w:t>
            </w:r>
          </w:p>
        </w:tc>
        <w:tc>
          <w:tcPr>
            <w:tcW w:w="4201" w:type="dxa"/>
            <w:shd w:val="pct12" w:color="auto" w:fill="auto"/>
          </w:tcPr>
          <w:p w14:paraId="0BC9D7B6" w14:textId="77777777" w:rsidR="00E61C26" w:rsidRPr="003A2D97" w:rsidRDefault="00E61C26" w:rsidP="005722A6">
            <w:pPr>
              <w:jc w:val="center"/>
              <w:rPr>
                <w:b/>
              </w:rPr>
            </w:pPr>
            <w:r>
              <w:rPr>
                <w:b/>
              </w:rPr>
              <w:t>Witnesses Appearing</w:t>
            </w:r>
          </w:p>
        </w:tc>
      </w:tr>
      <w:tr w:rsidR="00E61C26" w:rsidRPr="004B2CEE" w14:paraId="7054B6D8" w14:textId="77777777" w:rsidTr="005722A6">
        <w:tc>
          <w:tcPr>
            <w:tcW w:w="4200" w:type="dxa"/>
          </w:tcPr>
          <w:p w14:paraId="16F34FF6" w14:textId="77777777" w:rsidR="00E61C26" w:rsidRPr="00002A9D" w:rsidRDefault="00E61C26" w:rsidP="005722A6">
            <w:pPr>
              <w:spacing w:after="120"/>
              <w:rPr>
                <w:szCs w:val="20"/>
              </w:rPr>
            </w:pPr>
            <w:r>
              <w:rPr>
                <w:szCs w:val="20"/>
              </w:rPr>
              <w:t>ACT Government</w:t>
            </w:r>
          </w:p>
        </w:tc>
        <w:tc>
          <w:tcPr>
            <w:tcW w:w="4201" w:type="dxa"/>
          </w:tcPr>
          <w:p w14:paraId="0F4F4D4A" w14:textId="77777777" w:rsidR="00E61C26" w:rsidRPr="005A1C95" w:rsidRDefault="00E61C26" w:rsidP="005722A6">
            <w:pPr>
              <w:spacing w:after="120"/>
              <w:jc w:val="center"/>
              <w:rPr>
                <w:szCs w:val="20"/>
              </w:rPr>
            </w:pPr>
            <w:r w:rsidRPr="005A1C95">
              <w:rPr>
                <w:szCs w:val="20"/>
              </w:rPr>
              <w:t>3</w:t>
            </w:r>
          </w:p>
        </w:tc>
      </w:tr>
      <w:tr w:rsidR="00E61C26" w:rsidRPr="004B2CEE" w14:paraId="6E837A7A" w14:textId="77777777" w:rsidTr="005722A6">
        <w:tc>
          <w:tcPr>
            <w:tcW w:w="4200" w:type="dxa"/>
          </w:tcPr>
          <w:p w14:paraId="7CF767B0" w14:textId="77777777" w:rsidR="00E61C26" w:rsidRPr="00002A9D" w:rsidRDefault="00E61C26" w:rsidP="005722A6">
            <w:pPr>
              <w:spacing w:after="120"/>
              <w:rPr>
                <w:szCs w:val="20"/>
              </w:rPr>
            </w:pPr>
            <w:r>
              <w:rPr>
                <w:szCs w:val="20"/>
              </w:rPr>
              <w:t>L</w:t>
            </w:r>
            <w:r w:rsidRPr="00C32B3F">
              <w:rPr>
                <w:szCs w:val="20"/>
              </w:rPr>
              <w:t>egal and justice stakeholders</w:t>
            </w:r>
          </w:p>
        </w:tc>
        <w:tc>
          <w:tcPr>
            <w:tcW w:w="4201" w:type="dxa"/>
          </w:tcPr>
          <w:p w14:paraId="3A51C871" w14:textId="77777777" w:rsidR="00E61C26" w:rsidRPr="005A1C95" w:rsidRDefault="00E61C26" w:rsidP="005722A6">
            <w:pPr>
              <w:spacing w:after="120"/>
              <w:jc w:val="center"/>
              <w:rPr>
                <w:szCs w:val="20"/>
              </w:rPr>
            </w:pPr>
            <w:r w:rsidRPr="005A1C95">
              <w:rPr>
                <w:szCs w:val="20"/>
              </w:rPr>
              <w:t>14</w:t>
            </w:r>
          </w:p>
        </w:tc>
      </w:tr>
      <w:tr w:rsidR="00E61C26" w:rsidRPr="004B2CEE" w14:paraId="110A69C0" w14:textId="77777777" w:rsidTr="005722A6">
        <w:tc>
          <w:tcPr>
            <w:tcW w:w="4200" w:type="dxa"/>
          </w:tcPr>
          <w:p w14:paraId="44FE9BF2" w14:textId="77777777" w:rsidR="00E61C26" w:rsidRPr="00002A9D" w:rsidRDefault="00E61C26" w:rsidP="005722A6">
            <w:pPr>
              <w:spacing w:after="120"/>
              <w:rPr>
                <w:szCs w:val="20"/>
              </w:rPr>
            </w:pPr>
            <w:r w:rsidRPr="00002A9D">
              <w:rPr>
                <w:szCs w:val="20"/>
              </w:rPr>
              <w:t>Polic</w:t>
            </w:r>
            <w:r>
              <w:rPr>
                <w:szCs w:val="20"/>
              </w:rPr>
              <w:t>ing</w:t>
            </w:r>
          </w:p>
        </w:tc>
        <w:tc>
          <w:tcPr>
            <w:tcW w:w="4201" w:type="dxa"/>
          </w:tcPr>
          <w:p w14:paraId="76B1760B" w14:textId="77777777" w:rsidR="00E61C26" w:rsidRPr="005A1C95" w:rsidRDefault="00E61C26" w:rsidP="005722A6">
            <w:pPr>
              <w:spacing w:after="120"/>
              <w:jc w:val="center"/>
              <w:rPr>
                <w:szCs w:val="20"/>
              </w:rPr>
            </w:pPr>
            <w:r w:rsidRPr="005A1C95">
              <w:rPr>
                <w:szCs w:val="20"/>
              </w:rPr>
              <w:t>4</w:t>
            </w:r>
          </w:p>
        </w:tc>
      </w:tr>
      <w:tr w:rsidR="00E61C26" w:rsidRPr="004B2CEE" w14:paraId="0D04E4CE" w14:textId="77777777" w:rsidTr="005722A6">
        <w:tc>
          <w:tcPr>
            <w:tcW w:w="4200" w:type="dxa"/>
          </w:tcPr>
          <w:p w14:paraId="5787B800" w14:textId="77777777" w:rsidR="00E61C26" w:rsidRPr="00002A9D" w:rsidRDefault="00E61C26" w:rsidP="005722A6">
            <w:pPr>
              <w:spacing w:after="120"/>
              <w:rPr>
                <w:szCs w:val="20"/>
              </w:rPr>
            </w:pPr>
            <w:r w:rsidRPr="00002A9D">
              <w:rPr>
                <w:szCs w:val="20"/>
              </w:rPr>
              <w:t>Policy and research institutes</w:t>
            </w:r>
          </w:p>
        </w:tc>
        <w:tc>
          <w:tcPr>
            <w:tcW w:w="4201" w:type="dxa"/>
          </w:tcPr>
          <w:p w14:paraId="0CAABC42" w14:textId="77777777" w:rsidR="00E61C26" w:rsidRPr="005A1C95" w:rsidRDefault="00E61C26" w:rsidP="005722A6">
            <w:pPr>
              <w:spacing w:after="120"/>
              <w:jc w:val="center"/>
              <w:rPr>
                <w:szCs w:val="20"/>
              </w:rPr>
            </w:pPr>
            <w:r w:rsidRPr="005A1C95">
              <w:rPr>
                <w:szCs w:val="20"/>
              </w:rPr>
              <w:t>3</w:t>
            </w:r>
          </w:p>
        </w:tc>
      </w:tr>
      <w:tr w:rsidR="00E61C26" w:rsidRPr="004B2CEE" w14:paraId="0CF1F085" w14:textId="77777777" w:rsidTr="005722A6">
        <w:tc>
          <w:tcPr>
            <w:tcW w:w="4200" w:type="dxa"/>
          </w:tcPr>
          <w:p w14:paraId="0FCA687D" w14:textId="77777777" w:rsidR="00E61C26" w:rsidRPr="00002A9D" w:rsidRDefault="00E61C26" w:rsidP="005722A6">
            <w:pPr>
              <w:spacing w:after="120"/>
              <w:rPr>
                <w:szCs w:val="20"/>
              </w:rPr>
            </w:pPr>
            <w:r w:rsidRPr="00002A9D">
              <w:rPr>
                <w:szCs w:val="20"/>
              </w:rPr>
              <w:t>Professional associations</w:t>
            </w:r>
          </w:p>
        </w:tc>
        <w:tc>
          <w:tcPr>
            <w:tcW w:w="4201" w:type="dxa"/>
          </w:tcPr>
          <w:p w14:paraId="631738FB" w14:textId="77777777" w:rsidR="00E61C26" w:rsidRPr="005A1C95" w:rsidRDefault="00E61C26" w:rsidP="005722A6">
            <w:pPr>
              <w:spacing w:after="120"/>
              <w:jc w:val="center"/>
              <w:rPr>
                <w:szCs w:val="20"/>
              </w:rPr>
            </w:pPr>
            <w:r w:rsidRPr="005A1C95">
              <w:rPr>
                <w:szCs w:val="20"/>
              </w:rPr>
              <w:t>1</w:t>
            </w:r>
          </w:p>
        </w:tc>
      </w:tr>
      <w:tr w:rsidR="00E61C26" w:rsidRPr="004B2CEE" w14:paraId="2CD5015B" w14:textId="77777777" w:rsidTr="005722A6">
        <w:tc>
          <w:tcPr>
            <w:tcW w:w="4200" w:type="dxa"/>
          </w:tcPr>
          <w:p w14:paraId="38A4D10B" w14:textId="77777777" w:rsidR="00E61C26" w:rsidRPr="00002A9D" w:rsidRDefault="00E61C26" w:rsidP="005722A6">
            <w:pPr>
              <w:spacing w:after="120"/>
              <w:rPr>
                <w:szCs w:val="20"/>
              </w:rPr>
            </w:pPr>
            <w:r>
              <w:rPr>
                <w:szCs w:val="20"/>
              </w:rPr>
              <w:t>Frontline service providers</w:t>
            </w:r>
          </w:p>
        </w:tc>
        <w:tc>
          <w:tcPr>
            <w:tcW w:w="4201" w:type="dxa"/>
          </w:tcPr>
          <w:p w14:paraId="25F46BB7" w14:textId="77777777" w:rsidR="00E61C26" w:rsidRPr="005A1C95" w:rsidRDefault="00E61C26" w:rsidP="005722A6">
            <w:pPr>
              <w:spacing w:after="120"/>
              <w:jc w:val="center"/>
              <w:rPr>
                <w:szCs w:val="20"/>
              </w:rPr>
            </w:pPr>
            <w:r w:rsidRPr="005A1C95">
              <w:rPr>
                <w:szCs w:val="20"/>
              </w:rPr>
              <w:t>8</w:t>
            </w:r>
          </w:p>
        </w:tc>
      </w:tr>
      <w:tr w:rsidR="00E61C26" w:rsidRPr="004B2CEE" w14:paraId="26FEA4E1" w14:textId="77777777" w:rsidTr="005722A6">
        <w:tc>
          <w:tcPr>
            <w:tcW w:w="4200" w:type="dxa"/>
          </w:tcPr>
          <w:p w14:paraId="02A1CA8B" w14:textId="77777777" w:rsidR="00E61C26" w:rsidRPr="00002A9D" w:rsidRDefault="00E61C26" w:rsidP="005722A6">
            <w:pPr>
              <w:spacing w:after="120"/>
              <w:rPr>
                <w:szCs w:val="20"/>
              </w:rPr>
            </w:pPr>
            <w:r w:rsidRPr="00002A9D">
              <w:rPr>
                <w:szCs w:val="20"/>
              </w:rPr>
              <w:t>Union groups</w:t>
            </w:r>
          </w:p>
        </w:tc>
        <w:tc>
          <w:tcPr>
            <w:tcW w:w="4201" w:type="dxa"/>
          </w:tcPr>
          <w:p w14:paraId="13E3D8BE" w14:textId="77777777" w:rsidR="00E61C26" w:rsidRPr="005A1C95" w:rsidRDefault="00E61C26" w:rsidP="005722A6">
            <w:pPr>
              <w:spacing w:after="120"/>
              <w:jc w:val="center"/>
              <w:rPr>
                <w:szCs w:val="20"/>
              </w:rPr>
            </w:pPr>
            <w:r w:rsidRPr="005A1C95">
              <w:rPr>
                <w:szCs w:val="20"/>
              </w:rPr>
              <w:t>1</w:t>
            </w:r>
          </w:p>
        </w:tc>
      </w:tr>
      <w:tr w:rsidR="00E61C26" w:rsidRPr="004B2CEE" w14:paraId="6E18FF8C" w14:textId="77777777" w:rsidTr="005722A6">
        <w:tc>
          <w:tcPr>
            <w:tcW w:w="4200" w:type="dxa"/>
          </w:tcPr>
          <w:p w14:paraId="12080A88" w14:textId="77777777" w:rsidR="00E61C26" w:rsidRPr="00002A9D" w:rsidRDefault="00E61C26" w:rsidP="005722A6">
            <w:pPr>
              <w:spacing w:after="120"/>
              <w:rPr>
                <w:szCs w:val="20"/>
              </w:rPr>
            </w:pPr>
            <w:r w:rsidRPr="00002A9D">
              <w:rPr>
                <w:szCs w:val="20"/>
              </w:rPr>
              <w:t>Academics</w:t>
            </w:r>
          </w:p>
        </w:tc>
        <w:tc>
          <w:tcPr>
            <w:tcW w:w="4201" w:type="dxa"/>
          </w:tcPr>
          <w:p w14:paraId="5988BF1F" w14:textId="77777777" w:rsidR="00E61C26" w:rsidRPr="005A1C95" w:rsidRDefault="00E61C26" w:rsidP="005722A6">
            <w:pPr>
              <w:spacing w:after="120"/>
              <w:jc w:val="center"/>
              <w:rPr>
                <w:szCs w:val="20"/>
              </w:rPr>
            </w:pPr>
            <w:r w:rsidRPr="005A1C95">
              <w:rPr>
                <w:szCs w:val="20"/>
              </w:rPr>
              <w:t>1</w:t>
            </w:r>
          </w:p>
        </w:tc>
      </w:tr>
      <w:tr w:rsidR="00E61C26" w:rsidRPr="004B2CEE" w14:paraId="10E5F5AB" w14:textId="77777777" w:rsidTr="005722A6">
        <w:tc>
          <w:tcPr>
            <w:tcW w:w="4200" w:type="dxa"/>
          </w:tcPr>
          <w:p w14:paraId="50107E4B" w14:textId="77777777" w:rsidR="00E61C26" w:rsidRPr="00002A9D" w:rsidRDefault="00E61C26" w:rsidP="005722A6">
            <w:pPr>
              <w:spacing w:after="120"/>
              <w:rPr>
                <w:szCs w:val="20"/>
              </w:rPr>
            </w:pPr>
            <w:r w:rsidRPr="00C32B3F">
              <w:rPr>
                <w:szCs w:val="20"/>
              </w:rPr>
              <w:t>key interest groups and organisations</w:t>
            </w:r>
          </w:p>
        </w:tc>
        <w:tc>
          <w:tcPr>
            <w:tcW w:w="4201" w:type="dxa"/>
          </w:tcPr>
          <w:p w14:paraId="23C9D465" w14:textId="77777777" w:rsidR="00E61C26" w:rsidRPr="005A1C95" w:rsidRDefault="00E61C26" w:rsidP="005722A6">
            <w:pPr>
              <w:spacing w:after="120"/>
              <w:jc w:val="center"/>
              <w:rPr>
                <w:szCs w:val="20"/>
              </w:rPr>
            </w:pPr>
            <w:r w:rsidRPr="005A1C95">
              <w:rPr>
                <w:szCs w:val="20"/>
              </w:rPr>
              <w:t>6</w:t>
            </w:r>
          </w:p>
        </w:tc>
      </w:tr>
      <w:tr w:rsidR="00E61C26" w:rsidRPr="004B2CEE" w14:paraId="4CF410DB" w14:textId="77777777" w:rsidTr="005722A6">
        <w:tc>
          <w:tcPr>
            <w:tcW w:w="4200" w:type="dxa"/>
          </w:tcPr>
          <w:p w14:paraId="610E65D4" w14:textId="77777777" w:rsidR="00E61C26" w:rsidRPr="00002A9D" w:rsidRDefault="00E61C26" w:rsidP="005722A6">
            <w:pPr>
              <w:spacing w:after="120"/>
              <w:rPr>
                <w:szCs w:val="20"/>
              </w:rPr>
            </w:pPr>
            <w:r>
              <w:rPr>
                <w:szCs w:val="20"/>
              </w:rPr>
              <w:t>Ministerial advisory councils</w:t>
            </w:r>
          </w:p>
        </w:tc>
        <w:tc>
          <w:tcPr>
            <w:tcW w:w="4201" w:type="dxa"/>
          </w:tcPr>
          <w:p w14:paraId="00656583" w14:textId="77777777" w:rsidR="00E61C26" w:rsidRPr="005A1C95" w:rsidRDefault="00E61C26" w:rsidP="005722A6">
            <w:pPr>
              <w:spacing w:after="120"/>
              <w:jc w:val="center"/>
              <w:rPr>
                <w:szCs w:val="20"/>
              </w:rPr>
            </w:pPr>
            <w:r w:rsidRPr="005A1C95">
              <w:rPr>
                <w:szCs w:val="20"/>
              </w:rPr>
              <w:t>3</w:t>
            </w:r>
          </w:p>
        </w:tc>
      </w:tr>
      <w:tr w:rsidR="00E61C26" w:rsidRPr="004B2CEE" w14:paraId="24C6A64D" w14:textId="77777777" w:rsidTr="005722A6">
        <w:tc>
          <w:tcPr>
            <w:tcW w:w="4200" w:type="dxa"/>
          </w:tcPr>
          <w:p w14:paraId="4A37793A" w14:textId="77777777" w:rsidR="00E61C26" w:rsidRPr="00002A9D" w:rsidRDefault="00E61C26" w:rsidP="005722A6">
            <w:pPr>
              <w:spacing w:after="120"/>
              <w:rPr>
                <w:szCs w:val="20"/>
              </w:rPr>
            </w:pPr>
            <w:r w:rsidRPr="00002A9D">
              <w:rPr>
                <w:szCs w:val="20"/>
              </w:rPr>
              <w:t>NGOs</w:t>
            </w:r>
          </w:p>
        </w:tc>
        <w:tc>
          <w:tcPr>
            <w:tcW w:w="4201" w:type="dxa"/>
          </w:tcPr>
          <w:p w14:paraId="4D327BDD" w14:textId="77777777" w:rsidR="00E61C26" w:rsidRPr="005A1C95" w:rsidRDefault="00E61C26" w:rsidP="005722A6">
            <w:pPr>
              <w:spacing w:after="120"/>
              <w:jc w:val="center"/>
              <w:rPr>
                <w:szCs w:val="20"/>
              </w:rPr>
            </w:pPr>
            <w:r w:rsidRPr="005A1C95">
              <w:rPr>
                <w:szCs w:val="20"/>
              </w:rPr>
              <w:t>7</w:t>
            </w:r>
          </w:p>
        </w:tc>
      </w:tr>
      <w:tr w:rsidR="00E61C26" w:rsidRPr="004B2CEE" w14:paraId="5BB80D25" w14:textId="77777777" w:rsidTr="005722A6">
        <w:tc>
          <w:tcPr>
            <w:tcW w:w="4200" w:type="dxa"/>
          </w:tcPr>
          <w:p w14:paraId="73E6A9B7" w14:textId="77777777" w:rsidR="00E61C26" w:rsidRPr="00002A9D" w:rsidRDefault="00E61C26" w:rsidP="005722A6">
            <w:pPr>
              <w:spacing w:after="120"/>
              <w:rPr>
                <w:szCs w:val="20"/>
              </w:rPr>
            </w:pPr>
            <w:r w:rsidRPr="00002A9D">
              <w:rPr>
                <w:szCs w:val="20"/>
              </w:rPr>
              <w:t>Interested individuals</w:t>
            </w:r>
          </w:p>
        </w:tc>
        <w:tc>
          <w:tcPr>
            <w:tcW w:w="4201" w:type="dxa"/>
          </w:tcPr>
          <w:p w14:paraId="7309D833" w14:textId="77777777" w:rsidR="00E61C26" w:rsidRPr="005A1C95" w:rsidRDefault="00E61C26" w:rsidP="005722A6">
            <w:pPr>
              <w:spacing w:after="120"/>
              <w:jc w:val="center"/>
              <w:rPr>
                <w:szCs w:val="20"/>
              </w:rPr>
            </w:pPr>
            <w:r w:rsidRPr="005A1C95">
              <w:rPr>
                <w:szCs w:val="20"/>
              </w:rPr>
              <w:t>2</w:t>
            </w:r>
          </w:p>
        </w:tc>
      </w:tr>
    </w:tbl>
    <w:p w14:paraId="3EDD1E95" w14:textId="77777777" w:rsidR="00E61C26" w:rsidRPr="00730B1C" w:rsidRDefault="00E61C26" w:rsidP="00E61C26">
      <w:pPr>
        <w:pStyle w:val="Headinglevel6"/>
        <w:rPr>
          <w:rFonts w:ascii="Calibri" w:hAnsi="Calibri"/>
          <w:i/>
          <w:iCs/>
          <w:smallCaps w:val="0"/>
          <w:spacing w:val="0"/>
        </w:rPr>
      </w:pPr>
      <w:r w:rsidRPr="00730B1C">
        <w:rPr>
          <w:rFonts w:ascii="Calibri" w:hAnsi="Calibri"/>
          <w:i/>
          <w:iCs/>
          <w:smallCaps w:val="0"/>
          <w:spacing w:val="0"/>
        </w:rPr>
        <w:t>Note – in t</w:t>
      </w:r>
      <w:r>
        <w:rPr>
          <w:rFonts w:ascii="Calibri" w:hAnsi="Calibri"/>
          <w:i/>
          <w:iCs/>
          <w:smallCaps w:val="0"/>
          <w:spacing w:val="0"/>
        </w:rPr>
        <w:t>his</w:t>
      </w:r>
      <w:r w:rsidRPr="00730B1C">
        <w:rPr>
          <w:rFonts w:ascii="Calibri" w:hAnsi="Calibri"/>
          <w:i/>
          <w:iCs/>
          <w:smallCaps w:val="0"/>
          <w:spacing w:val="0"/>
        </w:rPr>
        <w:t xml:space="preserve"> table there is a degree of </w:t>
      </w:r>
      <w:r>
        <w:rPr>
          <w:rFonts w:ascii="Calibri" w:hAnsi="Calibri"/>
          <w:i/>
          <w:iCs/>
          <w:smallCaps w:val="0"/>
          <w:spacing w:val="0"/>
        </w:rPr>
        <w:t xml:space="preserve">cross-over and/or </w:t>
      </w:r>
      <w:r w:rsidRPr="00730B1C">
        <w:rPr>
          <w:rFonts w:ascii="Calibri" w:hAnsi="Calibri"/>
          <w:i/>
          <w:iCs/>
          <w:smallCaps w:val="0"/>
          <w:spacing w:val="0"/>
        </w:rPr>
        <w:t>duplication as witnesses came within several categories</w:t>
      </w:r>
      <w:r>
        <w:rPr>
          <w:rFonts w:ascii="Calibri" w:hAnsi="Calibri"/>
          <w:i/>
          <w:iCs/>
          <w:smallCaps w:val="0"/>
          <w:spacing w:val="0"/>
        </w:rPr>
        <w:t>.  The Committee records appearance where a witness appears in more than one capacity.</w:t>
      </w:r>
    </w:p>
    <w:p w14:paraId="43EB0150" w14:textId="77777777" w:rsidR="00E61C26" w:rsidRDefault="00E61C26" w:rsidP="00E61C26">
      <w:pPr>
        <w:pStyle w:val="Headinglevel5"/>
      </w:pPr>
      <w:r>
        <w:t>Committee comment</w:t>
      </w:r>
    </w:p>
    <w:p w14:paraId="299E22F8" w14:textId="77777777" w:rsidR="00E61C26" w:rsidRDefault="00E61C26" w:rsidP="00E61C26">
      <w:pPr>
        <w:pStyle w:val="BodyText1"/>
      </w:pPr>
      <w:r>
        <w:t>It is important to note that the Committee inquiry process received strong submissions on current programs, current and future strategies and responses to DFV and detailed and open accounts on the limitations and concerns (and gaps) confronting DFV programs in the ACT and nationally.</w:t>
      </w:r>
    </w:p>
    <w:p w14:paraId="32B053D2" w14:textId="77777777" w:rsidR="00E61C26" w:rsidRDefault="00E61C26" w:rsidP="00E61C26">
      <w:pPr>
        <w:pStyle w:val="BodyText1"/>
      </w:pPr>
      <w:r>
        <w:t>The range of submissions the Committee considered, as well as the strong views and discussions gained from witnesses who presented to the Committee, was a sound and challenging presentation of all aspects of DFV responses in the ACT.</w:t>
      </w:r>
    </w:p>
    <w:p w14:paraId="318C5CF5" w14:textId="77777777" w:rsidR="00E61C26" w:rsidRDefault="00E61C26" w:rsidP="00E61C26">
      <w:pPr>
        <w:pStyle w:val="BodyText1"/>
      </w:pPr>
      <w:r>
        <w:t xml:space="preserve"> The Committee deals with the views advanced in submissions in detail in later chapters.</w:t>
      </w:r>
    </w:p>
    <w:p w14:paraId="70D6E949" w14:textId="77777777" w:rsidR="00E61C26" w:rsidRDefault="00E61C26" w:rsidP="00E61C26">
      <w:pPr>
        <w:pStyle w:val="BodyText1"/>
        <w:numPr>
          <w:ilvl w:val="0"/>
          <w:numId w:val="0"/>
        </w:numPr>
      </w:pPr>
    </w:p>
    <w:p w14:paraId="7FC07DE4" w14:textId="77777777" w:rsidR="00E61C26" w:rsidRPr="00D85C07" w:rsidRDefault="00E61C26" w:rsidP="00E61C26">
      <w:pPr>
        <w:pStyle w:val="BodyText1"/>
        <w:numPr>
          <w:ilvl w:val="0"/>
          <w:numId w:val="0"/>
        </w:numPr>
        <w:sectPr w:rsidR="00E61C26" w:rsidRPr="00D85C07" w:rsidSect="005722A6">
          <w:headerReference w:type="first" r:id="rId26"/>
          <w:type w:val="oddPage"/>
          <w:pgSz w:w="11907" w:h="16840" w:code="9"/>
          <w:pgMar w:top="1588" w:right="1418" w:bottom="1418" w:left="1418" w:header="720" w:footer="851" w:gutter="0"/>
          <w:cols w:space="720"/>
          <w:docGrid w:linePitch="360"/>
        </w:sectPr>
      </w:pPr>
    </w:p>
    <w:p w14:paraId="16AA9515" w14:textId="77777777" w:rsidR="00E61C26" w:rsidRDefault="00E61C26" w:rsidP="00E61C26">
      <w:pPr>
        <w:pStyle w:val="Heading1"/>
      </w:pPr>
      <w:bookmarkStart w:id="61" w:name="_Toc16763999"/>
      <w:bookmarkStart w:id="62" w:name="_Toc479770964"/>
      <w:r>
        <w:lastRenderedPageBreak/>
        <w:t>Guiding principles informing the inquiry</w:t>
      </w:r>
      <w:bookmarkEnd w:id="61"/>
    </w:p>
    <w:p w14:paraId="292606D8" w14:textId="77777777" w:rsidR="00E61C26" w:rsidRDefault="00E61C26" w:rsidP="00E61C26">
      <w:pPr>
        <w:pStyle w:val="BodyText1"/>
      </w:pPr>
      <w:r>
        <w:t>This Chapter sets out the inquiry g</w:t>
      </w:r>
      <w:r w:rsidRPr="000F30D2">
        <w:t>uiding principles—informed by views of contributors to the inquiry and the body of theory and practice as it concerns preventing and responding to domestic and family violence.  Many of the contributors, either in full or in-part, referred to the concepts underpinning the guiding principles.</w:t>
      </w:r>
    </w:p>
    <w:p w14:paraId="45180420" w14:textId="3AA2F014" w:rsidR="007219AA" w:rsidRPr="001A680A" w:rsidRDefault="00E61C26" w:rsidP="00080A07">
      <w:pPr>
        <w:pStyle w:val="BodyText1"/>
      </w:pPr>
      <w:r w:rsidRPr="00080A07">
        <w:t>The guiding principles informing the inquiry include</w:t>
      </w:r>
      <w:r w:rsidR="00080A07" w:rsidRPr="00080A07">
        <w:t xml:space="preserve"> those used by the Aust</w:t>
      </w:r>
      <w:r w:rsidR="00080A07">
        <w:t>r</w:t>
      </w:r>
      <w:r w:rsidR="00080A07" w:rsidRPr="00080A07">
        <w:t>alian bureau of Statistics</w:t>
      </w:r>
      <w:r w:rsidR="00080A07" w:rsidRPr="00080A07">
        <w:rPr>
          <w:color w:val="FF0000"/>
        </w:rPr>
        <w:t>.</w:t>
      </w:r>
      <w:r w:rsidR="00080A07">
        <w:rPr>
          <w:color w:val="FF0000"/>
        </w:rPr>
        <w:t xml:space="preserve">  </w:t>
      </w:r>
      <w:r w:rsidR="007219AA" w:rsidRPr="006B67CC">
        <w:t>The Australian Bureau of Statistics (ABS) has advanced a framework centred on two key aspects: (i) the specific behaviours to be inc</w:t>
      </w:r>
      <w:r w:rsidR="00080A07">
        <w:t>l</w:t>
      </w:r>
      <w:r w:rsidR="007219AA" w:rsidRPr="006B67CC">
        <w:t>uded; and (ii) the relationships of interest.  When considering behavioural elements to be included, these can be direct or indirect and can be located on a continuum ranging from minor incidents to more serious activities over time.  In the case of relationships, these can be either broadly or narrowly defined, depending on the legal, policy or research context.</w:t>
      </w:r>
    </w:p>
    <w:p w14:paraId="0A332C7D" w14:textId="78A32CEF" w:rsidR="00E61C26" w:rsidRDefault="00E61C26" w:rsidP="00E61C26">
      <w:pPr>
        <w:pStyle w:val="Headinglevel4"/>
      </w:pPr>
      <w:r>
        <w:t>A standard or working definition of DFV is important</w:t>
      </w:r>
    </w:p>
    <w:p w14:paraId="683E7898" w14:textId="025B717B" w:rsidR="00E61C26" w:rsidRDefault="00E61C26" w:rsidP="00E61C26">
      <w:pPr>
        <w:pStyle w:val="BodyText1"/>
      </w:pPr>
      <w:r>
        <w:t xml:space="preserve">The availability of a standard or working definition of DFV is important for </w:t>
      </w:r>
      <w:r w:rsidR="00A27C29">
        <w:t>several</w:t>
      </w:r>
      <w:r>
        <w:t xml:space="preserve"> reasons—including assisting with:</w:t>
      </w:r>
    </w:p>
    <w:p w14:paraId="3FA56078" w14:textId="77777777" w:rsidR="00E61C26" w:rsidRDefault="00E61C26" w:rsidP="00E61C26">
      <w:pPr>
        <w:pStyle w:val="ListNumber3"/>
        <w:numPr>
          <w:ilvl w:val="0"/>
          <w:numId w:val="1"/>
        </w:numPr>
      </w:pPr>
      <w:r>
        <w:t xml:space="preserve">a common or shared understanding through which to view domestic and family violence; </w:t>
      </w:r>
    </w:p>
    <w:p w14:paraId="4672C218" w14:textId="77777777" w:rsidR="00E61C26" w:rsidRDefault="00E61C26" w:rsidP="00E61C26">
      <w:pPr>
        <w:pStyle w:val="ListNumber3"/>
        <w:numPr>
          <w:ilvl w:val="0"/>
          <w:numId w:val="1"/>
        </w:numPr>
      </w:pPr>
      <w:r>
        <w:t xml:space="preserve">capturing the right data to build an evidence base to inform service delivery and public policy responses;  </w:t>
      </w:r>
    </w:p>
    <w:p w14:paraId="3B8CFF24" w14:textId="77777777" w:rsidR="00E61C26" w:rsidRDefault="00E61C26" w:rsidP="00E61C26">
      <w:pPr>
        <w:pStyle w:val="ListNumber3"/>
        <w:numPr>
          <w:ilvl w:val="0"/>
          <w:numId w:val="1"/>
        </w:numPr>
      </w:pPr>
      <w:r>
        <w:t>improving the measurement of the levels of DFV and rates of incidence and prevalence;</w:t>
      </w:r>
    </w:p>
    <w:p w14:paraId="2B24DB8D" w14:textId="77777777" w:rsidR="00E61C26" w:rsidRDefault="00E61C26" w:rsidP="00E61C26">
      <w:pPr>
        <w:pStyle w:val="ListNumber3"/>
        <w:numPr>
          <w:ilvl w:val="0"/>
          <w:numId w:val="1"/>
        </w:numPr>
      </w:pPr>
      <w:r>
        <w:t>the design of public policy approaches and responses to prevent and respond to domestic and family violence; and</w:t>
      </w:r>
    </w:p>
    <w:p w14:paraId="40077109" w14:textId="77777777" w:rsidR="00E61C26" w:rsidRDefault="00E61C26" w:rsidP="00E61C26">
      <w:pPr>
        <w:pStyle w:val="ListNumber3"/>
        <w:numPr>
          <w:ilvl w:val="0"/>
          <w:numId w:val="1"/>
        </w:numPr>
      </w:pPr>
      <w:r>
        <w:t>the evaluation and measurement of the effectiveness of policy approaches and responses.</w:t>
      </w:r>
    </w:p>
    <w:p w14:paraId="788844AD" w14:textId="77777777" w:rsidR="00E61C26" w:rsidRDefault="00E61C26" w:rsidP="00E61C26">
      <w:pPr>
        <w:pStyle w:val="BodyText1"/>
      </w:pPr>
      <w:r>
        <w:t xml:space="preserve">As a working definition—reflective of the broadening of what is understood to encapsulate DFV in contemporary terms—for the purposes of its inquiry, the Committee’s conceptual framework of a working definition of domestic and family violence, informed by the work of the ABS , is summarised at Figure 4.1.  </w:t>
      </w:r>
    </w:p>
    <w:p w14:paraId="1EBF9BF5" w14:textId="77777777" w:rsidR="00E61C26" w:rsidRDefault="00E61C26" w:rsidP="00E61C26">
      <w:pPr>
        <w:pStyle w:val="Headinglevel4"/>
      </w:pPr>
      <w:r>
        <w:t>Family violence knows no postcodes</w:t>
      </w:r>
    </w:p>
    <w:p w14:paraId="37CECA44" w14:textId="77777777" w:rsidR="00E61C26" w:rsidRDefault="00E61C26" w:rsidP="00E61C26">
      <w:pPr>
        <w:pStyle w:val="BodyText1"/>
      </w:pPr>
      <w:r>
        <w:t>Domestic, family and intimate partner violence is not confined to certain socio-economic groups</w:t>
      </w:r>
    </w:p>
    <w:p w14:paraId="13325864" w14:textId="77777777" w:rsidR="00E61C26" w:rsidRDefault="00E61C26" w:rsidP="00E61C26">
      <w:pPr>
        <w:pStyle w:val="Quote"/>
      </w:pPr>
      <w:r>
        <w:t>‘…we can absolutely say that family violence does not know any postcodes…’</w:t>
      </w:r>
      <w:r>
        <w:rPr>
          <w:rStyle w:val="FootnoteReference"/>
        </w:rPr>
        <w:footnoteReference w:id="19"/>
      </w:r>
    </w:p>
    <w:p w14:paraId="0D75A4F6" w14:textId="77777777" w:rsidR="00E61C26" w:rsidRDefault="00E61C26" w:rsidP="00E61C26">
      <w:pPr>
        <w:pStyle w:val="BodyText1"/>
      </w:pPr>
      <w:r>
        <w:lastRenderedPageBreak/>
        <w:t>While anyone can be a victim of domestic, family and intimate partner violence—research has shown that certain groups are in a more vulnerable position than others—including: women from culturally and linguistically diverse communities (CALD), women from Aboriginal and Torres Strait Islander communities , refugees, children, pregnant women</w:t>
      </w:r>
      <w:r>
        <w:rPr>
          <w:rStyle w:val="FootnoteReference"/>
        </w:rPr>
        <w:footnoteReference w:id="20"/>
      </w:r>
      <w:r>
        <w:t>, the LGBTQI community; older people; and disabled people</w:t>
      </w:r>
      <w:r>
        <w:rPr>
          <w:rStyle w:val="FootnoteReference"/>
        </w:rPr>
        <w:footnoteReference w:id="21"/>
      </w:r>
      <w:r>
        <w:t>.  The needs of vulnerable groups must be taken into consideration when designing services.</w:t>
      </w:r>
    </w:p>
    <w:p w14:paraId="7546206B" w14:textId="77777777" w:rsidR="00E61C26" w:rsidRDefault="00E61C26" w:rsidP="00E61C26">
      <w:pPr>
        <w:pStyle w:val="Headinglevel5"/>
      </w:pPr>
      <w:r>
        <w:t>D</w:t>
      </w:r>
      <w:r w:rsidRPr="006B67CC">
        <w:t>evelopment of nationally consistent data definitions and collection methods</w:t>
      </w:r>
    </w:p>
    <w:p w14:paraId="1E56ABC6" w14:textId="77777777" w:rsidR="00E61C26" w:rsidRDefault="00E61C26" w:rsidP="00E61C26">
      <w:pPr>
        <w:pStyle w:val="BodyText1"/>
      </w:pPr>
      <w:r w:rsidRPr="006B67CC">
        <w:t xml:space="preserve">The building of an evidence base for DFV approaches and responses will be improved through the development of nationally consistent data definitions and collection methods.  </w:t>
      </w:r>
      <w:r>
        <w:t>W</w:t>
      </w:r>
      <w:r w:rsidRPr="006B67CC">
        <w:t xml:space="preserve">hilst a national data collection and reporting framework will assist with informing service delivery and public policy, </w:t>
      </w:r>
      <w:r>
        <w:t xml:space="preserve">submission to a senate Committee inquiry on the matter indicated that this </w:t>
      </w:r>
      <w:r w:rsidRPr="006B67CC">
        <w:t>it will not be operational until 2022.</w:t>
      </w:r>
      <w:r>
        <w:rPr>
          <w:rStyle w:val="FootnoteReference"/>
        </w:rPr>
        <w:footnoteReference w:id="22"/>
      </w:r>
    </w:p>
    <w:p w14:paraId="7E088AFD" w14:textId="77777777" w:rsidR="00E61C26" w:rsidRDefault="00E61C26" w:rsidP="00E61C26">
      <w:pPr>
        <w:pStyle w:val="Headinglevel4"/>
      </w:pPr>
      <w:r>
        <w:t>L</w:t>
      </w:r>
      <w:r w:rsidRPr="002E3F09">
        <w:t>inkage between interpersonal abuse, drugs and alcohol</w:t>
      </w:r>
    </w:p>
    <w:p w14:paraId="28C917BA" w14:textId="77777777" w:rsidR="00E61C26" w:rsidRPr="002E3F09" w:rsidRDefault="00E61C26" w:rsidP="00E61C26">
      <w:pPr>
        <w:pStyle w:val="BodyText1"/>
      </w:pPr>
      <w:r w:rsidRPr="002E3F09">
        <w:t>There is a linkage between interpersonal abuse, drugs and alcohol—whilst neither illicit drug use and alcohol consumption causes violence (they are proximal reasons), at harmful and hazardous levels, research suggests that they can be a major contributor to its occurrence, and an outcome of being a victim or witness of abuse.</w:t>
      </w:r>
      <w:r>
        <w:rPr>
          <w:rStyle w:val="FootnoteReference"/>
        </w:rPr>
        <w:footnoteReference w:id="23"/>
      </w:r>
    </w:p>
    <w:p w14:paraId="45A01250" w14:textId="77777777" w:rsidR="00E61C26" w:rsidRDefault="00E61C26" w:rsidP="00E61C26">
      <w:pPr>
        <w:pStyle w:val="Headinglevel4"/>
      </w:pPr>
      <w:r>
        <w:t>S</w:t>
      </w:r>
      <w:r w:rsidRPr="002E3F09">
        <w:t>trong link between DFV and homelessness</w:t>
      </w:r>
    </w:p>
    <w:p w14:paraId="28EB5570" w14:textId="77777777" w:rsidR="00E61C26" w:rsidRPr="002E3F09" w:rsidRDefault="00E61C26" w:rsidP="00E61C26">
      <w:pPr>
        <w:pStyle w:val="BodyText1"/>
      </w:pPr>
      <w:r w:rsidRPr="002E3F09">
        <w:t xml:space="preserve">Escaping domestic or sexual violence remains a leading cause of homelessness—there is a strong link between DFV and homelessness.  There are many hidden victims of DFV in homelessness services, as well as </w:t>
      </w:r>
      <w:r>
        <w:t>in Alcohol and Other Drugs (</w:t>
      </w:r>
      <w:r w:rsidRPr="002E3F09">
        <w:t>AOD</w:t>
      </w:r>
      <w:r>
        <w:t>)</w:t>
      </w:r>
      <w:r w:rsidRPr="002E3F09">
        <w:t xml:space="preserve"> and mental health services.  </w:t>
      </w:r>
    </w:p>
    <w:p w14:paraId="67398360" w14:textId="77777777" w:rsidR="00E61C26" w:rsidRDefault="00E61C26" w:rsidP="00E61C26">
      <w:pPr>
        <w:pStyle w:val="Headinglevel4"/>
      </w:pPr>
      <w:r w:rsidRPr="002E3F09">
        <w:t>An integrated response is paramount</w:t>
      </w:r>
    </w:p>
    <w:p w14:paraId="2471E3FA" w14:textId="77777777" w:rsidR="00E61C26" w:rsidRPr="002E3F09" w:rsidRDefault="00E61C26" w:rsidP="00E61C26">
      <w:pPr>
        <w:pStyle w:val="BodyText1"/>
      </w:pPr>
      <w:r w:rsidRPr="002E3F09">
        <w:t xml:space="preserve">An integrated response is paramount—importance of difference between co-ordination and integration [co-ordination </w:t>
      </w:r>
      <w:r>
        <w:t xml:space="preserve">can be achieved </w:t>
      </w:r>
      <w:r w:rsidRPr="002E3F09">
        <w:t>without getting systemic change, but integration</w:t>
      </w:r>
      <w:r>
        <w:t xml:space="preserve"> cannot be achieved </w:t>
      </w:r>
      <w:r w:rsidRPr="002E3F09">
        <w:t>without having system change]:</w:t>
      </w:r>
    </w:p>
    <w:p w14:paraId="4043A917" w14:textId="77777777" w:rsidR="00E61C26" w:rsidRDefault="00E61C26" w:rsidP="00E61C26">
      <w:pPr>
        <w:pStyle w:val="Quote"/>
      </w:pPr>
      <w:r>
        <w:t xml:space="preserve">Co-ordination between agencies can be seen as occurring on a continuum, where co-ordination is a question of degree—in the exchange of information, the timing and management of service delivery. Agencies which co-ordinate their service delivery </w:t>
      </w:r>
      <w:r>
        <w:lastRenderedPageBreak/>
        <w:t xml:space="preserve">might share information and dovetail their processes, but they do so essentially in order to each pursue their own goals more efficiently. </w:t>
      </w:r>
    </w:p>
    <w:p w14:paraId="7EBAA4D4" w14:textId="77777777" w:rsidR="00E61C26" w:rsidRDefault="00E61C26" w:rsidP="00E61C26">
      <w:pPr>
        <w:pStyle w:val="Quote"/>
      </w:pPr>
      <w:r>
        <w:t>Integration, by contrast, requires agencies to decide on and articulate common goals and agree on ways to pursue those goals. Integration of services is more than co-ordinated service delivery—it is a whole new service. Co-location of agencies, agreed protocols and codes of practice, joint service delivery, agencies reconstituting or realigning their core business to confront the challenges posed by a broadened conception of the problem: these are the key indicators of an integrated response.</w:t>
      </w:r>
      <w:r>
        <w:rPr>
          <w:rStyle w:val="FootnoteReference"/>
        </w:rPr>
        <w:footnoteReference w:id="24"/>
      </w:r>
    </w:p>
    <w:p w14:paraId="5952522C" w14:textId="77777777" w:rsidR="00E61C26" w:rsidRDefault="00E61C26" w:rsidP="00E61C26">
      <w:pPr>
        <w:pStyle w:val="Headinglevel4"/>
      </w:pPr>
      <w:r>
        <w:t>Social (human and emotional) and economic costs</w:t>
      </w:r>
    </w:p>
    <w:p w14:paraId="4627573F" w14:textId="77777777" w:rsidR="00E61C26" w:rsidRDefault="00E61C26" w:rsidP="00E61C26">
      <w:pPr>
        <w:pStyle w:val="BodyText1"/>
      </w:pPr>
      <w:r>
        <w:t>D</w:t>
      </w:r>
      <w:r w:rsidRPr="00632DDE">
        <w:t>omestic, family and intimate partner violence</w:t>
      </w:r>
      <w:r>
        <w:t xml:space="preserve"> (interpersonal violence)—covers social (human and emotional) and economic costs.  The WHO report—</w:t>
      </w:r>
      <w:r w:rsidRPr="002E3F09">
        <w:rPr>
          <w:i/>
        </w:rPr>
        <w:t>The economic dimensions of interpersonal violence</w:t>
      </w:r>
      <w:r>
        <w:t xml:space="preserve"> explains that:</w:t>
      </w:r>
    </w:p>
    <w:p w14:paraId="6E4AEFFD" w14:textId="77777777" w:rsidR="00E61C26" w:rsidRDefault="00E61C26" w:rsidP="00E61C26">
      <w:pPr>
        <w:pStyle w:val="Quote"/>
      </w:pPr>
      <w:r>
        <w:t>…the costs attributable to domestic abuse can be grouped into direct and indirect costs.  Direct costs are those costs incurred directly from acts of abuse and include the cost of legal services, medical costs, perpetrator control costs, policing and the costs of emergency housing.  Indirect costs include lost earnings and lost time for victims, lost investments in human capital, life insurance, and psychological costs.</w:t>
      </w:r>
      <w:r>
        <w:rPr>
          <w:rStyle w:val="FootnoteReference"/>
        </w:rPr>
        <w:footnoteReference w:id="25"/>
      </w:r>
    </w:p>
    <w:p w14:paraId="4BE5B086" w14:textId="66E3FD5C" w:rsidR="00986F14" w:rsidRDefault="00E61C26" w:rsidP="00E61C26">
      <w:pPr>
        <w:pStyle w:val="Quote"/>
      </w:pPr>
      <w:r>
        <w:t>Social ‘human and emotional’ costs include the pain, suffering and fear inflicted by violence (which are not counted in the cost of services).</w:t>
      </w:r>
      <w:r>
        <w:rPr>
          <w:rStyle w:val="FootnoteReference"/>
        </w:rPr>
        <w:footnoteReference w:id="26"/>
      </w:r>
    </w:p>
    <w:p w14:paraId="537BA92F" w14:textId="77777777" w:rsidR="00986F14" w:rsidRDefault="00986F14">
      <w:pPr>
        <w:spacing w:after="160" w:line="259" w:lineRule="auto"/>
        <w:rPr>
          <w:rFonts w:cs="Arial"/>
          <w:iCs/>
        </w:rPr>
      </w:pPr>
      <w:r>
        <w:br w:type="page"/>
      </w:r>
    </w:p>
    <w:p w14:paraId="3F600510" w14:textId="7581F4A5" w:rsidR="00986F14" w:rsidRDefault="00986F14" w:rsidP="00986F14">
      <w:pPr>
        <w:pStyle w:val="TableHeading"/>
      </w:pPr>
      <w:r w:rsidRPr="00B7677D">
        <w:lastRenderedPageBreak/>
        <w:t xml:space="preserve">Figure </w:t>
      </w:r>
      <w:r>
        <w:t>4</w:t>
      </w:r>
      <w:r w:rsidRPr="00B7677D">
        <w:t>.1—Conceptual framework for formulation of a definition of domestic and family violence</w:t>
      </w:r>
      <w:r w:rsidRPr="004A470F">
        <w:rPr>
          <w:vertAlign w:val="superscript"/>
        </w:rPr>
        <w:t>[</w:t>
      </w:r>
      <w:r>
        <w:rPr>
          <w:vertAlign w:val="superscript"/>
        </w:rPr>
        <w:t>A</w:t>
      </w:r>
      <w:r w:rsidRPr="004A470F">
        <w:rPr>
          <w:vertAlign w:val="superscript"/>
        </w:rPr>
        <w:t>]</w:t>
      </w:r>
    </w:p>
    <w:p w14:paraId="61AF1CDD" w14:textId="671F85EC" w:rsidR="00986F14" w:rsidRDefault="006B7B03" w:rsidP="00986F14">
      <w:r>
        <w:rPr>
          <w:noProof/>
          <w:lang w:eastAsia="en-AU"/>
        </w:rPr>
        <mc:AlternateContent>
          <mc:Choice Requires="wps">
            <w:drawing>
              <wp:anchor distT="0" distB="0" distL="114300" distR="114300" simplePos="0" relativeHeight="251739136" behindDoc="0" locked="0" layoutInCell="1" allowOverlap="1" wp14:anchorId="2A201611" wp14:editId="494E2FE9">
                <wp:simplePos x="0" y="0"/>
                <wp:positionH relativeFrom="column">
                  <wp:posOffset>-325120</wp:posOffset>
                </wp:positionH>
                <wp:positionV relativeFrom="paragraph">
                  <wp:posOffset>175895</wp:posOffset>
                </wp:positionV>
                <wp:extent cx="523875" cy="8369935"/>
                <wp:effectExtent l="0" t="0" r="28575" b="12065"/>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8369935"/>
                        </a:xfrm>
                        <a:prstGeom prst="rect">
                          <a:avLst/>
                        </a:prstGeom>
                        <a:solidFill>
                          <a:srgbClr val="FFFFFF"/>
                        </a:solidFill>
                        <a:ln w="9525">
                          <a:solidFill>
                            <a:srgbClr val="000000"/>
                          </a:solidFill>
                          <a:miter lim="800000"/>
                          <a:headEnd/>
                          <a:tailEnd/>
                        </a:ln>
                      </wps:spPr>
                      <wps:txbx>
                        <w:txbxContent>
                          <w:p w14:paraId="17D5D65D" w14:textId="77777777" w:rsidR="0070304B" w:rsidRPr="009243F9" w:rsidRDefault="0070304B" w:rsidP="00986F14">
                            <w:pPr>
                              <w:autoSpaceDE w:val="0"/>
                              <w:autoSpaceDN w:val="0"/>
                              <w:adjustRightInd w:val="0"/>
                              <w:jc w:val="center"/>
                              <w:rPr>
                                <w:rFonts w:cs="Arial"/>
                                <w:b/>
                              </w:rPr>
                            </w:pPr>
                            <w:r w:rsidRPr="009243F9">
                              <w:rPr>
                                <w:rFonts w:cs="Arial"/>
                                <w:b/>
                              </w:rPr>
                              <w:t>Behaviour of perpetrators continuum</w:t>
                            </w:r>
                          </w:p>
                          <w:p w14:paraId="018D6EFA" w14:textId="77777777" w:rsidR="0070304B" w:rsidRPr="009243F9" w:rsidRDefault="0070304B" w:rsidP="00986F14">
                            <w:pPr>
                              <w:autoSpaceDE w:val="0"/>
                              <w:autoSpaceDN w:val="0"/>
                              <w:adjustRightInd w:val="0"/>
                              <w:jc w:val="center"/>
                              <w:rPr>
                                <w:b/>
                                <w:sz w:val="20"/>
                                <w:szCs w:val="20"/>
                              </w:rPr>
                            </w:pPr>
                            <w:r w:rsidRPr="009243F9">
                              <w:rPr>
                                <w:rFonts w:cs="Arial"/>
                                <w:sz w:val="20"/>
                                <w:szCs w:val="20"/>
                              </w:rPr>
                              <w:t>(ranging from relatively</w:t>
                            </w:r>
                            <w:r>
                              <w:rPr>
                                <w:rFonts w:cs="Arial"/>
                                <w:sz w:val="20"/>
                                <w:szCs w:val="20"/>
                              </w:rPr>
                              <w:t xml:space="preserve"> </w:t>
                            </w:r>
                            <w:r w:rsidRPr="001A680A">
                              <w:rPr>
                                <w:rFonts w:cs="Arial"/>
                                <w:b/>
                                <w:sz w:val="20"/>
                                <w:szCs w:val="20"/>
                              </w:rPr>
                              <w:t>minor</w:t>
                            </w:r>
                            <w:r w:rsidRPr="009243F9">
                              <w:rPr>
                                <w:rFonts w:cs="Arial"/>
                                <w:sz w:val="20"/>
                                <w:szCs w:val="20"/>
                              </w:rPr>
                              <w:t xml:space="preserve"> incidents to much more </w:t>
                            </w:r>
                            <w:r w:rsidRPr="001A680A">
                              <w:rPr>
                                <w:rFonts w:cs="Arial"/>
                                <w:b/>
                                <w:sz w:val="20"/>
                                <w:szCs w:val="20"/>
                              </w:rPr>
                              <w:t>serious</w:t>
                            </w:r>
                            <w:r w:rsidRPr="009243F9">
                              <w:rPr>
                                <w:rFonts w:cs="Arial"/>
                                <w:sz w:val="20"/>
                                <w:szCs w:val="20"/>
                              </w:rPr>
                              <w:t xml:space="preserve"> activities over time</w:t>
                            </w:r>
                            <w:r>
                              <w:rPr>
                                <w:rFonts w:cs="Arial"/>
                                <w:sz w:val="20"/>
                                <w:szCs w:val="20"/>
                              </w:rPr>
                              <w:t>)</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201611" id="_x0000_t202" coordsize="21600,21600" o:spt="202" path="m,l,21600r21600,l21600,xe">
                <v:stroke joinstyle="miter"/>
                <v:path gradientshapeok="t" o:connecttype="rect"/>
              </v:shapetype>
              <v:shape id="Text Box 84" o:spid="_x0000_s1026" type="#_x0000_t202" style="position:absolute;margin-left:-25.6pt;margin-top:13.85pt;width:41.25pt;height:659.0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">
                <v:textbox style="layout-flow:vertical;mso-layout-flow-alt:bottom-to-top">
                  <w:txbxContent>
                    <w:p w14:paraId="17D5D65D" w14:textId="77777777" w:rsidR="0070304B" w:rsidRPr="009243F9" w:rsidRDefault="0070304B" w:rsidP="00986F14">
                      <w:pPr>
                        <w:autoSpaceDE w:val="0"/>
                        <w:autoSpaceDN w:val="0"/>
                        <w:adjustRightInd w:val="0"/>
                        <w:jc w:val="center"/>
                        <w:rPr>
                          <w:rFonts w:cs="Arial"/>
                          <w:b/>
                        </w:rPr>
                      </w:pPr>
                      <w:r w:rsidRPr="009243F9">
                        <w:rPr>
                          <w:rFonts w:cs="Arial"/>
                          <w:b/>
                        </w:rPr>
                        <w:t>Behaviour of perpetrators continuum</w:t>
                      </w:r>
                    </w:p>
                    <w:p w14:paraId="018D6EFA" w14:textId="77777777" w:rsidR="0070304B" w:rsidRPr="009243F9" w:rsidRDefault="0070304B" w:rsidP="00986F14">
                      <w:pPr>
                        <w:autoSpaceDE w:val="0"/>
                        <w:autoSpaceDN w:val="0"/>
                        <w:adjustRightInd w:val="0"/>
                        <w:jc w:val="center"/>
                        <w:rPr>
                          <w:b/>
                          <w:sz w:val="20"/>
                          <w:szCs w:val="20"/>
                        </w:rPr>
                      </w:pPr>
                      <w:r w:rsidRPr="009243F9">
                        <w:rPr>
                          <w:rFonts w:cs="Arial"/>
                          <w:sz w:val="20"/>
                          <w:szCs w:val="20"/>
                        </w:rPr>
                        <w:t>(ranging from relatively</w:t>
                      </w:r>
                      <w:r>
                        <w:rPr>
                          <w:rFonts w:cs="Arial"/>
                          <w:sz w:val="20"/>
                          <w:szCs w:val="20"/>
                        </w:rPr>
                        <w:t xml:space="preserve"> </w:t>
                      </w:r>
                      <w:r w:rsidRPr="001A680A">
                        <w:rPr>
                          <w:rFonts w:cs="Arial"/>
                          <w:b/>
                          <w:sz w:val="20"/>
                          <w:szCs w:val="20"/>
                        </w:rPr>
                        <w:t>minor</w:t>
                      </w:r>
                      <w:r w:rsidRPr="009243F9">
                        <w:rPr>
                          <w:rFonts w:cs="Arial"/>
                          <w:sz w:val="20"/>
                          <w:szCs w:val="20"/>
                        </w:rPr>
                        <w:t xml:space="preserve"> incidents to much more </w:t>
                      </w:r>
                      <w:r w:rsidRPr="001A680A">
                        <w:rPr>
                          <w:rFonts w:cs="Arial"/>
                          <w:b/>
                          <w:sz w:val="20"/>
                          <w:szCs w:val="20"/>
                        </w:rPr>
                        <w:t>serious</w:t>
                      </w:r>
                      <w:r w:rsidRPr="009243F9">
                        <w:rPr>
                          <w:rFonts w:cs="Arial"/>
                          <w:sz w:val="20"/>
                          <w:szCs w:val="20"/>
                        </w:rPr>
                        <w:t xml:space="preserve"> activities over time</w:t>
                      </w:r>
                      <w:r>
                        <w:rPr>
                          <w:rFonts w:cs="Arial"/>
                          <w:sz w:val="20"/>
                          <w:szCs w:val="20"/>
                        </w:rPr>
                        <w:t>)</w:t>
                      </w:r>
                    </w:p>
                  </w:txbxContent>
                </v:textbox>
              </v:shape>
            </w:pict>
          </mc:Fallback>
        </mc:AlternateContent>
      </w:r>
      <w:r>
        <w:rPr>
          <w:noProof/>
          <w:lang w:eastAsia="en-AU"/>
        </w:rPr>
        <mc:AlternateContent>
          <mc:Choice Requires="wps">
            <w:drawing>
              <wp:anchor distT="0" distB="0" distL="114300" distR="114300" simplePos="0" relativeHeight="251720704" behindDoc="0" locked="0" layoutInCell="1" allowOverlap="1" wp14:anchorId="2E02572D" wp14:editId="61BB71EB">
                <wp:simplePos x="0" y="0"/>
                <wp:positionH relativeFrom="column">
                  <wp:posOffset>377190</wp:posOffset>
                </wp:positionH>
                <wp:positionV relativeFrom="paragraph">
                  <wp:posOffset>33655</wp:posOffset>
                </wp:positionV>
                <wp:extent cx="2327910" cy="473710"/>
                <wp:effectExtent l="0" t="0" r="15240" b="2159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7910" cy="473710"/>
                        </a:xfrm>
                        <a:prstGeom prst="rect">
                          <a:avLst/>
                        </a:prstGeom>
                        <a:solidFill>
                          <a:srgbClr val="FFFFFF"/>
                        </a:solidFill>
                        <a:ln w="9525">
                          <a:solidFill>
                            <a:srgbClr val="000000"/>
                          </a:solidFill>
                          <a:miter lim="800000"/>
                          <a:headEnd/>
                          <a:tailEnd/>
                        </a:ln>
                      </wps:spPr>
                      <wps:txbx>
                        <w:txbxContent>
                          <w:p w14:paraId="603CC37B" w14:textId="77777777" w:rsidR="0070304B" w:rsidRDefault="0070304B" w:rsidP="00986F14">
                            <w:pPr>
                              <w:shd w:val="pct10" w:color="auto" w:fill="auto"/>
                              <w:jc w:val="center"/>
                              <w:rPr>
                                <w:b/>
                              </w:rPr>
                            </w:pPr>
                            <w:r w:rsidRPr="00D95AA9">
                              <w:rPr>
                                <w:b/>
                              </w:rPr>
                              <w:t>Behavioural elements</w:t>
                            </w:r>
                          </w:p>
                          <w:p w14:paraId="146CD2B5" w14:textId="72451B7F" w:rsidR="0070304B" w:rsidRDefault="0070304B" w:rsidP="00986F14">
                            <w:pPr>
                              <w:shd w:val="pct10" w:color="auto" w:fill="auto"/>
                              <w:jc w:val="center"/>
                              <w:rPr>
                                <w:b/>
                              </w:rPr>
                            </w:pPr>
                            <w:r w:rsidRPr="002B449B">
                              <w:rPr>
                                <w:b/>
                                <w:sz w:val="20"/>
                                <w:szCs w:val="20"/>
                              </w:rPr>
                              <w:t>(direct or indirect)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E02572D" id="Text Box 62" o:spid="_x0000_s1027" type="#_x0000_t202" style="position:absolute;margin-left:29.7pt;margin-top:2.65pt;width:183.3pt;height:37.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">
                <v:textbox>
                  <w:txbxContent>
                    <w:p w14:paraId="603CC37B" w14:textId="77777777" w:rsidR="0070304B" w:rsidRDefault="0070304B" w:rsidP="00986F14">
                      <w:pPr>
                        <w:shd w:val="pct10" w:color="auto" w:fill="auto"/>
                        <w:jc w:val="center"/>
                        <w:rPr>
                          <w:b/>
                        </w:rPr>
                      </w:pPr>
                      <w:r w:rsidRPr="00D95AA9">
                        <w:rPr>
                          <w:b/>
                        </w:rPr>
                        <w:t>Behavioural elements</w:t>
                      </w:r>
                    </w:p>
                    <w:p w14:paraId="146CD2B5" w14:textId="72451B7F" w:rsidR="0070304B" w:rsidRDefault="0070304B" w:rsidP="00986F14">
                      <w:pPr>
                        <w:shd w:val="pct10" w:color="auto" w:fill="auto"/>
                        <w:jc w:val="center"/>
                        <w:rPr>
                          <w:b/>
                        </w:rPr>
                      </w:pPr>
                      <w:r w:rsidRPr="002B449B">
                        <w:rPr>
                          <w:b/>
                          <w:sz w:val="20"/>
                          <w:szCs w:val="20"/>
                        </w:rPr>
                        <w:t>(direct or indirect)</w:t>
                      </w:r>
                    </w:p>
                  </w:txbxContent>
                </v:textbox>
              </v:shape>
            </w:pict>
          </mc:Fallback>
        </mc:AlternateContent>
      </w:r>
      <w:r w:rsidR="00986F14">
        <w:rPr>
          <w:noProof/>
          <w:lang w:eastAsia="en-AU"/>
        </w:rPr>
        <mc:AlternateContent>
          <mc:Choice Requires="wps">
            <w:drawing>
              <wp:anchor distT="0" distB="0" distL="114300" distR="114300" simplePos="0" relativeHeight="251721728" behindDoc="0" locked="0" layoutInCell="1" allowOverlap="1" wp14:anchorId="628429CD" wp14:editId="7496E8FA">
                <wp:simplePos x="0" y="0"/>
                <wp:positionH relativeFrom="column">
                  <wp:posOffset>3573780</wp:posOffset>
                </wp:positionH>
                <wp:positionV relativeFrom="paragraph">
                  <wp:posOffset>38100</wp:posOffset>
                </wp:positionV>
                <wp:extent cx="1962150" cy="323850"/>
                <wp:effectExtent l="0" t="0" r="19050" b="19050"/>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323850"/>
                        </a:xfrm>
                        <a:prstGeom prst="rect">
                          <a:avLst/>
                        </a:prstGeom>
                        <a:solidFill>
                          <a:srgbClr val="FFFFFF"/>
                        </a:solidFill>
                        <a:ln w="9525">
                          <a:solidFill>
                            <a:srgbClr val="000000"/>
                          </a:solidFill>
                          <a:miter lim="800000"/>
                          <a:headEnd/>
                          <a:tailEnd/>
                        </a:ln>
                      </wps:spPr>
                      <wps:txbx>
                        <w:txbxContent>
                          <w:p w14:paraId="22F71379" w14:textId="77777777" w:rsidR="0070304B" w:rsidRPr="00D95AA9" w:rsidRDefault="0070304B" w:rsidP="00986F14">
                            <w:pPr>
                              <w:shd w:val="pct10" w:color="auto" w:fill="auto"/>
                              <w:jc w:val="center"/>
                              <w:rPr>
                                <w:b/>
                              </w:rPr>
                            </w:pPr>
                            <w:r w:rsidRPr="00D95AA9">
                              <w:rPr>
                                <w:b/>
                              </w:rPr>
                              <w:t>Relationship elements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8429CD" id="Text Box 85" o:spid="_x0000_s1028" type="#_x0000_t202" style="position:absolute;margin-left:281.4pt;margin-top:3pt;width:154.5pt;height:2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">
                <v:textbox>
                  <w:txbxContent>
                    <w:p w14:paraId="22F71379" w14:textId="77777777" w:rsidR="0070304B" w:rsidRPr="00D95AA9" w:rsidRDefault="0070304B" w:rsidP="00986F14">
                      <w:pPr>
                        <w:shd w:val="pct10" w:color="auto" w:fill="auto"/>
                        <w:jc w:val="center"/>
                        <w:rPr>
                          <w:b/>
                        </w:rPr>
                      </w:pPr>
                      <w:r w:rsidRPr="00D95AA9">
                        <w:rPr>
                          <w:b/>
                        </w:rPr>
                        <w:t>Relationship elements</w:t>
                      </w:r>
                    </w:p>
                  </w:txbxContent>
                </v:textbox>
              </v:shape>
            </w:pict>
          </mc:Fallback>
        </mc:AlternateContent>
      </w:r>
      <w:r w:rsidR="00986F14">
        <w:rPr>
          <w:noProof/>
          <w:lang w:eastAsia="en-AU"/>
        </w:rPr>
        <mc:AlternateContent>
          <mc:Choice Requires="wps">
            <w:drawing>
              <wp:anchor distT="0" distB="0" distL="114300" distR="114300" simplePos="0" relativeHeight="251777024" behindDoc="0" locked="0" layoutInCell="1" allowOverlap="1" wp14:anchorId="7725ECC3" wp14:editId="04F8F233">
                <wp:simplePos x="0" y="0"/>
                <wp:positionH relativeFrom="column">
                  <wp:posOffset>5370195</wp:posOffset>
                </wp:positionH>
                <wp:positionV relativeFrom="paragraph">
                  <wp:posOffset>5890260</wp:posOffset>
                </wp:positionV>
                <wp:extent cx="0" cy="448310"/>
                <wp:effectExtent l="60325" t="8890" r="53975" b="19050"/>
                <wp:wrapNone/>
                <wp:docPr id="86" name="Straight Arrow Connector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831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6D2F0E" id="_x0000_t32" coordsize="21600,21600" o:spt="32" o:oned="t" path="m,l21600,21600e" filled="f">
                <v:path arrowok="t" fillok="f" o:connecttype="none"/>
                <o:lock v:ext="edit" shapetype="t"/>
              </v:shapetype>
              <v:shape id="Straight Arrow Connector 86" o:spid="_x0000_s1026" type="#_x0000_t32" style="position:absolute;margin-left:422.85pt;margin-top:463.8pt;width:0;height:35.3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">
                <v:stroke dashstyle="dash" endarrow="block"/>
              </v:shape>
            </w:pict>
          </mc:Fallback>
        </mc:AlternateContent>
      </w:r>
      <w:r w:rsidR="00986F14">
        <w:rPr>
          <w:noProof/>
          <w:lang w:eastAsia="en-AU"/>
        </w:rPr>
        <mc:AlternateContent>
          <mc:Choice Requires="wps">
            <w:drawing>
              <wp:anchor distT="0" distB="0" distL="114300" distR="114300" simplePos="0" relativeHeight="251776000" behindDoc="0" locked="0" layoutInCell="1" allowOverlap="1" wp14:anchorId="5D705495" wp14:editId="3969D1F7">
                <wp:simplePos x="0" y="0"/>
                <wp:positionH relativeFrom="column">
                  <wp:posOffset>5535930</wp:posOffset>
                </wp:positionH>
                <wp:positionV relativeFrom="paragraph">
                  <wp:posOffset>5890260</wp:posOffset>
                </wp:positionV>
                <wp:extent cx="8255" cy="448310"/>
                <wp:effectExtent l="54610" t="18415" r="51435" b="9525"/>
                <wp:wrapNone/>
                <wp:docPr id="87" name="Straight Arrow Connector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255" cy="448310"/>
                        </a:xfrm>
                        <a:prstGeom prst="straightConnector1">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A77D07" id="Straight Arrow Connector 87" o:spid="_x0000_s1026" type="#_x0000_t32" style="position:absolute;margin-left:435.9pt;margin-top:463.8pt;width:.65pt;height:35.3pt;flip:x y;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">
                <v:stroke dashstyle="dash" endarrow="block"/>
              </v:shape>
            </w:pict>
          </mc:Fallback>
        </mc:AlternateContent>
      </w:r>
      <w:r w:rsidR="00986F14">
        <w:rPr>
          <w:noProof/>
          <w:lang w:eastAsia="en-AU"/>
        </w:rPr>
        <mc:AlternateContent>
          <mc:Choice Requires="wps">
            <w:drawing>
              <wp:anchor distT="0" distB="0" distL="114300" distR="114300" simplePos="0" relativeHeight="251774976" behindDoc="0" locked="0" layoutInCell="1" allowOverlap="1" wp14:anchorId="2BA8B18C" wp14:editId="01AFFFE9">
                <wp:simplePos x="0" y="0"/>
                <wp:positionH relativeFrom="column">
                  <wp:posOffset>2543810</wp:posOffset>
                </wp:positionH>
                <wp:positionV relativeFrom="paragraph">
                  <wp:posOffset>8724265</wp:posOffset>
                </wp:positionV>
                <wp:extent cx="656590" cy="0"/>
                <wp:effectExtent l="15240" t="61595" r="13970" b="52705"/>
                <wp:wrapNone/>
                <wp:docPr id="88"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565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FD2222" id="Straight Arrow Connector 88" o:spid="_x0000_s1026" type="#_x0000_t32" style="position:absolute;margin-left:200.3pt;margin-top:686.95pt;width:51.7pt;height:0;flip:x;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">
                <v:stroke endarrow="block"/>
              </v:shape>
            </w:pict>
          </mc:Fallback>
        </mc:AlternateContent>
      </w:r>
      <w:r w:rsidR="00986F14">
        <w:rPr>
          <w:noProof/>
          <w:lang w:eastAsia="en-AU"/>
        </w:rPr>
        <mc:AlternateContent>
          <mc:Choice Requires="wps">
            <w:drawing>
              <wp:anchor distT="0" distB="0" distL="114300" distR="114300" simplePos="0" relativeHeight="251773952" behindDoc="0" locked="0" layoutInCell="1" allowOverlap="1" wp14:anchorId="57F93C06" wp14:editId="0F809CBC">
                <wp:simplePos x="0" y="0"/>
                <wp:positionH relativeFrom="column">
                  <wp:posOffset>3200400</wp:posOffset>
                </wp:positionH>
                <wp:positionV relativeFrom="paragraph">
                  <wp:posOffset>7842885</wp:posOffset>
                </wp:positionV>
                <wp:extent cx="0" cy="881380"/>
                <wp:effectExtent l="5080" t="8890" r="13970" b="5080"/>
                <wp:wrapNone/>
                <wp:docPr id="89"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13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24D1FE1" id="Straight Arrow Connector 89" o:spid="_x0000_s1026" type="#_x0000_t32" style="position:absolute;margin-left:252pt;margin-top:617.55pt;width:0;height:69.4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"/>
            </w:pict>
          </mc:Fallback>
        </mc:AlternateContent>
      </w:r>
      <w:r w:rsidR="00986F14">
        <w:rPr>
          <w:noProof/>
          <w:lang w:eastAsia="en-AU"/>
        </w:rPr>
        <mc:AlternateContent>
          <mc:Choice Requires="wps">
            <w:drawing>
              <wp:anchor distT="0" distB="0" distL="114300" distR="114300" simplePos="0" relativeHeight="251772928" behindDoc="0" locked="0" layoutInCell="1" allowOverlap="1" wp14:anchorId="540987A7" wp14:editId="0CA5E3B8">
                <wp:simplePos x="0" y="0"/>
                <wp:positionH relativeFrom="column">
                  <wp:posOffset>3200400</wp:posOffset>
                </wp:positionH>
                <wp:positionV relativeFrom="paragraph">
                  <wp:posOffset>6671310</wp:posOffset>
                </wp:positionV>
                <wp:extent cx="0" cy="423545"/>
                <wp:effectExtent l="5080" t="8890" r="13970" b="5715"/>
                <wp:wrapNone/>
                <wp:docPr id="90"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35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89D1BD" id="Straight Arrow Connector 90" o:spid="_x0000_s1026" type="#_x0000_t32" style="position:absolute;margin-left:252pt;margin-top:525.3pt;width:0;height:33.3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"/>
            </w:pict>
          </mc:Fallback>
        </mc:AlternateContent>
      </w:r>
      <w:r w:rsidR="00986F14">
        <w:rPr>
          <w:noProof/>
          <w:lang w:eastAsia="en-AU"/>
        </w:rPr>
        <mc:AlternateContent>
          <mc:Choice Requires="wps">
            <w:drawing>
              <wp:anchor distT="0" distB="0" distL="114300" distR="114300" simplePos="0" relativeHeight="251771904" behindDoc="0" locked="0" layoutInCell="1" allowOverlap="1" wp14:anchorId="531DB959" wp14:editId="365C6B51">
                <wp:simplePos x="0" y="0"/>
                <wp:positionH relativeFrom="column">
                  <wp:posOffset>3200400</wp:posOffset>
                </wp:positionH>
                <wp:positionV relativeFrom="paragraph">
                  <wp:posOffset>5257800</wp:posOffset>
                </wp:positionV>
                <wp:extent cx="0" cy="532130"/>
                <wp:effectExtent l="5080" t="5080" r="13970" b="5715"/>
                <wp:wrapNone/>
                <wp:docPr id="91" name="Straight Arrow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21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526A8B" id="Straight Arrow Connector 91" o:spid="_x0000_s1026" type="#_x0000_t32" style="position:absolute;margin-left:252pt;margin-top:414pt;width:0;height:41.9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"/>
            </w:pict>
          </mc:Fallback>
        </mc:AlternateContent>
      </w:r>
      <w:r w:rsidR="00986F14">
        <w:rPr>
          <w:noProof/>
          <w:lang w:eastAsia="en-AU"/>
        </w:rPr>
        <mc:AlternateContent>
          <mc:Choice Requires="wps">
            <w:drawing>
              <wp:anchor distT="0" distB="0" distL="114300" distR="114300" simplePos="0" relativeHeight="251770880" behindDoc="0" locked="0" layoutInCell="1" allowOverlap="1" wp14:anchorId="128DD00E" wp14:editId="65736374">
                <wp:simplePos x="0" y="0"/>
                <wp:positionH relativeFrom="column">
                  <wp:posOffset>3200400</wp:posOffset>
                </wp:positionH>
                <wp:positionV relativeFrom="paragraph">
                  <wp:posOffset>4330065</wp:posOffset>
                </wp:positionV>
                <wp:extent cx="0" cy="504190"/>
                <wp:effectExtent l="5080" t="10795" r="13970" b="8890"/>
                <wp:wrapNone/>
                <wp:docPr id="92" name="Straight Arrow Connector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1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7A59FA" id="Straight Arrow Connector 92" o:spid="_x0000_s1026" type="#_x0000_t32" style="position:absolute;margin-left:252pt;margin-top:340.95pt;width:0;height:39.7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"/>
            </w:pict>
          </mc:Fallback>
        </mc:AlternateContent>
      </w:r>
      <w:r w:rsidR="00986F14">
        <w:rPr>
          <w:noProof/>
          <w:lang w:eastAsia="en-AU"/>
        </w:rPr>
        <mc:AlternateContent>
          <mc:Choice Requires="wps">
            <w:drawing>
              <wp:anchor distT="0" distB="0" distL="114300" distR="114300" simplePos="0" relativeHeight="251769856" behindDoc="0" locked="0" layoutInCell="1" allowOverlap="1" wp14:anchorId="16BB4617" wp14:editId="297C97E1">
                <wp:simplePos x="0" y="0"/>
                <wp:positionH relativeFrom="column">
                  <wp:posOffset>3200400</wp:posOffset>
                </wp:positionH>
                <wp:positionV relativeFrom="paragraph">
                  <wp:posOffset>3702685</wp:posOffset>
                </wp:positionV>
                <wp:extent cx="0" cy="336550"/>
                <wp:effectExtent l="5080" t="12065" r="13970" b="13335"/>
                <wp:wrapNone/>
                <wp:docPr id="93" name="Straight Arrow Connector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B7B71A" id="Straight Arrow Connector 93" o:spid="_x0000_s1026" type="#_x0000_t32" style="position:absolute;margin-left:252pt;margin-top:291.55pt;width:0;height:26.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"/>
            </w:pict>
          </mc:Fallback>
        </mc:AlternateContent>
      </w:r>
      <w:r w:rsidR="00986F14">
        <w:rPr>
          <w:noProof/>
          <w:lang w:eastAsia="en-AU"/>
        </w:rPr>
        <mc:AlternateContent>
          <mc:Choice Requires="wps">
            <w:drawing>
              <wp:anchor distT="0" distB="0" distL="114300" distR="114300" simplePos="0" relativeHeight="251768832" behindDoc="0" locked="0" layoutInCell="1" allowOverlap="1" wp14:anchorId="2BDB5D12" wp14:editId="198E3636">
                <wp:simplePos x="0" y="0"/>
                <wp:positionH relativeFrom="column">
                  <wp:posOffset>3200400</wp:posOffset>
                </wp:positionH>
                <wp:positionV relativeFrom="paragraph">
                  <wp:posOffset>3129280</wp:posOffset>
                </wp:positionV>
                <wp:extent cx="0" cy="299720"/>
                <wp:effectExtent l="5080" t="10160" r="13970" b="13970"/>
                <wp:wrapNone/>
                <wp:docPr id="94" name="Straight Arrow Connector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7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B59557" id="Straight Arrow Connector 94" o:spid="_x0000_s1026" type="#_x0000_t32" style="position:absolute;margin-left:252pt;margin-top:246.4pt;width:0;height:23.6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"/>
            </w:pict>
          </mc:Fallback>
        </mc:AlternateContent>
      </w:r>
      <w:r w:rsidR="00986F14">
        <w:rPr>
          <w:noProof/>
          <w:lang w:eastAsia="en-AU"/>
        </w:rPr>
        <mc:AlternateContent>
          <mc:Choice Requires="wps">
            <w:drawing>
              <wp:anchor distT="0" distB="0" distL="114300" distR="114300" simplePos="0" relativeHeight="251767808" behindDoc="0" locked="0" layoutInCell="1" allowOverlap="1" wp14:anchorId="7FC271B5" wp14:editId="61912084">
                <wp:simplePos x="0" y="0"/>
                <wp:positionH relativeFrom="column">
                  <wp:posOffset>3200400</wp:posOffset>
                </wp:positionH>
                <wp:positionV relativeFrom="paragraph">
                  <wp:posOffset>2153285</wp:posOffset>
                </wp:positionV>
                <wp:extent cx="0" cy="371475"/>
                <wp:effectExtent l="5080" t="5715" r="13970" b="13335"/>
                <wp:wrapNone/>
                <wp:docPr id="95" name="Straight Arrow Connector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20C5FC" id="Straight Arrow Connector 95" o:spid="_x0000_s1026" type="#_x0000_t32" style="position:absolute;margin-left:252pt;margin-top:169.55pt;width:0;height:29.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"/>
            </w:pict>
          </mc:Fallback>
        </mc:AlternateContent>
      </w:r>
      <w:r w:rsidR="00986F14">
        <w:rPr>
          <w:noProof/>
          <w:lang w:eastAsia="en-AU"/>
        </w:rPr>
        <mc:AlternateContent>
          <mc:Choice Requires="wps">
            <w:drawing>
              <wp:anchor distT="0" distB="0" distL="114300" distR="114300" simplePos="0" relativeHeight="251766784" behindDoc="0" locked="0" layoutInCell="1" allowOverlap="1" wp14:anchorId="17995A39" wp14:editId="7126F041">
                <wp:simplePos x="0" y="0"/>
                <wp:positionH relativeFrom="column">
                  <wp:posOffset>3200400</wp:posOffset>
                </wp:positionH>
                <wp:positionV relativeFrom="paragraph">
                  <wp:posOffset>1675130</wp:posOffset>
                </wp:positionV>
                <wp:extent cx="0" cy="207645"/>
                <wp:effectExtent l="5080" t="13335" r="13970" b="7620"/>
                <wp:wrapNone/>
                <wp:docPr id="96" name="Straight Arrow Connector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6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9201AB" id="Straight Arrow Connector 96" o:spid="_x0000_s1026" type="#_x0000_t32" style="position:absolute;margin-left:252pt;margin-top:131.9pt;width:0;height:16.3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"/>
            </w:pict>
          </mc:Fallback>
        </mc:AlternateContent>
      </w:r>
      <w:r w:rsidR="00986F14">
        <w:rPr>
          <w:noProof/>
          <w:lang w:eastAsia="en-AU"/>
        </w:rPr>
        <mc:AlternateContent>
          <mc:Choice Requires="wps">
            <w:drawing>
              <wp:anchor distT="0" distB="0" distL="114300" distR="114300" simplePos="0" relativeHeight="251763712" behindDoc="0" locked="0" layoutInCell="1" allowOverlap="1" wp14:anchorId="1FB8B164" wp14:editId="2990A692">
                <wp:simplePos x="0" y="0"/>
                <wp:positionH relativeFrom="column">
                  <wp:posOffset>3856990</wp:posOffset>
                </wp:positionH>
                <wp:positionV relativeFrom="paragraph">
                  <wp:posOffset>7842885</wp:posOffset>
                </wp:positionV>
                <wp:extent cx="8255" cy="357505"/>
                <wp:effectExtent l="52070" t="8890" r="53975" b="24130"/>
                <wp:wrapNone/>
                <wp:docPr id="99" name="Straight Arrow Connector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357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BC053D" id="Straight Arrow Connector 99" o:spid="_x0000_s1026" type="#_x0000_t32" style="position:absolute;margin-left:303.7pt;margin-top:617.55pt;width:.65pt;height:28.1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">
                <v:stroke endarrow="block"/>
              </v:shape>
            </w:pict>
          </mc:Fallback>
        </mc:AlternateContent>
      </w:r>
      <w:r w:rsidR="00986F14">
        <w:rPr>
          <w:noProof/>
          <w:lang w:eastAsia="en-AU"/>
        </w:rPr>
        <mc:AlternateContent>
          <mc:Choice Requires="wps">
            <w:drawing>
              <wp:anchor distT="0" distB="0" distL="114300" distR="114300" simplePos="0" relativeHeight="251762688" behindDoc="0" locked="0" layoutInCell="1" allowOverlap="1" wp14:anchorId="622379A9" wp14:editId="2D52F15A">
                <wp:simplePos x="0" y="0"/>
                <wp:positionH relativeFrom="column">
                  <wp:posOffset>3657600</wp:posOffset>
                </wp:positionH>
                <wp:positionV relativeFrom="paragraph">
                  <wp:posOffset>7842885</wp:posOffset>
                </wp:positionV>
                <wp:extent cx="0" cy="357505"/>
                <wp:effectExtent l="52705" t="18415" r="61595" b="5080"/>
                <wp:wrapNone/>
                <wp:docPr id="100" name="Straight Arrow Connector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3575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456A36" id="Straight Arrow Connector 100" o:spid="_x0000_s1026" type="#_x0000_t32" style="position:absolute;margin-left:4in;margin-top:617.55pt;width:0;height:28.15pt;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">
                <v:stroke endarrow="block"/>
              </v:shape>
            </w:pict>
          </mc:Fallback>
        </mc:AlternateContent>
      </w:r>
      <w:r w:rsidR="00986F14">
        <w:rPr>
          <w:noProof/>
          <w:lang w:eastAsia="en-AU"/>
        </w:rPr>
        <mc:AlternateContent>
          <mc:Choice Requires="wps">
            <w:drawing>
              <wp:anchor distT="0" distB="0" distL="114300" distR="114300" simplePos="0" relativeHeight="251743232" behindDoc="0" locked="0" layoutInCell="1" allowOverlap="1" wp14:anchorId="2B690016" wp14:editId="6201DA04">
                <wp:simplePos x="0" y="0"/>
                <wp:positionH relativeFrom="column">
                  <wp:posOffset>3350260</wp:posOffset>
                </wp:positionH>
                <wp:positionV relativeFrom="paragraph">
                  <wp:posOffset>8200390</wp:posOffset>
                </wp:positionV>
                <wp:extent cx="2842895" cy="831215"/>
                <wp:effectExtent l="12065" t="13970" r="12065" b="12065"/>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895" cy="831215"/>
                        </a:xfrm>
                        <a:prstGeom prst="rect">
                          <a:avLst/>
                        </a:prstGeom>
                        <a:solidFill>
                          <a:srgbClr val="FFFFFF"/>
                        </a:solidFill>
                        <a:ln w="9525">
                          <a:solidFill>
                            <a:srgbClr val="000000"/>
                          </a:solidFill>
                          <a:miter lim="800000"/>
                          <a:headEnd/>
                          <a:tailEnd/>
                        </a:ln>
                      </wps:spPr>
                      <wps:txbx>
                        <w:txbxContent>
                          <w:p w14:paraId="1775DC13" w14:textId="77777777" w:rsidR="0070304B" w:rsidRPr="004E7FF7" w:rsidRDefault="0070304B" w:rsidP="00986F14">
                            <w:pPr>
                              <w:rPr>
                                <w:sz w:val="18"/>
                                <w:szCs w:val="18"/>
                              </w:rPr>
                            </w:pPr>
                            <w:r>
                              <w:rPr>
                                <w:sz w:val="18"/>
                                <w:szCs w:val="18"/>
                              </w:rPr>
                              <w:t xml:space="preserve">Also an intersection between DFV and </w:t>
                            </w:r>
                            <w:r w:rsidRPr="003238FA">
                              <w:rPr>
                                <w:b/>
                                <w:sz w:val="18"/>
                                <w:szCs w:val="18"/>
                              </w:rPr>
                              <w:t>child abuse and neglect</w:t>
                            </w:r>
                            <w:r>
                              <w:rPr>
                                <w:sz w:val="18"/>
                                <w:szCs w:val="18"/>
                              </w:rPr>
                              <w:t xml:space="preserve">—this </w:t>
                            </w:r>
                            <w:r w:rsidRPr="004E7FF7">
                              <w:rPr>
                                <w:sz w:val="18"/>
                                <w:szCs w:val="18"/>
                              </w:rPr>
                              <w:t>can occur within more complex family violence situations, and can range from direct violence and maltreatment of a child, through to witnessing family violence in the home or between relatives.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690016" id="Text Box 101" o:spid="_x0000_s1029" type="#_x0000_t202" style="position:absolute;margin-left:263.8pt;margin-top:645.7pt;width:223.85pt;height:65.4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">
                <v:textbox>
                  <w:txbxContent>
                    <w:p w14:paraId="1775DC13" w14:textId="77777777" w:rsidR="0070304B" w:rsidRPr="004E7FF7" w:rsidRDefault="0070304B" w:rsidP="00986F14">
                      <w:pPr>
                        <w:rPr>
                          <w:sz w:val="18"/>
                          <w:szCs w:val="18"/>
                        </w:rPr>
                      </w:pPr>
                      <w:r>
                        <w:rPr>
                          <w:sz w:val="18"/>
                          <w:szCs w:val="18"/>
                        </w:rPr>
                        <w:t xml:space="preserve">Also an intersection between DFV and </w:t>
                      </w:r>
                      <w:r w:rsidRPr="003238FA">
                        <w:rPr>
                          <w:b/>
                          <w:sz w:val="18"/>
                          <w:szCs w:val="18"/>
                        </w:rPr>
                        <w:t>child abuse and neglect</w:t>
                      </w:r>
                      <w:r>
                        <w:rPr>
                          <w:sz w:val="18"/>
                          <w:szCs w:val="18"/>
                        </w:rPr>
                        <w:t xml:space="preserve">—this </w:t>
                      </w:r>
                      <w:r w:rsidRPr="004E7FF7">
                        <w:rPr>
                          <w:sz w:val="18"/>
                          <w:szCs w:val="18"/>
                        </w:rPr>
                        <w:t>can occur within more complex family violence situations, and can range from direct violence and maltreatment of a child, through to witnessing family violence in the home or between relatives.</w:t>
                      </w:r>
                    </w:p>
                  </w:txbxContent>
                </v:textbox>
              </v:shape>
            </w:pict>
          </mc:Fallback>
        </mc:AlternateContent>
      </w:r>
      <w:r w:rsidR="00986F14">
        <w:rPr>
          <w:noProof/>
          <w:lang w:eastAsia="en-AU"/>
        </w:rPr>
        <mc:AlternateContent>
          <mc:Choice Requires="wps">
            <w:drawing>
              <wp:anchor distT="0" distB="0" distL="114300" distR="114300" simplePos="0" relativeHeight="251753472" behindDoc="0" locked="0" layoutInCell="1" allowOverlap="1" wp14:anchorId="6DC007A8" wp14:editId="7C15C0DD">
                <wp:simplePos x="0" y="0"/>
                <wp:positionH relativeFrom="column">
                  <wp:posOffset>4604385</wp:posOffset>
                </wp:positionH>
                <wp:positionV relativeFrom="paragraph">
                  <wp:posOffset>7419340</wp:posOffset>
                </wp:positionV>
                <wp:extent cx="269875" cy="8255"/>
                <wp:effectExtent l="18415" t="61595" r="6985" b="44450"/>
                <wp:wrapNone/>
                <wp:docPr id="102" name="Straight Arrow Connector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69875" cy="82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24BFC5" id="Straight Arrow Connector 102" o:spid="_x0000_s1026" type="#_x0000_t32" style="position:absolute;margin-left:362.55pt;margin-top:584.2pt;width:21.25pt;height:.65pt;flip:x 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">
                <v:stroke endarrow="block"/>
              </v:shape>
            </w:pict>
          </mc:Fallback>
        </mc:AlternateContent>
      </w:r>
      <w:r w:rsidR="00986F14">
        <w:rPr>
          <w:noProof/>
          <w:lang w:eastAsia="en-AU"/>
        </w:rPr>
        <mc:AlternateContent>
          <mc:Choice Requires="wps">
            <w:drawing>
              <wp:anchor distT="0" distB="0" distL="114300" distR="114300" simplePos="0" relativeHeight="251755520" behindDoc="0" locked="0" layoutInCell="1" allowOverlap="1" wp14:anchorId="6752FF0A" wp14:editId="6994D053">
                <wp:simplePos x="0" y="0"/>
                <wp:positionH relativeFrom="column">
                  <wp:posOffset>4687570</wp:posOffset>
                </wp:positionH>
                <wp:positionV relativeFrom="paragraph">
                  <wp:posOffset>5091430</wp:posOffset>
                </wp:positionV>
                <wp:extent cx="295275" cy="0"/>
                <wp:effectExtent l="15875" t="57785" r="12700" b="56515"/>
                <wp:wrapNone/>
                <wp:docPr id="109" name="Straight Arrow Connector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952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FBA3F2" id="Straight Arrow Connector 109" o:spid="_x0000_s1026" type="#_x0000_t32" style="position:absolute;margin-left:369.1pt;margin-top:400.9pt;width:23.25pt;height:0;flip:x;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">
                <v:stroke endarrow="block"/>
              </v:shape>
            </w:pict>
          </mc:Fallback>
        </mc:AlternateContent>
      </w:r>
      <w:r w:rsidR="00986F14">
        <w:rPr>
          <w:noProof/>
          <w:lang w:eastAsia="en-AU"/>
        </w:rPr>
        <mc:AlternateContent>
          <mc:Choice Requires="wps">
            <w:drawing>
              <wp:anchor distT="0" distB="0" distL="114300" distR="114300" simplePos="0" relativeHeight="251754496" behindDoc="0" locked="0" layoutInCell="1" allowOverlap="1" wp14:anchorId="3BE0D2A0" wp14:editId="0D08EBAE">
                <wp:simplePos x="0" y="0"/>
                <wp:positionH relativeFrom="column">
                  <wp:posOffset>4687570</wp:posOffset>
                </wp:positionH>
                <wp:positionV relativeFrom="paragraph">
                  <wp:posOffset>4908550</wp:posOffset>
                </wp:positionV>
                <wp:extent cx="295275" cy="0"/>
                <wp:effectExtent l="6350" t="55880" r="22225" b="58420"/>
                <wp:wrapNone/>
                <wp:docPr id="110" name="Straight Arrow Connector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2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FE98056" id="Straight Arrow Connector 110" o:spid="_x0000_s1026" type="#_x0000_t32" style="position:absolute;margin-left:369.1pt;margin-top:386.5pt;width:23.25pt;height:0;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">
                <v:stroke endarrow="block"/>
              </v:shape>
            </w:pict>
          </mc:Fallback>
        </mc:AlternateContent>
      </w:r>
      <w:r w:rsidR="00986F14">
        <w:rPr>
          <w:noProof/>
          <w:lang w:eastAsia="en-AU"/>
        </w:rPr>
        <mc:AlternateContent>
          <mc:Choice Requires="wps">
            <w:drawing>
              <wp:anchor distT="0" distB="0" distL="114300" distR="114300" simplePos="0" relativeHeight="251752448" behindDoc="0" locked="0" layoutInCell="1" allowOverlap="1" wp14:anchorId="19347845" wp14:editId="2A46186D">
                <wp:simplePos x="0" y="0"/>
                <wp:positionH relativeFrom="column">
                  <wp:posOffset>4604385</wp:posOffset>
                </wp:positionH>
                <wp:positionV relativeFrom="paragraph">
                  <wp:posOffset>7261225</wp:posOffset>
                </wp:positionV>
                <wp:extent cx="269875" cy="0"/>
                <wp:effectExtent l="8890" t="55880" r="16510" b="58420"/>
                <wp:wrapNone/>
                <wp:docPr id="111" name="Straight Arrow Connector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8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F82B0C" id="Straight Arrow Connector 111" o:spid="_x0000_s1026" type="#_x0000_t32" style="position:absolute;margin-left:362.55pt;margin-top:571.75pt;width:21.25pt;height:0;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">
                <v:stroke endarrow="block"/>
              </v:shape>
            </w:pict>
          </mc:Fallback>
        </mc:AlternateContent>
      </w:r>
      <w:r w:rsidR="00986F14">
        <w:rPr>
          <w:noProof/>
          <w:lang w:eastAsia="en-AU"/>
        </w:rPr>
        <mc:AlternateContent>
          <mc:Choice Requires="wps">
            <w:drawing>
              <wp:anchor distT="0" distB="0" distL="114300" distR="114300" simplePos="0" relativeHeight="251751424" behindDoc="0" locked="0" layoutInCell="1" allowOverlap="1" wp14:anchorId="6F7E20DE" wp14:editId="5E23D980">
                <wp:simplePos x="0" y="0"/>
                <wp:positionH relativeFrom="column">
                  <wp:posOffset>3907155</wp:posOffset>
                </wp:positionH>
                <wp:positionV relativeFrom="paragraph">
                  <wp:posOffset>6671310</wp:posOffset>
                </wp:positionV>
                <wp:extent cx="0" cy="423545"/>
                <wp:effectExtent l="6985" t="8890" r="12065" b="5715"/>
                <wp:wrapNone/>
                <wp:docPr id="112" name="Straight Arrow Connector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354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702BF4" id="Straight Arrow Connector 112" o:spid="_x0000_s1026" type="#_x0000_t32" style="position:absolute;margin-left:307.65pt;margin-top:525.3pt;width:0;height:33.3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">
                <v:stroke dashstyle="dash"/>
              </v:shape>
            </w:pict>
          </mc:Fallback>
        </mc:AlternateContent>
      </w:r>
      <w:r w:rsidR="00986F14">
        <w:rPr>
          <w:noProof/>
          <w:lang w:eastAsia="en-AU"/>
        </w:rPr>
        <mc:AlternateContent>
          <mc:Choice Requires="wps">
            <w:drawing>
              <wp:anchor distT="0" distB="0" distL="114300" distR="114300" simplePos="0" relativeHeight="251750400" behindDoc="0" locked="0" layoutInCell="1" allowOverlap="1" wp14:anchorId="60AFD175" wp14:editId="205BDD6B">
                <wp:simplePos x="0" y="0"/>
                <wp:positionH relativeFrom="column">
                  <wp:posOffset>3907155</wp:posOffset>
                </wp:positionH>
                <wp:positionV relativeFrom="paragraph">
                  <wp:posOffset>5257800</wp:posOffset>
                </wp:positionV>
                <wp:extent cx="0" cy="532130"/>
                <wp:effectExtent l="6985" t="5080" r="12065" b="5715"/>
                <wp:wrapNone/>
                <wp:docPr id="113" name="Straight Arrow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213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907F46" id="Straight Arrow Connector 113" o:spid="_x0000_s1026" type="#_x0000_t32" style="position:absolute;margin-left:307.65pt;margin-top:414pt;width:0;height:41.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">
                <v:stroke dashstyle="dash"/>
              </v:shape>
            </w:pict>
          </mc:Fallback>
        </mc:AlternateContent>
      </w:r>
      <w:r w:rsidR="00986F14">
        <w:rPr>
          <w:noProof/>
          <w:lang w:eastAsia="en-AU"/>
        </w:rPr>
        <mc:AlternateContent>
          <mc:Choice Requires="wps">
            <w:drawing>
              <wp:anchor distT="0" distB="0" distL="114300" distR="114300" simplePos="0" relativeHeight="251742208" behindDoc="0" locked="0" layoutInCell="1" allowOverlap="1" wp14:anchorId="217A2CF1" wp14:editId="7F4A0425">
                <wp:simplePos x="0" y="0"/>
                <wp:positionH relativeFrom="column">
                  <wp:posOffset>4982845</wp:posOffset>
                </wp:positionH>
                <wp:positionV relativeFrom="paragraph">
                  <wp:posOffset>4551045</wp:posOffset>
                </wp:positionV>
                <wp:extent cx="1210310" cy="1339215"/>
                <wp:effectExtent l="0" t="0" r="27940" b="1333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0310" cy="1339215"/>
                        </a:xfrm>
                        <a:prstGeom prst="rect">
                          <a:avLst/>
                        </a:prstGeom>
                        <a:solidFill>
                          <a:srgbClr val="FFFFFF"/>
                        </a:solidFill>
                        <a:ln w="9525">
                          <a:solidFill>
                            <a:srgbClr val="000000"/>
                          </a:solidFill>
                          <a:miter lim="800000"/>
                          <a:headEnd/>
                          <a:tailEnd/>
                        </a:ln>
                      </wps:spPr>
                      <wps:txbx>
                        <w:txbxContent>
                          <w:p w14:paraId="538FDB1D" w14:textId="77777777" w:rsidR="0070304B" w:rsidRPr="003238FA" w:rsidRDefault="0070304B" w:rsidP="00986F14">
                            <w:pPr>
                              <w:rPr>
                                <w:sz w:val="18"/>
                                <w:szCs w:val="18"/>
                              </w:rPr>
                            </w:pPr>
                            <w:r w:rsidRPr="003238FA">
                              <w:rPr>
                                <w:sz w:val="18"/>
                                <w:szCs w:val="18"/>
                              </w:rPr>
                              <w:t xml:space="preserve">Some definitions of </w:t>
                            </w:r>
                            <w:r>
                              <w:rPr>
                                <w:sz w:val="18"/>
                                <w:szCs w:val="18"/>
                              </w:rPr>
                              <w:t>DV</w:t>
                            </w:r>
                            <w:r w:rsidRPr="003238FA">
                              <w:rPr>
                                <w:sz w:val="18"/>
                                <w:szCs w:val="18"/>
                              </w:rPr>
                              <w:t xml:space="preserve"> violence extend to persons </w:t>
                            </w:r>
                            <w:r>
                              <w:rPr>
                                <w:sz w:val="18"/>
                                <w:szCs w:val="18"/>
                              </w:rPr>
                              <w:t xml:space="preserve">               </w:t>
                            </w:r>
                            <w:r w:rsidRPr="003238FA">
                              <w:rPr>
                                <w:b/>
                                <w:sz w:val="18"/>
                                <w:szCs w:val="18"/>
                              </w:rPr>
                              <w:t>co-habitating</w:t>
                            </w:r>
                            <w:r w:rsidRPr="003238FA">
                              <w:rPr>
                                <w:sz w:val="18"/>
                                <w:szCs w:val="18"/>
                              </w:rPr>
                              <w:t xml:space="preserve">, </w:t>
                            </w:r>
                            <w:r>
                              <w:rPr>
                                <w:sz w:val="18"/>
                                <w:szCs w:val="18"/>
                              </w:rPr>
                              <w:t>such as</w:t>
                            </w:r>
                            <w:r w:rsidRPr="003238FA">
                              <w:rPr>
                                <w:sz w:val="18"/>
                                <w:szCs w:val="18"/>
                              </w:rPr>
                              <w:t>, persons living in a shared house or other non-familial domestic arrangements</w:t>
                            </w:r>
                            <w:r>
                              <w:rPr>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7A2CF1" id="Text Box 114" o:spid="_x0000_s1030" type="#_x0000_t202" style="position:absolute;margin-left:392.35pt;margin-top:358.35pt;width:95.3pt;height:105.4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">
                <v:textbox>
                  <w:txbxContent>
                    <w:p w14:paraId="538FDB1D" w14:textId="77777777" w:rsidR="0070304B" w:rsidRPr="003238FA" w:rsidRDefault="0070304B" w:rsidP="00986F14">
                      <w:pPr>
                        <w:rPr>
                          <w:sz w:val="18"/>
                          <w:szCs w:val="18"/>
                        </w:rPr>
                      </w:pPr>
                      <w:r w:rsidRPr="003238FA">
                        <w:rPr>
                          <w:sz w:val="18"/>
                          <w:szCs w:val="18"/>
                        </w:rPr>
                        <w:t xml:space="preserve">Some definitions of </w:t>
                      </w:r>
                      <w:r>
                        <w:rPr>
                          <w:sz w:val="18"/>
                          <w:szCs w:val="18"/>
                        </w:rPr>
                        <w:t>DV</w:t>
                      </w:r>
                      <w:r w:rsidRPr="003238FA">
                        <w:rPr>
                          <w:sz w:val="18"/>
                          <w:szCs w:val="18"/>
                        </w:rPr>
                        <w:t xml:space="preserve"> violence extend to persons </w:t>
                      </w:r>
                      <w:r>
                        <w:rPr>
                          <w:sz w:val="18"/>
                          <w:szCs w:val="18"/>
                        </w:rPr>
                        <w:t xml:space="preserve">               </w:t>
                      </w:r>
                      <w:r w:rsidRPr="003238FA">
                        <w:rPr>
                          <w:b/>
                          <w:sz w:val="18"/>
                          <w:szCs w:val="18"/>
                        </w:rPr>
                        <w:t>co-habitating</w:t>
                      </w:r>
                      <w:r w:rsidRPr="003238FA">
                        <w:rPr>
                          <w:sz w:val="18"/>
                          <w:szCs w:val="18"/>
                        </w:rPr>
                        <w:t xml:space="preserve">, </w:t>
                      </w:r>
                      <w:r>
                        <w:rPr>
                          <w:sz w:val="18"/>
                          <w:szCs w:val="18"/>
                        </w:rPr>
                        <w:t>such as</w:t>
                      </w:r>
                      <w:r w:rsidRPr="003238FA">
                        <w:rPr>
                          <w:sz w:val="18"/>
                          <w:szCs w:val="18"/>
                        </w:rPr>
                        <w:t>, persons living in a shared house or other non-familial domestic arrangements</w:t>
                      </w:r>
                      <w:r>
                        <w:rPr>
                          <w:sz w:val="18"/>
                          <w:szCs w:val="18"/>
                        </w:rPr>
                        <w:t>.</w:t>
                      </w:r>
                    </w:p>
                  </w:txbxContent>
                </v:textbox>
              </v:shape>
            </w:pict>
          </mc:Fallback>
        </mc:AlternateContent>
      </w:r>
      <w:r w:rsidR="00986F14">
        <w:rPr>
          <w:noProof/>
          <w:lang w:eastAsia="en-AU"/>
        </w:rPr>
        <mc:AlternateContent>
          <mc:Choice Requires="wps">
            <w:drawing>
              <wp:anchor distT="0" distB="0" distL="114300" distR="114300" simplePos="0" relativeHeight="251749376" behindDoc="0" locked="0" layoutInCell="1" allowOverlap="1" wp14:anchorId="0A46B692" wp14:editId="558DFB12">
                <wp:simplePos x="0" y="0"/>
                <wp:positionH relativeFrom="column">
                  <wp:posOffset>3907155</wp:posOffset>
                </wp:positionH>
                <wp:positionV relativeFrom="paragraph">
                  <wp:posOffset>4330065</wp:posOffset>
                </wp:positionV>
                <wp:extent cx="0" cy="504190"/>
                <wp:effectExtent l="6985" t="10795" r="12065" b="8890"/>
                <wp:wrapNone/>
                <wp:docPr id="115" name="Straight Arrow Connector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419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8CE9B4" id="Straight Arrow Connector 115" o:spid="_x0000_s1026" type="#_x0000_t32" style="position:absolute;margin-left:307.65pt;margin-top:340.95pt;width:0;height:39.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">
                <v:stroke dashstyle="dash"/>
              </v:shape>
            </w:pict>
          </mc:Fallback>
        </mc:AlternateContent>
      </w:r>
      <w:r w:rsidR="00986F14">
        <w:rPr>
          <w:noProof/>
          <w:lang w:eastAsia="en-AU"/>
        </w:rPr>
        <mc:AlternateContent>
          <mc:Choice Requires="wps">
            <w:drawing>
              <wp:anchor distT="0" distB="0" distL="114300" distR="114300" simplePos="0" relativeHeight="251748352" behindDoc="0" locked="0" layoutInCell="1" allowOverlap="1" wp14:anchorId="2B2345C1" wp14:editId="42E5D6A7">
                <wp:simplePos x="0" y="0"/>
                <wp:positionH relativeFrom="column">
                  <wp:posOffset>3907155</wp:posOffset>
                </wp:positionH>
                <wp:positionV relativeFrom="paragraph">
                  <wp:posOffset>3702685</wp:posOffset>
                </wp:positionV>
                <wp:extent cx="0" cy="336550"/>
                <wp:effectExtent l="6985" t="12065" r="12065" b="13335"/>
                <wp:wrapNone/>
                <wp:docPr id="116" name="Straight Arrow Connector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65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C6D595" id="Straight Arrow Connector 116" o:spid="_x0000_s1026" type="#_x0000_t32" style="position:absolute;margin-left:307.65pt;margin-top:291.55pt;width:0;height:26.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">
                <v:stroke dashstyle="dash"/>
              </v:shape>
            </w:pict>
          </mc:Fallback>
        </mc:AlternateContent>
      </w:r>
      <w:r w:rsidR="00986F14">
        <w:rPr>
          <w:noProof/>
          <w:lang w:eastAsia="en-AU"/>
        </w:rPr>
        <mc:AlternateContent>
          <mc:Choice Requires="wps">
            <w:drawing>
              <wp:anchor distT="0" distB="0" distL="114300" distR="114300" simplePos="0" relativeHeight="251747328" behindDoc="0" locked="0" layoutInCell="1" allowOverlap="1" wp14:anchorId="0B7E3705" wp14:editId="06689AD7">
                <wp:simplePos x="0" y="0"/>
                <wp:positionH relativeFrom="column">
                  <wp:posOffset>3907155</wp:posOffset>
                </wp:positionH>
                <wp:positionV relativeFrom="paragraph">
                  <wp:posOffset>3129280</wp:posOffset>
                </wp:positionV>
                <wp:extent cx="0" cy="299720"/>
                <wp:effectExtent l="6985" t="10160" r="12065" b="13970"/>
                <wp:wrapNone/>
                <wp:docPr id="117" name="Straight Arrow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972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8BA42D" id="Straight Arrow Connector 117" o:spid="_x0000_s1026" type="#_x0000_t32" style="position:absolute;margin-left:307.65pt;margin-top:246.4pt;width:0;height:23.6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">
                <v:stroke dashstyle="dash"/>
              </v:shape>
            </w:pict>
          </mc:Fallback>
        </mc:AlternateContent>
      </w:r>
      <w:r w:rsidR="00986F14">
        <w:rPr>
          <w:noProof/>
          <w:lang w:eastAsia="en-AU"/>
        </w:rPr>
        <mc:AlternateContent>
          <mc:Choice Requires="wps">
            <w:drawing>
              <wp:anchor distT="0" distB="0" distL="114300" distR="114300" simplePos="0" relativeHeight="251746304" behindDoc="0" locked="0" layoutInCell="1" allowOverlap="1" wp14:anchorId="2E369F97" wp14:editId="7608D93B">
                <wp:simplePos x="0" y="0"/>
                <wp:positionH relativeFrom="column">
                  <wp:posOffset>3907155</wp:posOffset>
                </wp:positionH>
                <wp:positionV relativeFrom="paragraph">
                  <wp:posOffset>2153285</wp:posOffset>
                </wp:positionV>
                <wp:extent cx="0" cy="371475"/>
                <wp:effectExtent l="6985" t="5715" r="12065" b="13335"/>
                <wp:wrapNone/>
                <wp:docPr id="118" name="Straight Arrow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147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E277FA" id="Straight Arrow Connector 118" o:spid="_x0000_s1026" type="#_x0000_t32" style="position:absolute;margin-left:307.65pt;margin-top:169.55pt;width:0;height:29.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">
                <v:stroke dashstyle="dash"/>
              </v:shape>
            </w:pict>
          </mc:Fallback>
        </mc:AlternateContent>
      </w:r>
      <w:r w:rsidR="00986F14">
        <w:rPr>
          <w:noProof/>
          <w:lang w:eastAsia="en-AU"/>
        </w:rPr>
        <mc:AlternateContent>
          <mc:Choice Requires="wps">
            <w:drawing>
              <wp:anchor distT="0" distB="0" distL="114300" distR="114300" simplePos="0" relativeHeight="251745280" behindDoc="0" locked="0" layoutInCell="1" allowOverlap="1" wp14:anchorId="7770C6AD" wp14:editId="4C82B64D">
                <wp:simplePos x="0" y="0"/>
                <wp:positionH relativeFrom="column">
                  <wp:posOffset>3907155</wp:posOffset>
                </wp:positionH>
                <wp:positionV relativeFrom="paragraph">
                  <wp:posOffset>1675130</wp:posOffset>
                </wp:positionV>
                <wp:extent cx="0" cy="207645"/>
                <wp:effectExtent l="6985" t="13335" r="12065" b="7620"/>
                <wp:wrapNone/>
                <wp:docPr id="119" name="Straight Arrow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764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974377" id="Straight Arrow Connector 119" o:spid="_x0000_s1026" type="#_x0000_t32" style="position:absolute;margin-left:307.65pt;margin-top:131.9pt;width:0;height:16.3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">
                <v:stroke dashstyle="dash"/>
              </v:shape>
            </w:pict>
          </mc:Fallback>
        </mc:AlternateContent>
      </w:r>
      <w:r w:rsidR="00986F14">
        <w:rPr>
          <w:noProof/>
          <w:lang w:eastAsia="en-AU"/>
        </w:rPr>
        <mc:AlternateContent>
          <mc:Choice Requires="wps">
            <w:drawing>
              <wp:anchor distT="0" distB="0" distL="114300" distR="114300" simplePos="0" relativeHeight="251744256" behindDoc="0" locked="0" layoutInCell="1" allowOverlap="1" wp14:anchorId="7FCA6515" wp14:editId="4D988A34">
                <wp:simplePos x="0" y="0"/>
                <wp:positionH relativeFrom="column">
                  <wp:posOffset>3907155</wp:posOffset>
                </wp:positionH>
                <wp:positionV relativeFrom="paragraph">
                  <wp:posOffset>1059815</wp:posOffset>
                </wp:positionV>
                <wp:extent cx="0" cy="332740"/>
                <wp:effectExtent l="6985" t="7620" r="12065" b="12065"/>
                <wp:wrapNone/>
                <wp:docPr id="120" name="Straight Arrow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274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870D9B" id="Straight Arrow Connector 120" o:spid="_x0000_s1026" type="#_x0000_t32" style="position:absolute;margin-left:307.65pt;margin-top:83.45pt;width:0;height:26.2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">
                <v:stroke dashstyle="dash"/>
              </v:shape>
            </w:pict>
          </mc:Fallback>
        </mc:AlternateContent>
      </w:r>
      <w:r w:rsidR="00986F14">
        <w:rPr>
          <w:noProof/>
          <w:lang w:eastAsia="en-AU"/>
        </w:rPr>
        <mc:AlternateContent>
          <mc:Choice Requires="wps">
            <w:drawing>
              <wp:anchor distT="0" distB="0" distL="114300" distR="114300" simplePos="0" relativeHeight="251732992" behindDoc="0" locked="0" layoutInCell="1" allowOverlap="1" wp14:anchorId="70FFF233" wp14:editId="6FFACBBF">
                <wp:simplePos x="0" y="0"/>
                <wp:positionH relativeFrom="column">
                  <wp:posOffset>3126105</wp:posOffset>
                </wp:positionH>
                <wp:positionV relativeFrom="paragraph">
                  <wp:posOffset>4039235</wp:posOffset>
                </wp:positionV>
                <wp:extent cx="1561465" cy="290830"/>
                <wp:effectExtent l="0" t="0" r="19685" b="1397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1465" cy="290830"/>
                        </a:xfrm>
                        <a:prstGeom prst="rect">
                          <a:avLst/>
                        </a:prstGeom>
                        <a:solidFill>
                          <a:srgbClr val="FFFFFF"/>
                        </a:solidFill>
                        <a:ln w="9525">
                          <a:solidFill>
                            <a:srgbClr val="000000"/>
                          </a:solidFill>
                          <a:miter lim="800000"/>
                          <a:headEnd/>
                          <a:tailEnd/>
                        </a:ln>
                      </wps:spPr>
                      <wps:txbx>
                        <w:txbxContent>
                          <w:p w14:paraId="34B002CE" w14:textId="77777777" w:rsidR="0070304B" w:rsidRPr="008430C2" w:rsidRDefault="0070304B" w:rsidP="00986F14">
                            <w:pPr>
                              <w:rPr>
                                <w:b/>
                                <w:sz w:val="20"/>
                                <w:szCs w:val="20"/>
                              </w:rPr>
                            </w:pPr>
                            <w:r w:rsidRPr="008430C2">
                              <w:rPr>
                                <w:rFonts w:cs="Arial"/>
                                <w:b/>
                                <w:sz w:val="20"/>
                                <w:szCs w:val="20"/>
                              </w:rPr>
                              <w:t>Sibling relationships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FFF233" id="Text Box 121" o:spid="_x0000_s1031" type="#_x0000_t202" style="position:absolute;margin-left:246.15pt;margin-top:318.05pt;width:122.95pt;height:22.9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">
                <v:textbox>
                  <w:txbxContent>
                    <w:p w14:paraId="34B002CE" w14:textId="77777777" w:rsidR="0070304B" w:rsidRPr="008430C2" w:rsidRDefault="0070304B" w:rsidP="00986F14">
                      <w:pPr>
                        <w:rPr>
                          <w:b/>
                          <w:sz w:val="20"/>
                          <w:szCs w:val="20"/>
                        </w:rPr>
                      </w:pPr>
                      <w:r w:rsidRPr="008430C2">
                        <w:rPr>
                          <w:rFonts w:cs="Arial"/>
                          <w:b/>
                          <w:sz w:val="20"/>
                          <w:szCs w:val="20"/>
                        </w:rPr>
                        <w:t>Sibling relationships</w:t>
                      </w:r>
                    </w:p>
                  </w:txbxContent>
                </v:textbox>
              </v:shape>
            </w:pict>
          </mc:Fallback>
        </mc:AlternateContent>
      </w:r>
      <w:r w:rsidR="00986F14">
        <w:rPr>
          <w:noProof/>
          <w:lang w:eastAsia="en-AU"/>
        </w:rPr>
        <mc:AlternateContent>
          <mc:Choice Requires="wps">
            <w:drawing>
              <wp:anchor distT="0" distB="0" distL="114300" distR="114300" simplePos="0" relativeHeight="251735040" behindDoc="0" locked="0" layoutInCell="1" allowOverlap="1" wp14:anchorId="3A1EC19E" wp14:editId="03675CF2">
                <wp:simplePos x="0" y="0"/>
                <wp:positionH relativeFrom="column">
                  <wp:posOffset>3108960</wp:posOffset>
                </wp:positionH>
                <wp:positionV relativeFrom="paragraph">
                  <wp:posOffset>4834255</wp:posOffset>
                </wp:positionV>
                <wp:extent cx="1578610" cy="423545"/>
                <wp:effectExtent l="0" t="0" r="21590" b="14605"/>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8610" cy="423545"/>
                        </a:xfrm>
                        <a:prstGeom prst="rect">
                          <a:avLst/>
                        </a:prstGeom>
                        <a:solidFill>
                          <a:srgbClr val="FFFFFF"/>
                        </a:solidFill>
                        <a:ln w="9525">
                          <a:solidFill>
                            <a:srgbClr val="000000"/>
                          </a:solidFill>
                          <a:miter lim="800000"/>
                          <a:headEnd/>
                          <a:tailEnd/>
                        </a:ln>
                      </wps:spPr>
                      <wps:txbx>
                        <w:txbxContent>
                          <w:p w14:paraId="4388B997" w14:textId="77777777" w:rsidR="0070304B" w:rsidRDefault="0070304B" w:rsidP="00986F14">
                            <w:pPr>
                              <w:rPr>
                                <w:rFonts w:cs="Arial"/>
                                <w:b/>
                                <w:sz w:val="20"/>
                                <w:szCs w:val="20"/>
                              </w:rPr>
                            </w:pPr>
                            <w:r w:rsidRPr="008430C2">
                              <w:rPr>
                                <w:rFonts w:cs="Arial"/>
                                <w:b/>
                                <w:sz w:val="20"/>
                                <w:szCs w:val="20"/>
                              </w:rPr>
                              <w:t>Domestic relationships</w:t>
                            </w:r>
                          </w:p>
                          <w:p w14:paraId="6F44B623" w14:textId="77777777" w:rsidR="0070304B" w:rsidRPr="004E7FF7" w:rsidRDefault="0070304B" w:rsidP="00986F14">
                            <w:pPr>
                              <w:rPr>
                                <w:sz w:val="20"/>
                                <w:szCs w:val="20"/>
                              </w:rPr>
                            </w:pPr>
                            <w:r w:rsidRPr="004E7FF7">
                              <w:rPr>
                                <w:sz w:val="20"/>
                                <w:szCs w:val="20"/>
                              </w:rPr>
                              <w:t>(familial and non-familial)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A1EC19E" id="Text Box 122" o:spid="_x0000_s1032" type="#_x0000_t202" style="position:absolute;margin-left:244.8pt;margin-top:380.65pt;width:124.3pt;height:33.3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">
                <v:textbox>
                  <w:txbxContent>
                    <w:p w14:paraId="4388B997" w14:textId="77777777" w:rsidR="0070304B" w:rsidRDefault="0070304B" w:rsidP="00986F14">
                      <w:pPr>
                        <w:rPr>
                          <w:rFonts w:cs="Arial"/>
                          <w:b/>
                          <w:sz w:val="20"/>
                          <w:szCs w:val="20"/>
                        </w:rPr>
                      </w:pPr>
                      <w:r w:rsidRPr="008430C2">
                        <w:rPr>
                          <w:rFonts w:cs="Arial"/>
                          <w:b/>
                          <w:sz w:val="20"/>
                          <w:szCs w:val="20"/>
                        </w:rPr>
                        <w:t>Domestic relationships</w:t>
                      </w:r>
                    </w:p>
                    <w:p w14:paraId="6F44B623" w14:textId="77777777" w:rsidR="0070304B" w:rsidRPr="004E7FF7" w:rsidRDefault="0070304B" w:rsidP="00986F14">
                      <w:pPr>
                        <w:rPr>
                          <w:sz w:val="20"/>
                          <w:szCs w:val="20"/>
                        </w:rPr>
                      </w:pPr>
                      <w:r w:rsidRPr="004E7FF7">
                        <w:rPr>
                          <w:sz w:val="20"/>
                          <w:szCs w:val="20"/>
                        </w:rPr>
                        <w:t>(familial and non-familial)</w:t>
                      </w:r>
                    </w:p>
                  </w:txbxContent>
                </v:textbox>
              </v:shape>
            </w:pict>
          </mc:Fallback>
        </mc:AlternateContent>
      </w:r>
      <w:r w:rsidR="00986F14">
        <w:rPr>
          <w:noProof/>
          <w:lang w:eastAsia="en-AU"/>
        </w:rPr>
        <mc:AlternateContent>
          <mc:Choice Requires="wps">
            <w:drawing>
              <wp:anchor distT="0" distB="0" distL="114300" distR="114300" simplePos="0" relativeHeight="251741184" behindDoc="0" locked="0" layoutInCell="1" allowOverlap="1" wp14:anchorId="35BD4FBA" wp14:editId="2F655B73">
                <wp:simplePos x="0" y="0"/>
                <wp:positionH relativeFrom="column">
                  <wp:posOffset>4874260</wp:posOffset>
                </wp:positionH>
                <wp:positionV relativeFrom="paragraph">
                  <wp:posOffset>6338570</wp:posOffset>
                </wp:positionV>
                <wp:extent cx="1318895" cy="1762125"/>
                <wp:effectExtent l="0" t="0" r="14605" b="28575"/>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895" cy="1762125"/>
                        </a:xfrm>
                        <a:prstGeom prst="rect">
                          <a:avLst/>
                        </a:prstGeom>
                        <a:solidFill>
                          <a:srgbClr val="FFFFFF"/>
                        </a:solidFill>
                        <a:ln w="9525">
                          <a:solidFill>
                            <a:srgbClr val="000000"/>
                          </a:solidFill>
                          <a:miter lim="800000"/>
                          <a:headEnd/>
                          <a:tailEnd/>
                        </a:ln>
                      </wps:spPr>
                      <wps:txbx>
                        <w:txbxContent>
                          <w:p w14:paraId="03EE7C3C" w14:textId="77777777" w:rsidR="0070304B" w:rsidRPr="004E7FF7" w:rsidRDefault="0070304B" w:rsidP="00986F14">
                            <w:pPr>
                              <w:autoSpaceDE w:val="0"/>
                              <w:autoSpaceDN w:val="0"/>
                              <w:adjustRightInd w:val="0"/>
                              <w:rPr>
                                <w:sz w:val="18"/>
                                <w:szCs w:val="18"/>
                              </w:rPr>
                            </w:pPr>
                            <w:r w:rsidRPr="003238FA">
                              <w:rPr>
                                <w:b/>
                                <w:sz w:val="18"/>
                                <w:szCs w:val="18"/>
                              </w:rPr>
                              <w:t>Elder abuse</w:t>
                            </w:r>
                            <w:r w:rsidRPr="004E7FF7">
                              <w:rPr>
                                <w:sz w:val="18"/>
                                <w:szCs w:val="18"/>
                              </w:rPr>
                              <w:t xml:space="preserve">—not an exclusive relationship category—but can overlap with DFV when </w:t>
                            </w:r>
                            <w:r w:rsidRPr="004E7FF7">
                              <w:rPr>
                                <w:rFonts w:cs="Arial"/>
                                <w:sz w:val="18"/>
                                <w:szCs w:val="18"/>
                              </w:rPr>
                              <w:t>the abuse is perpetrated for example by a</w:t>
                            </w:r>
                            <w:r>
                              <w:rPr>
                                <w:rFonts w:cs="Arial"/>
                                <w:sz w:val="18"/>
                                <w:szCs w:val="18"/>
                              </w:rPr>
                              <w:t xml:space="preserve"> </w:t>
                            </w:r>
                            <w:r w:rsidRPr="004E7FF7">
                              <w:rPr>
                                <w:rFonts w:cs="Arial"/>
                                <w:sz w:val="18"/>
                                <w:szCs w:val="18"/>
                              </w:rPr>
                              <w:t>partner or other members of the older person's family, or by unpaid carers in an informal</w:t>
                            </w:r>
                            <w:r>
                              <w:rPr>
                                <w:rFonts w:cs="Arial"/>
                                <w:sz w:val="18"/>
                                <w:szCs w:val="18"/>
                              </w:rPr>
                              <w:t xml:space="preserve"> </w:t>
                            </w:r>
                            <w:r w:rsidRPr="004E7FF7">
                              <w:rPr>
                                <w:rFonts w:cs="Arial"/>
                                <w:sz w:val="18"/>
                                <w:szCs w:val="18"/>
                              </w:rPr>
                              <w:t>care arrangement.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BD4FBA" id="Text Box 123" o:spid="_x0000_s1033" type="#_x0000_t202" style="position:absolute;margin-left:383.8pt;margin-top:499.1pt;width:103.85pt;height:138.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">
                <v:textbox>
                  <w:txbxContent>
                    <w:p w14:paraId="03EE7C3C" w14:textId="77777777" w:rsidR="0070304B" w:rsidRPr="004E7FF7" w:rsidRDefault="0070304B" w:rsidP="00986F14">
                      <w:pPr>
                        <w:autoSpaceDE w:val="0"/>
                        <w:autoSpaceDN w:val="0"/>
                        <w:adjustRightInd w:val="0"/>
                        <w:rPr>
                          <w:sz w:val="18"/>
                          <w:szCs w:val="18"/>
                        </w:rPr>
                      </w:pPr>
                      <w:r w:rsidRPr="003238FA">
                        <w:rPr>
                          <w:b/>
                          <w:sz w:val="18"/>
                          <w:szCs w:val="18"/>
                        </w:rPr>
                        <w:t>Elder abuse</w:t>
                      </w:r>
                      <w:r w:rsidRPr="004E7FF7">
                        <w:rPr>
                          <w:sz w:val="18"/>
                          <w:szCs w:val="18"/>
                        </w:rPr>
                        <w:t xml:space="preserve">—not an exclusive relationship category—but can overlap with DFV when </w:t>
                      </w:r>
                      <w:r w:rsidRPr="004E7FF7">
                        <w:rPr>
                          <w:rFonts w:cs="Arial"/>
                          <w:sz w:val="18"/>
                          <w:szCs w:val="18"/>
                        </w:rPr>
                        <w:t>the abuse is perpetrated for example by a</w:t>
                      </w:r>
                      <w:r>
                        <w:rPr>
                          <w:rFonts w:cs="Arial"/>
                          <w:sz w:val="18"/>
                          <w:szCs w:val="18"/>
                        </w:rPr>
                        <w:t xml:space="preserve"> </w:t>
                      </w:r>
                      <w:r w:rsidRPr="004E7FF7">
                        <w:rPr>
                          <w:rFonts w:cs="Arial"/>
                          <w:sz w:val="18"/>
                          <w:szCs w:val="18"/>
                        </w:rPr>
                        <w:t>partner or other members of the older person's family, or by unpaid carers in an informal</w:t>
                      </w:r>
                      <w:r>
                        <w:rPr>
                          <w:rFonts w:cs="Arial"/>
                          <w:sz w:val="18"/>
                          <w:szCs w:val="18"/>
                        </w:rPr>
                        <w:t xml:space="preserve"> </w:t>
                      </w:r>
                      <w:r w:rsidRPr="004E7FF7">
                        <w:rPr>
                          <w:rFonts w:cs="Arial"/>
                          <w:sz w:val="18"/>
                          <w:szCs w:val="18"/>
                        </w:rPr>
                        <w:t>care arrangement.</w:t>
                      </w:r>
                    </w:p>
                  </w:txbxContent>
                </v:textbox>
              </v:shape>
            </w:pict>
          </mc:Fallback>
        </mc:AlternateContent>
      </w:r>
      <w:r w:rsidR="00986F14">
        <w:rPr>
          <w:noProof/>
          <w:lang w:eastAsia="en-AU"/>
        </w:rPr>
        <mc:AlternateContent>
          <mc:Choice Requires="wps">
            <w:drawing>
              <wp:anchor distT="0" distB="0" distL="114300" distR="114300" simplePos="0" relativeHeight="251740160" behindDoc="0" locked="0" layoutInCell="1" allowOverlap="1" wp14:anchorId="673D4D61" wp14:editId="5E7212B5">
                <wp:simplePos x="0" y="0"/>
                <wp:positionH relativeFrom="column">
                  <wp:posOffset>3408045</wp:posOffset>
                </wp:positionH>
                <wp:positionV relativeFrom="paragraph">
                  <wp:posOffset>478155</wp:posOffset>
                </wp:positionV>
                <wp:extent cx="2543810" cy="581660"/>
                <wp:effectExtent l="0" t="0" r="27940" b="27940"/>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581660"/>
                        </a:xfrm>
                        <a:prstGeom prst="rect">
                          <a:avLst/>
                        </a:prstGeom>
                        <a:solidFill>
                          <a:srgbClr val="FFFFFF"/>
                        </a:solidFill>
                        <a:ln w="9525">
                          <a:solidFill>
                            <a:srgbClr val="000000"/>
                          </a:solidFill>
                          <a:miter lim="800000"/>
                          <a:headEnd/>
                          <a:tailEnd/>
                        </a:ln>
                      </wps:spPr>
                      <wps:txbx>
                        <w:txbxContent>
                          <w:p w14:paraId="5360B6C0" w14:textId="77777777" w:rsidR="0070304B" w:rsidRPr="0008601D" w:rsidRDefault="0070304B" w:rsidP="00986F14">
                            <w:pPr>
                              <w:rPr>
                                <w:sz w:val="20"/>
                                <w:szCs w:val="20"/>
                              </w:rPr>
                            </w:pPr>
                            <w:r w:rsidRPr="0008601D">
                              <w:rPr>
                                <w:sz w:val="20"/>
                                <w:szCs w:val="20"/>
                              </w:rPr>
                              <w:t xml:space="preserve">Behaviour can continue after a relationship break-up—the listed relationships can therefore be both </w:t>
                            </w:r>
                            <w:r w:rsidRPr="00830FCF">
                              <w:rPr>
                                <w:b/>
                                <w:sz w:val="20"/>
                                <w:szCs w:val="20"/>
                              </w:rPr>
                              <w:t>past</w:t>
                            </w:r>
                            <w:r w:rsidRPr="0008601D">
                              <w:rPr>
                                <w:sz w:val="20"/>
                                <w:szCs w:val="20"/>
                              </w:rPr>
                              <w:t xml:space="preserve"> and </w:t>
                            </w:r>
                            <w:r w:rsidRPr="00830FCF">
                              <w:rPr>
                                <w:b/>
                                <w:sz w:val="20"/>
                                <w:szCs w:val="20"/>
                              </w:rPr>
                              <w:t>present</w:t>
                            </w:r>
                            <w:r>
                              <w:rPr>
                                <w:b/>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3D4D61" id="Text Box 124" o:spid="_x0000_s1034" type="#_x0000_t202" style="position:absolute;margin-left:268.35pt;margin-top:37.65pt;width:200.3pt;height:45.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">
                <v:textbox>
                  <w:txbxContent>
                    <w:p w14:paraId="5360B6C0" w14:textId="77777777" w:rsidR="0070304B" w:rsidRPr="0008601D" w:rsidRDefault="0070304B" w:rsidP="00986F14">
                      <w:pPr>
                        <w:rPr>
                          <w:sz w:val="20"/>
                          <w:szCs w:val="20"/>
                        </w:rPr>
                      </w:pPr>
                      <w:r w:rsidRPr="0008601D">
                        <w:rPr>
                          <w:sz w:val="20"/>
                          <w:szCs w:val="20"/>
                        </w:rPr>
                        <w:t xml:space="preserve">Behaviour can continue after a relationship break-up—the listed relationships can therefore be both </w:t>
                      </w:r>
                      <w:r w:rsidRPr="00830FCF">
                        <w:rPr>
                          <w:b/>
                          <w:sz w:val="20"/>
                          <w:szCs w:val="20"/>
                        </w:rPr>
                        <w:t>past</w:t>
                      </w:r>
                      <w:r w:rsidRPr="0008601D">
                        <w:rPr>
                          <w:sz w:val="20"/>
                          <w:szCs w:val="20"/>
                        </w:rPr>
                        <w:t xml:space="preserve"> and </w:t>
                      </w:r>
                      <w:r w:rsidRPr="00830FCF">
                        <w:rPr>
                          <w:b/>
                          <w:sz w:val="20"/>
                          <w:szCs w:val="20"/>
                        </w:rPr>
                        <w:t>present</w:t>
                      </w:r>
                      <w:r>
                        <w:rPr>
                          <w:b/>
                          <w:sz w:val="20"/>
                          <w:szCs w:val="20"/>
                        </w:rPr>
                        <w:t>.</w:t>
                      </w:r>
                    </w:p>
                  </w:txbxContent>
                </v:textbox>
              </v:shape>
            </w:pict>
          </mc:Fallback>
        </mc:AlternateContent>
      </w:r>
      <w:r w:rsidR="00986F14">
        <w:rPr>
          <w:noProof/>
          <w:lang w:eastAsia="en-AU"/>
        </w:rPr>
        <mc:AlternateContent>
          <mc:Choice Requires="wps">
            <w:drawing>
              <wp:anchor distT="0" distB="0" distL="114300" distR="114300" simplePos="0" relativeHeight="251738112" behindDoc="0" locked="0" layoutInCell="1" allowOverlap="1" wp14:anchorId="4BBA39E4" wp14:editId="594491FA">
                <wp:simplePos x="0" y="0"/>
                <wp:positionH relativeFrom="column">
                  <wp:posOffset>3108960</wp:posOffset>
                </wp:positionH>
                <wp:positionV relativeFrom="paragraph">
                  <wp:posOffset>7094855</wp:posOffset>
                </wp:positionV>
                <wp:extent cx="1495425" cy="748030"/>
                <wp:effectExtent l="0" t="0" r="28575" b="13970"/>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748030"/>
                        </a:xfrm>
                        <a:prstGeom prst="rect">
                          <a:avLst/>
                        </a:prstGeom>
                        <a:solidFill>
                          <a:srgbClr val="FFFFFF"/>
                        </a:solidFill>
                        <a:ln w="9525">
                          <a:solidFill>
                            <a:srgbClr val="000000"/>
                          </a:solidFill>
                          <a:miter lim="800000"/>
                          <a:headEnd/>
                          <a:tailEnd/>
                        </a:ln>
                      </wps:spPr>
                      <wps:txbx>
                        <w:txbxContent>
                          <w:p w14:paraId="50BE3DC8" w14:textId="77777777" w:rsidR="0070304B" w:rsidRPr="008430C2" w:rsidRDefault="0070304B" w:rsidP="00986F14">
                            <w:pPr>
                              <w:rPr>
                                <w:b/>
                                <w:sz w:val="20"/>
                                <w:szCs w:val="20"/>
                              </w:rPr>
                            </w:pPr>
                            <w:r w:rsidRPr="008430C2">
                              <w:rPr>
                                <w:rFonts w:cs="Arial"/>
                                <w:b/>
                                <w:sz w:val="20"/>
                                <w:szCs w:val="20"/>
                              </w:rPr>
                              <w:t>Relationships of dependency, or involving personal or financial commitment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A39E4" id="Text Box 125" o:spid="_x0000_s1035" type="#_x0000_t202" style="position:absolute;margin-left:244.8pt;margin-top:558.65pt;width:117.75pt;height:58.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">
                <v:textbox>
                  <w:txbxContent>
                    <w:p w14:paraId="50BE3DC8" w14:textId="77777777" w:rsidR="0070304B" w:rsidRPr="008430C2" w:rsidRDefault="0070304B" w:rsidP="00986F14">
                      <w:pPr>
                        <w:rPr>
                          <w:b/>
                          <w:sz w:val="20"/>
                          <w:szCs w:val="20"/>
                        </w:rPr>
                      </w:pPr>
                      <w:r w:rsidRPr="008430C2">
                        <w:rPr>
                          <w:rFonts w:cs="Arial"/>
                          <w:b/>
                          <w:sz w:val="20"/>
                          <w:szCs w:val="20"/>
                        </w:rPr>
                        <w:t>Relationships of dependency, or involving personal or financial commitment</w:t>
                      </w:r>
                    </w:p>
                  </w:txbxContent>
                </v:textbox>
              </v:shape>
            </w:pict>
          </mc:Fallback>
        </mc:AlternateContent>
      </w:r>
      <w:r w:rsidR="00986F14">
        <w:rPr>
          <w:noProof/>
          <w:lang w:eastAsia="en-AU"/>
        </w:rPr>
        <mc:AlternateContent>
          <mc:Choice Requires="wps">
            <w:drawing>
              <wp:anchor distT="0" distB="0" distL="114300" distR="114300" simplePos="0" relativeHeight="251724800" behindDoc="0" locked="0" layoutInCell="1" allowOverlap="1" wp14:anchorId="6D698EF0" wp14:editId="36A11710">
                <wp:simplePos x="0" y="0"/>
                <wp:positionH relativeFrom="column">
                  <wp:posOffset>3108960</wp:posOffset>
                </wp:positionH>
                <wp:positionV relativeFrom="paragraph">
                  <wp:posOffset>1392555</wp:posOffset>
                </wp:positionV>
                <wp:extent cx="1429385" cy="282575"/>
                <wp:effectExtent l="0" t="0" r="18415" b="2222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9385" cy="282575"/>
                        </a:xfrm>
                        <a:prstGeom prst="rect">
                          <a:avLst/>
                        </a:prstGeom>
                        <a:solidFill>
                          <a:srgbClr val="FFFFFF"/>
                        </a:solidFill>
                        <a:ln w="9525">
                          <a:solidFill>
                            <a:srgbClr val="000000"/>
                          </a:solidFill>
                          <a:miter lim="800000"/>
                          <a:headEnd/>
                          <a:tailEnd/>
                        </a:ln>
                      </wps:spPr>
                      <wps:txbx>
                        <w:txbxContent>
                          <w:p w14:paraId="31DEF630" w14:textId="77777777" w:rsidR="0070304B" w:rsidRPr="00FA385D" w:rsidRDefault="0070304B" w:rsidP="00986F14">
                            <w:pPr>
                              <w:rPr>
                                <w:b/>
                                <w:sz w:val="20"/>
                                <w:szCs w:val="20"/>
                              </w:rPr>
                            </w:pPr>
                            <w:r w:rsidRPr="00FA385D">
                              <w:rPr>
                                <w:rFonts w:cs="Arial"/>
                                <w:b/>
                                <w:sz w:val="20"/>
                                <w:szCs w:val="20"/>
                              </w:rPr>
                              <w:t>Marriage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698EF0" id="Text Box 126" o:spid="_x0000_s1036" type="#_x0000_t202" style="position:absolute;margin-left:244.8pt;margin-top:109.65pt;width:112.55pt;height:22.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">
                <v:textbox>
                  <w:txbxContent>
                    <w:p w14:paraId="31DEF630" w14:textId="77777777" w:rsidR="0070304B" w:rsidRPr="00FA385D" w:rsidRDefault="0070304B" w:rsidP="00986F14">
                      <w:pPr>
                        <w:rPr>
                          <w:b/>
                          <w:sz w:val="20"/>
                          <w:szCs w:val="20"/>
                        </w:rPr>
                      </w:pPr>
                      <w:r w:rsidRPr="00FA385D">
                        <w:rPr>
                          <w:rFonts w:cs="Arial"/>
                          <w:b/>
                          <w:sz w:val="20"/>
                          <w:szCs w:val="20"/>
                        </w:rPr>
                        <w:t>Marriage</w:t>
                      </w:r>
                    </w:p>
                  </w:txbxContent>
                </v:textbox>
              </v:shape>
            </w:pict>
          </mc:Fallback>
        </mc:AlternateContent>
      </w:r>
      <w:r w:rsidR="00986F14">
        <w:rPr>
          <w:noProof/>
          <w:lang w:eastAsia="en-AU"/>
        </w:rPr>
        <mc:AlternateContent>
          <mc:Choice Requires="wps">
            <w:drawing>
              <wp:anchor distT="0" distB="0" distL="114300" distR="114300" simplePos="0" relativeHeight="251725824" behindDoc="0" locked="0" layoutInCell="1" allowOverlap="1" wp14:anchorId="06DEB752" wp14:editId="5CFE8239">
                <wp:simplePos x="0" y="0"/>
                <wp:positionH relativeFrom="column">
                  <wp:posOffset>3108960</wp:posOffset>
                </wp:positionH>
                <wp:positionV relativeFrom="paragraph">
                  <wp:posOffset>1882775</wp:posOffset>
                </wp:positionV>
                <wp:extent cx="1429385" cy="268605"/>
                <wp:effectExtent l="0" t="0" r="18415" b="1714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9385" cy="268605"/>
                        </a:xfrm>
                        <a:prstGeom prst="rect">
                          <a:avLst/>
                        </a:prstGeom>
                        <a:solidFill>
                          <a:srgbClr val="FFFFFF"/>
                        </a:solidFill>
                        <a:ln w="9525">
                          <a:solidFill>
                            <a:srgbClr val="000000"/>
                          </a:solidFill>
                          <a:miter lim="800000"/>
                          <a:headEnd/>
                          <a:tailEnd/>
                        </a:ln>
                      </wps:spPr>
                      <wps:txbx>
                        <w:txbxContent>
                          <w:p w14:paraId="35EB7A48" w14:textId="77777777" w:rsidR="0070304B" w:rsidRPr="008430C2" w:rsidRDefault="0070304B" w:rsidP="00986F14">
                            <w:pPr>
                              <w:rPr>
                                <w:b/>
                                <w:sz w:val="20"/>
                                <w:szCs w:val="20"/>
                              </w:rPr>
                            </w:pPr>
                            <w:r w:rsidRPr="008430C2">
                              <w:rPr>
                                <w:rFonts w:cs="Arial"/>
                                <w:b/>
                                <w:sz w:val="20"/>
                                <w:szCs w:val="20"/>
                              </w:rPr>
                              <w:t>Defacto relationships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DEB752" id="Text Box 127" o:spid="_x0000_s1037" type="#_x0000_t202" style="position:absolute;margin-left:244.8pt;margin-top:148.25pt;width:112.55pt;height:21.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">
                <v:textbox>
                  <w:txbxContent>
                    <w:p w14:paraId="35EB7A48" w14:textId="77777777" w:rsidR="0070304B" w:rsidRPr="008430C2" w:rsidRDefault="0070304B" w:rsidP="00986F14">
                      <w:pPr>
                        <w:rPr>
                          <w:b/>
                          <w:sz w:val="20"/>
                          <w:szCs w:val="20"/>
                        </w:rPr>
                      </w:pPr>
                      <w:r w:rsidRPr="008430C2">
                        <w:rPr>
                          <w:rFonts w:cs="Arial"/>
                          <w:b/>
                          <w:sz w:val="20"/>
                          <w:szCs w:val="20"/>
                        </w:rPr>
                        <w:t>Defacto relationships</w:t>
                      </w:r>
                    </w:p>
                  </w:txbxContent>
                </v:textbox>
              </v:shape>
            </w:pict>
          </mc:Fallback>
        </mc:AlternateContent>
      </w:r>
      <w:r w:rsidR="00986F14">
        <w:rPr>
          <w:noProof/>
          <w:lang w:eastAsia="en-AU"/>
        </w:rPr>
        <mc:AlternateContent>
          <mc:Choice Requires="wps">
            <w:drawing>
              <wp:anchor distT="0" distB="0" distL="114300" distR="114300" simplePos="0" relativeHeight="251729920" behindDoc="0" locked="0" layoutInCell="1" allowOverlap="1" wp14:anchorId="026CC8FE" wp14:editId="2AD6B480">
                <wp:simplePos x="0" y="0"/>
                <wp:positionH relativeFrom="column">
                  <wp:posOffset>3108960</wp:posOffset>
                </wp:positionH>
                <wp:positionV relativeFrom="paragraph">
                  <wp:posOffset>2522855</wp:posOffset>
                </wp:positionV>
                <wp:extent cx="1495425" cy="606425"/>
                <wp:effectExtent l="0" t="0" r="28575" b="22225"/>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606425"/>
                        </a:xfrm>
                        <a:prstGeom prst="rect">
                          <a:avLst/>
                        </a:prstGeom>
                        <a:solidFill>
                          <a:srgbClr val="FFFFFF"/>
                        </a:solidFill>
                        <a:ln w="9525">
                          <a:solidFill>
                            <a:srgbClr val="000000"/>
                          </a:solidFill>
                          <a:miter lim="800000"/>
                          <a:headEnd/>
                          <a:tailEnd/>
                        </a:ln>
                      </wps:spPr>
                      <wps:txbx>
                        <w:txbxContent>
                          <w:p w14:paraId="2691B01C" w14:textId="77777777" w:rsidR="0070304B" w:rsidRPr="008430C2" w:rsidRDefault="0070304B" w:rsidP="00986F14">
                            <w:pPr>
                              <w:rPr>
                                <w:sz w:val="20"/>
                                <w:szCs w:val="20"/>
                              </w:rPr>
                            </w:pPr>
                            <w:r w:rsidRPr="008430C2">
                              <w:rPr>
                                <w:rFonts w:cs="Arial"/>
                                <w:b/>
                                <w:sz w:val="20"/>
                                <w:szCs w:val="20"/>
                              </w:rPr>
                              <w:t>Intimate relationships</w:t>
                            </w:r>
                            <w:r>
                              <w:rPr>
                                <w:rFonts w:cs="Arial"/>
                                <w:sz w:val="20"/>
                                <w:szCs w:val="20"/>
                              </w:rPr>
                              <w:t>—</w:t>
                            </w:r>
                            <w:r w:rsidRPr="008430C2">
                              <w:rPr>
                                <w:rFonts w:cs="Arial"/>
                                <w:sz w:val="20"/>
                                <w:szCs w:val="20"/>
                              </w:rPr>
                              <w:t>whether of a sexual nature or not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6CC8FE" id="Text Box 128" o:spid="_x0000_s1038" type="#_x0000_t202" style="position:absolute;margin-left:244.8pt;margin-top:198.65pt;width:117.75pt;height:47.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">
                <v:textbox>
                  <w:txbxContent>
                    <w:p w14:paraId="2691B01C" w14:textId="77777777" w:rsidR="0070304B" w:rsidRPr="008430C2" w:rsidRDefault="0070304B" w:rsidP="00986F14">
                      <w:pPr>
                        <w:rPr>
                          <w:sz w:val="20"/>
                          <w:szCs w:val="20"/>
                        </w:rPr>
                      </w:pPr>
                      <w:r w:rsidRPr="008430C2">
                        <w:rPr>
                          <w:rFonts w:cs="Arial"/>
                          <w:b/>
                          <w:sz w:val="20"/>
                          <w:szCs w:val="20"/>
                        </w:rPr>
                        <w:t>Intimate relationships</w:t>
                      </w:r>
                      <w:r>
                        <w:rPr>
                          <w:rFonts w:cs="Arial"/>
                          <w:sz w:val="20"/>
                          <w:szCs w:val="20"/>
                        </w:rPr>
                        <w:t>—</w:t>
                      </w:r>
                      <w:r w:rsidRPr="008430C2">
                        <w:rPr>
                          <w:rFonts w:cs="Arial"/>
                          <w:sz w:val="20"/>
                          <w:szCs w:val="20"/>
                        </w:rPr>
                        <w:t>whether of a sexual nature or not</w:t>
                      </w:r>
                    </w:p>
                  </w:txbxContent>
                </v:textbox>
              </v:shape>
            </w:pict>
          </mc:Fallback>
        </mc:AlternateContent>
      </w:r>
      <w:r w:rsidR="00986F14">
        <w:rPr>
          <w:noProof/>
          <w:lang w:eastAsia="en-AU"/>
        </w:rPr>
        <mc:AlternateContent>
          <mc:Choice Requires="wps">
            <w:drawing>
              <wp:anchor distT="0" distB="0" distL="114300" distR="114300" simplePos="0" relativeHeight="251730944" behindDoc="0" locked="0" layoutInCell="1" allowOverlap="1" wp14:anchorId="75584E04" wp14:editId="09D76CA4">
                <wp:simplePos x="0" y="0"/>
                <wp:positionH relativeFrom="column">
                  <wp:posOffset>3108960</wp:posOffset>
                </wp:positionH>
                <wp:positionV relativeFrom="paragraph">
                  <wp:posOffset>3429000</wp:posOffset>
                </wp:positionV>
                <wp:extent cx="1495425" cy="273685"/>
                <wp:effectExtent l="0" t="0" r="28575" b="12065"/>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273685"/>
                        </a:xfrm>
                        <a:prstGeom prst="rect">
                          <a:avLst/>
                        </a:prstGeom>
                        <a:solidFill>
                          <a:srgbClr val="FFFFFF"/>
                        </a:solidFill>
                        <a:ln w="9525">
                          <a:solidFill>
                            <a:srgbClr val="000000"/>
                          </a:solidFill>
                          <a:miter lim="800000"/>
                          <a:headEnd/>
                          <a:tailEnd/>
                        </a:ln>
                      </wps:spPr>
                      <wps:txbx>
                        <w:txbxContent>
                          <w:p w14:paraId="1AD644C1" w14:textId="77777777" w:rsidR="0070304B" w:rsidRPr="008430C2" w:rsidRDefault="0070304B" w:rsidP="00986F14">
                            <w:pPr>
                              <w:rPr>
                                <w:b/>
                                <w:sz w:val="20"/>
                                <w:szCs w:val="20"/>
                              </w:rPr>
                            </w:pPr>
                            <w:r w:rsidRPr="008430C2">
                              <w:rPr>
                                <w:rFonts w:cs="Arial"/>
                                <w:b/>
                                <w:sz w:val="20"/>
                                <w:szCs w:val="20"/>
                              </w:rPr>
                              <w:t>Parent-child relationships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584E04" id="Text Box 129" o:spid="_x0000_s1039" type="#_x0000_t202" style="position:absolute;margin-left:244.8pt;margin-top:270pt;width:117.75pt;height:21.5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">
                <v:textbox>
                  <w:txbxContent>
                    <w:p w14:paraId="1AD644C1" w14:textId="77777777" w:rsidR="0070304B" w:rsidRPr="008430C2" w:rsidRDefault="0070304B" w:rsidP="00986F14">
                      <w:pPr>
                        <w:rPr>
                          <w:b/>
                          <w:sz w:val="20"/>
                          <w:szCs w:val="20"/>
                        </w:rPr>
                      </w:pPr>
                      <w:r w:rsidRPr="008430C2">
                        <w:rPr>
                          <w:rFonts w:cs="Arial"/>
                          <w:b/>
                          <w:sz w:val="20"/>
                          <w:szCs w:val="20"/>
                        </w:rPr>
                        <w:t>Parent-child relationships</w:t>
                      </w:r>
                    </w:p>
                  </w:txbxContent>
                </v:textbox>
              </v:shape>
            </w:pict>
          </mc:Fallback>
        </mc:AlternateContent>
      </w:r>
      <w:r w:rsidR="00986F14">
        <w:rPr>
          <w:noProof/>
          <w:lang w:eastAsia="en-AU"/>
        </w:rPr>
        <mc:AlternateContent>
          <mc:Choice Requires="wps">
            <w:drawing>
              <wp:anchor distT="0" distB="0" distL="114300" distR="114300" simplePos="0" relativeHeight="251731968" behindDoc="0" locked="0" layoutInCell="1" allowOverlap="1" wp14:anchorId="77732BE6" wp14:editId="286F96C3">
                <wp:simplePos x="0" y="0"/>
                <wp:positionH relativeFrom="column">
                  <wp:posOffset>3108960</wp:posOffset>
                </wp:positionH>
                <wp:positionV relativeFrom="paragraph">
                  <wp:posOffset>5789930</wp:posOffset>
                </wp:positionV>
                <wp:extent cx="1495425" cy="881380"/>
                <wp:effectExtent l="0" t="0" r="28575" b="13970"/>
                <wp:wrapNone/>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5425" cy="881380"/>
                        </a:xfrm>
                        <a:prstGeom prst="rect">
                          <a:avLst/>
                        </a:prstGeom>
                        <a:solidFill>
                          <a:srgbClr val="FFFFFF"/>
                        </a:solidFill>
                        <a:ln w="9525">
                          <a:solidFill>
                            <a:srgbClr val="000000"/>
                          </a:solidFill>
                          <a:miter lim="800000"/>
                          <a:headEnd/>
                          <a:tailEnd/>
                        </a:ln>
                      </wps:spPr>
                      <wps:txbx>
                        <w:txbxContent>
                          <w:p w14:paraId="26488E26" w14:textId="77777777" w:rsidR="0070304B" w:rsidRPr="008430C2" w:rsidRDefault="0070304B" w:rsidP="00986F14">
                            <w:pPr>
                              <w:autoSpaceDE w:val="0"/>
                              <w:autoSpaceDN w:val="0"/>
                              <w:adjustRightInd w:val="0"/>
                              <w:rPr>
                                <w:sz w:val="20"/>
                                <w:szCs w:val="20"/>
                              </w:rPr>
                            </w:pPr>
                            <w:r w:rsidRPr="008430C2">
                              <w:rPr>
                                <w:rFonts w:cs="Arial"/>
                                <w:b/>
                                <w:sz w:val="20"/>
                                <w:szCs w:val="20"/>
                              </w:rPr>
                              <w:t>Relatives through blood, marriage, or cultural, ethnic or religious beliefs</w:t>
                            </w:r>
                            <w:r w:rsidRPr="008430C2">
                              <w:rPr>
                                <w:rFonts w:cs="Arial"/>
                                <w:sz w:val="20"/>
                                <w:szCs w:val="20"/>
                              </w:rPr>
                              <w:t xml:space="preserve"> (including kinship relationships)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732BE6" id="Text Box 130" o:spid="_x0000_s1040" type="#_x0000_t202" style="position:absolute;margin-left:244.8pt;margin-top:455.9pt;width:117.75pt;height:69.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">
                <v:textbox>
                  <w:txbxContent>
                    <w:p w14:paraId="26488E26" w14:textId="77777777" w:rsidR="0070304B" w:rsidRPr="008430C2" w:rsidRDefault="0070304B" w:rsidP="00986F14">
                      <w:pPr>
                        <w:autoSpaceDE w:val="0"/>
                        <w:autoSpaceDN w:val="0"/>
                        <w:adjustRightInd w:val="0"/>
                        <w:rPr>
                          <w:sz w:val="20"/>
                          <w:szCs w:val="20"/>
                        </w:rPr>
                      </w:pPr>
                      <w:r w:rsidRPr="008430C2">
                        <w:rPr>
                          <w:rFonts w:cs="Arial"/>
                          <w:b/>
                          <w:sz w:val="20"/>
                          <w:szCs w:val="20"/>
                        </w:rPr>
                        <w:t>Relatives through blood, marriage, or cultural, ethnic or religious beliefs</w:t>
                      </w:r>
                      <w:r w:rsidRPr="008430C2">
                        <w:rPr>
                          <w:rFonts w:cs="Arial"/>
                          <w:sz w:val="20"/>
                          <w:szCs w:val="20"/>
                        </w:rPr>
                        <w:t xml:space="preserve"> (including kinship relationships)</w:t>
                      </w:r>
                    </w:p>
                  </w:txbxContent>
                </v:textbox>
              </v:shape>
            </w:pict>
          </mc:Fallback>
        </mc:AlternateContent>
      </w:r>
    </w:p>
    <w:p w14:paraId="4C815CFE" w14:textId="717B7DA9" w:rsidR="00E61C26" w:rsidRPr="00910CCE" w:rsidRDefault="00596539" w:rsidP="00986F14">
      <w:pPr>
        <w:spacing w:after="160" w:line="259" w:lineRule="auto"/>
      </w:pPr>
      <w:r>
        <w:rPr>
          <w:noProof/>
          <w:lang w:eastAsia="en-AU"/>
        </w:rPr>
        <mc:AlternateContent>
          <mc:Choice Requires="wps">
            <w:drawing>
              <wp:anchor distT="0" distB="0" distL="114300" distR="114300" simplePos="0" relativeHeight="251764736" behindDoc="0" locked="0" layoutInCell="1" allowOverlap="1" wp14:anchorId="25A0D4AB" wp14:editId="69C99D3C">
                <wp:simplePos x="0" y="0"/>
                <wp:positionH relativeFrom="column">
                  <wp:posOffset>3215640</wp:posOffset>
                </wp:positionH>
                <wp:positionV relativeFrom="paragraph">
                  <wp:posOffset>191135</wp:posOffset>
                </wp:positionV>
                <wp:extent cx="0" cy="1030605"/>
                <wp:effectExtent l="5080" t="5080" r="13970" b="12065"/>
                <wp:wrapNone/>
                <wp:docPr id="98" name="Straight Arrow Connector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030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E87E56" id="Straight Arrow Connector 98" o:spid="_x0000_s1026" type="#_x0000_t32" style="position:absolute;margin-left:253.2pt;margin-top:15.05pt;width:0;height:81.15pt;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"/>
            </w:pict>
          </mc:Fallback>
        </mc:AlternateContent>
      </w:r>
      <w:r>
        <w:rPr>
          <w:noProof/>
          <w:lang w:eastAsia="en-AU"/>
        </w:rPr>
        <mc:AlternateContent>
          <mc:Choice Requires="wps">
            <w:drawing>
              <wp:anchor distT="0" distB="0" distL="114300" distR="114300" simplePos="0" relativeHeight="251765760" behindDoc="0" locked="0" layoutInCell="1" allowOverlap="1" wp14:anchorId="7DDBEC9D" wp14:editId="0916312D">
                <wp:simplePos x="0" y="0"/>
                <wp:positionH relativeFrom="column">
                  <wp:posOffset>2548255</wp:posOffset>
                </wp:positionH>
                <wp:positionV relativeFrom="paragraph">
                  <wp:posOffset>191135</wp:posOffset>
                </wp:positionV>
                <wp:extent cx="667385" cy="0"/>
                <wp:effectExtent l="23495" t="52705" r="13970" b="61595"/>
                <wp:wrapNone/>
                <wp:docPr id="97" name="Straight Arrow Connector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73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B840A4" id="Straight Arrow Connector 97" o:spid="_x0000_s1026" type="#_x0000_t32" style="position:absolute;margin-left:200.65pt;margin-top:15.05pt;width:52.55pt;height:0;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">
                <v:stroke endarrow="block"/>
              </v:shape>
            </w:pict>
          </mc:Fallback>
        </mc:AlternateContent>
      </w:r>
      <w:r>
        <w:rPr>
          <w:noProof/>
          <w:lang w:eastAsia="en-AU"/>
        </w:rPr>
        <mc:AlternateContent>
          <mc:Choice Requires="wps">
            <w:drawing>
              <wp:anchor distT="0" distB="0" distL="114300" distR="114300" simplePos="0" relativeHeight="251780096" behindDoc="0" locked="0" layoutInCell="1" allowOverlap="1" wp14:anchorId="18BD3930" wp14:editId="04E35F42">
                <wp:simplePos x="0" y="0"/>
                <wp:positionH relativeFrom="column">
                  <wp:posOffset>1537335</wp:posOffset>
                </wp:positionH>
                <wp:positionV relativeFrom="paragraph">
                  <wp:posOffset>983615</wp:posOffset>
                </wp:positionV>
                <wp:extent cx="0" cy="171450"/>
                <wp:effectExtent l="6985" t="6985" r="12065" b="12065"/>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14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501AB4" id="Straight Arrow Connector 63" o:spid="_x0000_s1026" type="#_x0000_t32" style="position:absolute;margin-left:121.05pt;margin-top:77.45pt;width:0;height:13.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"/>
            </w:pict>
          </mc:Fallback>
        </mc:AlternateContent>
      </w:r>
      <w:r>
        <w:rPr>
          <w:noProof/>
          <w:lang w:eastAsia="en-AU"/>
        </w:rPr>
        <mc:AlternateContent>
          <mc:Choice Requires="wps">
            <w:drawing>
              <wp:anchor distT="0" distB="0" distL="114300" distR="114300" simplePos="0" relativeHeight="251756544" behindDoc="0" locked="0" layoutInCell="1" allowOverlap="1" wp14:anchorId="677E13B4" wp14:editId="2FDD2371">
                <wp:simplePos x="0" y="0"/>
                <wp:positionH relativeFrom="column">
                  <wp:posOffset>1536700</wp:posOffset>
                </wp:positionH>
                <wp:positionV relativeFrom="paragraph">
                  <wp:posOffset>2353945</wp:posOffset>
                </wp:positionV>
                <wp:extent cx="0" cy="224790"/>
                <wp:effectExtent l="6985" t="5715" r="12065" b="7620"/>
                <wp:wrapNone/>
                <wp:docPr id="108" name="Straight Arrow Connector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479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004088" id="Straight Arrow Connector 108" o:spid="_x0000_s1026" type="#_x0000_t32" style="position:absolute;margin-left:121pt;margin-top:185.35pt;width:0;height:17.7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">
                <v:stroke dashstyle="dash"/>
              </v:shape>
            </w:pict>
          </mc:Fallback>
        </mc:AlternateContent>
      </w:r>
      <w:r>
        <w:rPr>
          <w:noProof/>
          <w:lang w:eastAsia="en-AU"/>
        </w:rPr>
        <mc:AlternateContent>
          <mc:Choice Requires="wps">
            <w:drawing>
              <wp:anchor distT="0" distB="0" distL="114300" distR="114300" simplePos="0" relativeHeight="251758592" behindDoc="0" locked="0" layoutInCell="1" allowOverlap="1" wp14:anchorId="0822A0F1" wp14:editId="07DED267">
                <wp:simplePos x="0" y="0"/>
                <wp:positionH relativeFrom="column">
                  <wp:posOffset>1544955</wp:posOffset>
                </wp:positionH>
                <wp:positionV relativeFrom="paragraph">
                  <wp:posOffset>3695065</wp:posOffset>
                </wp:positionV>
                <wp:extent cx="0" cy="182880"/>
                <wp:effectExtent l="6985" t="13335" r="12065" b="13335"/>
                <wp:wrapNone/>
                <wp:docPr id="106" name="Straight Arrow Connector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D06C59" id="Straight Arrow Connector 106" o:spid="_x0000_s1026" type="#_x0000_t32" style="position:absolute;margin-left:121.65pt;margin-top:290.95pt;width:0;height:14.4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">
                <v:stroke dashstyle="dash"/>
              </v:shape>
            </w:pict>
          </mc:Fallback>
        </mc:AlternateContent>
      </w:r>
      <w:r>
        <w:rPr>
          <w:noProof/>
          <w:lang w:eastAsia="en-AU"/>
        </w:rPr>
        <mc:AlternateContent>
          <mc:Choice Requires="wps">
            <w:drawing>
              <wp:anchor distT="0" distB="0" distL="114300" distR="114300" simplePos="0" relativeHeight="251757568" behindDoc="0" locked="0" layoutInCell="1" allowOverlap="1" wp14:anchorId="0F9DBA05" wp14:editId="58234012">
                <wp:simplePos x="0" y="0"/>
                <wp:positionH relativeFrom="column">
                  <wp:posOffset>1532890</wp:posOffset>
                </wp:positionH>
                <wp:positionV relativeFrom="paragraph">
                  <wp:posOffset>4551680</wp:posOffset>
                </wp:positionV>
                <wp:extent cx="0" cy="186055"/>
                <wp:effectExtent l="10160" t="12700" r="8890" b="10795"/>
                <wp:wrapNone/>
                <wp:docPr id="107" name="Straight Arrow Connector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605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F5B7C9" id="Straight Arrow Connector 107" o:spid="_x0000_s1026" type="#_x0000_t32" style="position:absolute;margin-left:120.7pt;margin-top:358.4pt;width:0;height:14.6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">
                <v:stroke dashstyle="dash"/>
              </v:shape>
            </w:pict>
          </mc:Fallback>
        </mc:AlternateContent>
      </w:r>
      <w:r>
        <w:rPr>
          <w:noProof/>
          <w:lang w:eastAsia="en-AU"/>
        </w:rPr>
        <mc:AlternateContent>
          <mc:Choice Requires="wps">
            <w:drawing>
              <wp:anchor distT="0" distB="0" distL="114300" distR="114300" simplePos="0" relativeHeight="251759616" behindDoc="0" locked="0" layoutInCell="1" allowOverlap="1" wp14:anchorId="7646772D" wp14:editId="00EC1A79">
                <wp:simplePos x="0" y="0"/>
                <wp:positionH relativeFrom="column">
                  <wp:posOffset>1510030</wp:posOffset>
                </wp:positionH>
                <wp:positionV relativeFrom="paragraph">
                  <wp:posOffset>5967095</wp:posOffset>
                </wp:positionV>
                <wp:extent cx="0" cy="208280"/>
                <wp:effectExtent l="10160" t="10795" r="8890" b="9525"/>
                <wp:wrapNone/>
                <wp:docPr id="105" name="Straight Arrow Connector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28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108DB5" id="Straight Arrow Connector 105" o:spid="_x0000_s1026" type="#_x0000_t32" style="position:absolute;margin-left:118.9pt;margin-top:469.85pt;width:0;height:16.4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">
                <v:stroke dashstyle="dash"/>
              </v:shape>
            </w:pict>
          </mc:Fallback>
        </mc:AlternateContent>
      </w:r>
      <w:r>
        <w:rPr>
          <w:noProof/>
          <w:lang w:eastAsia="en-AU"/>
        </w:rPr>
        <mc:AlternateContent>
          <mc:Choice Requires="wps">
            <w:drawing>
              <wp:anchor distT="0" distB="0" distL="114300" distR="114300" simplePos="0" relativeHeight="251760640" behindDoc="0" locked="0" layoutInCell="1" allowOverlap="1" wp14:anchorId="0F4FF17C" wp14:editId="31648C20">
                <wp:simplePos x="0" y="0"/>
                <wp:positionH relativeFrom="column">
                  <wp:posOffset>1517650</wp:posOffset>
                </wp:positionH>
                <wp:positionV relativeFrom="paragraph">
                  <wp:posOffset>6842760</wp:posOffset>
                </wp:positionV>
                <wp:extent cx="0" cy="182245"/>
                <wp:effectExtent l="10160" t="6985" r="8890" b="10795"/>
                <wp:wrapNone/>
                <wp:docPr id="104" name="Straight Arrow Connector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24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D7107F" id="Straight Arrow Connector 104" o:spid="_x0000_s1026" type="#_x0000_t32" style="position:absolute;margin-left:119.5pt;margin-top:538.8pt;width:0;height:14.3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">
                <v:stroke dashstyle="dash"/>
              </v:shape>
            </w:pict>
          </mc:Fallback>
        </mc:AlternateContent>
      </w:r>
      <w:r>
        <w:rPr>
          <w:noProof/>
          <w:lang w:eastAsia="en-AU"/>
        </w:rPr>
        <mc:AlternateContent>
          <mc:Choice Requires="wps">
            <w:drawing>
              <wp:anchor distT="0" distB="0" distL="114300" distR="114300" simplePos="0" relativeHeight="251761664" behindDoc="0" locked="0" layoutInCell="1" allowOverlap="1" wp14:anchorId="484E58B0" wp14:editId="468B3C03">
                <wp:simplePos x="0" y="0"/>
                <wp:positionH relativeFrom="column">
                  <wp:posOffset>1532890</wp:posOffset>
                </wp:positionH>
                <wp:positionV relativeFrom="paragraph">
                  <wp:posOffset>7566025</wp:posOffset>
                </wp:positionV>
                <wp:extent cx="0" cy="208915"/>
                <wp:effectExtent l="10160" t="12065" r="8890" b="7620"/>
                <wp:wrapNone/>
                <wp:docPr id="103" name="Straight Arrow Connector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89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C6062A" id="Straight Arrow Connector 103" o:spid="_x0000_s1026" type="#_x0000_t32" style="position:absolute;margin-left:120.7pt;margin-top:595.75pt;width:0;height:16.4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">
                <v:stroke dashstyle="dash"/>
              </v:shape>
            </w:pict>
          </mc:Fallback>
        </mc:AlternateContent>
      </w:r>
      <w:r>
        <w:rPr>
          <w:noProof/>
          <w:lang w:eastAsia="en-AU"/>
        </w:rPr>
        <mc:AlternateContent>
          <mc:Choice Requires="wps">
            <w:drawing>
              <wp:anchor distT="0" distB="0" distL="114300" distR="114300" simplePos="0" relativeHeight="251779072" behindDoc="0" locked="0" layoutInCell="1" allowOverlap="1" wp14:anchorId="19667680" wp14:editId="6CCDEF11">
                <wp:simplePos x="0" y="0"/>
                <wp:positionH relativeFrom="column">
                  <wp:posOffset>-88900</wp:posOffset>
                </wp:positionH>
                <wp:positionV relativeFrom="paragraph">
                  <wp:posOffset>6414770</wp:posOffset>
                </wp:positionV>
                <wp:extent cx="0" cy="1878965"/>
                <wp:effectExtent l="60325" t="6985" r="53975" b="19050"/>
                <wp:wrapNone/>
                <wp:docPr id="82" name="Straight Arrow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89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B0557C" id="Straight Arrow Connector 82" o:spid="_x0000_s1026" type="#_x0000_t32" style="position:absolute;margin-left:-7pt;margin-top:505.1pt;width:0;height:147.9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">
                <v:stroke endarrow="block"/>
              </v:shape>
            </w:pict>
          </mc:Fallback>
        </mc:AlternateContent>
      </w:r>
      <w:r>
        <w:rPr>
          <w:noProof/>
          <w:lang w:eastAsia="en-AU"/>
        </w:rPr>
        <mc:AlternateContent>
          <mc:Choice Requires="wps">
            <w:drawing>
              <wp:anchor distT="0" distB="0" distL="114300" distR="114300" simplePos="0" relativeHeight="251778048" behindDoc="0" locked="0" layoutInCell="1" allowOverlap="1" wp14:anchorId="54195055" wp14:editId="2931E540">
                <wp:simplePos x="0" y="0"/>
                <wp:positionH relativeFrom="leftMargin">
                  <wp:align>right</wp:align>
                </wp:positionH>
                <wp:positionV relativeFrom="paragraph">
                  <wp:posOffset>116840</wp:posOffset>
                </wp:positionV>
                <wp:extent cx="8255" cy="1687195"/>
                <wp:effectExtent l="38100" t="38100" r="67945" b="27305"/>
                <wp:wrapNone/>
                <wp:docPr id="83" name="Straight Arrow Connector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255" cy="16871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5830D8" id="Straight Arrow Connector 83" o:spid="_x0000_s1026" type="#_x0000_t32" style="position:absolute;margin-left:-50.55pt;margin-top:9.2pt;width:.65pt;height:132.85pt;flip:y;z-index:25177804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">
                <v:stroke endarrow="block"/>
                <w10:wrap anchorx="margin"/>
              </v:shape>
            </w:pict>
          </mc:Fallback>
        </mc:AlternateContent>
      </w:r>
      <w:r w:rsidR="006B7B03">
        <w:rPr>
          <w:noProof/>
          <w:lang w:eastAsia="en-AU"/>
        </w:rPr>
        <mc:AlternateContent>
          <mc:Choice Requires="wps">
            <w:drawing>
              <wp:anchor distT="0" distB="0" distL="114300" distR="114300" simplePos="0" relativeHeight="251727872" behindDoc="0" locked="0" layoutInCell="1" allowOverlap="1" wp14:anchorId="6B7D4AD0" wp14:editId="1D9DE28D">
                <wp:simplePos x="0" y="0"/>
                <wp:positionH relativeFrom="column">
                  <wp:posOffset>326390</wp:posOffset>
                </wp:positionH>
                <wp:positionV relativeFrom="paragraph">
                  <wp:posOffset>7791450</wp:posOffset>
                </wp:positionV>
                <wp:extent cx="2428875" cy="673100"/>
                <wp:effectExtent l="0" t="0" r="28575" b="12700"/>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673100"/>
                        </a:xfrm>
                        <a:prstGeom prst="rect">
                          <a:avLst/>
                        </a:prstGeom>
                        <a:solidFill>
                          <a:srgbClr val="FFFFFF"/>
                        </a:solidFill>
                        <a:ln w="9525">
                          <a:solidFill>
                            <a:srgbClr val="000000"/>
                          </a:solidFill>
                          <a:miter lim="800000"/>
                          <a:headEnd/>
                          <a:tailEnd/>
                        </a:ln>
                      </wps:spPr>
                      <wps:txbx>
                        <w:txbxContent>
                          <w:p w14:paraId="40A56765" w14:textId="77777777" w:rsidR="0070304B" w:rsidRPr="00FA385D" w:rsidRDefault="0070304B" w:rsidP="00986F14">
                            <w:pPr>
                              <w:rPr>
                                <w:sz w:val="18"/>
                                <w:szCs w:val="18"/>
                              </w:rPr>
                            </w:pPr>
                            <w:r w:rsidRPr="00FA385D">
                              <w:rPr>
                                <w:b/>
                                <w:sz w:val="20"/>
                                <w:szCs w:val="20"/>
                              </w:rPr>
                              <w:t>Harassment or stalking</w:t>
                            </w:r>
                            <w:r w:rsidRPr="00FA385D">
                              <w:rPr>
                                <w:sz w:val="20"/>
                                <w:szCs w:val="20"/>
                              </w:rPr>
                              <w:t>—</w:t>
                            </w:r>
                            <w:r w:rsidRPr="00FA385D">
                              <w:rPr>
                                <w:sz w:val="18"/>
                                <w:szCs w:val="18"/>
                              </w:rPr>
                              <w:t>actual or threatened, such as constant phone calls to a workplace or home, or repeated visits to a workplace or home; and cyber-stalking.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7D4AD0" id="Text Box 131" o:spid="_x0000_s1041" type="#_x0000_t202" style="position:absolute;margin-left:25.7pt;margin-top:613.5pt;width:191.25pt;height:5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">
                <v:textbox>
                  <w:txbxContent>
                    <w:p w14:paraId="40A56765" w14:textId="77777777" w:rsidR="0070304B" w:rsidRPr="00FA385D" w:rsidRDefault="0070304B" w:rsidP="00986F14">
                      <w:pPr>
                        <w:rPr>
                          <w:sz w:val="18"/>
                          <w:szCs w:val="18"/>
                        </w:rPr>
                      </w:pPr>
                      <w:r w:rsidRPr="00FA385D">
                        <w:rPr>
                          <w:b/>
                          <w:sz w:val="20"/>
                          <w:szCs w:val="20"/>
                        </w:rPr>
                        <w:t>Harassment or stalking</w:t>
                      </w:r>
                      <w:r w:rsidRPr="00FA385D">
                        <w:rPr>
                          <w:sz w:val="20"/>
                          <w:szCs w:val="20"/>
                        </w:rPr>
                        <w:t>—</w:t>
                      </w:r>
                      <w:r w:rsidRPr="00FA385D">
                        <w:rPr>
                          <w:sz w:val="18"/>
                          <w:szCs w:val="18"/>
                        </w:rPr>
                        <w:t>actual or threatened, such as constant phone calls to a workplace or home, or repeated visits to a workplace or home; and cyber-stalking.</w:t>
                      </w:r>
                    </w:p>
                  </w:txbxContent>
                </v:textbox>
              </v:shape>
            </w:pict>
          </mc:Fallback>
        </mc:AlternateContent>
      </w:r>
      <w:r w:rsidR="006B7B03">
        <w:rPr>
          <w:noProof/>
          <w:lang w:eastAsia="en-AU"/>
        </w:rPr>
        <mc:AlternateContent>
          <mc:Choice Requires="wps">
            <w:drawing>
              <wp:anchor distT="0" distB="0" distL="114300" distR="114300" simplePos="0" relativeHeight="251736064" behindDoc="0" locked="0" layoutInCell="1" allowOverlap="1" wp14:anchorId="1EEA3FF5" wp14:editId="3912E110">
                <wp:simplePos x="0" y="0"/>
                <wp:positionH relativeFrom="column">
                  <wp:posOffset>326390</wp:posOffset>
                </wp:positionH>
                <wp:positionV relativeFrom="paragraph">
                  <wp:posOffset>7025640</wp:posOffset>
                </wp:positionV>
                <wp:extent cx="2423160" cy="556260"/>
                <wp:effectExtent l="0" t="0" r="15240" b="15240"/>
                <wp:wrapNone/>
                <wp:docPr id="13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160" cy="556260"/>
                        </a:xfrm>
                        <a:prstGeom prst="rect">
                          <a:avLst/>
                        </a:prstGeom>
                        <a:solidFill>
                          <a:srgbClr val="FFFFFF"/>
                        </a:solidFill>
                        <a:ln w="9525">
                          <a:solidFill>
                            <a:srgbClr val="000000"/>
                          </a:solidFill>
                          <a:miter lim="800000"/>
                          <a:headEnd/>
                          <a:tailEnd/>
                        </a:ln>
                      </wps:spPr>
                      <wps:txbx>
                        <w:txbxContent>
                          <w:p w14:paraId="510D3B90" w14:textId="77777777" w:rsidR="0070304B" w:rsidRPr="00FA385D" w:rsidRDefault="0070304B" w:rsidP="00986F14">
                            <w:pPr>
                              <w:rPr>
                                <w:sz w:val="18"/>
                                <w:szCs w:val="18"/>
                              </w:rPr>
                            </w:pPr>
                            <w:r w:rsidRPr="00FA385D">
                              <w:rPr>
                                <w:b/>
                                <w:sz w:val="20"/>
                                <w:szCs w:val="20"/>
                              </w:rPr>
                              <w:t>Property damage</w:t>
                            </w:r>
                            <w:r w:rsidRPr="00FA385D">
                              <w:rPr>
                                <w:sz w:val="20"/>
                                <w:szCs w:val="20"/>
                              </w:rPr>
                              <w:t>—</w:t>
                            </w:r>
                            <w:r w:rsidRPr="00FA385D">
                              <w:rPr>
                                <w:sz w:val="18"/>
                                <w:szCs w:val="18"/>
                              </w:rPr>
                              <w:t>actual or threatened, including damage to a person's personal property and violence towards pets;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EA3FF5" id="Text Box 132" o:spid="_x0000_s1042" type="#_x0000_t202" style="position:absolute;margin-left:25.7pt;margin-top:553.2pt;width:190.8pt;height:43.8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">
                <v:textbox>
                  <w:txbxContent>
                    <w:p w14:paraId="510D3B90" w14:textId="77777777" w:rsidR="0070304B" w:rsidRPr="00FA385D" w:rsidRDefault="0070304B" w:rsidP="00986F14">
                      <w:pPr>
                        <w:rPr>
                          <w:sz w:val="18"/>
                          <w:szCs w:val="18"/>
                        </w:rPr>
                      </w:pPr>
                      <w:r w:rsidRPr="00FA385D">
                        <w:rPr>
                          <w:b/>
                          <w:sz w:val="20"/>
                          <w:szCs w:val="20"/>
                        </w:rPr>
                        <w:t>Property damage</w:t>
                      </w:r>
                      <w:r w:rsidRPr="00FA385D">
                        <w:rPr>
                          <w:sz w:val="20"/>
                          <w:szCs w:val="20"/>
                        </w:rPr>
                        <w:t>—</w:t>
                      </w:r>
                      <w:r w:rsidRPr="00FA385D">
                        <w:rPr>
                          <w:sz w:val="18"/>
                          <w:szCs w:val="18"/>
                        </w:rPr>
                        <w:t>actual or threatened, including damage to a person's personal property and violence towards pets;</w:t>
                      </w:r>
                    </w:p>
                  </w:txbxContent>
                </v:textbox>
              </v:shape>
            </w:pict>
          </mc:Fallback>
        </mc:AlternateContent>
      </w:r>
      <w:r w:rsidR="006B7B03">
        <w:rPr>
          <w:noProof/>
          <w:lang w:eastAsia="en-AU"/>
        </w:rPr>
        <mc:AlternateContent>
          <mc:Choice Requires="wps">
            <w:drawing>
              <wp:anchor distT="0" distB="0" distL="114300" distR="114300" simplePos="0" relativeHeight="251737088" behindDoc="0" locked="0" layoutInCell="1" allowOverlap="1" wp14:anchorId="0A14CFA9" wp14:editId="6B19F22E">
                <wp:simplePos x="0" y="0"/>
                <wp:positionH relativeFrom="column">
                  <wp:posOffset>326390</wp:posOffset>
                </wp:positionH>
                <wp:positionV relativeFrom="paragraph">
                  <wp:posOffset>6164580</wp:posOffset>
                </wp:positionV>
                <wp:extent cx="2421255" cy="673735"/>
                <wp:effectExtent l="0" t="0" r="17145" b="12065"/>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1255" cy="673735"/>
                        </a:xfrm>
                        <a:prstGeom prst="rect">
                          <a:avLst/>
                        </a:prstGeom>
                        <a:solidFill>
                          <a:srgbClr val="FFFFFF"/>
                        </a:solidFill>
                        <a:ln w="9525">
                          <a:solidFill>
                            <a:srgbClr val="000000"/>
                          </a:solidFill>
                          <a:miter lim="800000"/>
                          <a:headEnd/>
                          <a:tailEnd/>
                        </a:ln>
                      </wps:spPr>
                      <wps:txbx>
                        <w:txbxContent>
                          <w:p w14:paraId="029E1308" w14:textId="77777777" w:rsidR="0070304B" w:rsidRDefault="0070304B" w:rsidP="00986F14">
                            <w:r w:rsidRPr="005F0B00">
                              <w:rPr>
                                <w:b/>
                                <w:sz w:val="20"/>
                                <w:szCs w:val="20"/>
                              </w:rPr>
                              <w:t>Social abuse</w:t>
                            </w:r>
                            <w:r w:rsidRPr="005F0B00">
                              <w:rPr>
                                <w:sz w:val="18"/>
                                <w:szCs w:val="18"/>
                              </w:rPr>
                              <w:t>—actual or threatened, through forced isolation from family or friends; control of all social activity;</w:t>
                            </w:r>
                            <w:r w:rsidRPr="005F0B00">
                              <w:t xml:space="preserve"> </w:t>
                            </w:r>
                            <w:r w:rsidRPr="005F0B00">
                              <w:rPr>
                                <w:sz w:val="18"/>
                                <w:szCs w:val="18"/>
                              </w:rPr>
                              <w:t>deprivation of liberty; and deliberate creation of unreasonable dependence;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14CFA9" id="Text Box 133" o:spid="_x0000_s1043" type="#_x0000_t202" style="position:absolute;margin-left:25.7pt;margin-top:485.4pt;width:190.65pt;height:53.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">
                <v:textbox>
                  <w:txbxContent>
                    <w:p w14:paraId="029E1308" w14:textId="77777777" w:rsidR="0070304B" w:rsidRDefault="0070304B" w:rsidP="00986F14">
                      <w:r w:rsidRPr="005F0B00">
                        <w:rPr>
                          <w:b/>
                          <w:sz w:val="20"/>
                          <w:szCs w:val="20"/>
                        </w:rPr>
                        <w:t>Social abuse</w:t>
                      </w:r>
                      <w:r w:rsidRPr="005F0B00">
                        <w:rPr>
                          <w:sz w:val="18"/>
                          <w:szCs w:val="18"/>
                        </w:rPr>
                        <w:t>—actual or threatened, through forced isolation from family or friends; control of all social activity;</w:t>
                      </w:r>
                      <w:r w:rsidRPr="005F0B00">
                        <w:t xml:space="preserve"> </w:t>
                      </w:r>
                      <w:r w:rsidRPr="005F0B00">
                        <w:rPr>
                          <w:sz w:val="18"/>
                          <w:szCs w:val="18"/>
                        </w:rPr>
                        <w:t>deprivation of liberty; and deliberate creation of unreasonable dependence;</w:t>
                      </w:r>
                    </w:p>
                  </w:txbxContent>
                </v:textbox>
              </v:shape>
            </w:pict>
          </mc:Fallback>
        </mc:AlternateContent>
      </w:r>
      <w:r w:rsidR="006B7B03">
        <w:rPr>
          <w:noProof/>
          <w:lang w:eastAsia="en-AU"/>
        </w:rPr>
        <mc:AlternateContent>
          <mc:Choice Requires="wps">
            <w:drawing>
              <wp:anchor distT="0" distB="0" distL="114300" distR="114300" simplePos="0" relativeHeight="251723776" behindDoc="0" locked="0" layoutInCell="1" allowOverlap="1" wp14:anchorId="54A75636" wp14:editId="4E93C7A9">
                <wp:simplePos x="0" y="0"/>
                <wp:positionH relativeFrom="column">
                  <wp:posOffset>334010</wp:posOffset>
                </wp:positionH>
                <wp:positionV relativeFrom="paragraph">
                  <wp:posOffset>4739640</wp:posOffset>
                </wp:positionV>
                <wp:extent cx="2431415" cy="1221740"/>
                <wp:effectExtent l="0" t="0" r="26035" b="1651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1415" cy="1221740"/>
                        </a:xfrm>
                        <a:prstGeom prst="rect">
                          <a:avLst/>
                        </a:prstGeom>
                        <a:solidFill>
                          <a:srgbClr val="FFFFFF"/>
                        </a:solidFill>
                        <a:ln w="9525">
                          <a:solidFill>
                            <a:srgbClr val="000000"/>
                          </a:solidFill>
                          <a:miter lim="800000"/>
                          <a:headEnd/>
                          <a:tailEnd/>
                        </a:ln>
                      </wps:spPr>
                      <wps:txbx>
                        <w:txbxContent>
                          <w:p w14:paraId="6BEC173E" w14:textId="77777777" w:rsidR="0070304B" w:rsidRPr="005F0B00" w:rsidRDefault="0070304B" w:rsidP="00986F14">
                            <w:pPr>
                              <w:rPr>
                                <w:sz w:val="18"/>
                                <w:szCs w:val="18"/>
                              </w:rPr>
                            </w:pPr>
                            <w:r w:rsidRPr="005F0B00">
                              <w:rPr>
                                <w:b/>
                                <w:sz w:val="20"/>
                                <w:szCs w:val="20"/>
                              </w:rPr>
                              <w:t>Economic abuse</w:t>
                            </w:r>
                            <w:r w:rsidRPr="005F0B00">
                              <w:rPr>
                                <w:sz w:val="18"/>
                                <w:szCs w:val="18"/>
                              </w:rPr>
                              <w:t>—actual or threatened, including deprivation of basic necessities; seizure of income or assets; withholding or controlling against a person's will their access to money, food, clothes and personal items such as car keys or bankbook; unreasonable denial of the means necessary for participation in social life; and coercion;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A75636" id="Text Box 134" o:spid="_x0000_s1044" type="#_x0000_t202" style="position:absolute;margin-left:26.3pt;margin-top:373.2pt;width:191.45pt;height:96.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">
                <v:textbox>
                  <w:txbxContent>
                    <w:p w14:paraId="6BEC173E" w14:textId="77777777" w:rsidR="0070304B" w:rsidRPr="005F0B00" w:rsidRDefault="0070304B" w:rsidP="00986F14">
                      <w:pPr>
                        <w:rPr>
                          <w:sz w:val="18"/>
                          <w:szCs w:val="18"/>
                        </w:rPr>
                      </w:pPr>
                      <w:r w:rsidRPr="005F0B00">
                        <w:rPr>
                          <w:b/>
                          <w:sz w:val="20"/>
                          <w:szCs w:val="20"/>
                        </w:rPr>
                        <w:t>Economic abuse</w:t>
                      </w:r>
                      <w:r w:rsidRPr="005F0B00">
                        <w:rPr>
                          <w:sz w:val="18"/>
                          <w:szCs w:val="18"/>
                        </w:rPr>
                        <w:t>—actual or threatened, including deprivation of basic necessities; seizure of income or assets; withholding or controlling against a person's will their access to money, food, clothes and personal items such as car keys or bankbook; unreasonable denial of the means necessary for participation in social life; and coercion;</w:t>
                      </w:r>
                    </w:p>
                  </w:txbxContent>
                </v:textbox>
              </v:shape>
            </w:pict>
          </mc:Fallback>
        </mc:AlternateContent>
      </w:r>
      <w:r w:rsidR="006B7B03">
        <w:rPr>
          <w:noProof/>
          <w:lang w:eastAsia="en-AU"/>
        </w:rPr>
        <mc:AlternateContent>
          <mc:Choice Requires="wps">
            <w:drawing>
              <wp:anchor distT="0" distB="0" distL="114300" distR="114300" simplePos="0" relativeHeight="251734016" behindDoc="0" locked="0" layoutInCell="1" allowOverlap="1" wp14:anchorId="37ED9DDC" wp14:editId="7B73BE45">
                <wp:simplePos x="0" y="0"/>
                <wp:positionH relativeFrom="column">
                  <wp:posOffset>326390</wp:posOffset>
                </wp:positionH>
                <wp:positionV relativeFrom="paragraph">
                  <wp:posOffset>3878580</wp:posOffset>
                </wp:positionV>
                <wp:extent cx="2446655" cy="683260"/>
                <wp:effectExtent l="0" t="0" r="10795" b="21590"/>
                <wp:wrapNone/>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683260"/>
                        </a:xfrm>
                        <a:prstGeom prst="rect">
                          <a:avLst/>
                        </a:prstGeom>
                        <a:solidFill>
                          <a:srgbClr val="FFFFFF"/>
                        </a:solidFill>
                        <a:ln w="9525">
                          <a:solidFill>
                            <a:srgbClr val="000000"/>
                          </a:solidFill>
                          <a:miter lim="800000"/>
                          <a:headEnd/>
                          <a:tailEnd/>
                        </a:ln>
                      </wps:spPr>
                      <wps:txbx>
                        <w:txbxContent>
                          <w:p w14:paraId="7193BD87" w14:textId="77777777" w:rsidR="0070304B" w:rsidRPr="005F0B00" w:rsidRDefault="0070304B" w:rsidP="00986F14">
                            <w:pPr>
                              <w:rPr>
                                <w:sz w:val="18"/>
                                <w:szCs w:val="18"/>
                              </w:rPr>
                            </w:pPr>
                            <w:r w:rsidRPr="005F0B00">
                              <w:rPr>
                                <w:b/>
                                <w:sz w:val="20"/>
                                <w:szCs w:val="20"/>
                              </w:rPr>
                              <w:t>Verbal abuse</w:t>
                            </w:r>
                            <w:r w:rsidRPr="005F0B00">
                              <w:rPr>
                                <w:sz w:val="18"/>
                                <w:szCs w:val="18"/>
                              </w:rPr>
                              <w:t>—actual or threatened, in private or in public, designed to humiliate, degrade, demean, intimidate, or subjugate, including the threat of physical violence;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ED9DDC" id="Text Box 135" o:spid="_x0000_s1045" type="#_x0000_t202" style="position:absolute;margin-left:25.7pt;margin-top:305.4pt;width:192.65pt;height:53.8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">
                <v:textbox>
                  <w:txbxContent>
                    <w:p w14:paraId="7193BD87" w14:textId="77777777" w:rsidR="0070304B" w:rsidRPr="005F0B00" w:rsidRDefault="0070304B" w:rsidP="00986F14">
                      <w:pPr>
                        <w:rPr>
                          <w:sz w:val="18"/>
                          <w:szCs w:val="18"/>
                        </w:rPr>
                      </w:pPr>
                      <w:r w:rsidRPr="005F0B00">
                        <w:rPr>
                          <w:b/>
                          <w:sz w:val="20"/>
                          <w:szCs w:val="20"/>
                        </w:rPr>
                        <w:t>Verbal abuse</w:t>
                      </w:r>
                      <w:r w:rsidRPr="005F0B00">
                        <w:rPr>
                          <w:sz w:val="18"/>
                          <w:szCs w:val="18"/>
                        </w:rPr>
                        <w:t>—actual or threatened, in private or in public, designed to humiliate, degrade, demean, intimidate, or subjugate, including the threat of physical violence;</w:t>
                      </w:r>
                    </w:p>
                  </w:txbxContent>
                </v:textbox>
              </v:shape>
            </w:pict>
          </mc:Fallback>
        </mc:AlternateContent>
      </w:r>
      <w:r w:rsidR="006B7B03">
        <w:rPr>
          <w:noProof/>
          <w:lang w:eastAsia="en-AU"/>
        </w:rPr>
        <mc:AlternateContent>
          <mc:Choice Requires="wps">
            <w:drawing>
              <wp:anchor distT="0" distB="0" distL="114300" distR="114300" simplePos="0" relativeHeight="251728896" behindDoc="0" locked="0" layoutInCell="1" allowOverlap="1" wp14:anchorId="406B26BB" wp14:editId="2C34AD53">
                <wp:simplePos x="0" y="0"/>
                <wp:positionH relativeFrom="column">
                  <wp:posOffset>329565</wp:posOffset>
                </wp:positionH>
                <wp:positionV relativeFrom="paragraph">
                  <wp:posOffset>2576830</wp:posOffset>
                </wp:positionV>
                <wp:extent cx="2447290" cy="1108710"/>
                <wp:effectExtent l="0" t="0" r="10160" b="15240"/>
                <wp:wrapNone/>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290" cy="1108710"/>
                        </a:xfrm>
                        <a:prstGeom prst="rect">
                          <a:avLst/>
                        </a:prstGeom>
                        <a:solidFill>
                          <a:srgbClr val="FFFFFF"/>
                        </a:solidFill>
                        <a:ln w="9525">
                          <a:solidFill>
                            <a:srgbClr val="000000"/>
                          </a:solidFill>
                          <a:miter lim="800000"/>
                          <a:headEnd/>
                          <a:tailEnd/>
                        </a:ln>
                      </wps:spPr>
                      <wps:txbx>
                        <w:txbxContent>
                          <w:p w14:paraId="24B895FD" w14:textId="77777777" w:rsidR="0070304B" w:rsidRPr="005F0B00" w:rsidRDefault="0070304B" w:rsidP="00986F14">
                            <w:r w:rsidRPr="005F0B00">
                              <w:rPr>
                                <w:b/>
                                <w:sz w:val="20"/>
                                <w:szCs w:val="20"/>
                              </w:rPr>
                              <w:t>Psychological or emotional abuse</w:t>
                            </w:r>
                            <w:r w:rsidRPr="0068121B">
                              <w:t>—</w:t>
                            </w:r>
                            <w:r w:rsidRPr="005F0B00">
                              <w:rPr>
                                <w:sz w:val="18"/>
                                <w:szCs w:val="18"/>
                              </w:rPr>
                              <w:t>actual or threatened, involving manipulative behaviour; unfairly blaming a person for adverse events or making them feel they are a problem; or constant comparisons with other people, which work to lower confidence and self-worth;</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6B26BB" id="Text Box 136" o:spid="_x0000_s1046" type="#_x0000_t202" style="position:absolute;margin-left:25.95pt;margin-top:202.9pt;width:192.7pt;height:87.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">
                <v:textbox>
                  <w:txbxContent>
                    <w:p w14:paraId="24B895FD" w14:textId="77777777" w:rsidR="0070304B" w:rsidRPr="005F0B00" w:rsidRDefault="0070304B" w:rsidP="00986F14">
                      <w:r w:rsidRPr="005F0B00">
                        <w:rPr>
                          <w:b/>
                          <w:sz w:val="20"/>
                          <w:szCs w:val="20"/>
                        </w:rPr>
                        <w:t>Psychological or emotional abuse</w:t>
                      </w:r>
                      <w:r w:rsidRPr="0068121B">
                        <w:t>—</w:t>
                      </w:r>
                      <w:r w:rsidRPr="005F0B00">
                        <w:rPr>
                          <w:sz w:val="18"/>
                          <w:szCs w:val="18"/>
                        </w:rPr>
                        <w:t>actual or threatened, involving manipulative behaviour; unfairly blaming a person for adverse events or making them feel they are a problem; or constant comparisons with other people, which work to lower confidence and self-worth;</w:t>
                      </w:r>
                    </w:p>
                  </w:txbxContent>
                </v:textbox>
              </v:shape>
            </w:pict>
          </mc:Fallback>
        </mc:AlternateContent>
      </w:r>
      <w:r w:rsidR="006B7B03">
        <w:rPr>
          <w:noProof/>
          <w:lang w:eastAsia="en-AU"/>
        </w:rPr>
        <mc:AlternateContent>
          <mc:Choice Requires="wps">
            <w:drawing>
              <wp:anchor distT="0" distB="0" distL="114300" distR="114300" simplePos="0" relativeHeight="251726848" behindDoc="0" locked="0" layoutInCell="1" allowOverlap="1" wp14:anchorId="10471965" wp14:editId="50873940">
                <wp:simplePos x="0" y="0"/>
                <wp:positionH relativeFrom="column">
                  <wp:posOffset>326390</wp:posOffset>
                </wp:positionH>
                <wp:positionV relativeFrom="paragraph">
                  <wp:posOffset>1155065</wp:posOffset>
                </wp:positionV>
                <wp:extent cx="2458085" cy="1196975"/>
                <wp:effectExtent l="0" t="0" r="18415" b="22225"/>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085" cy="1196975"/>
                        </a:xfrm>
                        <a:prstGeom prst="rect">
                          <a:avLst/>
                        </a:prstGeom>
                        <a:solidFill>
                          <a:srgbClr val="FFFFFF"/>
                        </a:solidFill>
                        <a:ln w="9525">
                          <a:solidFill>
                            <a:srgbClr val="000000"/>
                          </a:solidFill>
                          <a:miter lim="800000"/>
                          <a:headEnd/>
                          <a:tailEnd/>
                        </a:ln>
                      </wps:spPr>
                      <wps:txbx>
                        <w:txbxContent>
                          <w:p w14:paraId="4641C78F" w14:textId="77777777" w:rsidR="0070304B" w:rsidRPr="005F0B00" w:rsidRDefault="0070304B" w:rsidP="00986F14">
                            <w:pPr>
                              <w:autoSpaceDE w:val="0"/>
                              <w:autoSpaceDN w:val="0"/>
                              <w:adjustRightInd w:val="0"/>
                              <w:rPr>
                                <w:sz w:val="18"/>
                                <w:szCs w:val="18"/>
                              </w:rPr>
                            </w:pPr>
                            <w:r w:rsidRPr="005F0B00">
                              <w:rPr>
                                <w:rFonts w:cs="Arial"/>
                                <w:b/>
                                <w:iCs/>
                                <w:sz w:val="20"/>
                                <w:szCs w:val="20"/>
                              </w:rPr>
                              <w:t>Sexual abuse</w:t>
                            </w:r>
                            <w:r>
                              <w:rPr>
                                <w:rFonts w:cs="Arial"/>
                                <w:i/>
                                <w:iCs/>
                                <w:sz w:val="18"/>
                                <w:szCs w:val="18"/>
                              </w:rPr>
                              <w:t>—</w:t>
                            </w:r>
                            <w:r w:rsidRPr="005F0B00">
                              <w:rPr>
                                <w:rFonts w:cs="Arial"/>
                                <w:sz w:val="18"/>
                                <w:szCs w:val="18"/>
                              </w:rPr>
                              <w:t>actual or threatened, including sexual assault or sexual abuse of children; non-consensual sexual acts; forcing a person to have unsafe sex; forcing a person to take their clothes off or remain naked against their will; making a person pose for pornography; or forcing a person to watch pornography or sexual activities</w:t>
                            </w:r>
                            <w:r>
                              <w:rPr>
                                <w:rFonts w:cs="Arial"/>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471965" id="Text Box 137" o:spid="_x0000_s1047" type="#_x0000_t202" style="position:absolute;margin-left:25.7pt;margin-top:90.95pt;width:193.55pt;height:94.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">
                <v:textbox>
                  <w:txbxContent>
                    <w:p w14:paraId="4641C78F" w14:textId="77777777" w:rsidR="0070304B" w:rsidRPr="005F0B00" w:rsidRDefault="0070304B" w:rsidP="00986F14">
                      <w:pPr>
                        <w:autoSpaceDE w:val="0"/>
                        <w:autoSpaceDN w:val="0"/>
                        <w:adjustRightInd w:val="0"/>
                        <w:rPr>
                          <w:sz w:val="18"/>
                          <w:szCs w:val="18"/>
                        </w:rPr>
                      </w:pPr>
                      <w:r w:rsidRPr="005F0B00">
                        <w:rPr>
                          <w:rFonts w:cs="Arial"/>
                          <w:b/>
                          <w:iCs/>
                          <w:sz w:val="20"/>
                          <w:szCs w:val="20"/>
                        </w:rPr>
                        <w:t>Sexual abuse</w:t>
                      </w:r>
                      <w:r>
                        <w:rPr>
                          <w:rFonts w:cs="Arial"/>
                          <w:i/>
                          <w:iCs/>
                          <w:sz w:val="18"/>
                          <w:szCs w:val="18"/>
                        </w:rPr>
                        <w:t>—</w:t>
                      </w:r>
                      <w:r w:rsidRPr="005F0B00">
                        <w:rPr>
                          <w:rFonts w:cs="Arial"/>
                          <w:sz w:val="18"/>
                          <w:szCs w:val="18"/>
                        </w:rPr>
                        <w:t>actual or threatened, including sexual assault or sexual abuse of children; non-consensual sexual acts; forcing a person to have unsafe sex; forcing a person to take their clothes off or remain naked against their will; making a person pose for pornography; or forcing a person to watch pornography or sexual activities</w:t>
                      </w:r>
                      <w:r>
                        <w:rPr>
                          <w:rFonts w:cs="Arial"/>
                          <w:sz w:val="18"/>
                          <w:szCs w:val="18"/>
                        </w:rPr>
                        <w:t>;</w:t>
                      </w:r>
                    </w:p>
                  </w:txbxContent>
                </v:textbox>
              </v:shape>
            </w:pict>
          </mc:Fallback>
        </mc:AlternateContent>
      </w:r>
      <w:r w:rsidR="006B7B03">
        <w:rPr>
          <w:noProof/>
          <w:lang w:eastAsia="en-AU"/>
        </w:rPr>
        <mc:AlternateContent>
          <mc:Choice Requires="wps">
            <w:drawing>
              <wp:anchor distT="0" distB="0" distL="114300" distR="114300" simplePos="0" relativeHeight="251722752" behindDoc="0" locked="0" layoutInCell="1" allowOverlap="1" wp14:anchorId="0C6CB1BC" wp14:editId="73629654">
                <wp:simplePos x="0" y="0"/>
                <wp:positionH relativeFrom="column">
                  <wp:posOffset>329565</wp:posOffset>
                </wp:positionH>
                <wp:positionV relativeFrom="paragraph">
                  <wp:posOffset>334010</wp:posOffset>
                </wp:positionV>
                <wp:extent cx="2458085" cy="648335"/>
                <wp:effectExtent l="0" t="0" r="18415" b="18415"/>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085" cy="648335"/>
                        </a:xfrm>
                        <a:prstGeom prst="rect">
                          <a:avLst/>
                        </a:prstGeom>
                        <a:solidFill>
                          <a:srgbClr val="FFFFFF"/>
                        </a:solidFill>
                        <a:ln w="9525">
                          <a:solidFill>
                            <a:srgbClr val="000000"/>
                          </a:solidFill>
                          <a:miter lim="800000"/>
                          <a:headEnd/>
                          <a:tailEnd/>
                        </a:ln>
                      </wps:spPr>
                      <wps:txbx>
                        <w:txbxContent>
                          <w:p w14:paraId="7062D1B7" w14:textId="77777777" w:rsidR="0070304B" w:rsidRPr="005F0B00" w:rsidRDefault="0070304B" w:rsidP="00986F14">
                            <w:pPr>
                              <w:autoSpaceDE w:val="0"/>
                              <w:autoSpaceDN w:val="0"/>
                              <w:adjustRightInd w:val="0"/>
                              <w:rPr>
                                <w:sz w:val="18"/>
                                <w:szCs w:val="18"/>
                              </w:rPr>
                            </w:pPr>
                            <w:r w:rsidRPr="00D95AA9">
                              <w:rPr>
                                <w:rFonts w:cs="Arial"/>
                                <w:b/>
                                <w:iCs/>
                                <w:sz w:val="20"/>
                                <w:szCs w:val="20"/>
                              </w:rPr>
                              <w:t>Physical abuse</w:t>
                            </w:r>
                            <w:r w:rsidRPr="0068121B">
                              <w:rPr>
                                <w:rFonts w:cs="Arial"/>
                                <w:i/>
                                <w:iCs/>
                                <w:sz w:val="18"/>
                                <w:szCs w:val="18"/>
                              </w:rPr>
                              <w:t>—</w:t>
                            </w:r>
                            <w:r w:rsidRPr="005F0B00">
                              <w:rPr>
                                <w:rFonts w:cs="Arial"/>
                                <w:sz w:val="18"/>
                                <w:szCs w:val="18"/>
                              </w:rPr>
                              <w:t>actual or threatened, causing pain and injury; denial of sleep, warmth or nutrition; denial of needed medical or personal care; disablement; murder</w:t>
                            </w:r>
                            <w:r>
                              <w:rPr>
                                <w:rFonts w:cs="Arial"/>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C6CB1BC" id="Text Box 74" o:spid="_x0000_s1048" type="#_x0000_t202" style="position:absolute;margin-left:25.95pt;margin-top:26.3pt;width:193.55pt;height:51.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">
                <v:textbox>
                  <w:txbxContent>
                    <w:p w14:paraId="7062D1B7" w14:textId="77777777" w:rsidR="0070304B" w:rsidRPr="005F0B00" w:rsidRDefault="0070304B" w:rsidP="00986F14">
                      <w:pPr>
                        <w:autoSpaceDE w:val="0"/>
                        <w:autoSpaceDN w:val="0"/>
                        <w:adjustRightInd w:val="0"/>
                        <w:rPr>
                          <w:sz w:val="18"/>
                          <w:szCs w:val="18"/>
                        </w:rPr>
                      </w:pPr>
                      <w:r w:rsidRPr="00D95AA9">
                        <w:rPr>
                          <w:rFonts w:cs="Arial"/>
                          <w:b/>
                          <w:iCs/>
                          <w:sz w:val="20"/>
                          <w:szCs w:val="20"/>
                        </w:rPr>
                        <w:t>Physical abuse</w:t>
                      </w:r>
                      <w:r w:rsidRPr="0068121B">
                        <w:rPr>
                          <w:rFonts w:cs="Arial"/>
                          <w:i/>
                          <w:iCs/>
                          <w:sz w:val="18"/>
                          <w:szCs w:val="18"/>
                        </w:rPr>
                        <w:t>—</w:t>
                      </w:r>
                      <w:r w:rsidRPr="005F0B00">
                        <w:rPr>
                          <w:rFonts w:cs="Arial"/>
                          <w:sz w:val="18"/>
                          <w:szCs w:val="18"/>
                        </w:rPr>
                        <w:t>actual or threatened, causing pain and injury; denial of sleep, warmth or nutrition; denial of needed medical or personal care; disablement; murder</w:t>
                      </w:r>
                      <w:r>
                        <w:rPr>
                          <w:rFonts w:cs="Arial"/>
                          <w:sz w:val="18"/>
                          <w:szCs w:val="18"/>
                        </w:rPr>
                        <w:t>;</w:t>
                      </w:r>
                    </w:p>
                  </w:txbxContent>
                </v:textbox>
              </v:shape>
            </w:pict>
          </mc:Fallback>
        </mc:AlternateContent>
      </w:r>
      <w:r w:rsidR="00986F14">
        <w:rPr>
          <w:i/>
          <w:color w:val="FF0000"/>
        </w:rPr>
        <w:br w:type="page"/>
      </w:r>
      <w:bookmarkEnd w:id="62"/>
    </w:p>
    <w:p w14:paraId="19D95896" w14:textId="77777777" w:rsidR="00E61C26" w:rsidRDefault="00E61C26" w:rsidP="00E61C26">
      <w:pPr>
        <w:pStyle w:val="Bodytextnonumbering"/>
        <w:sectPr w:rsidR="00E61C26" w:rsidSect="005722A6">
          <w:headerReference w:type="first" r:id="rId27"/>
          <w:type w:val="oddPage"/>
          <w:pgSz w:w="11907" w:h="16840" w:code="9"/>
          <w:pgMar w:top="1588" w:right="1418" w:bottom="1418" w:left="1418" w:header="720" w:footer="851" w:gutter="0"/>
          <w:cols w:space="720"/>
          <w:docGrid w:linePitch="360"/>
        </w:sectPr>
      </w:pPr>
    </w:p>
    <w:p w14:paraId="422843F0" w14:textId="77777777" w:rsidR="00E61C26" w:rsidRPr="00567240" w:rsidRDefault="00E61C26" w:rsidP="00E61C26">
      <w:pPr>
        <w:pStyle w:val="Heading1"/>
      </w:pPr>
      <w:bookmarkStart w:id="63" w:name="_Toc16764000"/>
      <w:r>
        <w:lastRenderedPageBreak/>
        <w:t>Adequacy and effectiveness of current policy approaches and responses</w:t>
      </w:r>
      <w:bookmarkEnd w:id="63"/>
    </w:p>
    <w:p w14:paraId="1DC3390A" w14:textId="77777777" w:rsidR="00E61C26" w:rsidRDefault="00E61C26" w:rsidP="00E61C26">
      <w:pPr>
        <w:ind w:left="720"/>
        <w:rPr>
          <w:rFonts w:eastAsia="Calibri"/>
          <w:i/>
          <w:lang w:eastAsia="en-AU"/>
        </w:rPr>
      </w:pPr>
      <w:r>
        <w:rPr>
          <w:rFonts w:eastAsia="Calibri"/>
          <w:i/>
          <w:lang w:eastAsia="en-AU"/>
        </w:rPr>
        <w:t xml:space="preserve">T of R (a)—The </w:t>
      </w:r>
      <w:r w:rsidRPr="004F5A42">
        <w:rPr>
          <w:rFonts w:eastAsia="Calibri"/>
          <w:i/>
          <w:lang w:eastAsia="en-AU"/>
        </w:rPr>
        <w:t>adequacy and effectiveness of current policy approaches</w:t>
      </w:r>
      <w:r w:rsidRPr="004F5A42">
        <w:rPr>
          <w:rStyle w:val="FootnoteReference"/>
          <w:rFonts w:eastAsia="Calibri"/>
          <w:i/>
          <w:lang w:eastAsia="en-AU"/>
        </w:rPr>
        <w:footnoteReference w:id="27"/>
      </w:r>
      <w:r w:rsidRPr="004F5A42">
        <w:rPr>
          <w:rFonts w:eastAsia="Calibri"/>
          <w:i/>
          <w:lang w:eastAsia="en-AU"/>
        </w:rPr>
        <w:t xml:space="preserve"> and responses in preventing and responding to domestic and family violence in the ACT.</w:t>
      </w:r>
    </w:p>
    <w:p w14:paraId="656FE8DB" w14:textId="77777777" w:rsidR="00E61C26" w:rsidRDefault="00E61C26" w:rsidP="00E61C26">
      <w:pPr>
        <w:pStyle w:val="Headinglevel2"/>
      </w:pPr>
      <w:bookmarkStart w:id="64" w:name="_Toc16764001"/>
      <w:r>
        <w:t>Background on policy approaches and responses</w:t>
      </w:r>
      <w:bookmarkEnd w:id="64"/>
    </w:p>
    <w:p w14:paraId="11450A8E" w14:textId="77777777" w:rsidR="00E61C26" w:rsidRDefault="00E61C26" w:rsidP="00E61C26">
      <w:pPr>
        <w:pStyle w:val="Quote"/>
      </w:pPr>
      <w:r>
        <w:t>It is clear that domestic violence is a complex social problem that affects the perpetrator, the abused person, any children that might be present, and the wider social environment of those affected. Addressing the many aspects of the problem requires a number of different approaches that cater to the differing needs of different communities, including Indigenous and CALD women. Funding to establish, evaluate, and continue effective or promising programs across the criminal justice and community sectors will inevitably be an important contributor to the solution.</w:t>
      </w:r>
      <w:r>
        <w:rPr>
          <w:rStyle w:val="FootnoteReference"/>
        </w:rPr>
        <w:footnoteReference w:id="28"/>
      </w:r>
    </w:p>
    <w:p w14:paraId="20B299C4" w14:textId="77777777" w:rsidR="00E61C26" w:rsidRDefault="00E61C26" w:rsidP="00E61C26">
      <w:pPr>
        <w:pStyle w:val="BodyText1"/>
      </w:pPr>
      <w:r>
        <w:t>Despite the policy shifts and service developments around DFV, implicit in the policy and legislation that responds to and attempts to prevent DFV is the assumption that it is wrong and should not happen.</w:t>
      </w:r>
      <w:r>
        <w:rPr>
          <w:rStyle w:val="FootnoteReference"/>
        </w:rPr>
        <w:footnoteReference w:id="29"/>
      </w:r>
    </w:p>
    <w:p w14:paraId="7EC1C62C" w14:textId="77777777" w:rsidR="00E61C26" w:rsidRDefault="00E61C26" w:rsidP="00E61C26">
      <w:pPr>
        <w:pStyle w:val="BodyText1"/>
      </w:pPr>
      <w:r>
        <w:t>Since its emergence as a public policy issue over thirty years ago, a range of terminology has been used with regard to defining domestic and family violence.  Furthermore, how it is understood and its coverage has changed over time.  While the focus was initially on physical violence against women by an abusive male partner, definitions have been broadened and now also include a range of other forms of abuse, including emotional abuse, financial abuse, intimidation, and stalking.</w:t>
      </w:r>
    </w:p>
    <w:p w14:paraId="6ADC7B3F" w14:textId="77777777" w:rsidR="00E61C26" w:rsidRDefault="00E61C26" w:rsidP="00E61C26">
      <w:pPr>
        <w:pStyle w:val="BodyText1"/>
      </w:pPr>
      <w:r>
        <w:t xml:space="preserve">As noted previously, these developments are reflected in contemporary legislation and policy frameworks across jurisdictions in Australia as well as research and data collections.  In practical terms, the broadening of what is understood to encapsulate DFV has impacted on policy, the framing of policy responses and the design of policy approaches (strategies or interventions). </w:t>
      </w:r>
    </w:p>
    <w:p w14:paraId="27710411" w14:textId="77777777" w:rsidR="00E61C26" w:rsidRDefault="00E61C26" w:rsidP="00E61C26">
      <w:pPr>
        <w:pStyle w:val="BodyText1"/>
      </w:pPr>
      <w:r>
        <w:lastRenderedPageBreak/>
        <w:t>Equally important, is the resulting imperative to develop and monitor progress based on the evaluation of policy initiatives.  The continued development and assessment of an evidence base is required as this policy area develops.</w:t>
      </w:r>
    </w:p>
    <w:p w14:paraId="35B5D479" w14:textId="77777777" w:rsidR="00E61C26" w:rsidRDefault="00E61C26" w:rsidP="00E61C26">
      <w:pPr>
        <w:pStyle w:val="Headinglevel2"/>
      </w:pPr>
      <w:bookmarkStart w:id="65" w:name="_Toc16764002"/>
      <w:r>
        <w:t>Current policy approaches and responses</w:t>
      </w:r>
      <w:bookmarkEnd w:id="65"/>
    </w:p>
    <w:p w14:paraId="1BA4E6B3" w14:textId="77777777" w:rsidR="00E61C26" w:rsidRDefault="00E61C26" w:rsidP="00E61C26">
      <w:pPr>
        <w:pStyle w:val="BodyText1"/>
      </w:pPr>
      <w:r>
        <w:t>Current policy approaches to preventing and responding to DFV in the ACT, Australia and internationally have used a range of strategies including:</w:t>
      </w:r>
    </w:p>
    <w:p w14:paraId="2033121C" w14:textId="77777777" w:rsidR="00E61C26" w:rsidRDefault="00E61C26" w:rsidP="00E61C26">
      <w:pPr>
        <w:pStyle w:val="ListNumber3"/>
        <w:numPr>
          <w:ilvl w:val="0"/>
          <w:numId w:val="1"/>
        </w:numPr>
      </w:pPr>
      <w:r>
        <w:t>primary prevention and community attitude campaigns;</w:t>
      </w:r>
    </w:p>
    <w:p w14:paraId="624A6EAC" w14:textId="77777777" w:rsidR="00E61C26" w:rsidRDefault="00E61C26" w:rsidP="00E61C26">
      <w:pPr>
        <w:pStyle w:val="ListNumber3"/>
        <w:numPr>
          <w:ilvl w:val="0"/>
          <w:numId w:val="1"/>
        </w:numPr>
      </w:pPr>
      <w:r>
        <w:t>integrated intervention programs;</w:t>
      </w:r>
    </w:p>
    <w:p w14:paraId="5C84A6A8" w14:textId="77777777" w:rsidR="00E61C26" w:rsidRDefault="00E61C26" w:rsidP="00E61C26">
      <w:pPr>
        <w:pStyle w:val="ListNumber3"/>
        <w:numPr>
          <w:ilvl w:val="0"/>
          <w:numId w:val="1"/>
        </w:numPr>
      </w:pPr>
      <w:r>
        <w:t xml:space="preserve">mass-screening programs; </w:t>
      </w:r>
    </w:p>
    <w:p w14:paraId="67FA63A1" w14:textId="77777777" w:rsidR="00E61C26" w:rsidRDefault="00E61C26" w:rsidP="00E61C26">
      <w:pPr>
        <w:pStyle w:val="ListNumber3"/>
        <w:numPr>
          <w:ilvl w:val="0"/>
          <w:numId w:val="1"/>
        </w:numPr>
      </w:pPr>
      <w:r>
        <w:t xml:space="preserve">programs for violence perpetrators; </w:t>
      </w:r>
    </w:p>
    <w:p w14:paraId="0BCD0736" w14:textId="77777777" w:rsidR="00E61C26" w:rsidRDefault="00E61C26" w:rsidP="00E61C26">
      <w:pPr>
        <w:pStyle w:val="ListNumber3"/>
        <w:numPr>
          <w:ilvl w:val="0"/>
          <w:numId w:val="1"/>
        </w:numPr>
      </w:pPr>
      <w:r>
        <w:t xml:space="preserve">programs for victims who have been subject to domestic violence; </w:t>
      </w:r>
    </w:p>
    <w:p w14:paraId="539A4F6C" w14:textId="77777777" w:rsidR="00E61C26" w:rsidRDefault="00E61C26" w:rsidP="00E61C26">
      <w:pPr>
        <w:pStyle w:val="ListNumber3"/>
        <w:numPr>
          <w:ilvl w:val="0"/>
          <w:numId w:val="1"/>
        </w:numPr>
      </w:pPr>
      <w:r>
        <w:t xml:space="preserve">legislative approaches; and </w:t>
      </w:r>
    </w:p>
    <w:p w14:paraId="61E5D3E6" w14:textId="77777777" w:rsidR="00E61C26" w:rsidRDefault="00E61C26" w:rsidP="00E61C26">
      <w:pPr>
        <w:pStyle w:val="ListNumber3"/>
        <w:numPr>
          <w:ilvl w:val="0"/>
          <w:numId w:val="1"/>
        </w:numPr>
      </w:pPr>
      <w:r>
        <w:t>criminal justice approaches.</w:t>
      </w:r>
      <w:r>
        <w:rPr>
          <w:rStyle w:val="FootnoteReference"/>
        </w:rPr>
        <w:footnoteReference w:id="30"/>
      </w:r>
      <w:r>
        <w:t xml:space="preserve"> </w:t>
      </w:r>
    </w:p>
    <w:p w14:paraId="48FF0D73" w14:textId="77777777" w:rsidR="00E61C26" w:rsidRDefault="00E61C26" w:rsidP="00E61C26">
      <w:pPr>
        <w:pStyle w:val="BodyText1"/>
      </w:pPr>
      <w:r>
        <w:t>Policy responses using a mix of strategies (or interventions) and focusing on defined target groups can be framed in the context of:</w:t>
      </w:r>
    </w:p>
    <w:p w14:paraId="7BB3C805" w14:textId="77777777" w:rsidR="00E61C26" w:rsidRDefault="00E61C26" w:rsidP="00E61C26">
      <w:pPr>
        <w:pStyle w:val="ListNumber3"/>
        <w:numPr>
          <w:ilvl w:val="0"/>
          <w:numId w:val="1"/>
        </w:numPr>
      </w:pPr>
      <w:r>
        <w:t xml:space="preserve">law and order; </w:t>
      </w:r>
    </w:p>
    <w:p w14:paraId="3B0D6074" w14:textId="77777777" w:rsidR="00E61C26" w:rsidRDefault="00E61C26" w:rsidP="00E61C26">
      <w:pPr>
        <w:pStyle w:val="ListNumber3"/>
        <w:numPr>
          <w:ilvl w:val="0"/>
          <w:numId w:val="1"/>
        </w:numPr>
      </w:pPr>
      <w:r>
        <w:t>safe families and justice programs;</w:t>
      </w:r>
    </w:p>
    <w:p w14:paraId="0B3A06B4" w14:textId="77777777" w:rsidR="00E61C26" w:rsidRDefault="00E61C26" w:rsidP="00E61C26">
      <w:pPr>
        <w:pStyle w:val="ListNumber3"/>
        <w:numPr>
          <w:ilvl w:val="0"/>
          <w:numId w:val="1"/>
        </w:numPr>
      </w:pPr>
      <w:r>
        <w:t>increased policing resourcing and mandatory sentencing;</w:t>
      </w:r>
    </w:p>
    <w:p w14:paraId="4C1FE295" w14:textId="77777777" w:rsidR="00E61C26" w:rsidRDefault="00E61C26" w:rsidP="00E61C26">
      <w:pPr>
        <w:pStyle w:val="ListNumber3"/>
        <w:numPr>
          <w:ilvl w:val="0"/>
          <w:numId w:val="1"/>
        </w:numPr>
      </w:pPr>
      <w:r>
        <w:t>the consequent health issues;</w:t>
      </w:r>
    </w:p>
    <w:p w14:paraId="7E445AFF" w14:textId="77777777" w:rsidR="00E61C26" w:rsidRDefault="00E61C26" w:rsidP="00E61C26">
      <w:pPr>
        <w:pStyle w:val="ListNumber3"/>
        <w:numPr>
          <w:ilvl w:val="0"/>
          <w:numId w:val="1"/>
        </w:numPr>
      </w:pPr>
      <w:r>
        <w:t>focusing on ameliorating the harm done to victims;</w:t>
      </w:r>
    </w:p>
    <w:p w14:paraId="1F63E5EB" w14:textId="77777777" w:rsidR="00E61C26" w:rsidRDefault="00E61C26" w:rsidP="00E61C26">
      <w:pPr>
        <w:pStyle w:val="ListNumber3"/>
        <w:numPr>
          <w:ilvl w:val="0"/>
          <w:numId w:val="1"/>
        </w:numPr>
      </w:pPr>
      <w:r>
        <w:t xml:space="preserve">as a social justice issue—such as highlighting a hidden crime with vulnerable victims; and </w:t>
      </w:r>
    </w:p>
    <w:p w14:paraId="567836D2" w14:textId="77777777" w:rsidR="00E61C26" w:rsidRDefault="00E61C26" w:rsidP="00E61C26">
      <w:pPr>
        <w:pStyle w:val="ListNumber3"/>
        <w:numPr>
          <w:ilvl w:val="0"/>
          <w:numId w:val="1"/>
        </w:numPr>
      </w:pPr>
      <w:r>
        <w:t>economic issues with consequences for productivity.</w:t>
      </w:r>
      <w:r>
        <w:rPr>
          <w:rStyle w:val="FootnoteReference"/>
        </w:rPr>
        <w:footnoteReference w:id="31"/>
      </w:r>
    </w:p>
    <w:p w14:paraId="5CDBF6F2" w14:textId="77777777" w:rsidR="00E61C26" w:rsidRDefault="00E61C26" w:rsidP="00E61C26">
      <w:pPr>
        <w:pStyle w:val="BodyText1"/>
      </w:pPr>
      <w:r>
        <w:t>Framing of policy responses involves defining target groups and target responses and structures across policy settings and determining the mix of policy approaches to be used.</w:t>
      </w:r>
    </w:p>
    <w:p w14:paraId="7D9D87E3" w14:textId="77777777" w:rsidR="00E61C26" w:rsidRDefault="00E61C26" w:rsidP="00E61C26">
      <w:pPr>
        <w:rPr>
          <w:rFonts w:ascii="Arial Narrow" w:hAnsi="Arial Narrow"/>
          <w:color w:val="000000"/>
          <w:sz w:val="24"/>
          <w:szCs w:val="20"/>
        </w:rPr>
      </w:pPr>
      <w:r>
        <w:br w:type="page"/>
      </w:r>
    </w:p>
    <w:p w14:paraId="1F7317D6" w14:textId="77777777" w:rsidR="00E61C26" w:rsidRDefault="00E61C26" w:rsidP="00E61C26">
      <w:pPr>
        <w:pStyle w:val="Headinglevel2"/>
      </w:pPr>
      <w:bookmarkStart w:id="66" w:name="_Toc16764003"/>
      <w:r>
        <w:lastRenderedPageBreak/>
        <w:t>Working out what works and who it works for?</w:t>
      </w:r>
      <w:bookmarkEnd w:id="66"/>
    </w:p>
    <w:p w14:paraId="1D6636B3" w14:textId="77777777" w:rsidR="00E61C26" w:rsidRDefault="00E61C26" w:rsidP="00E61C26">
      <w:pPr>
        <w:pStyle w:val="Quote"/>
      </w:pPr>
      <w:r>
        <w:t>A wide variety of strategies have been employed to tackle domestic violence in Australia and internationally. Although many of the strategies to prevent domestic violence have now been ongoing for some decades, there is still a lack of reliable evidence as to what works. However, there is some evidence in the US that an integrated approach supported by sustained government funding may be effective in addressing the issues.</w:t>
      </w:r>
      <w:r>
        <w:rPr>
          <w:rStyle w:val="FootnoteReference"/>
        </w:rPr>
        <w:footnoteReference w:id="32"/>
      </w:r>
      <w:r>
        <w:t xml:space="preserve"> </w:t>
      </w:r>
    </w:p>
    <w:p w14:paraId="754D2F37" w14:textId="77777777" w:rsidR="00E61C26" w:rsidRDefault="00E61C26" w:rsidP="00E61C26">
      <w:pPr>
        <w:pStyle w:val="BodyText1"/>
      </w:pPr>
      <w:r>
        <w:t>In relation to DFV—</w:t>
      </w:r>
      <w:r w:rsidRPr="00783F48">
        <w:t>the framing of policy responses and the design of policy approaches (strategies or interventions)</w:t>
      </w:r>
      <w:r>
        <w:t xml:space="preserve"> to prevent and respond to these forms of violence in Australia and internationally have been continuing for over thirty years</w:t>
      </w:r>
      <w:r w:rsidRPr="00783F48">
        <w:t>.</w:t>
      </w:r>
    </w:p>
    <w:p w14:paraId="2D19480B" w14:textId="77777777" w:rsidR="00E61C26" w:rsidRDefault="00E61C26" w:rsidP="00E61C26">
      <w:pPr>
        <w:pStyle w:val="BodyText1"/>
      </w:pPr>
      <w:r>
        <w:t>Notwithstanding that approach, the literature suggests that there remains a gap as to robust evidence as to what works and who it works for.</w:t>
      </w:r>
      <w:r>
        <w:rPr>
          <w:rStyle w:val="FootnoteReference"/>
        </w:rPr>
        <w:footnoteReference w:id="33"/>
      </w:r>
      <w:r>
        <w:t xml:space="preserve"> Whilst the reasons for this are complex, in practical terms, for policy, this makes it challenging to identify which approaches or interventions work best (or better) for particular target groups.  This has a flow-on effect to the underlying justification and allocation of funding for programs which are often tied to requirements for robust evaluation which, while necessary, also comes at a cost.</w:t>
      </w:r>
    </w:p>
    <w:p w14:paraId="3DED9999" w14:textId="77777777" w:rsidR="00E61C26" w:rsidRDefault="00E61C26" w:rsidP="00E61C26">
      <w:pPr>
        <w:pStyle w:val="BodyText1"/>
      </w:pPr>
      <w:r>
        <w:t>In the main, specific reasons for there being a shortage of good evidence are concerned with: (i) the multi-dimensional make-up of domestic and family violence; (ii) the absence of a working definition—nationally and internationally; (iii) the broadening of coverage as to what constitutes DFV over the last three decades or more; and (iv) methodological issues, or limitations, that are inherent in this policy space.  An example is measuring behaviour change and the longitudinal nature of behaviour change.</w:t>
      </w:r>
    </w:p>
    <w:p w14:paraId="5F2A66FC" w14:textId="77777777" w:rsidR="00E61C26" w:rsidRDefault="00E61C26" w:rsidP="00E61C26">
      <w:pPr>
        <w:pStyle w:val="BodyText1"/>
      </w:pPr>
      <w:r>
        <w:t xml:space="preserve">Further, measuring effectiveness in this policy space suffers from common weaknesses that belie other policy arenas focused on behaviour change—including: (i) difficulties associated with the measurement of behaviour change as an outcome of </w:t>
      </w:r>
      <w:r w:rsidRPr="00EB03E7">
        <w:t>large-scale public awareness campaigns and screening programs</w:t>
      </w:r>
      <w:r>
        <w:t>;</w:t>
      </w:r>
      <w:r w:rsidRPr="00EB03E7">
        <w:t xml:space="preserve"> </w:t>
      </w:r>
      <w:r>
        <w:t xml:space="preserve">(ii) </w:t>
      </w:r>
      <w:r w:rsidRPr="00C376EA">
        <w:t>overemphasis on single-factor solutions</w:t>
      </w:r>
      <w:r>
        <w:t xml:space="preserve"> (as opposed to integrated solutions)</w:t>
      </w:r>
      <w:r w:rsidRPr="00C376EA">
        <w:t xml:space="preserve">; </w:t>
      </w:r>
      <w:r>
        <w:t>(iii) </w:t>
      </w:r>
      <w:r w:rsidRPr="00C376EA">
        <w:t xml:space="preserve">limited </w:t>
      </w:r>
      <w:r>
        <w:t xml:space="preserve">research </w:t>
      </w:r>
      <w:r w:rsidRPr="00C376EA">
        <w:t>consistency</w:t>
      </w:r>
      <w:r>
        <w:t xml:space="preserve"> and </w:t>
      </w:r>
      <w:r w:rsidRPr="00C376EA">
        <w:t>rigor</w:t>
      </w:r>
      <w:r>
        <w:t xml:space="preserve"> (including sample sizes);</w:t>
      </w:r>
      <w:r w:rsidRPr="00C376EA">
        <w:t xml:space="preserve"> </w:t>
      </w:r>
      <w:r>
        <w:t>(iv) </w:t>
      </w:r>
      <w:r w:rsidRPr="00C376EA">
        <w:t>quality of evaluation approaches, measures, and methodologies</w:t>
      </w:r>
      <w:r>
        <w:t xml:space="preserve">—in particular, a failure to </w:t>
      </w:r>
      <w:r>
        <w:lastRenderedPageBreak/>
        <w:t xml:space="preserve">focus on the full suite of evaluation markers—process, impact and outcome; and (v) </w:t>
      </w:r>
      <w:r w:rsidRPr="00E30369">
        <w:t>funding, time and appropriately skilled staff to</w:t>
      </w:r>
      <w:r>
        <w:t xml:space="preserve"> conduct robust </w:t>
      </w:r>
      <w:r w:rsidRPr="00E30369">
        <w:t>evaluation</w:t>
      </w:r>
      <w:r>
        <w:t>s.</w:t>
      </w:r>
      <w:r w:rsidRPr="00C376EA">
        <w:rPr>
          <w:rStyle w:val="FootnoteReference"/>
          <w:szCs w:val="22"/>
        </w:rPr>
        <w:footnoteReference w:id="34"/>
      </w:r>
    </w:p>
    <w:p w14:paraId="78BDBAAB" w14:textId="77777777" w:rsidR="00E61C26" w:rsidRPr="00C376EA" w:rsidRDefault="00E61C26" w:rsidP="00E61C26">
      <w:pPr>
        <w:pStyle w:val="Headinglevel4"/>
      </w:pPr>
      <w:r>
        <w:t xml:space="preserve">The National Plan and an evidence base for evaluation </w:t>
      </w:r>
    </w:p>
    <w:p w14:paraId="21AF2C42" w14:textId="77777777" w:rsidR="00E61C26" w:rsidRDefault="00E61C26" w:rsidP="00E61C26">
      <w:pPr>
        <w:pStyle w:val="BodyText1"/>
      </w:pPr>
      <w:r>
        <w:t>T</w:t>
      </w:r>
      <w:r w:rsidRPr="00A53287">
        <w:t xml:space="preserve">he </w:t>
      </w:r>
      <w:r>
        <w:t xml:space="preserve">National Plan </w:t>
      </w:r>
      <w:r w:rsidRPr="00A53287">
        <w:t xml:space="preserve">places a priority on building a strong and </w:t>
      </w:r>
      <w:r>
        <w:t xml:space="preserve">enduring </w:t>
      </w:r>
      <w:r w:rsidRPr="00A53287">
        <w:t>evidence base, bringing together existing research and undertaking new research under an agreed national agenda.</w:t>
      </w:r>
      <w:r w:rsidRPr="00A53287">
        <w:rPr>
          <w:rStyle w:val="FootnoteReference"/>
          <w:szCs w:val="22"/>
        </w:rPr>
        <w:footnoteReference w:id="35"/>
      </w:r>
      <w:r>
        <w:t xml:space="preserve">  Further, as noted previously, work is also underway via the National Plan to</w:t>
      </w:r>
      <w:r w:rsidRPr="00A53287">
        <w:t xml:space="preserve"> </w:t>
      </w:r>
      <w:r w:rsidRPr="00E30369">
        <w:t>develop</w:t>
      </w:r>
      <w:r>
        <w:t xml:space="preserve"> </w:t>
      </w:r>
      <w:r w:rsidRPr="00E30369">
        <w:t xml:space="preserve">nationally consistent data definitions and </w:t>
      </w:r>
      <w:r>
        <w:t xml:space="preserve">collection/recording </w:t>
      </w:r>
      <w:r w:rsidRPr="00E30369">
        <w:t xml:space="preserve">methods </w:t>
      </w:r>
      <w:r>
        <w:t xml:space="preserve">to </w:t>
      </w:r>
      <w:r w:rsidRPr="00E30369">
        <w:t>assist with informing service delivery and public policy</w:t>
      </w:r>
      <w:r>
        <w:t xml:space="preserve"> in the DFV space</w:t>
      </w:r>
      <w:r w:rsidRPr="00E30369">
        <w:t>.</w:t>
      </w:r>
      <w:r>
        <w:rPr>
          <w:rStyle w:val="FootnoteReference"/>
        </w:rPr>
        <w:footnoteReference w:id="36"/>
      </w:r>
    </w:p>
    <w:p w14:paraId="58419673" w14:textId="77777777" w:rsidR="00E61C26" w:rsidRDefault="00E61C26" w:rsidP="00E61C26">
      <w:pPr>
        <w:pStyle w:val="BodyText1"/>
      </w:pPr>
      <w:r>
        <w:t xml:space="preserve">Again, as mentioned earlier, the building of an evidence base for DFV approaches and responses will be improved through the development of nationally consistent data definitions and collection methods.  Whilst such a framework will assist with </w:t>
      </w:r>
      <w:r w:rsidRPr="005C1A6B">
        <w:t xml:space="preserve">informing </w:t>
      </w:r>
      <w:r>
        <w:t xml:space="preserve">and developing </w:t>
      </w:r>
      <w:r w:rsidRPr="005C1A6B">
        <w:t>service delivery and public policy</w:t>
      </w:r>
      <w:r>
        <w:t xml:space="preserve">, it should be noted this </w:t>
      </w:r>
      <w:r w:rsidRPr="005C1A6B">
        <w:t>will not be operational until 2022.</w:t>
      </w:r>
      <w:r>
        <w:rPr>
          <w:rStyle w:val="FootnoteReference"/>
        </w:rPr>
        <w:footnoteReference w:id="37"/>
      </w:r>
    </w:p>
    <w:p w14:paraId="673595A3" w14:textId="77777777" w:rsidR="00E61C26" w:rsidRDefault="00E61C26" w:rsidP="00E61C26">
      <w:pPr>
        <w:pStyle w:val="BodyText1"/>
      </w:pPr>
      <w:r>
        <w:t xml:space="preserve">A critical aspect of building an evidence base is robust evaluation.  An emerging feature in the DFV policy space has been the recognition of the need for more effective evaluation.  In practical terms, this has resulted in strategy design </w:t>
      </w:r>
      <w:r w:rsidRPr="00A53287">
        <w:t xml:space="preserve">covering longer timeframes with </w:t>
      </w:r>
      <w:r>
        <w:t xml:space="preserve">inbuilt </w:t>
      </w:r>
      <w:r w:rsidRPr="00A53287">
        <w:t>shorter action plans</w:t>
      </w:r>
      <w:r>
        <w:t xml:space="preserve"> designed to not only </w:t>
      </w:r>
      <w:r w:rsidRPr="00A53287">
        <w:t xml:space="preserve">support </w:t>
      </w:r>
      <w:r>
        <w:t xml:space="preserve">and enhance </w:t>
      </w:r>
      <w:r w:rsidRPr="00A53287">
        <w:t>evaluation</w:t>
      </w:r>
      <w:r>
        <w:t xml:space="preserve"> but also provide flexibility, in real-time, to fine tune or redirect the focus of the Strategy throughout its lifespan.  These design features provide for program e</w:t>
      </w:r>
      <w:r w:rsidRPr="00A53287">
        <w:t xml:space="preserve">valuation </w:t>
      </w:r>
      <w:r>
        <w:t xml:space="preserve">at the </w:t>
      </w:r>
      <w:r w:rsidRPr="00A53287">
        <w:t>end of each action plan</w:t>
      </w:r>
      <w:r>
        <w:t xml:space="preserve"> to permit </w:t>
      </w:r>
      <w:r w:rsidRPr="00A53287">
        <w:t xml:space="preserve">the </w:t>
      </w:r>
      <w:r>
        <w:t xml:space="preserve">respective </w:t>
      </w:r>
      <w:r w:rsidRPr="00A53287">
        <w:t xml:space="preserve">results </w:t>
      </w:r>
      <w:r>
        <w:t xml:space="preserve">to feed into the development of </w:t>
      </w:r>
      <w:r w:rsidRPr="00A53287">
        <w:t>the next action plan.</w:t>
      </w:r>
      <w:r>
        <w:t xml:space="preserve">  </w:t>
      </w:r>
    </w:p>
    <w:p w14:paraId="0DBA8295" w14:textId="0B488A12" w:rsidR="00E61C26" w:rsidRPr="00DA2B70" w:rsidRDefault="00E61C26" w:rsidP="00E61C26">
      <w:pPr>
        <w:pStyle w:val="BodyText1"/>
      </w:pPr>
      <w:r w:rsidRPr="00A53287">
        <w:t xml:space="preserve">The National Plan and </w:t>
      </w:r>
      <w:r w:rsidR="00A27C29" w:rsidRPr="00A53287">
        <w:t>several</w:t>
      </w:r>
      <w:r w:rsidRPr="00A53287">
        <w:t xml:space="preserve"> other recently re</w:t>
      </w:r>
      <w:r>
        <w:t xml:space="preserve">leased strategies in Australia </w:t>
      </w:r>
      <w:r w:rsidRPr="00A53287">
        <w:t>have</w:t>
      </w:r>
      <w:r>
        <w:t xml:space="preserve"> adopted this strategy and approach.</w:t>
      </w:r>
    </w:p>
    <w:p w14:paraId="473044FA" w14:textId="77777777" w:rsidR="00E61C26" w:rsidRDefault="00E61C26" w:rsidP="00E61C26">
      <w:pPr>
        <w:rPr>
          <w:rFonts w:ascii="Arial Narrow" w:hAnsi="Arial Narrow" w:cs="Arial"/>
          <w:iCs/>
          <w:smallCaps/>
          <w:spacing w:val="20"/>
          <w:sz w:val="36"/>
          <w:szCs w:val="34"/>
        </w:rPr>
      </w:pPr>
      <w:r>
        <w:br w:type="page"/>
      </w:r>
    </w:p>
    <w:p w14:paraId="21D3032A" w14:textId="77777777" w:rsidR="00E61C26" w:rsidRPr="00DA2B70" w:rsidRDefault="00E61C26" w:rsidP="00E61C26">
      <w:pPr>
        <w:pStyle w:val="Headinglevel2"/>
      </w:pPr>
      <w:bookmarkStart w:id="67" w:name="_Toc16764004"/>
      <w:r>
        <w:lastRenderedPageBreak/>
        <w:t>Inquiry comment and analysis –the a</w:t>
      </w:r>
      <w:r w:rsidRPr="004D69DF">
        <w:t xml:space="preserve">dequacy and effectiveness of current </w:t>
      </w:r>
      <w:r>
        <w:t xml:space="preserve">ACT </w:t>
      </w:r>
      <w:r w:rsidRPr="004D69DF">
        <w:t>policy approaches and responses</w:t>
      </w:r>
      <w:bookmarkEnd w:id="67"/>
    </w:p>
    <w:p w14:paraId="372D1BA7" w14:textId="77777777" w:rsidR="00E61C26" w:rsidRPr="00F76C83" w:rsidRDefault="00E61C26" w:rsidP="00E61C26">
      <w:pPr>
        <w:pStyle w:val="Headinglevel3"/>
      </w:pPr>
      <w:r w:rsidRPr="00F76C83">
        <w:t>Introduction</w:t>
      </w:r>
    </w:p>
    <w:p w14:paraId="588AB4C0" w14:textId="77777777" w:rsidR="00E61C26" w:rsidRDefault="00E61C26" w:rsidP="00E61C26">
      <w:pPr>
        <w:pStyle w:val="BodyText1"/>
      </w:pPr>
      <w:r>
        <w:t xml:space="preserve">Submissions received by the Committee addressed this term of reference at various levels.  In the Issues Paper, the </w:t>
      </w:r>
      <w:r w:rsidRPr="0055721E">
        <w:t xml:space="preserve">Committee </w:t>
      </w:r>
      <w:r>
        <w:t xml:space="preserve">canvassed a range of </w:t>
      </w:r>
      <w:r w:rsidRPr="0055721E">
        <w:t xml:space="preserve">views on adequacy and effectiveness of </w:t>
      </w:r>
      <w:r>
        <w:t xml:space="preserve">the </w:t>
      </w:r>
      <w:r w:rsidRPr="0055721E">
        <w:t xml:space="preserve">current </w:t>
      </w:r>
      <w:r>
        <w:t>and developing policy approaches</w:t>
      </w:r>
      <w:r w:rsidRPr="0055721E">
        <w:t xml:space="preserve"> and responses </w:t>
      </w:r>
      <w:r>
        <w:t>as part of an integrated strategy, programs and plans for prevention of DFV.</w:t>
      </w:r>
    </w:p>
    <w:p w14:paraId="5C4516D8" w14:textId="3055611B" w:rsidR="00E61C26" w:rsidRDefault="00E61C26" w:rsidP="00E61C26">
      <w:pPr>
        <w:pStyle w:val="BodyText1"/>
      </w:pPr>
      <w:r>
        <w:t xml:space="preserve">These views were provided by </w:t>
      </w:r>
      <w:r w:rsidR="00A27C29">
        <w:t>several</w:t>
      </w:r>
      <w:r>
        <w:t xml:space="preserve"> principal practitioners, support services and other organisations - and individuals – with experience and a background in the development implementation and measurement - through observation - of the current policy approach to combatting DFV in the ACT.</w:t>
      </w:r>
    </w:p>
    <w:p w14:paraId="618A484A" w14:textId="77777777" w:rsidR="00E61C26" w:rsidRDefault="00E61C26" w:rsidP="00E61C26">
      <w:pPr>
        <w:pStyle w:val="BodyText1"/>
      </w:pPr>
      <w:r>
        <w:t>As the Committee will discuss later in the chapter, and in detail in chapter 6, this analysis was provided to the Committee largely prior to the changes announced and implemented after the 2016-17 budget and the development of the Safer Families proposals developed from late in 2017 to the present</w:t>
      </w:r>
    </w:p>
    <w:p w14:paraId="11042756" w14:textId="77777777" w:rsidR="00E61C26" w:rsidRDefault="00E61C26" w:rsidP="00E61C26">
      <w:pPr>
        <w:pStyle w:val="BodyText1"/>
      </w:pPr>
      <w:r>
        <w:t>As the Committee noted in it the Issues Paper, (and noted in in paragraph 5.15), any assessment of adequacy and effectiveness needs to critically examine how current programs are evaluated.  This is an important aspect pf DFV performance and success as it is an essential element to ensure a robust level of evaluation of current policy and programs.</w:t>
      </w:r>
    </w:p>
    <w:p w14:paraId="6765C9A9" w14:textId="77777777" w:rsidR="00E61C26" w:rsidRDefault="00E61C26" w:rsidP="00E61C26">
      <w:pPr>
        <w:pStyle w:val="Headinglevel4"/>
      </w:pPr>
      <w:r>
        <w:t>ACT Policy approach – Evolution and continuing development</w:t>
      </w:r>
    </w:p>
    <w:p w14:paraId="46F633CF" w14:textId="77777777" w:rsidR="00E61C26" w:rsidRDefault="00E61C26" w:rsidP="00E61C26">
      <w:pPr>
        <w:pStyle w:val="BodyText1"/>
      </w:pPr>
      <w:r>
        <w:t>The Committee provides detail of the evolution of overall policy approaches to DFV in the Issues Paper.  The Issues Paper noted that policy responses had, until that time, ranged over a spectrum from support, legislation and punishment aimed at perpetrators and the protection of witnesses, with an overall underlying aim of achieving a goal of prevention of DFV.</w:t>
      </w:r>
    </w:p>
    <w:p w14:paraId="6E2E56C0" w14:textId="77777777" w:rsidR="00E61C26" w:rsidRDefault="00E61C26" w:rsidP="00E61C26">
      <w:pPr>
        <w:pStyle w:val="BodyText1"/>
      </w:pPr>
      <w:r>
        <w:t xml:space="preserve">As a result – also noted in the Issues Paper - perpetrator programs were not carried through as intended, or as proved to be necessary. The range of structural challenges have highlighted the difficulty in achieving consistency in funding, robust and reliable data and research on outcomes and inadequate evaluation of strategies and DFV programs.  As with other jurisdictions, these challenges and barriers have resulted in some revision and redirection to </w:t>
      </w:r>
      <w:r>
        <w:lastRenderedPageBreak/>
        <w:t>enable a more holistic, responsive and measurable approach to DFV responses and prevention.</w:t>
      </w:r>
      <w:r>
        <w:rPr>
          <w:rStyle w:val="FootnoteReference"/>
        </w:rPr>
        <w:footnoteReference w:id="38"/>
      </w:r>
    </w:p>
    <w:p w14:paraId="02C2F9B1" w14:textId="77777777" w:rsidR="00E61C26" w:rsidRDefault="00E61C26" w:rsidP="00E61C26">
      <w:pPr>
        <w:pStyle w:val="BodyText1"/>
      </w:pPr>
      <w:r>
        <w:t>The Committee examined the ACT current initiatives in two contexts.  In the following section, the Committee indicates how current and evolving ACT DFV policies, responses and programs work (together with comment from submissions and evidence) on these matters and where programs might be headed.</w:t>
      </w:r>
    </w:p>
    <w:p w14:paraId="0CF1AB2F" w14:textId="77777777" w:rsidR="00E61C26" w:rsidRPr="007B68CE" w:rsidRDefault="00E61C26" w:rsidP="00E61C26">
      <w:pPr>
        <w:pStyle w:val="Headinglevel4"/>
      </w:pPr>
      <w:r w:rsidRPr="007B68CE">
        <w:t>Plans and Strategies</w:t>
      </w:r>
    </w:p>
    <w:p w14:paraId="2E40E02D" w14:textId="330A001C" w:rsidR="00E61C26" w:rsidRDefault="00E61C26" w:rsidP="00E61C26">
      <w:pPr>
        <w:pStyle w:val="BodyText1"/>
      </w:pPr>
      <w:r>
        <w:t xml:space="preserve">The ACT Government submission provides this description of the background and progress on current </w:t>
      </w:r>
      <w:r w:rsidR="00A27C29">
        <w:t>policy approaches</w:t>
      </w:r>
      <w:r>
        <w:t>:</w:t>
      </w:r>
    </w:p>
    <w:p w14:paraId="09E4EE5E" w14:textId="77777777" w:rsidR="00E61C26" w:rsidRDefault="00E61C26" w:rsidP="00E61C26">
      <w:pPr>
        <w:pStyle w:val="Quote"/>
      </w:pPr>
      <w:r>
        <w:t xml:space="preserve">The </w:t>
      </w:r>
      <w:r w:rsidRPr="00490BB7">
        <w:rPr>
          <w:i/>
        </w:rPr>
        <w:t>ACT Strategy to Prevent Violence Against Women and Children 2011-17</w:t>
      </w:r>
      <w:r>
        <w:t xml:space="preserve"> (ACT Strategy) is aligned with the </w:t>
      </w:r>
      <w:r w:rsidRPr="00490BB7">
        <w:rPr>
          <w:i/>
        </w:rPr>
        <w:t>National Plan to Reduce Violence against Women and their Children 2010-2022</w:t>
      </w:r>
      <w:r>
        <w:t xml:space="preserve"> (National Plan). </w:t>
      </w:r>
      <w:r>
        <w:rPr>
          <w:rStyle w:val="FootnoteReference"/>
        </w:rPr>
        <w:footnoteReference w:id="39"/>
      </w:r>
    </w:p>
    <w:p w14:paraId="2E993014" w14:textId="77777777" w:rsidR="00E61C26" w:rsidRDefault="00E61C26" w:rsidP="00E61C26">
      <w:pPr>
        <w:pStyle w:val="Quote"/>
      </w:pPr>
      <w:r>
        <w:t>It aims to:</w:t>
      </w:r>
    </w:p>
    <w:p w14:paraId="45D639A2" w14:textId="77777777" w:rsidR="00E61C26" w:rsidRDefault="00E61C26" w:rsidP="00E61C26">
      <w:pPr>
        <w:pStyle w:val="ListBullet2"/>
        <w:tabs>
          <w:tab w:val="clear" w:pos="1247"/>
          <w:tab w:val="num" w:pos="1530"/>
        </w:tabs>
        <w:ind w:left="1531"/>
      </w:pPr>
      <w:r>
        <w:t xml:space="preserve"> reduce violence against women and children; </w:t>
      </w:r>
    </w:p>
    <w:p w14:paraId="466DCD30" w14:textId="77777777" w:rsidR="00E61C26" w:rsidRDefault="00E61C26" w:rsidP="00E61C26">
      <w:pPr>
        <w:pStyle w:val="ListBullet2"/>
        <w:tabs>
          <w:tab w:val="clear" w:pos="1247"/>
          <w:tab w:val="num" w:pos="1530"/>
        </w:tabs>
        <w:ind w:left="1531"/>
      </w:pPr>
      <w:r>
        <w:t xml:space="preserve">promote a non-discriminatory and anti-violence culture with equal and respectful relationships; </w:t>
      </w:r>
    </w:p>
    <w:p w14:paraId="7D65779C" w14:textId="77777777" w:rsidR="00E61C26" w:rsidRDefault="00E61C26" w:rsidP="00E61C26">
      <w:pPr>
        <w:pStyle w:val="ListBullet2"/>
        <w:tabs>
          <w:tab w:val="clear" w:pos="1247"/>
          <w:tab w:val="num" w:pos="1530"/>
        </w:tabs>
        <w:ind w:left="1531"/>
      </w:pPr>
      <w:r>
        <w:t xml:space="preserve">increase the proportion of women and children who feel safe both inside and outside their homes; </w:t>
      </w:r>
    </w:p>
    <w:p w14:paraId="38AA9F52" w14:textId="77777777" w:rsidR="00E61C26" w:rsidRDefault="00E61C26" w:rsidP="00E61C26">
      <w:pPr>
        <w:pStyle w:val="ListBullet2"/>
        <w:tabs>
          <w:tab w:val="clear" w:pos="1247"/>
          <w:tab w:val="num" w:pos="1530"/>
        </w:tabs>
        <w:ind w:left="1531"/>
      </w:pPr>
      <w:r>
        <w:t xml:space="preserve">provide holistic responses through joined-up systems and services; </w:t>
      </w:r>
    </w:p>
    <w:p w14:paraId="04AEEC2D" w14:textId="77777777" w:rsidR="00E61C26" w:rsidRDefault="00E61C26" w:rsidP="00E61C26">
      <w:pPr>
        <w:pStyle w:val="ListBullet2"/>
        <w:tabs>
          <w:tab w:val="clear" w:pos="1247"/>
          <w:tab w:val="num" w:pos="1530"/>
        </w:tabs>
        <w:ind w:left="1531"/>
      </w:pPr>
      <w:r>
        <w:t xml:space="preserve">hold men who use violence to account and work to change their behaviour; </w:t>
      </w:r>
    </w:p>
    <w:p w14:paraId="45A73697" w14:textId="77777777" w:rsidR="00E61C26" w:rsidRDefault="00E61C26" w:rsidP="00E61C26">
      <w:pPr>
        <w:pStyle w:val="ListBullet2"/>
        <w:numPr>
          <w:ilvl w:val="0"/>
          <w:numId w:val="0"/>
        </w:numPr>
        <w:ind w:left="1531"/>
      </w:pPr>
      <w:r>
        <w:t xml:space="preserve"> increase the number of women and children subjected to violence who engage with the criminal justice system; and </w:t>
      </w:r>
    </w:p>
    <w:p w14:paraId="3AE61A32" w14:textId="77777777" w:rsidR="00E61C26" w:rsidRDefault="00E61C26" w:rsidP="00E61C26">
      <w:pPr>
        <w:pStyle w:val="ListBullet2"/>
        <w:tabs>
          <w:tab w:val="clear" w:pos="1247"/>
          <w:tab w:val="num" w:pos="1530"/>
        </w:tabs>
        <w:ind w:left="1531"/>
      </w:pPr>
      <w:r>
        <w:t xml:space="preserve">reduce the rates of homelessness for women and children subjected to violence. </w:t>
      </w:r>
    </w:p>
    <w:p w14:paraId="2887B3C0" w14:textId="77777777" w:rsidR="00E61C26" w:rsidRDefault="00E61C26" w:rsidP="00E61C26">
      <w:pPr>
        <w:pStyle w:val="BodyText1"/>
      </w:pPr>
      <w:r>
        <w:t>The ACT Strategy has progressed through implementation plans, with a Second Implementation Plan completed. Delivery of the ACT Strategy was finalised at the end of 2017. The Strategy’s focus will continue in future years through the ACT's commitments under the National Plan's Third Action Plan (Third Action Plan). This aims to reduce duplication of reporting requirements allowing the ACT to focus more attention on supporting the initiatives that were identified in the Safer Families package.</w:t>
      </w:r>
      <w:r>
        <w:rPr>
          <w:rStyle w:val="FootnoteReference"/>
        </w:rPr>
        <w:footnoteReference w:id="40"/>
      </w:r>
    </w:p>
    <w:p w14:paraId="7907A071" w14:textId="77777777" w:rsidR="00E61C26" w:rsidRPr="000B08F5" w:rsidRDefault="00E61C26" w:rsidP="00E61C26">
      <w:pPr>
        <w:pStyle w:val="Headinglevel5"/>
      </w:pPr>
      <w:r w:rsidRPr="000B08F5">
        <w:t>ACT Wo</w:t>
      </w:r>
      <w:r>
        <w:t>m</w:t>
      </w:r>
      <w:r w:rsidRPr="000B08F5">
        <w:t>en’s Plan 2016-26 and First Action Plan</w:t>
      </w:r>
    </w:p>
    <w:p w14:paraId="34A30B22" w14:textId="77777777" w:rsidR="00E61C26" w:rsidRDefault="00E61C26" w:rsidP="00E61C26">
      <w:pPr>
        <w:pStyle w:val="BodyText1"/>
      </w:pPr>
      <w:r>
        <w:t>The ACT Government submission sets out the plan foundations to be applied to its DFV strategies and plans as follows:</w:t>
      </w:r>
    </w:p>
    <w:p w14:paraId="6DEEE965" w14:textId="77777777" w:rsidR="00E61C26" w:rsidRDefault="00E61C26" w:rsidP="00E61C26">
      <w:pPr>
        <w:pStyle w:val="Quote"/>
      </w:pPr>
      <w:r>
        <w:lastRenderedPageBreak/>
        <w:t>The Government recognises that gender equality as at the core of the problem of violence against women, including domestic and family violence and it is at the heart of the solution. The primary policy framework for gender equality is the ACT Women's Plan 2016-26 (Women's Plan). It sets out the ACT Government's ongoing commitment to work in partnership with non-government organisations, business and the broader community towards gender equality for all ACT Women. It outlines priority areas for action and a structure for how work will be progressed to enhance the economic status, social inclusion, safety and wellbeing of ACT women, particularly groups of women subject to multiple layers of discrimination.</w:t>
      </w:r>
      <w:r>
        <w:rPr>
          <w:rStyle w:val="FootnoteReference"/>
        </w:rPr>
        <w:footnoteReference w:id="41"/>
      </w:r>
      <w:r>
        <w:t xml:space="preserve"> </w:t>
      </w:r>
    </w:p>
    <w:p w14:paraId="017CC3ED" w14:textId="66433802" w:rsidR="00E61C26" w:rsidRDefault="00E61C26" w:rsidP="00E61C26">
      <w:pPr>
        <w:pStyle w:val="BodyText1"/>
      </w:pPr>
      <w:r>
        <w:t xml:space="preserve">The Women’s Plan is being implemented through a </w:t>
      </w:r>
      <w:r w:rsidR="00A27C29">
        <w:t>three-year</w:t>
      </w:r>
      <w:r>
        <w:t xml:space="preserve"> period; the first year being 2017-19 focussing on equity and well-being, physical and mental health.  Following action plans will focus on housing and homelessness, safety and economic security and leadership.</w:t>
      </w:r>
      <w:r>
        <w:rPr>
          <w:rStyle w:val="FootnoteReference"/>
        </w:rPr>
        <w:footnoteReference w:id="42"/>
      </w:r>
    </w:p>
    <w:p w14:paraId="2A7514DE" w14:textId="77777777" w:rsidR="00E61C26" w:rsidRDefault="00E61C26" w:rsidP="00E61C26">
      <w:pPr>
        <w:pStyle w:val="BodyText1"/>
      </w:pPr>
      <w:r>
        <w:t>Two reviews of the Plan were conducted as follows:</w:t>
      </w:r>
    </w:p>
    <w:p w14:paraId="68AE6436" w14:textId="77777777" w:rsidR="00E61C26" w:rsidRDefault="00E61C26" w:rsidP="00E61C26">
      <w:pPr>
        <w:pStyle w:val="Quote"/>
      </w:pPr>
      <w:r>
        <w:t xml:space="preserve">In April 2015, the Domestic Violence Prevention Council (DVPC) held an Extraordinary Meeting that was attended by members of the community, the Legislative Assembly and the ACT Public Service. Following the Extraordinary Meeting, the DVPC released a report outlining a number of recommendations, and the ACT Government released a response to that report in August 2015. Concurrently, the DVPC prepared the </w:t>
      </w:r>
      <w:r w:rsidRPr="0046748C">
        <w:rPr>
          <w:i/>
        </w:rPr>
        <w:t>Review of Domestic and Family Violence Deaths in the AC</w:t>
      </w:r>
      <w:r>
        <w:rPr>
          <w:i/>
        </w:rPr>
        <w:t>T</w:t>
      </w:r>
      <w:r>
        <w:t xml:space="preserve">, (the ‘Death’ review) released in April 2016 and the ACT Government commenced a review into service system gaps in the ACT, which was informed by a literature review of international best practice. That review resulted in the </w:t>
      </w:r>
      <w:r w:rsidRPr="0046748C">
        <w:rPr>
          <w:i/>
        </w:rPr>
        <w:t>Domestic Violence Service System Gap Analysis Project Final Report</w:t>
      </w:r>
      <w:r>
        <w:rPr>
          <w:i/>
        </w:rPr>
        <w:t xml:space="preserve"> </w:t>
      </w:r>
      <w:r w:rsidRPr="006B135F">
        <w:t>(the ‘Gap’ review)</w:t>
      </w:r>
      <w:r>
        <w:t xml:space="preserve"> being released in March 2016.</w:t>
      </w:r>
      <w:r>
        <w:rPr>
          <w:rStyle w:val="FootnoteReference"/>
        </w:rPr>
        <w:footnoteReference w:id="43"/>
      </w:r>
    </w:p>
    <w:p w14:paraId="05474F9D" w14:textId="77777777" w:rsidR="00E61C26" w:rsidRDefault="00E61C26" w:rsidP="00E61C26">
      <w:pPr>
        <w:pStyle w:val="BodyText1"/>
      </w:pPr>
      <w:r>
        <w:t>A further review was undertaken and reported as follows:</w:t>
      </w:r>
    </w:p>
    <w:p w14:paraId="1BC5E9B1" w14:textId="77777777" w:rsidR="00E61C26" w:rsidRDefault="00E61C26" w:rsidP="00E61C26">
      <w:pPr>
        <w:pStyle w:val="Quote"/>
      </w:pPr>
      <w:r>
        <w:t>In February 2016 Laurie Glanfield was engaged to review system level responses to family violence in the ACT following a series of tragic family violence-related deaths. This inquiry resulted in the Report of the Inquiry: Review into the system level responses to family violence in the ACT published in April 2016. In June 2016, the ACT Government released the ACT Government Response to Family Violence, which responded to all the reports and outlined a new, comprehensive approach to domestic and family violence in the ACT.</w:t>
      </w:r>
      <w:r>
        <w:rPr>
          <w:rStyle w:val="FootnoteReference"/>
        </w:rPr>
        <w:footnoteReference w:id="44"/>
      </w:r>
    </w:p>
    <w:p w14:paraId="12A2F2DC" w14:textId="77777777" w:rsidR="00E61C26" w:rsidRDefault="00E61C26" w:rsidP="00E61C26">
      <w:pPr>
        <w:pStyle w:val="BodyText1"/>
      </w:pPr>
      <w:r>
        <w:t>The Committee’s Issues Paper highlighted this re-focussing process, a matter described as follows in the ACT Government submission:</w:t>
      </w:r>
    </w:p>
    <w:p w14:paraId="104BA74F" w14:textId="77777777" w:rsidR="00E61C26" w:rsidRDefault="00E61C26" w:rsidP="00E61C26">
      <w:pPr>
        <w:pStyle w:val="Quote"/>
      </w:pPr>
      <w:r>
        <w:lastRenderedPageBreak/>
        <w:t xml:space="preserve">The Government is progressing a multi-pronged approach to respond to domestic and family violence in the ACT through the ACT Government Response to Family Violence and the Safer Families package. The Safer Families package was funded in 2016-17 and was expanded in 2017-18. The Government Response presented two transformational shifts in the way that domestic and family violence is managed in the ACT. The first shift is to a legislative framework that provides much stronger protections for victims of domestic and family violence through the Family Violence Act 2016 and the Reportable Conduct and Information· Sharing Legislation Amendment Act 2016. </w:t>
      </w:r>
    </w:p>
    <w:p w14:paraId="415E3CD1" w14:textId="156D7762" w:rsidR="00E61C26" w:rsidRDefault="00E61C26" w:rsidP="00E61C26">
      <w:pPr>
        <w:pStyle w:val="Quote"/>
      </w:pPr>
      <w:r>
        <w:t xml:space="preserve">The second shift is to create a dedicated Coordinator-General for Family Safety (Coordinator-General). The first full-time Coordinator-General commenced on 31 October 2016. The Coordinator-General will be responsible for embedding a whole of government approach and changing the way Government works with non-government services and the Canberra </w:t>
      </w:r>
      <w:r w:rsidR="00A27C29">
        <w:t>community.</w:t>
      </w:r>
    </w:p>
    <w:p w14:paraId="575003D4" w14:textId="77777777" w:rsidR="00E61C26" w:rsidRDefault="00E61C26" w:rsidP="00E61C26">
      <w:pPr>
        <w:pStyle w:val="BodyText1"/>
      </w:pPr>
      <w:r>
        <w:t>The Committee deals with the implementation of the Safer Families initiative in detail in Chapter 7.</w:t>
      </w:r>
    </w:p>
    <w:p w14:paraId="33AFB70E" w14:textId="77777777" w:rsidR="00E61C26" w:rsidRDefault="00E61C26" w:rsidP="00E61C26">
      <w:pPr>
        <w:pStyle w:val="BodyText1"/>
      </w:pPr>
      <w:r>
        <w:t>In relation to implementation of current policy approaches and responses to DFV, the ACT Government summarised and described process as follows:</w:t>
      </w:r>
    </w:p>
    <w:p w14:paraId="770E6228" w14:textId="77777777" w:rsidR="00E61C26" w:rsidRDefault="00E61C26" w:rsidP="00E61C26">
      <w:pPr>
        <w:pStyle w:val="Quote"/>
      </w:pPr>
      <w:r>
        <w:t>The ACT approach is within the following broad categories:</w:t>
      </w:r>
    </w:p>
    <w:p w14:paraId="7DD8A312" w14:textId="77777777" w:rsidR="00E61C26" w:rsidRDefault="00E61C26" w:rsidP="00E61C26">
      <w:pPr>
        <w:pStyle w:val="Quote"/>
      </w:pPr>
      <w:r>
        <w:t>• Prevention and early intervention</w:t>
      </w:r>
    </w:p>
    <w:p w14:paraId="7AF4E432" w14:textId="77777777" w:rsidR="00E61C26" w:rsidRDefault="00E61C26" w:rsidP="00E61C26">
      <w:pPr>
        <w:pStyle w:val="Quote"/>
      </w:pPr>
      <w:r>
        <w:t xml:space="preserve">• perpetrator programs or interventions </w:t>
      </w:r>
    </w:p>
    <w:p w14:paraId="1FE33958" w14:textId="77777777" w:rsidR="00E61C26" w:rsidRDefault="00E61C26" w:rsidP="00E61C26">
      <w:pPr>
        <w:pStyle w:val="Quote"/>
      </w:pPr>
      <w:r>
        <w:t xml:space="preserve">• crisis and post-crisis response </w:t>
      </w:r>
    </w:p>
    <w:p w14:paraId="6B1B9D16" w14:textId="77777777" w:rsidR="00E61C26" w:rsidRDefault="00E61C26" w:rsidP="00E61C26">
      <w:pPr>
        <w:pStyle w:val="Quote"/>
      </w:pPr>
      <w:r>
        <w:t xml:space="preserve">• cultural change and system improvements </w:t>
      </w:r>
    </w:p>
    <w:p w14:paraId="1D665712" w14:textId="5BFF5740" w:rsidR="00E61C26" w:rsidRDefault="00E61C26" w:rsidP="00E61C26">
      <w:pPr>
        <w:pStyle w:val="BodyText1"/>
      </w:pPr>
      <w:r>
        <w:t>The Committee discusses these areas of response.  The Committee notes that views put to it during the inquiry were directed to matters which (</w:t>
      </w:r>
      <w:r w:rsidR="00A27C29">
        <w:t>considering</w:t>
      </w:r>
      <w:r>
        <w:t xml:space="preserve"> the Issues Paper comment and observations) submitters saw as principal policy responses to the Committee’s terms of reference.</w:t>
      </w:r>
    </w:p>
    <w:p w14:paraId="7A270D99" w14:textId="77777777" w:rsidR="00E61C26" w:rsidRDefault="00E61C26" w:rsidP="00E61C26">
      <w:pPr>
        <w:pStyle w:val="BodyText1"/>
      </w:pPr>
      <w:r>
        <w:t>The Committee highlights that these responses are in relation to ACT policy and program responses to DFV.  This description presents the scope of matters addressed in submissions and by the Committee.  They are not primarily addressing new initiatives – or those specifically funded under Safer Families initiative:</w:t>
      </w:r>
    </w:p>
    <w:p w14:paraId="4741B266" w14:textId="77777777" w:rsidR="00E61C26" w:rsidRDefault="00E61C26" w:rsidP="00E61C26">
      <w:pPr>
        <w:pStyle w:val="Quote"/>
      </w:pPr>
      <w:r>
        <w:t xml:space="preserve">The ACT Government and the community sector are delivering a range of other programs to address domestic and family violence and some important initiatives have been in place for a number of years. While initiatives are classified into prevention, early intervention or crisis response, it should be noted that one initiative may have multiple outcomes. For example, an initiative to train health professionals to better recognise and respond to people experiencing domestic and family violence might fall into the categories of early intervention, crisis response and cultural change. </w:t>
      </w:r>
    </w:p>
    <w:p w14:paraId="3E65CACC" w14:textId="77777777" w:rsidR="00E61C26" w:rsidRDefault="00E61C26" w:rsidP="00E61C26">
      <w:pPr>
        <w:pStyle w:val="Quote"/>
      </w:pPr>
      <w:r>
        <w:lastRenderedPageBreak/>
        <w:t>Early intervention would occur if a health professional identified a woman who is at risk of experiencing violence, however, it would be a crisis response if the women presented to the health professional having been assaulted. Cultural change stems from increased awareness and identification of domestic and family violence, which Is facilitated through training the health professional.</w:t>
      </w:r>
      <w:r>
        <w:rPr>
          <w:rStyle w:val="FootnoteReference"/>
        </w:rPr>
        <w:footnoteReference w:id="45"/>
      </w:r>
    </w:p>
    <w:p w14:paraId="6221C27C" w14:textId="77777777" w:rsidR="00E61C26" w:rsidRDefault="00E61C26" w:rsidP="00E61C26">
      <w:pPr>
        <w:pStyle w:val="Headinglevel3"/>
      </w:pPr>
      <w:r>
        <w:t>Current Policy Initiatives and Responses</w:t>
      </w:r>
    </w:p>
    <w:p w14:paraId="442EE8BC" w14:textId="7A4B1018" w:rsidR="00E61C26" w:rsidRDefault="00E61C26" w:rsidP="00E61C26">
      <w:pPr>
        <w:pStyle w:val="BodyText1"/>
      </w:pPr>
      <w:r>
        <w:t xml:space="preserve">The Committee sets out in paragraphs 5.38, to </w:t>
      </w:r>
      <w:r w:rsidR="00A27C29">
        <w:t>5.50 the</w:t>
      </w:r>
      <w:r>
        <w:t xml:space="preserve"> current program structure in the ACT for addressing DFV.  It does so to provide a picture of current ongoing programs, and to provide comments, views and recommendations on these programs from the submissions received and from evidence taken.</w:t>
      </w:r>
    </w:p>
    <w:p w14:paraId="56A35E65" w14:textId="77777777" w:rsidR="00E61C26" w:rsidRDefault="00E61C26" w:rsidP="00E61C26">
      <w:pPr>
        <w:pStyle w:val="Recommendation"/>
      </w:pPr>
      <w:bookmarkStart w:id="68" w:name="_Toc17279438"/>
      <w:bookmarkEnd w:id="68"/>
    </w:p>
    <w:p w14:paraId="54692A52" w14:textId="77777777" w:rsidR="00E61C26" w:rsidRDefault="00E61C26" w:rsidP="00E61C26">
      <w:pPr>
        <w:pStyle w:val="RecommendationText"/>
      </w:pPr>
      <w:bookmarkStart w:id="69" w:name="_Toc17279439"/>
      <w:r>
        <w:t>The Committee recommends the use of language in the DFV context which allows for perpetrators of DFV to envisage change and to have a place of respect in society if they embrace change.</w:t>
      </w:r>
      <w:bookmarkEnd w:id="69"/>
    </w:p>
    <w:p w14:paraId="61897FA0" w14:textId="77777777" w:rsidR="00E61C26" w:rsidRDefault="00E61C26" w:rsidP="00E61C26">
      <w:pPr>
        <w:pStyle w:val="Recommendation"/>
      </w:pPr>
      <w:bookmarkStart w:id="70" w:name="_Toc17279440"/>
      <w:bookmarkEnd w:id="70"/>
    </w:p>
    <w:p w14:paraId="72F21648" w14:textId="77777777" w:rsidR="00E61C26" w:rsidRPr="007F72ED" w:rsidRDefault="00E61C26" w:rsidP="00E61C26">
      <w:pPr>
        <w:pStyle w:val="RecommendationText"/>
      </w:pPr>
      <w:bookmarkStart w:id="71" w:name="_Toc17279441"/>
      <w:r>
        <w:t>The Committee recommends the use of language in the DFV context which does not exclude any male victims of DFV.</w:t>
      </w:r>
      <w:bookmarkEnd w:id="71"/>
    </w:p>
    <w:p w14:paraId="4C4DBD58" w14:textId="77777777" w:rsidR="00E61C26" w:rsidRDefault="00E61C26" w:rsidP="00E61C26">
      <w:pPr>
        <w:pStyle w:val="Headinglevel3"/>
      </w:pPr>
      <w:r>
        <w:t>Prevention and Early Intervention</w:t>
      </w:r>
    </w:p>
    <w:p w14:paraId="5D65B61A" w14:textId="77777777" w:rsidR="00E61C26" w:rsidRDefault="00E61C26" w:rsidP="00E61C26">
      <w:pPr>
        <w:pStyle w:val="Headinglevel4"/>
      </w:pPr>
      <w:r>
        <w:t>Prevention</w:t>
      </w:r>
    </w:p>
    <w:p w14:paraId="2207FB2F" w14:textId="77777777" w:rsidR="00E61C26" w:rsidRDefault="00E61C26" w:rsidP="00E61C26">
      <w:pPr>
        <w:pStyle w:val="BodyText1"/>
      </w:pPr>
      <w:r>
        <w:t>The principal basis and guide underpinning the current prevention program to combat violence against women is gender equality:</w:t>
      </w:r>
    </w:p>
    <w:p w14:paraId="273BF798" w14:textId="77777777" w:rsidR="00E61C26" w:rsidRDefault="00E61C26" w:rsidP="00E61C26">
      <w:pPr>
        <w:pStyle w:val="Quote"/>
      </w:pPr>
      <w:r>
        <w:t xml:space="preserve">Gender equality and community awareness Promoting gender equality and raising community awareness of the importance of the issue underpins the ACT's approach to prevention of violence against women, including domestic, family and sexual violence. </w:t>
      </w:r>
    </w:p>
    <w:p w14:paraId="42963A91" w14:textId="77777777" w:rsidR="00E61C26" w:rsidRDefault="00E61C26" w:rsidP="00E61C26">
      <w:pPr>
        <w:pStyle w:val="Quote"/>
      </w:pPr>
      <w:r>
        <w:t>Prevention work is ultimately about attitudinal and cultural change, which means it is long-term and intergenerational. It also requires a multi-faceted approach to effect change across all parts of our community.</w:t>
      </w:r>
      <w:r>
        <w:rPr>
          <w:rStyle w:val="FootnoteReference"/>
        </w:rPr>
        <w:footnoteReference w:id="46"/>
      </w:r>
    </w:p>
    <w:p w14:paraId="185196EF" w14:textId="77777777" w:rsidR="00E61C26" w:rsidRDefault="00E61C26" w:rsidP="00E61C26">
      <w:pPr>
        <w:pStyle w:val="BodyText1"/>
      </w:pPr>
      <w:r>
        <w:lastRenderedPageBreak/>
        <w:t>Included in this approach to prevention, as part of the ACT strategy to promote and embed gender analysis as a means of promoting gender equality is that:</w:t>
      </w:r>
    </w:p>
    <w:p w14:paraId="0D180287" w14:textId="77777777" w:rsidR="00E61C26" w:rsidRDefault="00E61C26" w:rsidP="00E61C26">
      <w:pPr>
        <w:pStyle w:val="BodyText1"/>
      </w:pPr>
      <w:r>
        <w:t>This approach aims to ensure that there is a specific assessment of the impact of policy on women across all areas of ACT Government activity. Under the First Action Plan 2017-19 of the ACT Women's Plan 2016-2026, the Government has committed to researching and developing Gender Impact Statements for use across Directorates. This will be complemented by a review of past training modules on Gender Impact Statements to develop recommendations for implementation.</w:t>
      </w:r>
      <w:r>
        <w:rPr>
          <w:rStyle w:val="FootnoteReference"/>
        </w:rPr>
        <w:footnoteReference w:id="47"/>
      </w:r>
    </w:p>
    <w:p w14:paraId="6D25B541" w14:textId="77777777" w:rsidR="00E61C26" w:rsidRDefault="00E61C26" w:rsidP="00E61C26">
      <w:pPr>
        <w:pStyle w:val="BodyText1"/>
      </w:pPr>
      <w:r>
        <w:t>In its public material, and in its submission to the inquiry, (referred to in the ACT Government submission) the national organisation, Our Watch, highlighted - in the context of this analysis of current policy - that the underlying driver of continued violence against women is gender inequality.</w:t>
      </w:r>
    </w:p>
    <w:p w14:paraId="5AA77200" w14:textId="77777777" w:rsidR="00E61C26" w:rsidRDefault="00E61C26" w:rsidP="00E61C26">
      <w:pPr>
        <w:pStyle w:val="BodyText1"/>
      </w:pPr>
      <w:r>
        <w:t xml:space="preserve">Our Watch told the committee that </w:t>
      </w:r>
    </w:p>
    <w:p w14:paraId="64CD5FB6" w14:textId="77777777" w:rsidR="00E61C26" w:rsidRDefault="00E61C26" w:rsidP="00E61C26">
      <w:pPr>
        <w:pStyle w:val="Quote"/>
      </w:pPr>
      <w:r>
        <w:t>…there are particular expressions or manifestations of gender inequality that are most consistently associated with higher levels of violence against women. And are referred to in as the 'gendered drivers' of violence against women.</w:t>
      </w:r>
    </w:p>
    <w:p w14:paraId="35DDB0AB" w14:textId="77777777" w:rsidR="00E61C26" w:rsidRDefault="00E61C26" w:rsidP="00E61C26">
      <w:pPr>
        <w:pStyle w:val="Quote"/>
      </w:pPr>
      <w:r>
        <w:t xml:space="preserve">A range of international evidence finds that these gendered drivers arise from unequal and discriminatory institutional, social and economic structures, social and cultural norms, and organisational, community, family and relationship practices. Together, these structures, norms · and practices create environments in which women and men are not considered equal, and violence against women is tolerated and even condoned </w:t>
      </w:r>
    </w:p>
    <w:p w14:paraId="14CF6B03" w14:textId="77777777" w:rsidR="00E61C26" w:rsidRDefault="00E61C26" w:rsidP="00E61C26">
      <w:pPr>
        <w:pStyle w:val="Quote"/>
      </w:pPr>
      <w:r>
        <w:t>The gendered drivers of violence against women outlined in the framework are as follows:</w:t>
      </w:r>
    </w:p>
    <w:p w14:paraId="7449123A" w14:textId="32AE2F09" w:rsidR="00E61C26" w:rsidRDefault="00E61C26" w:rsidP="00E61C26">
      <w:pPr>
        <w:pStyle w:val="Quote"/>
      </w:pPr>
      <w:r>
        <w:t xml:space="preserve">1) Condoning of violence against women </w:t>
      </w:r>
    </w:p>
    <w:p w14:paraId="324D277E" w14:textId="77777777" w:rsidR="00E61C26" w:rsidRDefault="00E61C26" w:rsidP="00E61C26">
      <w:pPr>
        <w:pStyle w:val="Quote"/>
      </w:pPr>
      <w:r>
        <w:t xml:space="preserve">2) Men’s control of decision-making and limits to women's independence in public life and relationships </w:t>
      </w:r>
    </w:p>
    <w:p w14:paraId="54F0E051" w14:textId="77777777" w:rsidR="00E61C26" w:rsidRDefault="00E61C26" w:rsidP="00E61C26">
      <w:pPr>
        <w:pStyle w:val="Quote"/>
      </w:pPr>
      <w:r>
        <w:t xml:space="preserve">3) Rigid gender roles and identities </w:t>
      </w:r>
    </w:p>
    <w:p w14:paraId="37DA7192" w14:textId="77777777" w:rsidR="00E61C26" w:rsidRDefault="00E61C26" w:rsidP="00E61C26">
      <w:pPr>
        <w:pStyle w:val="Quote"/>
      </w:pPr>
      <w:r>
        <w:t>4) Male peer relations that emphasise aggression and disrespect towards women.</w:t>
      </w:r>
      <w:r>
        <w:rPr>
          <w:rStyle w:val="FootnoteReference"/>
        </w:rPr>
        <w:footnoteReference w:id="48"/>
      </w:r>
    </w:p>
    <w:p w14:paraId="5243C854" w14:textId="77777777" w:rsidR="00E61C26" w:rsidRDefault="00E61C26" w:rsidP="00E61C26">
      <w:pPr>
        <w:pStyle w:val="BodyText1"/>
      </w:pPr>
      <w:r>
        <w:t>As an active initiative, the ACT Government has – in 2016 and 2017 – through the Office for Women led participation in social media and community activities to support messages and campaign to support the international 16 Days of Activism Against Gender-Based Violence; an international campaign seeking to support and encourage actions to end violence against women and girls.</w:t>
      </w:r>
      <w:r>
        <w:rPr>
          <w:rStyle w:val="FootnoteReference"/>
        </w:rPr>
        <w:footnoteReference w:id="49"/>
      </w:r>
    </w:p>
    <w:p w14:paraId="0D6913A3" w14:textId="77777777" w:rsidR="00E61C26" w:rsidRDefault="00E61C26" w:rsidP="00E61C26">
      <w:pPr>
        <w:pStyle w:val="Headinglevel4"/>
      </w:pPr>
      <w:r>
        <w:lastRenderedPageBreak/>
        <w:t>Community-led Prevention</w:t>
      </w:r>
    </w:p>
    <w:p w14:paraId="132314E2" w14:textId="77777777" w:rsidR="00E61C26" w:rsidRDefault="00E61C26" w:rsidP="00E61C26">
      <w:pPr>
        <w:pStyle w:val="BodyText1"/>
      </w:pPr>
      <w:r>
        <w:t>As the ACT Government submission notes, ‘Gender equality is not something that will be achieved by government action alone.</w:t>
      </w:r>
      <w:r>
        <w:rPr>
          <w:rStyle w:val="FootnoteReference"/>
        </w:rPr>
        <w:footnoteReference w:id="50"/>
      </w:r>
    </w:p>
    <w:p w14:paraId="43E4CC36" w14:textId="77777777" w:rsidR="00E61C26" w:rsidRDefault="00E61C26" w:rsidP="00E61C26">
      <w:pPr>
        <w:pStyle w:val="BodyText1"/>
      </w:pPr>
      <w:r>
        <w:t>The ACT policy responses and activities have in place grants, awards leadership programs and scholarships, as well as other support to provide support for community endorsement of gender equality as a central strategy of prevention of domestic and family violence.  A breakdown of these incentives and supports is set out in the ACT Government submission.</w:t>
      </w:r>
      <w:r>
        <w:rPr>
          <w:rStyle w:val="FootnoteReference"/>
        </w:rPr>
        <w:footnoteReference w:id="51"/>
      </w:r>
    </w:p>
    <w:p w14:paraId="3B7B109B" w14:textId="4A66D6A7" w:rsidR="00E61C26" w:rsidRDefault="00E61C26" w:rsidP="00E61C26">
      <w:pPr>
        <w:pStyle w:val="BodyText1"/>
      </w:pPr>
      <w:r>
        <w:t xml:space="preserve">Funding of the activities through the Women’s Safety Grants program provided a total </w:t>
      </w:r>
      <w:r w:rsidR="00A27C29">
        <w:t>of $</w:t>
      </w:r>
      <w:r>
        <w:t xml:space="preserve">100,000 in 2016-17 with applications for sums </w:t>
      </w:r>
      <w:r w:rsidR="00A27C29">
        <w:t>of up</w:t>
      </w:r>
      <w:r>
        <w:t xml:space="preserve"> to $15 000 available in individual grants, which included grants for:</w:t>
      </w:r>
    </w:p>
    <w:p w14:paraId="7B38CDBE" w14:textId="77777777" w:rsidR="00E61C26" w:rsidRPr="00625861" w:rsidRDefault="00E61C26" w:rsidP="00E61C26">
      <w:pPr>
        <w:pStyle w:val="ListBullet2"/>
      </w:pPr>
      <w:r>
        <w:t xml:space="preserve"> lunch time educational sessions within the construction, building and automotive industries in </w:t>
      </w:r>
      <w:r w:rsidRPr="00625861">
        <w:t>the Canberra region with the aim of preventing domestic and family violence;</w:t>
      </w:r>
    </w:p>
    <w:p w14:paraId="4D39DE25" w14:textId="77777777" w:rsidR="00E61C26" w:rsidRPr="00625861" w:rsidRDefault="00E61C26" w:rsidP="00E61C26">
      <w:pPr>
        <w:pStyle w:val="ListBullet2"/>
      </w:pPr>
      <w:r w:rsidRPr="00625861">
        <w:t>a project targeted towards children and young people to develop skills in communication, problem solving and relationship building with the aim of preventing domestic and family violence;</w:t>
      </w:r>
    </w:p>
    <w:p w14:paraId="400C0F7A" w14:textId="77777777" w:rsidR="00E61C26" w:rsidRPr="00625861" w:rsidRDefault="00E61C26" w:rsidP="00E61C26">
      <w:pPr>
        <w:pStyle w:val="ListBullet2"/>
      </w:pPr>
      <w:r w:rsidRPr="00625861">
        <w:t xml:space="preserve">the development of two videos featuring women, children and men from a diverse range of backgrounds and sectors of the Canberra community that explain why it matters how we speak about intimate partner and family violence; </w:t>
      </w:r>
    </w:p>
    <w:p w14:paraId="29BA9396" w14:textId="77777777" w:rsidR="00E61C26" w:rsidRPr="00625861" w:rsidRDefault="00E61C26" w:rsidP="00E61C26">
      <w:pPr>
        <w:pStyle w:val="ListBullet2"/>
      </w:pPr>
      <w:r w:rsidRPr="00625861">
        <w:t xml:space="preserve">a prevention of intimate partner and sexual violence in LGBTIQ communities project utilising a bystander approach to prevention; and </w:t>
      </w:r>
    </w:p>
    <w:p w14:paraId="75BCBA47" w14:textId="77777777" w:rsidR="00E61C26" w:rsidRDefault="00E61C26" w:rsidP="00E61C26">
      <w:pPr>
        <w:pStyle w:val="ListBullet2"/>
      </w:pPr>
      <w:r w:rsidRPr="00625861">
        <w:t xml:space="preserve"> a project to provide online training for workers in the disability sector to understand the nature and effect of violence on women with disabilities, how to identify if women may be victims of violence, as well as how to assist them to improve the safety of women with disabilities in group accommodation settings and the wider community.</w:t>
      </w:r>
    </w:p>
    <w:p w14:paraId="64433F5C" w14:textId="77777777" w:rsidR="00E61C26" w:rsidRDefault="00E61C26" w:rsidP="00E61C26">
      <w:pPr>
        <w:pStyle w:val="Headinglevel5"/>
      </w:pPr>
      <w:r>
        <w:t>Views put to the Committee</w:t>
      </w:r>
    </w:p>
    <w:p w14:paraId="02E29926" w14:textId="77777777" w:rsidR="00E61C26" w:rsidRDefault="00E61C26" w:rsidP="00E61C26">
      <w:pPr>
        <w:pStyle w:val="BodyText1"/>
      </w:pPr>
      <w:r>
        <w:t>In its submission, Our Watch emphasised that there are essential ways that government can and should prioritise action for prevention of gender drivers of violence.  This requires prevention initiatives which are recognised as having proven effectiveness (after considerable evaluation) in reducing future perpetration and victimisation.</w:t>
      </w:r>
    </w:p>
    <w:p w14:paraId="4A19E96C" w14:textId="77777777" w:rsidR="00E61C26" w:rsidRDefault="00E61C26" w:rsidP="00E61C26">
      <w:pPr>
        <w:pStyle w:val="BodyText1"/>
      </w:pPr>
      <w:r>
        <w:t>Our Watch, echoing other submissions and evidence to the Committee, notes that:</w:t>
      </w:r>
    </w:p>
    <w:p w14:paraId="5F1CAAED" w14:textId="77777777" w:rsidR="00E61C26" w:rsidRDefault="00E61C26" w:rsidP="00E61C26">
      <w:pPr>
        <w:pStyle w:val="Quote"/>
      </w:pPr>
      <w:r>
        <w:lastRenderedPageBreak/>
        <w:t>The ultimate purpose of primary prevention activities and strategies is to prevent violence against women before it occurs, hence the focus must be on targeted and coordinated actions that seek to transform attitudes and behaviours by targeting the key social determinants of violence at the individual, relationship, community and societal levels.</w:t>
      </w:r>
      <w:r>
        <w:rPr>
          <w:rStyle w:val="FootnoteReference"/>
        </w:rPr>
        <w:footnoteReference w:id="52"/>
      </w:r>
    </w:p>
    <w:p w14:paraId="69D63D02" w14:textId="77777777" w:rsidR="00E61C26" w:rsidRDefault="00E61C26" w:rsidP="00E61C26">
      <w:pPr>
        <w:pStyle w:val="BodyText1"/>
      </w:pPr>
      <w:r>
        <w:t>The principal drivers of gender-based inequality identified as the basis for policy and responses are the basis of ACT policy initiatives, and are addressed as:</w:t>
      </w:r>
    </w:p>
    <w:p w14:paraId="5AEF59AE" w14:textId="77777777" w:rsidR="00E61C26" w:rsidRDefault="00E61C26" w:rsidP="00E61C26">
      <w:pPr>
        <w:pStyle w:val="Quote"/>
      </w:pPr>
      <w:r>
        <w:t>Violence against women cannot be prevented if it is addressed in isolation from the social context, nor if our responses focus only on the symptoms and impacts. Preventing this violence - that is, stopping it before its starts - requires a broad and significant challenge to its underlying drivers, involving work at every level - with individuals, communities, and organisations, and changes to the systems, structures and social and cultural norms of Australian society as a whole. State and territory governments, including the ACT Government, can make a significant contribution to this whole of society effort.</w:t>
      </w:r>
      <w:r>
        <w:rPr>
          <w:rStyle w:val="FootnoteReference"/>
        </w:rPr>
        <w:footnoteReference w:id="53"/>
      </w:r>
    </w:p>
    <w:p w14:paraId="2B504DE4" w14:textId="77777777" w:rsidR="00E61C26" w:rsidRDefault="00E61C26" w:rsidP="00E61C26">
      <w:pPr>
        <w:pStyle w:val="BodyText1"/>
      </w:pPr>
      <w:r>
        <w:t>Views of other submitters and witnesses, while endorsing this underpinning principle and approach, noted that the National Plan made several observations endorsing the basis of the prevention of DFV</w:t>
      </w:r>
      <w:r>
        <w:rPr>
          <w:rStyle w:val="FootnoteReference"/>
        </w:rPr>
        <w:footnoteReference w:id="54"/>
      </w:r>
      <w:r>
        <w:t>:</w:t>
      </w:r>
    </w:p>
    <w:p w14:paraId="42C8E9F6" w14:textId="77777777" w:rsidR="00E61C26" w:rsidRPr="00AE7BED" w:rsidRDefault="00E61C26" w:rsidP="00E61C26">
      <w:pPr>
        <w:pStyle w:val="Quote"/>
      </w:pPr>
      <w:r w:rsidRPr="00AE7BED">
        <w:t>The National Plan targets two main types of violence: domestic and family violence and sexual assault. These crimes are gendered crimes – that is they have an unequal impact on women.</w:t>
      </w:r>
    </w:p>
    <w:p w14:paraId="30C45CCF" w14:textId="25FB955A" w:rsidR="00E61C26" w:rsidRPr="00AE7BED" w:rsidRDefault="00E61C26" w:rsidP="00E61C26">
      <w:pPr>
        <w:pStyle w:val="Quote"/>
      </w:pPr>
      <w:r w:rsidRPr="00AE7BED">
        <w:t xml:space="preserve">Whilst there are many forms of violent behaviour perpetrated against women, domestic violence and sexual assault are the most pervasive forms of violence experienced by women in </w:t>
      </w:r>
      <w:r w:rsidR="00A27C29" w:rsidRPr="00AE7BED">
        <w:t>Australia and</w:t>
      </w:r>
      <w:r w:rsidRPr="00AE7BED">
        <w:t xml:space="preserve"> require an immediate and focused response.</w:t>
      </w:r>
      <w:r>
        <w:rPr>
          <w:rStyle w:val="FootnoteReference"/>
        </w:rPr>
        <w:footnoteReference w:id="55"/>
      </w:r>
    </w:p>
    <w:p w14:paraId="78292DE3" w14:textId="77777777" w:rsidR="00E61C26" w:rsidRDefault="00E61C26" w:rsidP="00E61C26">
      <w:pPr>
        <w:pStyle w:val="Headinglevel4"/>
      </w:pPr>
      <w:r>
        <w:t>Committee Comment</w:t>
      </w:r>
    </w:p>
    <w:p w14:paraId="5ED2629C" w14:textId="77777777" w:rsidR="00E61C26" w:rsidRDefault="00E61C26" w:rsidP="00E61C26">
      <w:pPr>
        <w:pStyle w:val="BodyText1"/>
      </w:pPr>
      <w:r>
        <w:t>The Committee considers the overall current direction of a policy of primary prevention of domestic violence against women in the ACT addresses the need to recognise and build on the fundamental reasons for such violence.  This particularly the case involving the activities, educational and awareness-raising initiatives directed at community-led prevention conducted by ACT Government.</w:t>
      </w:r>
      <w:r>
        <w:rPr>
          <w:rStyle w:val="FootnoteReference"/>
        </w:rPr>
        <w:footnoteReference w:id="56"/>
      </w:r>
    </w:p>
    <w:p w14:paraId="481DF255" w14:textId="77777777" w:rsidR="00E61C26" w:rsidRDefault="00E61C26" w:rsidP="00E61C26">
      <w:pPr>
        <w:pStyle w:val="BodyText1"/>
      </w:pPr>
      <w:r>
        <w:t xml:space="preserve">The Committee also notes that the following sections of this chapter deal with elements of the prevention of DFV which highlight the need to provide responses to events, but also the need </w:t>
      </w:r>
      <w:r>
        <w:lastRenderedPageBreak/>
        <w:t>to act within the community to ensure that causative elements for DFV are credible and identified.</w:t>
      </w:r>
    </w:p>
    <w:p w14:paraId="3FE683CA" w14:textId="77777777" w:rsidR="00E61C26" w:rsidRDefault="00E61C26" w:rsidP="00E61C26">
      <w:pPr>
        <w:pStyle w:val="BodyText1"/>
      </w:pPr>
      <w:r>
        <w:t>The Committee considers that, in light of a range of views put to it, several observations can be made as recommendations for consideration by government and by agencies and other by bodies which must engage with victims of DFV.</w:t>
      </w:r>
    </w:p>
    <w:p w14:paraId="095ABF38" w14:textId="77777777" w:rsidR="00E61C26" w:rsidRPr="008B1A05" w:rsidRDefault="00E61C26" w:rsidP="00E61C26">
      <w:pPr>
        <w:pStyle w:val="Recommendation"/>
      </w:pPr>
      <w:r w:rsidRPr="008B1A05">
        <w:t xml:space="preserve"> </w:t>
      </w:r>
      <w:bookmarkStart w:id="72" w:name="_Toc17279442"/>
      <w:bookmarkEnd w:id="72"/>
    </w:p>
    <w:p w14:paraId="79666ADB" w14:textId="77777777" w:rsidR="00E61C26" w:rsidRDefault="00E61C26" w:rsidP="00E61C26">
      <w:pPr>
        <w:pStyle w:val="RecommendationText"/>
      </w:pPr>
      <w:bookmarkStart w:id="73" w:name="_Toc17279443"/>
      <w:r>
        <w:t>The Committee recommends that, in reflecting the need for community awareness and gender equality, several principles be adopted, namely that:</w:t>
      </w:r>
      <w:bookmarkEnd w:id="73"/>
    </w:p>
    <w:p w14:paraId="691E5781" w14:textId="77777777" w:rsidR="00E61C26" w:rsidRPr="002C088D" w:rsidRDefault="00E61C26" w:rsidP="003745A3">
      <w:pPr>
        <w:pStyle w:val="RecommendationText"/>
        <w:numPr>
          <w:ilvl w:val="0"/>
          <w:numId w:val="25"/>
        </w:numPr>
      </w:pPr>
      <w:bookmarkStart w:id="74" w:name="_Toc17279444"/>
      <w:r>
        <w:t>I</w:t>
      </w:r>
      <w:r w:rsidRPr="002C088D">
        <w:t xml:space="preserve">n discussing the issues of </w:t>
      </w:r>
      <w:r>
        <w:t>DFV</w:t>
      </w:r>
      <w:r w:rsidRPr="002C088D">
        <w:t>, language used acknowledges the majority of those presenting for assistance and support are women</w:t>
      </w:r>
      <w:r>
        <w:t>, and;</w:t>
      </w:r>
      <w:bookmarkEnd w:id="74"/>
    </w:p>
    <w:p w14:paraId="4C0FEB1F" w14:textId="77777777" w:rsidR="00E61C26" w:rsidRDefault="00E61C26" w:rsidP="003745A3">
      <w:pPr>
        <w:pStyle w:val="RecommendationText"/>
        <w:numPr>
          <w:ilvl w:val="0"/>
          <w:numId w:val="25"/>
        </w:numPr>
      </w:pPr>
      <w:bookmarkStart w:id="75" w:name="_Toc17279445"/>
      <w:r>
        <w:t>due to both the importance of positive language in reinforcing the ability of many individuals to change and choose to improve themselves, but also because of the gendered nature of the current debate around violence in intimate relationships, that in all communication on this issue, language used be based on the highly motivating concepts of people becoming strong and good partners, fathers mothers and parents.</w:t>
      </w:r>
      <w:bookmarkEnd w:id="75"/>
    </w:p>
    <w:p w14:paraId="19BBD663" w14:textId="77777777" w:rsidR="00E61C26" w:rsidRDefault="00E61C26" w:rsidP="00E61C26">
      <w:pPr>
        <w:pStyle w:val="Headinglevel4"/>
      </w:pPr>
      <w:r>
        <w:t>School-based prevention</w:t>
      </w:r>
    </w:p>
    <w:p w14:paraId="561C4A70" w14:textId="77777777" w:rsidR="00E61C26" w:rsidRDefault="00E61C26" w:rsidP="00E61C26">
      <w:pPr>
        <w:pStyle w:val="BodyText1"/>
      </w:pPr>
      <w:r>
        <w:t>It is a clear that a principal early mode of prevention for DFV can be at the school level.  In the ACT, such programs have been developed since 2015, and have featured:</w:t>
      </w:r>
    </w:p>
    <w:p w14:paraId="1660868D" w14:textId="77777777" w:rsidR="00E61C26" w:rsidRDefault="00E61C26" w:rsidP="00E61C26">
      <w:pPr>
        <w:pStyle w:val="ListBullet2"/>
      </w:pPr>
      <w:r>
        <w:t xml:space="preserve">approaches to the primary prevention of domestic and family violence occur at all levels within schools-including the universal (school-wide), selected (class or group) and targeted (small group or individual) levels. </w:t>
      </w:r>
    </w:p>
    <w:p w14:paraId="10169D3A" w14:textId="77777777" w:rsidR="00E61C26" w:rsidRDefault="00E61C26" w:rsidP="00E61C26">
      <w:pPr>
        <w:pStyle w:val="ListBullet2"/>
      </w:pPr>
      <w:r>
        <w:t>primary prevention approach in schools which aims to effect long term cultural change, through educating children and young people to: build attitudes, norms and behaviour that do not accept violence.</w:t>
      </w:r>
    </w:p>
    <w:p w14:paraId="4E9A70EB" w14:textId="77777777" w:rsidR="00E61C26" w:rsidRDefault="00E61C26" w:rsidP="00E61C26">
      <w:pPr>
        <w:pStyle w:val="ListBullet2"/>
      </w:pPr>
      <w:r>
        <w:t>enhanced understanding of the drivers of violence; and be equipped with skills that assist students to form healthy and respectful relationships.</w:t>
      </w:r>
      <w:r>
        <w:rPr>
          <w:rStyle w:val="FootnoteReference"/>
        </w:rPr>
        <w:footnoteReference w:id="57"/>
      </w:r>
    </w:p>
    <w:p w14:paraId="15EABFB7" w14:textId="77777777" w:rsidR="00E61C26" w:rsidRDefault="00E61C26" w:rsidP="00E61C26">
      <w:pPr>
        <w:pStyle w:val="BodyText1"/>
      </w:pPr>
      <w:r>
        <w:t>These programs are supported by various funding means, such as:</w:t>
      </w:r>
    </w:p>
    <w:p w14:paraId="69C988E0" w14:textId="77777777" w:rsidR="00E61C26" w:rsidRDefault="00E61C26" w:rsidP="00E61C26">
      <w:pPr>
        <w:pStyle w:val="ListBullet2"/>
      </w:pPr>
      <w:r>
        <w:t xml:space="preserve">In 2015 and 2016, the ACT Government provided funding to each ACT public school to develop and embed social and emotional learning programs in their schools. </w:t>
      </w:r>
    </w:p>
    <w:p w14:paraId="7394D875" w14:textId="77777777" w:rsidR="00E61C26" w:rsidRDefault="00E61C26" w:rsidP="00E61C26">
      <w:pPr>
        <w:pStyle w:val="ListBullet2"/>
      </w:pPr>
      <w:r>
        <w:lastRenderedPageBreak/>
        <w:t xml:space="preserve">Social and Emotional Learning approaches enable students to acquire and effectively apply the knowledge, attitudes, and skills to manage their emotions and relationships. </w:t>
      </w:r>
    </w:p>
    <w:p w14:paraId="3040ED9A" w14:textId="77777777" w:rsidR="00E61C26" w:rsidRDefault="00E61C26" w:rsidP="00E61C26">
      <w:pPr>
        <w:pStyle w:val="ListBullet2"/>
      </w:pPr>
      <w:r>
        <w:t>The Safe and Supportive Schools Policy (2016) requires schools to teach SEL approaches.</w:t>
      </w:r>
      <w:r>
        <w:rPr>
          <w:rStyle w:val="FootnoteReference"/>
        </w:rPr>
        <w:footnoteReference w:id="58"/>
      </w:r>
    </w:p>
    <w:p w14:paraId="45E7F267" w14:textId="77777777" w:rsidR="00E61C26" w:rsidRDefault="00E61C26" w:rsidP="00E61C26">
      <w:pPr>
        <w:pStyle w:val="BodyText1"/>
      </w:pPr>
      <w:r>
        <w:t>The ACT Government – in discussing school-based direction of early intervention programs with children noted:</w:t>
      </w:r>
    </w:p>
    <w:p w14:paraId="6E4B41DE" w14:textId="77777777" w:rsidR="00E61C26" w:rsidRDefault="00E61C26" w:rsidP="00E61C26">
      <w:pPr>
        <w:pStyle w:val="Quote"/>
      </w:pPr>
      <w:r>
        <w:t>Key elements from the 2015-16 Trauma Understanding and Sensitive Teaching in Schools (TRUST) pilot in Canberra Public Schools are being implemented as part of the Positive Behaviours for Learning (PBL) project. TRUST was initiated in 2014 and aims to assist schools to increase their skills base in building relationships, creating safe and supportive environments and utilising positive responses to behaviour; increasing children's educational engagement and social and emotional wellbeing.</w:t>
      </w:r>
      <w:r>
        <w:rPr>
          <w:rStyle w:val="FootnoteReference"/>
        </w:rPr>
        <w:footnoteReference w:id="59"/>
      </w:r>
    </w:p>
    <w:p w14:paraId="582AC36E" w14:textId="77777777" w:rsidR="00E61C26" w:rsidRDefault="00E61C26" w:rsidP="00E61C26">
      <w:pPr>
        <w:pStyle w:val="Headinglevel4"/>
      </w:pPr>
      <w:r>
        <w:t>Committee Comment</w:t>
      </w:r>
    </w:p>
    <w:p w14:paraId="7B982E72" w14:textId="18D21ED9" w:rsidR="00E61C26" w:rsidRDefault="00E61C26" w:rsidP="00E61C26">
      <w:pPr>
        <w:pStyle w:val="BodyText1"/>
      </w:pPr>
      <w:r>
        <w:t xml:space="preserve">The Committee regards a school-based prevention strategy to combat DFV as being essential.  The Committee received views on the current ACT </w:t>
      </w:r>
      <w:r w:rsidR="00A27C29">
        <w:t>school-based</w:t>
      </w:r>
      <w:r>
        <w:t xml:space="preserve"> prevention program which were positive, and which endorses the continuation of these programs as ongoing.</w:t>
      </w:r>
    </w:p>
    <w:p w14:paraId="183AC34D" w14:textId="7DC20F48" w:rsidR="00E61C26" w:rsidRDefault="00E61C26" w:rsidP="00E61C26">
      <w:pPr>
        <w:pStyle w:val="BodyText1"/>
      </w:pPr>
      <w:r>
        <w:t xml:space="preserve">The Committee heard supportive comment, comment on elements of schools-based programs as an essential way of changing generational attitudes to </w:t>
      </w:r>
      <w:r w:rsidR="00A27C29">
        <w:t>DFV and</w:t>
      </w:r>
      <w:r>
        <w:t xml:space="preserve"> providing a basis for young people to understand the drivers of domestic violence and the importance of relationship respect.</w:t>
      </w:r>
      <w:r>
        <w:rPr>
          <w:rStyle w:val="FootnoteReference"/>
        </w:rPr>
        <w:footnoteReference w:id="60"/>
      </w:r>
      <w:r>
        <w:t xml:space="preserve">  Menslink provided the Committee of examples of school-based programs it conducts directed at young men.</w:t>
      </w:r>
      <w:r>
        <w:rPr>
          <w:rStyle w:val="FootnoteReference"/>
        </w:rPr>
        <w:footnoteReference w:id="61"/>
      </w:r>
    </w:p>
    <w:p w14:paraId="21632C6D" w14:textId="77777777" w:rsidR="00E61C26" w:rsidRDefault="00E61C26" w:rsidP="00E61C26">
      <w:pPr>
        <w:pStyle w:val="BodyText1"/>
      </w:pPr>
      <w:r>
        <w:t>The Committee’s recommendation on this aspect of policy approach is directed t prevention strategies.</w:t>
      </w:r>
    </w:p>
    <w:p w14:paraId="74AC2810" w14:textId="77777777" w:rsidR="00E61C26" w:rsidRDefault="00E61C26" w:rsidP="00E61C26">
      <w:pPr>
        <w:pStyle w:val="Recommendation"/>
      </w:pPr>
      <w:bookmarkStart w:id="76" w:name="_Toc17279446"/>
      <w:bookmarkEnd w:id="76"/>
    </w:p>
    <w:p w14:paraId="0B89DF2F" w14:textId="2DBB7C6F" w:rsidR="00E61C26" w:rsidRDefault="00E61C26" w:rsidP="00E61C26">
      <w:pPr>
        <w:pStyle w:val="RecommendationText"/>
        <w:rPr>
          <w:bCs/>
          <w:sz w:val="24"/>
        </w:rPr>
      </w:pPr>
      <w:bookmarkStart w:id="77" w:name="_Toc17279447"/>
      <w:r w:rsidRPr="008B1A05">
        <w:rPr>
          <w:bCs/>
          <w:sz w:val="24"/>
        </w:rPr>
        <w:t xml:space="preserve">The Committee recommends that current school-based programs aimed at educating young people on recognising and combatting </w:t>
      </w:r>
      <w:r>
        <w:rPr>
          <w:bCs/>
          <w:sz w:val="24"/>
        </w:rPr>
        <w:t>DFV</w:t>
      </w:r>
      <w:r w:rsidRPr="008B1A05">
        <w:rPr>
          <w:bCs/>
          <w:sz w:val="24"/>
        </w:rPr>
        <w:t xml:space="preserve"> ensure that </w:t>
      </w:r>
      <w:r>
        <w:rPr>
          <w:bCs/>
          <w:sz w:val="24"/>
        </w:rPr>
        <w:t xml:space="preserve">there is a </w:t>
      </w:r>
      <w:r w:rsidRPr="008B1A05">
        <w:rPr>
          <w:bCs/>
          <w:sz w:val="24"/>
        </w:rPr>
        <w:t>focus on violence prevention</w:t>
      </w:r>
      <w:r>
        <w:rPr>
          <w:bCs/>
          <w:sz w:val="24"/>
        </w:rPr>
        <w:t xml:space="preserve">, healthy conflict </w:t>
      </w:r>
      <w:r w:rsidR="00A27C29">
        <w:rPr>
          <w:bCs/>
          <w:sz w:val="24"/>
        </w:rPr>
        <w:t xml:space="preserve">resolution </w:t>
      </w:r>
      <w:r w:rsidR="00A27C29" w:rsidRPr="008B1A05">
        <w:rPr>
          <w:bCs/>
          <w:sz w:val="24"/>
        </w:rPr>
        <w:t>and</w:t>
      </w:r>
      <w:r w:rsidRPr="008B1A05">
        <w:rPr>
          <w:bCs/>
          <w:sz w:val="24"/>
        </w:rPr>
        <w:t xml:space="preserve"> anger management</w:t>
      </w:r>
      <w:r>
        <w:rPr>
          <w:bCs/>
          <w:sz w:val="24"/>
        </w:rPr>
        <w:t>.</w:t>
      </w:r>
      <w:bookmarkEnd w:id="77"/>
    </w:p>
    <w:p w14:paraId="4343BACE" w14:textId="77777777" w:rsidR="00E61C26" w:rsidRPr="006060AE" w:rsidRDefault="00E61C26" w:rsidP="00E61C26">
      <w:pPr>
        <w:pStyle w:val="Recommendation"/>
      </w:pPr>
      <w:bookmarkStart w:id="78" w:name="_Toc17279448"/>
      <w:bookmarkEnd w:id="78"/>
    </w:p>
    <w:p w14:paraId="18625B89" w14:textId="77777777" w:rsidR="00E61C26" w:rsidRPr="00FC6FE9" w:rsidRDefault="00E61C26" w:rsidP="00E61C26">
      <w:pPr>
        <w:pStyle w:val="RecommendationText"/>
        <w:rPr>
          <w:bCs/>
          <w:sz w:val="24"/>
        </w:rPr>
      </w:pPr>
      <w:bookmarkStart w:id="79" w:name="_Toc17279449"/>
      <w:r w:rsidRPr="008B1A05">
        <w:rPr>
          <w:bCs/>
          <w:sz w:val="24"/>
        </w:rPr>
        <w:t xml:space="preserve">The Committee also recommends that each </w:t>
      </w:r>
      <w:r>
        <w:rPr>
          <w:bCs/>
          <w:sz w:val="24"/>
        </w:rPr>
        <w:t>annual report for</w:t>
      </w:r>
      <w:r w:rsidRPr="008B1A05">
        <w:rPr>
          <w:bCs/>
          <w:sz w:val="24"/>
        </w:rPr>
        <w:t xml:space="preserve"> the Education Directorate provide detail on educational programs directed at prevention of </w:t>
      </w:r>
      <w:r>
        <w:rPr>
          <w:bCs/>
          <w:sz w:val="24"/>
        </w:rPr>
        <w:t xml:space="preserve">DFV and </w:t>
      </w:r>
      <w:r w:rsidRPr="008B1A05">
        <w:rPr>
          <w:bCs/>
          <w:sz w:val="24"/>
        </w:rPr>
        <w:t xml:space="preserve">an </w:t>
      </w:r>
      <w:r>
        <w:rPr>
          <w:bCs/>
          <w:sz w:val="24"/>
        </w:rPr>
        <w:t xml:space="preserve">evaluation and </w:t>
      </w:r>
      <w:r w:rsidRPr="008B1A05">
        <w:rPr>
          <w:bCs/>
          <w:sz w:val="24"/>
        </w:rPr>
        <w:t xml:space="preserve">assessment of the </w:t>
      </w:r>
      <w:r>
        <w:rPr>
          <w:bCs/>
          <w:sz w:val="24"/>
        </w:rPr>
        <w:t xml:space="preserve">performance, outcomes and </w:t>
      </w:r>
      <w:r w:rsidRPr="008B1A05">
        <w:rPr>
          <w:bCs/>
          <w:sz w:val="24"/>
        </w:rPr>
        <w:t>success of those programs for each report</w:t>
      </w:r>
      <w:r>
        <w:rPr>
          <w:bCs/>
          <w:sz w:val="24"/>
        </w:rPr>
        <w:t>ing period of that report be included</w:t>
      </w:r>
      <w:bookmarkEnd w:id="79"/>
    </w:p>
    <w:p w14:paraId="105E636D" w14:textId="77777777" w:rsidR="00E61C26" w:rsidRDefault="00E61C26" w:rsidP="00E61C26">
      <w:pPr>
        <w:pStyle w:val="Headinglevel3"/>
      </w:pPr>
      <w:r>
        <w:t>Early Intervention</w:t>
      </w:r>
    </w:p>
    <w:p w14:paraId="1018F91C" w14:textId="77777777" w:rsidR="00E61C26" w:rsidRDefault="00E61C26" w:rsidP="00E61C26">
      <w:pPr>
        <w:pStyle w:val="BodyText1"/>
      </w:pPr>
      <w:r>
        <w:t>Through the process of witness appearances and committee discussions, it appears a number of problems currently exist in the systems supporting DFV matters in the ACT, the solution of which would resolve unnecessary hurdles to assistance for those who have taken the steps to seek assistance with DFV issues.</w:t>
      </w:r>
    </w:p>
    <w:p w14:paraId="2919569A" w14:textId="77777777" w:rsidR="00E61C26" w:rsidRDefault="00E61C26" w:rsidP="00E61C26">
      <w:pPr>
        <w:pStyle w:val="BodyText1"/>
      </w:pPr>
      <w:r>
        <w:t>The Committee considers that the following recommendations be considered in relation to intervention:</w:t>
      </w:r>
    </w:p>
    <w:p w14:paraId="4C1C2AF6" w14:textId="77777777" w:rsidR="00E61C26" w:rsidRPr="00A73BD3" w:rsidRDefault="00E61C26" w:rsidP="00E61C26">
      <w:pPr>
        <w:pStyle w:val="Recommendation"/>
      </w:pPr>
      <w:bookmarkStart w:id="80" w:name="_Toc17279450"/>
      <w:bookmarkEnd w:id="80"/>
    </w:p>
    <w:p w14:paraId="6FA8F11D" w14:textId="77777777" w:rsidR="00E61C26" w:rsidRDefault="00E61C26" w:rsidP="00E61C26">
      <w:pPr>
        <w:pStyle w:val="RecommendationText"/>
      </w:pPr>
      <w:bookmarkStart w:id="81" w:name="_Toc17279451"/>
      <w:r>
        <w:t>The Committee recommends that an assessment be done of Housing ACT’s categorisation of clients as needing crisis action, and that there be an evaluation and report on whether the service is too slow or inaccurate.</w:t>
      </w:r>
      <w:bookmarkEnd w:id="81"/>
    </w:p>
    <w:p w14:paraId="3F36C5E5" w14:textId="77777777" w:rsidR="00E61C26" w:rsidRPr="00A73BD3" w:rsidRDefault="00E61C26" w:rsidP="00E61C26">
      <w:pPr>
        <w:pStyle w:val="Recommendation"/>
      </w:pPr>
      <w:bookmarkStart w:id="82" w:name="_Toc17279452"/>
      <w:bookmarkEnd w:id="82"/>
    </w:p>
    <w:p w14:paraId="3352AC72" w14:textId="77777777" w:rsidR="00E61C26" w:rsidRDefault="00E61C26" w:rsidP="00E61C26">
      <w:pPr>
        <w:pStyle w:val="RecommendationText"/>
      </w:pPr>
      <w:bookmarkStart w:id="83" w:name="_Toc17279453"/>
      <w:r>
        <w:t>The Committee recommends that the term ‘internally’ recognised by ACT Housing – ‘Housing First’ - be incorporated in all response mechanisms in order that a sense of permanency and security can be encouraged.</w:t>
      </w:r>
      <w:bookmarkEnd w:id="83"/>
    </w:p>
    <w:p w14:paraId="05AE6B7B" w14:textId="77777777" w:rsidR="00E61C26" w:rsidRPr="00F33361" w:rsidRDefault="00E61C26" w:rsidP="00E61C26">
      <w:pPr>
        <w:pStyle w:val="Recommendation"/>
      </w:pPr>
      <w:bookmarkStart w:id="84" w:name="_Toc17279454"/>
      <w:bookmarkEnd w:id="84"/>
    </w:p>
    <w:p w14:paraId="0F5E0DE7" w14:textId="77777777" w:rsidR="00E61C26" w:rsidRDefault="00E61C26" w:rsidP="00E61C26">
      <w:pPr>
        <w:pStyle w:val="RecommendationText"/>
      </w:pPr>
      <w:bookmarkStart w:id="85" w:name="_Toc17279455"/>
      <w:r>
        <w:t>The Committee recommends that all assessments by ACT Housing of women requiring emergency housing include keeping families together, particularly when accessing overnight temporary care.</w:t>
      </w:r>
      <w:bookmarkEnd w:id="85"/>
    </w:p>
    <w:p w14:paraId="2647FD95" w14:textId="77777777" w:rsidR="00E61C26" w:rsidRPr="00D95614" w:rsidRDefault="00E61C26" w:rsidP="00E61C26">
      <w:pPr>
        <w:pStyle w:val="Recommendation"/>
      </w:pPr>
      <w:bookmarkStart w:id="86" w:name="_Toc17279456"/>
      <w:bookmarkEnd w:id="86"/>
    </w:p>
    <w:p w14:paraId="32D80C7B" w14:textId="77777777" w:rsidR="00E61C26" w:rsidRDefault="00E61C26" w:rsidP="00E61C26">
      <w:pPr>
        <w:pStyle w:val="RecommendationText"/>
      </w:pPr>
      <w:bookmarkStart w:id="87" w:name="_Toc17279457"/>
      <w:r>
        <w:t>The Committee recommends that the speed of categorising people as in “crisis” or highest priority be improved, to adhere to the best practice guidelines from the Ministerial Review Council.</w:t>
      </w:r>
      <w:bookmarkEnd w:id="87"/>
      <w:r>
        <w:t xml:space="preserve">  </w:t>
      </w:r>
    </w:p>
    <w:p w14:paraId="25638BE0" w14:textId="77777777" w:rsidR="00E61C26" w:rsidRPr="00D95614" w:rsidRDefault="00E61C26" w:rsidP="00E61C26">
      <w:pPr>
        <w:pStyle w:val="Recommendation"/>
      </w:pPr>
      <w:bookmarkStart w:id="88" w:name="_Toc17279458"/>
      <w:bookmarkEnd w:id="88"/>
    </w:p>
    <w:p w14:paraId="76F9C4E6" w14:textId="77777777" w:rsidR="00E61C26" w:rsidRDefault="00E61C26" w:rsidP="00E61C26">
      <w:pPr>
        <w:pStyle w:val="RecommendationText"/>
      </w:pPr>
      <w:bookmarkStart w:id="89" w:name="_Toc17279459"/>
      <w:r>
        <w:t>The Committee recommends ACT Government work with the RSPCA or similar body to develop a volunteer fostering system to allow for people with pets fleeing DFV.</w:t>
      </w:r>
      <w:bookmarkEnd w:id="89"/>
    </w:p>
    <w:p w14:paraId="6703920E" w14:textId="77777777" w:rsidR="00E61C26" w:rsidRPr="00502C2F" w:rsidRDefault="00E61C26" w:rsidP="00E61C26">
      <w:pPr>
        <w:pStyle w:val="Recommendation"/>
      </w:pPr>
      <w:bookmarkStart w:id="90" w:name="_Toc17279460"/>
      <w:bookmarkEnd w:id="90"/>
    </w:p>
    <w:p w14:paraId="0F070F83" w14:textId="77777777" w:rsidR="00E61C26" w:rsidRDefault="00E61C26" w:rsidP="00E61C26">
      <w:pPr>
        <w:pStyle w:val="RecommendationText"/>
      </w:pPr>
      <w:bookmarkStart w:id="91" w:name="_Toc17279461"/>
      <w:r>
        <w:t>The Committee recommends that that systems within ACT Housing be adopted to allow for DFV victims to be able to stay in their home while the perpetrator is re-housed.</w:t>
      </w:r>
      <w:bookmarkEnd w:id="91"/>
    </w:p>
    <w:p w14:paraId="1CEAC1B3" w14:textId="77777777" w:rsidR="00E61C26" w:rsidRDefault="00E61C26" w:rsidP="00E61C26">
      <w:pPr>
        <w:pStyle w:val="Recommendation"/>
      </w:pPr>
      <w:bookmarkStart w:id="92" w:name="_Toc17279462"/>
      <w:bookmarkEnd w:id="92"/>
    </w:p>
    <w:p w14:paraId="7515B0D6" w14:textId="77777777" w:rsidR="00E61C26" w:rsidRDefault="00E61C26" w:rsidP="00E61C26">
      <w:pPr>
        <w:pStyle w:val="RecommendationText"/>
      </w:pPr>
      <w:bookmarkStart w:id="93" w:name="_Toc17279463"/>
      <w:r>
        <w:t>The Committee recommends that ACT Housing investigate:</w:t>
      </w:r>
      <w:bookmarkEnd w:id="93"/>
    </w:p>
    <w:p w14:paraId="5C2E0684" w14:textId="77777777" w:rsidR="00E61C26" w:rsidRDefault="00E61C26" w:rsidP="003745A3">
      <w:pPr>
        <w:pStyle w:val="RecommendationText"/>
        <w:numPr>
          <w:ilvl w:val="0"/>
          <w:numId w:val="31"/>
        </w:numPr>
      </w:pPr>
      <w:bookmarkStart w:id="94" w:name="_Toc17279464"/>
      <w:r>
        <w:t>How to support victims of DFV living in public housing, who flee properties to avoid rental arrears;</w:t>
      </w:r>
      <w:bookmarkEnd w:id="94"/>
    </w:p>
    <w:p w14:paraId="6CBCCAB2" w14:textId="77777777" w:rsidR="00E61C26" w:rsidRPr="004C01CA" w:rsidRDefault="00E61C26" w:rsidP="003745A3">
      <w:pPr>
        <w:pStyle w:val="RecommendationText"/>
        <w:numPr>
          <w:ilvl w:val="0"/>
          <w:numId w:val="31"/>
        </w:numPr>
      </w:pPr>
      <w:bookmarkStart w:id="95" w:name="_Toc17279465"/>
      <w:r>
        <w:t>The implementation of a rebate/program to assist victims of DFV who need additional security at their place of residence and how reimbursement can be made.</w:t>
      </w:r>
      <w:bookmarkEnd w:id="95"/>
    </w:p>
    <w:p w14:paraId="21B8F937" w14:textId="77777777" w:rsidR="00E61C26" w:rsidRPr="00692532" w:rsidRDefault="00E61C26" w:rsidP="00E61C26">
      <w:pPr>
        <w:pStyle w:val="Recommendation"/>
      </w:pPr>
      <w:bookmarkStart w:id="96" w:name="_Toc17279466"/>
      <w:bookmarkEnd w:id="96"/>
    </w:p>
    <w:p w14:paraId="503D71D8" w14:textId="77777777" w:rsidR="00E61C26" w:rsidRDefault="00E61C26" w:rsidP="00E61C26">
      <w:pPr>
        <w:pStyle w:val="RecommendationText"/>
      </w:pPr>
      <w:bookmarkStart w:id="97" w:name="_Toc17279467"/>
      <w:r>
        <w:t>The Committee recommends that a review of services to enable contact between parents and children in relation to DFV be reviewed to ensure contact is not lost due to a lack of funded supervised visits, but safety is adhered to.</w:t>
      </w:r>
      <w:bookmarkEnd w:id="97"/>
    </w:p>
    <w:p w14:paraId="60455484" w14:textId="77777777" w:rsidR="00E61C26" w:rsidRDefault="00E61C26" w:rsidP="00E61C26">
      <w:pPr>
        <w:pStyle w:val="Recommendation"/>
      </w:pPr>
      <w:r>
        <w:t xml:space="preserve"> </w:t>
      </w:r>
      <w:bookmarkStart w:id="98" w:name="_Toc17279468"/>
      <w:bookmarkEnd w:id="98"/>
    </w:p>
    <w:p w14:paraId="5EC83F1E" w14:textId="77777777" w:rsidR="00E61C26" w:rsidRDefault="00E61C26" w:rsidP="00E61C26">
      <w:pPr>
        <w:pStyle w:val="RecommendationText"/>
      </w:pPr>
      <w:bookmarkStart w:id="99" w:name="_Toc17279469"/>
      <w:r>
        <w:t>The Committee recommends that an analysis be done as to how many people are using hotel, motel or other itinerant accommodation indefinitely because they are unable to access public housing and to use data collected from this analysis to inform housing options and availability for vulnerable Canberrans.</w:t>
      </w:r>
      <w:bookmarkEnd w:id="99"/>
    </w:p>
    <w:p w14:paraId="432A42B5" w14:textId="77777777" w:rsidR="00E61C26" w:rsidRDefault="00E61C26" w:rsidP="00E61C26">
      <w:pPr>
        <w:pStyle w:val="Headinglevel4"/>
      </w:pPr>
      <w:r>
        <w:lastRenderedPageBreak/>
        <w:t>Early intervention with Families</w:t>
      </w:r>
    </w:p>
    <w:p w14:paraId="474DE74E" w14:textId="77777777" w:rsidR="00E61C26" w:rsidRDefault="00E61C26" w:rsidP="00E61C26">
      <w:pPr>
        <w:pStyle w:val="BodyText1"/>
      </w:pPr>
      <w:r>
        <w:t>Current ACT policy responses to early intervention to assist families have focused on support provided through a number of programs, and on two pilot programs which have been implemented during this inquiry.  These are the Room4Change program, and the Justice reinvestment Trial.</w:t>
      </w:r>
    </w:p>
    <w:p w14:paraId="12AF751A" w14:textId="77777777" w:rsidR="00E61C26" w:rsidRDefault="00E61C26" w:rsidP="00E61C26">
      <w:pPr>
        <w:pStyle w:val="BodyText1"/>
      </w:pPr>
      <w:r>
        <w:t>The Room4Change program is a :</w:t>
      </w:r>
    </w:p>
    <w:p w14:paraId="702C3125" w14:textId="77777777" w:rsidR="00E61C26" w:rsidRDefault="00E61C26" w:rsidP="00E61C26">
      <w:pPr>
        <w:pStyle w:val="Quote"/>
      </w:pPr>
      <w:r>
        <w:t>..residential behaviour change program for men who use or are at risk of using violence, being delivered by the Domestic Violence Crisis Service. The funding includes $228,000 in program funds and $1.8 million for housing stock. The model provides a support to the whole family and fundamental element of this pilot is support to assist women and children to stay in the family home where it is safe to do so.</w:t>
      </w:r>
    </w:p>
    <w:p w14:paraId="6A665C50" w14:textId="77777777" w:rsidR="00E61C26" w:rsidRDefault="00E61C26" w:rsidP="00E61C26">
      <w:pPr>
        <w:pStyle w:val="Quote"/>
      </w:pPr>
      <w:r>
        <w:t>and</w:t>
      </w:r>
    </w:p>
    <w:p w14:paraId="73F05D46" w14:textId="77777777" w:rsidR="00E61C26" w:rsidRDefault="00E61C26" w:rsidP="00E61C26">
      <w:pPr>
        <w:pStyle w:val="Quote"/>
      </w:pPr>
      <w:r>
        <w:t>Men participate in the program for up to six months, including a 20-week behaviour change program. 'These men may stay in Room4Change accommodation or reside within their own homes. Rehabilitation involves intensive case coordination, case management, group work, individual counselling, development of living skills and referral. The case management and support services commenced on 1 April 2017 and the residential component commenced on 9 May 2017. As at 30 June 2017, 14 men were participating in the program with seven accommodated in the dedicated residential component. Ten women and 11 children were being supported through the program. When fully operational, Room4Change will provide· services for up to 20 men in nine properties, while also supporting a minimum of 12 families to stay at home at any one time.</w:t>
      </w:r>
      <w:r>
        <w:rPr>
          <w:rStyle w:val="FootnoteReference"/>
        </w:rPr>
        <w:footnoteReference w:id="62"/>
      </w:r>
    </w:p>
    <w:p w14:paraId="67373C11" w14:textId="77777777" w:rsidR="00E61C26" w:rsidRDefault="00E61C26" w:rsidP="00E61C26">
      <w:pPr>
        <w:pStyle w:val="BodyText1"/>
      </w:pPr>
      <w:r>
        <w:t>The Domestic Violence Crisis Service provided further detail on Room4Change (as its administrator):</w:t>
      </w:r>
    </w:p>
    <w:p w14:paraId="4D0838E8" w14:textId="77777777" w:rsidR="00E61C26" w:rsidRDefault="00E61C26" w:rsidP="00E61C26">
      <w:pPr>
        <w:pStyle w:val="BodyText1"/>
      </w:pPr>
      <w:r w:rsidRPr="00C95916">
        <w:rPr>
          <w:rStyle w:val="QuoteChar"/>
        </w:rPr>
        <w:t>The program forms part of our whole-of-family service response, sitting alongside the Staying@Home program which has funding from the Commonwealth Government for the 2016-2020 period. This program ensures women and children are safe to remain in their homes, providing appropriate security upgrades and ongoing case management support</w:t>
      </w:r>
      <w:r>
        <w:rPr>
          <w:rStyle w:val="FootnoteReference"/>
        </w:rPr>
        <w:footnoteReference w:id="63"/>
      </w:r>
    </w:p>
    <w:p w14:paraId="4F7C093A" w14:textId="77777777" w:rsidR="00E61C26" w:rsidRDefault="00E61C26" w:rsidP="00E61C26">
      <w:pPr>
        <w:pStyle w:val="BodyText1"/>
      </w:pPr>
      <w:r>
        <w:t>DVCS also noted that:</w:t>
      </w:r>
    </w:p>
    <w:p w14:paraId="647AD3F4" w14:textId="77777777" w:rsidR="00E61C26" w:rsidRDefault="00E61C26" w:rsidP="00E61C26">
      <w:pPr>
        <w:pStyle w:val="Quote"/>
      </w:pPr>
      <w:r>
        <w:t xml:space="preserve">The three prominent pathways through which men are referred to the room for change program are ACT corrections, ACT Policing and child and youth protection services. The groups are integral to the room for change program, so it is one part of the room for change overall offering to those men. Good practice around men’s </w:t>
      </w:r>
      <w:r>
        <w:lastRenderedPageBreak/>
        <w:t>behaviour change work is that you cannot just accommodate men and do outreach or case management with men unless you are also offering intensive group sessions</w:t>
      </w:r>
      <w:r>
        <w:rPr>
          <w:rStyle w:val="FootnoteReference"/>
        </w:rPr>
        <w:footnoteReference w:id="64"/>
      </w:r>
    </w:p>
    <w:p w14:paraId="57222855" w14:textId="27E8F660" w:rsidR="00E61C26" w:rsidRDefault="00E61C26" w:rsidP="00E61C26">
      <w:pPr>
        <w:pStyle w:val="BodyText1"/>
      </w:pPr>
      <w:r>
        <w:t xml:space="preserve">The Room4Change program is to be subject of regular reporting and will be subject of evaluation to be administered by </w:t>
      </w:r>
      <w:r w:rsidR="00A27C29">
        <w:t>DVCS and</w:t>
      </w:r>
      <w:r>
        <w:t xml:space="preserve"> reported on by June 2019.</w:t>
      </w:r>
      <w:r>
        <w:rPr>
          <w:rStyle w:val="FootnoteReference"/>
        </w:rPr>
        <w:footnoteReference w:id="65"/>
      </w:r>
    </w:p>
    <w:p w14:paraId="547225E9" w14:textId="77777777" w:rsidR="00E61C26" w:rsidRDefault="00E61C26" w:rsidP="00E61C26">
      <w:pPr>
        <w:pStyle w:val="BodyText1"/>
      </w:pPr>
      <w:r>
        <w:t>The other initiative of government is the Justice Reinvestment Trial</w:t>
      </w:r>
    </w:p>
    <w:p w14:paraId="3A253E1A" w14:textId="77777777" w:rsidR="00E61C26" w:rsidRDefault="00E61C26" w:rsidP="00E61C26">
      <w:pPr>
        <w:pStyle w:val="Quote"/>
      </w:pPr>
      <w:r>
        <w:t>… to deliver a family focused approach to Aboriginal and Torres Strait Islander families in contact with the justice system. The co-design process involved consultation with government, the community sector, academia and people with lived experience of the justice system. The overwhelming message from this process was to focus the trial on children who have a family member in contact with the justice system and to respond to the whole family. The ACT Government has directed $850,000 from the Confiscated Assets Trust Fund to support the trial. A key priority for the trial will be to examine how the services and supports delivered can impact on the incidence of domestic and family violence.</w:t>
      </w:r>
      <w:r>
        <w:rPr>
          <w:rStyle w:val="FootnoteReference"/>
        </w:rPr>
        <w:footnoteReference w:id="66"/>
      </w:r>
    </w:p>
    <w:p w14:paraId="41CC38D9" w14:textId="77777777" w:rsidR="00E61C26" w:rsidRDefault="00E61C26" w:rsidP="00E61C26">
      <w:pPr>
        <w:pStyle w:val="Headinglevel4"/>
      </w:pPr>
      <w:r>
        <w:t xml:space="preserve">Family Intervention – Early intervention with youth </w:t>
      </w:r>
    </w:p>
    <w:p w14:paraId="52ADA8A9" w14:textId="77777777" w:rsidR="00E61C26" w:rsidRDefault="00E61C26" w:rsidP="00E61C26">
      <w:pPr>
        <w:pStyle w:val="Headinglevel5"/>
      </w:pPr>
      <w:r>
        <w:t>Committee Comment</w:t>
      </w:r>
    </w:p>
    <w:p w14:paraId="6B2C2E56" w14:textId="77777777" w:rsidR="00E61C26" w:rsidRDefault="00E61C26" w:rsidP="00E61C26">
      <w:pPr>
        <w:pStyle w:val="BodyText1"/>
      </w:pPr>
      <w:r>
        <w:t>As the Committee listened to witnesses and reviewed submissions on this area, the Committee considers that the need for the following specific recommendations became apparent.</w:t>
      </w:r>
    </w:p>
    <w:p w14:paraId="18FA9C5F" w14:textId="77777777" w:rsidR="00E61C26" w:rsidRPr="00DB6D3A" w:rsidRDefault="00E61C26" w:rsidP="00E61C26">
      <w:pPr>
        <w:pStyle w:val="Recommendation"/>
      </w:pPr>
      <w:r>
        <w:t xml:space="preserve"> </w:t>
      </w:r>
      <w:bookmarkStart w:id="100" w:name="_Toc17279470"/>
      <w:bookmarkEnd w:id="100"/>
    </w:p>
    <w:p w14:paraId="614D9731" w14:textId="77777777" w:rsidR="00E61C26" w:rsidRPr="00FB5124" w:rsidRDefault="00E61C26" w:rsidP="00E61C26">
      <w:pPr>
        <w:rPr>
          <w:b/>
          <w:bCs/>
          <w:szCs w:val="22"/>
        </w:rPr>
      </w:pPr>
    </w:p>
    <w:p w14:paraId="78AE12DB" w14:textId="77777777" w:rsidR="00E61C26" w:rsidRDefault="00E61C26" w:rsidP="00E61C26">
      <w:pPr>
        <w:pStyle w:val="RecommendationText"/>
      </w:pPr>
      <w:bookmarkStart w:id="101" w:name="_Toc17279471"/>
      <w:r>
        <w:t>The Committee recommends that funding of programs to support young male family violence offenders—12 to 19 years—including establishment of anger management and practical plans for development of the individual.</w:t>
      </w:r>
      <w:bookmarkEnd w:id="101"/>
    </w:p>
    <w:p w14:paraId="49165684" w14:textId="77777777" w:rsidR="00E61C26" w:rsidRPr="0096112E" w:rsidRDefault="00E61C26" w:rsidP="00E61C26">
      <w:pPr>
        <w:pStyle w:val="Recommendation"/>
      </w:pPr>
      <w:bookmarkStart w:id="102" w:name="_Toc17279472"/>
      <w:bookmarkEnd w:id="102"/>
    </w:p>
    <w:p w14:paraId="7901E2A3" w14:textId="77777777" w:rsidR="00E61C26" w:rsidRDefault="00E61C26" w:rsidP="00E61C26">
      <w:pPr>
        <w:pStyle w:val="RecommendationText"/>
      </w:pPr>
      <w:bookmarkStart w:id="103" w:name="_Toc17279473"/>
      <w:r>
        <w:t>The Committee recommends that ACT Government investigate how to introduce programs such as the ‘silence is deadly program’ or the “anger jumpstart” program as a support for victims and as a skills development and prevention tool for young people.</w:t>
      </w:r>
      <w:bookmarkEnd w:id="103"/>
    </w:p>
    <w:p w14:paraId="58607B81" w14:textId="77777777" w:rsidR="00E61C26" w:rsidRPr="0096112E" w:rsidRDefault="00E61C26" w:rsidP="00E61C26">
      <w:pPr>
        <w:pStyle w:val="Recommendation"/>
      </w:pPr>
      <w:bookmarkStart w:id="104" w:name="_Toc17279474"/>
      <w:bookmarkEnd w:id="104"/>
    </w:p>
    <w:p w14:paraId="086EDA1C" w14:textId="77777777" w:rsidR="00E61C26" w:rsidRDefault="00E61C26" w:rsidP="00E61C26">
      <w:pPr>
        <w:pStyle w:val="RecommendationText"/>
      </w:pPr>
      <w:bookmarkStart w:id="105" w:name="_Toc17279475"/>
      <w:r>
        <w:t>The Committee recommends that more funding should be provided for Menslink to improve access to a youth cohort who, because of their youth, can learn and adapt more successfully to new and positive modes of behaviour.</w:t>
      </w:r>
      <w:bookmarkEnd w:id="105"/>
    </w:p>
    <w:p w14:paraId="1FB21A46" w14:textId="77777777" w:rsidR="00E61C26" w:rsidRDefault="00E61C26" w:rsidP="00E61C26">
      <w:pPr>
        <w:pStyle w:val="Headinglevel4"/>
      </w:pPr>
      <w:r>
        <w:t>Early Intervention with Children Post Trauma</w:t>
      </w:r>
    </w:p>
    <w:p w14:paraId="0EA6A874" w14:textId="77777777" w:rsidR="00E61C26" w:rsidRDefault="00E61C26" w:rsidP="00E61C26">
      <w:pPr>
        <w:pStyle w:val="BodyText1"/>
      </w:pPr>
      <w:r>
        <w:t xml:space="preserve">It is accepted that early intervention programs for children are essential to support children as they deal with trauma in the course of recovery from domestic and family violence.  Additionally, such intervention is directed to educate them about domestic and family violence to lessen the risk they become perpetrators themselves. </w:t>
      </w:r>
    </w:p>
    <w:p w14:paraId="2A992662" w14:textId="1C42C456" w:rsidR="00E61C26" w:rsidRDefault="00E61C26" w:rsidP="00E61C26">
      <w:pPr>
        <w:pStyle w:val="BodyText1"/>
      </w:pPr>
      <w:r>
        <w:t xml:space="preserve">Current ACT policy has developed </w:t>
      </w:r>
      <w:r w:rsidR="00A27C29">
        <w:t>several</w:t>
      </w:r>
      <w:r>
        <w:t xml:space="preserve"> strategies to address the position of children confronted and affected by DFV. </w:t>
      </w:r>
    </w:p>
    <w:p w14:paraId="506258F0" w14:textId="77C437DF" w:rsidR="00E61C26" w:rsidRDefault="00E61C26" w:rsidP="00E61C26">
      <w:pPr>
        <w:pStyle w:val="BodyText1"/>
      </w:pPr>
      <w:r>
        <w:t xml:space="preserve">A principal approach is through Child and Family </w:t>
      </w:r>
      <w:r w:rsidR="00A27C29">
        <w:t>Centres, These</w:t>
      </w:r>
      <w:r>
        <w:t xml:space="preserve"> centres are ACT Government service providers that aim to: </w:t>
      </w:r>
    </w:p>
    <w:p w14:paraId="67FAD922" w14:textId="77777777" w:rsidR="00E61C26" w:rsidRDefault="00E61C26" w:rsidP="00E61C26">
      <w:pPr>
        <w:pStyle w:val="ListBullet2"/>
      </w:pPr>
      <w:r>
        <w:t>positively influence the developmental pathways and life trajectory of children;</w:t>
      </w:r>
    </w:p>
    <w:p w14:paraId="1D68E76A" w14:textId="77777777" w:rsidR="00E61C26" w:rsidRDefault="00E61C26" w:rsidP="00E61C26">
      <w:pPr>
        <w:pStyle w:val="ListBullet2"/>
      </w:pPr>
      <w:r>
        <w:t xml:space="preserve"> build capacity and resilience of families to support their children; and </w:t>
      </w:r>
    </w:p>
    <w:p w14:paraId="5C827CDC" w14:textId="77777777" w:rsidR="00E61C26" w:rsidRDefault="00E61C26" w:rsidP="00E61C26">
      <w:pPr>
        <w:pStyle w:val="ListBullet2"/>
      </w:pPr>
      <w:r>
        <w:t>strengthen the linkages and connections of families to supportive communities.</w:t>
      </w:r>
      <w:r>
        <w:rPr>
          <w:rStyle w:val="FootnoteReference"/>
        </w:rPr>
        <w:footnoteReference w:id="67"/>
      </w:r>
    </w:p>
    <w:p w14:paraId="14FCFC56" w14:textId="77777777" w:rsidR="00E61C26" w:rsidRDefault="00E61C26" w:rsidP="00E61C26">
      <w:pPr>
        <w:pStyle w:val="BodyText1"/>
      </w:pPr>
      <w:r>
        <w:t>On the broad issue of service provision to support and assist children, the design of Child and Family Centres is directed at providing an accessible form of support:</w:t>
      </w:r>
    </w:p>
    <w:p w14:paraId="48691EBF" w14:textId="77777777" w:rsidR="00E61C26" w:rsidRDefault="00E61C26" w:rsidP="00E61C26">
      <w:pPr>
        <w:pStyle w:val="BodyText1"/>
      </w:pPr>
      <w:r w:rsidRPr="00FC423C">
        <w:rPr>
          <w:rStyle w:val="QuoteChar"/>
        </w:rPr>
        <w:t xml:space="preserve"> Child and Family Centres support families to access the services they need, including referral to specialist services. Children and families are supported through a tailored service offer to meet family need through individual, group and outreach approaches. This can lead to ongoing, one-to-one support with a child and family worker</w:t>
      </w:r>
      <w:r>
        <w:t>.</w:t>
      </w:r>
      <w:r>
        <w:rPr>
          <w:rStyle w:val="FootnoteReference"/>
        </w:rPr>
        <w:footnoteReference w:id="68"/>
      </w:r>
    </w:p>
    <w:p w14:paraId="03CD6560" w14:textId="77777777" w:rsidR="00E61C26" w:rsidRDefault="00E61C26" w:rsidP="00E61C26">
      <w:pPr>
        <w:pStyle w:val="BodyText1"/>
      </w:pPr>
      <w:r>
        <w:t>In addition, the DVCS has a role in conducting a support program, the Young Peoples’ Outreach Program.  The DVCS told the Committee that Its support program focus is on Room4Change as:</w:t>
      </w:r>
    </w:p>
    <w:p w14:paraId="79B6BB22" w14:textId="77777777" w:rsidR="00E61C26" w:rsidRDefault="00E61C26" w:rsidP="00E61C26">
      <w:pPr>
        <w:pStyle w:val="Quote"/>
      </w:pPr>
      <w:r>
        <w:t>…a residential therapeutic model for people who use violence and/or controlling behaviours and who want to change that behaviour. The program forms part of our whole-of-family service response, sitting alongside the Staying@Home program which has funding from the Commonwealth Government for the 2016-2020 period. This program ensures women and children are safe to remain in their homes, providing appropriate security upgrades and ongoing case management support.</w:t>
      </w:r>
      <w:r>
        <w:rPr>
          <w:rStyle w:val="FootnoteReference"/>
        </w:rPr>
        <w:footnoteReference w:id="69"/>
      </w:r>
    </w:p>
    <w:p w14:paraId="72360E72" w14:textId="77777777" w:rsidR="00E61C26" w:rsidRDefault="00E61C26" w:rsidP="00E61C26">
      <w:pPr>
        <w:pStyle w:val="BodyText1"/>
      </w:pPr>
      <w:r>
        <w:lastRenderedPageBreak/>
        <w:t>The DVPC emphasised that intervention for and on behalf of children included a dimension for the effects on children and the need to provide responses to this aspect of DFV to both support children and to act as a preventative break on pre-existing cycles of intergenerational violence:</w:t>
      </w:r>
    </w:p>
    <w:p w14:paraId="1ED51870" w14:textId="77777777" w:rsidR="00E61C26" w:rsidRDefault="00E61C26" w:rsidP="00E61C26">
      <w:pPr>
        <w:pStyle w:val="Quote"/>
      </w:pPr>
      <w:r>
        <w:t>The EM and Death Review report identified that children witnessing and experiencing family and domestic violence have special needs, in addition to the needs of the adults around them. They need access to ongoing counselling and support services appropriate to their specific trauma experience and age, in a timely manner and until they show good progress in their physical and mental health and educational progress. The Council considers there is still a gap in the ACT's response in this area.</w:t>
      </w:r>
      <w:r>
        <w:rPr>
          <w:rStyle w:val="FootnoteReference"/>
        </w:rPr>
        <w:footnoteReference w:id="70"/>
      </w:r>
    </w:p>
    <w:p w14:paraId="70173F40" w14:textId="77777777" w:rsidR="00E61C26" w:rsidRPr="00542725" w:rsidRDefault="00E61C26" w:rsidP="00E61C26">
      <w:pPr>
        <w:pStyle w:val="Headinglevel4"/>
        <w:rPr>
          <w:rStyle w:val="Headinglevel3Char"/>
          <w:smallCaps/>
        </w:rPr>
      </w:pPr>
      <w:r w:rsidRPr="00542725">
        <w:rPr>
          <w:rStyle w:val="Headinglevel3Char"/>
          <w:smallCaps/>
        </w:rPr>
        <w:t xml:space="preserve">Domestic and Family Violence – Government services and Intervention </w:t>
      </w:r>
    </w:p>
    <w:p w14:paraId="46E26DCA" w14:textId="77777777" w:rsidR="00E61C26" w:rsidRPr="00542725" w:rsidRDefault="00E61C26" w:rsidP="00E61C26">
      <w:pPr>
        <w:pStyle w:val="Headinglevel4"/>
        <w:rPr>
          <w:rStyle w:val="Headinglevel3Char"/>
          <w:smallCaps/>
        </w:rPr>
      </w:pPr>
      <w:r w:rsidRPr="00542725">
        <w:rPr>
          <w:rStyle w:val="Headinglevel3Char"/>
          <w:smallCaps/>
        </w:rPr>
        <w:t>Introduction</w:t>
      </w:r>
    </w:p>
    <w:p w14:paraId="779ABBD1" w14:textId="77777777" w:rsidR="00E61C26" w:rsidRPr="003745A3" w:rsidRDefault="00E61C26" w:rsidP="00E61C26">
      <w:pPr>
        <w:pStyle w:val="BodyText1"/>
      </w:pPr>
      <w:r w:rsidRPr="003745A3">
        <w:t>In relation to the general services and intervention by the ACT Government in DFV matters there are a number of matters which do not easily fit within previous sections of this report, but which have been developed into recommendations based upon witness suggestions or the deliberations of the Committee based on submissions to the inquiry.</w:t>
      </w:r>
    </w:p>
    <w:p w14:paraId="06242E2D" w14:textId="0450B45C" w:rsidR="00E61C26" w:rsidRPr="003745A3" w:rsidRDefault="00A27C29" w:rsidP="00E61C26">
      <w:pPr>
        <w:pStyle w:val="BodyText1"/>
      </w:pPr>
      <w:r w:rsidRPr="003745A3">
        <w:t>Thus,</w:t>
      </w:r>
      <w:r w:rsidR="00E61C26" w:rsidRPr="003745A3">
        <w:t xml:space="preserve"> the following recommendations may be seen as ‘stand-alone’ and cover a variety of practical matters the ACT as a jurisdiction could improve on.</w:t>
      </w:r>
    </w:p>
    <w:p w14:paraId="350C2188" w14:textId="77777777" w:rsidR="00E61C26" w:rsidRDefault="00E61C26" w:rsidP="00E61C26">
      <w:pPr>
        <w:pStyle w:val="Recommendation"/>
      </w:pPr>
      <w:bookmarkStart w:id="106" w:name="_Toc17279476"/>
      <w:bookmarkEnd w:id="106"/>
    </w:p>
    <w:p w14:paraId="2D6F2630" w14:textId="77777777" w:rsidR="00E61C26" w:rsidRDefault="00E61C26" w:rsidP="00E61C26">
      <w:pPr>
        <w:pStyle w:val="RecommendationText"/>
      </w:pPr>
      <w:bookmarkStart w:id="107" w:name="_Toc17279477"/>
      <w:r>
        <w:t>The Committee recommends t</w:t>
      </w:r>
      <w:r w:rsidRPr="00F77740">
        <w:t>hat programs and responses involving children not only include counselling but other appropriate serv</w:t>
      </w:r>
      <w:r>
        <w:t xml:space="preserve">ices, for example socialisation or </w:t>
      </w:r>
      <w:r w:rsidRPr="00F77740">
        <w:t>exercise activities which can assist children</w:t>
      </w:r>
      <w:r>
        <w:t xml:space="preserve"> in broader self-development</w:t>
      </w:r>
      <w:r w:rsidRPr="00F77740">
        <w:t>.</w:t>
      </w:r>
      <w:bookmarkEnd w:id="107"/>
    </w:p>
    <w:p w14:paraId="1C18D9BB" w14:textId="77777777" w:rsidR="00E61C26" w:rsidRPr="0089390F" w:rsidRDefault="00E61C26" w:rsidP="00E61C26">
      <w:pPr>
        <w:pStyle w:val="Recommendation"/>
      </w:pPr>
      <w:bookmarkStart w:id="108" w:name="_Toc17279478"/>
      <w:bookmarkEnd w:id="108"/>
    </w:p>
    <w:p w14:paraId="006589B1" w14:textId="77777777" w:rsidR="00E61C26" w:rsidRDefault="00E61C26" w:rsidP="00E61C26">
      <w:pPr>
        <w:pStyle w:val="RecommendationText"/>
      </w:pPr>
      <w:bookmarkStart w:id="109" w:name="_Toc17279479"/>
      <w:r>
        <w:t>The Committee recommends that, as part of ACT Government’s r</w:t>
      </w:r>
      <w:r w:rsidRPr="00F77740">
        <w:t>estorative justice work</w:t>
      </w:r>
      <w:r>
        <w:t xml:space="preserve">, initiated with </w:t>
      </w:r>
      <w:r w:rsidRPr="00F77740">
        <w:t>young perpetrators</w:t>
      </w:r>
      <w:r>
        <w:t>,</w:t>
      </w:r>
      <w:r w:rsidRPr="00F77740">
        <w:t xml:space="preserve"> </w:t>
      </w:r>
      <w:r>
        <w:t xml:space="preserve">further options </w:t>
      </w:r>
      <w:r w:rsidRPr="00F77740">
        <w:t>be promoted and included in responses includ</w:t>
      </w:r>
      <w:r>
        <w:t>ing mediation for young perpetrators to enable skills development for positive change.</w:t>
      </w:r>
      <w:bookmarkEnd w:id="109"/>
    </w:p>
    <w:p w14:paraId="52600BF7" w14:textId="77777777" w:rsidR="00E61C26" w:rsidRPr="0089390F" w:rsidRDefault="00E61C26" w:rsidP="00E61C26">
      <w:pPr>
        <w:pStyle w:val="Recommendation"/>
      </w:pPr>
      <w:bookmarkStart w:id="110" w:name="_Toc17279480"/>
      <w:bookmarkEnd w:id="110"/>
    </w:p>
    <w:p w14:paraId="49B7D334" w14:textId="77777777" w:rsidR="00E61C26" w:rsidRDefault="00E61C26" w:rsidP="00E61C26">
      <w:pPr>
        <w:pStyle w:val="RecommendationText"/>
      </w:pPr>
      <w:bookmarkStart w:id="111" w:name="_Toc17279481"/>
      <w:r>
        <w:t>The Committee recommends that ACT Government l</w:t>
      </w:r>
      <w:r w:rsidRPr="00F77740">
        <w:t>ook at the N</w:t>
      </w:r>
      <w:r>
        <w:t xml:space="preserve">ew </w:t>
      </w:r>
      <w:r w:rsidRPr="00F77740">
        <w:t>Z</w:t>
      </w:r>
      <w:r>
        <w:t>ealand</w:t>
      </w:r>
      <w:r w:rsidRPr="00F77740">
        <w:t xml:space="preserve"> Restorative Justice model for restoring relationships especially for perpetrators.</w:t>
      </w:r>
      <w:bookmarkEnd w:id="111"/>
    </w:p>
    <w:p w14:paraId="2C2E5D44" w14:textId="77777777" w:rsidR="00E61C26" w:rsidRPr="00C80B05" w:rsidRDefault="00E61C26" w:rsidP="00E61C26">
      <w:pPr>
        <w:pStyle w:val="Recommendation"/>
      </w:pPr>
      <w:bookmarkStart w:id="112" w:name="_Toc17279482"/>
      <w:bookmarkEnd w:id="112"/>
    </w:p>
    <w:p w14:paraId="09BCB859" w14:textId="77777777" w:rsidR="00E61C26" w:rsidRDefault="00E61C26" w:rsidP="00E61C26">
      <w:pPr>
        <w:pStyle w:val="RecommendationText"/>
      </w:pPr>
      <w:bookmarkStart w:id="113" w:name="_Toc17279483"/>
      <w:r>
        <w:t xml:space="preserve">The Committee recommends that that in all work with perpetrators, </w:t>
      </w:r>
      <w:r w:rsidRPr="00F77740">
        <w:t xml:space="preserve">those who do change or take up opportunities to change through our systems </w:t>
      </w:r>
      <w:r>
        <w:t xml:space="preserve">are encouraged </w:t>
      </w:r>
      <w:r w:rsidRPr="00F77740">
        <w:t>so that hope is retained for those interes</w:t>
      </w:r>
      <w:r>
        <w:t>ted in bettering their approach and effecting changing behaviour in themselves.</w:t>
      </w:r>
      <w:bookmarkEnd w:id="113"/>
    </w:p>
    <w:p w14:paraId="27F8DC1D" w14:textId="77777777" w:rsidR="00E61C26" w:rsidRPr="00A804C4" w:rsidRDefault="00E61C26" w:rsidP="00E61C26">
      <w:pPr>
        <w:pStyle w:val="Recommendation"/>
      </w:pPr>
      <w:bookmarkStart w:id="114" w:name="_Toc17279484"/>
      <w:bookmarkEnd w:id="114"/>
    </w:p>
    <w:p w14:paraId="11211DB4" w14:textId="77777777" w:rsidR="00E61C26" w:rsidRDefault="00E61C26" w:rsidP="00E61C26">
      <w:pPr>
        <w:pStyle w:val="RecommendationText"/>
      </w:pPr>
      <w:bookmarkStart w:id="115" w:name="_Toc17279485"/>
      <w:r>
        <w:t>The Committee recommends that p</w:t>
      </w:r>
      <w:r w:rsidRPr="00F77740">
        <w:t xml:space="preserve">ersonalised care plans be developed across the sector </w:t>
      </w:r>
      <w:r>
        <w:t xml:space="preserve">and that the </w:t>
      </w:r>
      <w:r w:rsidRPr="00F77740">
        <w:t>same level of holistic service to be of</w:t>
      </w:r>
      <w:r>
        <w:t>fered to all seeking assistance whether victims or perpetrators.</w:t>
      </w:r>
      <w:bookmarkEnd w:id="115"/>
    </w:p>
    <w:p w14:paraId="3E7D3BB6" w14:textId="77777777" w:rsidR="00E61C26" w:rsidRPr="007A5057" w:rsidRDefault="00E61C26" w:rsidP="00E61C26">
      <w:pPr>
        <w:pStyle w:val="Recommendation"/>
      </w:pPr>
      <w:bookmarkStart w:id="116" w:name="_Toc17279486"/>
      <w:bookmarkEnd w:id="116"/>
    </w:p>
    <w:p w14:paraId="65688D3B" w14:textId="77777777" w:rsidR="00E61C26" w:rsidRDefault="00E61C26" w:rsidP="00E61C26">
      <w:pPr>
        <w:pStyle w:val="RecommendationText"/>
      </w:pPr>
      <w:bookmarkStart w:id="117" w:name="_Toc17279487"/>
      <w:r>
        <w:t>The Committee recommends that ACT Government a</w:t>
      </w:r>
      <w:r w:rsidRPr="00F77740">
        <w:t xml:space="preserve">cknowledge the intensive assistance needed for the long term to keep victims linked in </w:t>
      </w:r>
      <w:r>
        <w:t xml:space="preserve">with available </w:t>
      </w:r>
      <w:r w:rsidRPr="00F77740">
        <w:t>services.</w:t>
      </w:r>
      <w:bookmarkEnd w:id="117"/>
    </w:p>
    <w:p w14:paraId="76FF01A6" w14:textId="77777777" w:rsidR="00E61C26" w:rsidRPr="007A5057" w:rsidRDefault="00E61C26" w:rsidP="00E61C26">
      <w:pPr>
        <w:pStyle w:val="Recommendation"/>
      </w:pPr>
      <w:bookmarkStart w:id="118" w:name="_Toc17279488"/>
      <w:bookmarkEnd w:id="118"/>
    </w:p>
    <w:p w14:paraId="2FEF28C1" w14:textId="77777777" w:rsidR="00E61C26" w:rsidRDefault="00E61C26" w:rsidP="00E61C26">
      <w:pPr>
        <w:pStyle w:val="RecommendationText"/>
      </w:pPr>
      <w:bookmarkStart w:id="119" w:name="_Toc17279489"/>
      <w:r>
        <w:t>The Committee recommends and acknowledges that b</w:t>
      </w:r>
      <w:r w:rsidRPr="00F77740">
        <w:t xml:space="preserve">etter coordination and education required in identifying </w:t>
      </w:r>
      <w:r>
        <w:t>D</w:t>
      </w:r>
      <w:r w:rsidRPr="00F77740">
        <w:t>FV issues in patients who present in the medical setting including information on where they should go</w:t>
      </w:r>
      <w:r>
        <w:t>.</w:t>
      </w:r>
      <w:bookmarkEnd w:id="119"/>
    </w:p>
    <w:p w14:paraId="04FB39E0" w14:textId="77777777" w:rsidR="00E61C26" w:rsidRPr="007A5057" w:rsidRDefault="00E61C26" w:rsidP="00E61C26">
      <w:pPr>
        <w:pStyle w:val="Recommendation"/>
      </w:pPr>
      <w:bookmarkStart w:id="120" w:name="_Toc17279490"/>
      <w:bookmarkEnd w:id="120"/>
    </w:p>
    <w:p w14:paraId="34E7FDF9" w14:textId="77777777" w:rsidR="00E61C26" w:rsidRDefault="00E61C26" w:rsidP="00E61C26">
      <w:pPr>
        <w:pStyle w:val="RecommendationText"/>
      </w:pPr>
      <w:bookmarkStart w:id="121" w:name="_Toc17279491"/>
      <w:r>
        <w:t>The Committee recommends that ACT Government studies and identifies s</w:t>
      </w:r>
      <w:r w:rsidRPr="00F77740">
        <w:t>ystem gaps especially for A</w:t>
      </w:r>
      <w:r>
        <w:t xml:space="preserve">boriginal and Torres Strait Islander </w:t>
      </w:r>
      <w:r w:rsidRPr="00F77740">
        <w:t>victims</w:t>
      </w:r>
      <w:r>
        <w:t xml:space="preserve"> in accordance with recommendations made to the Committee by the Women’s Legal Centre in its submission.</w:t>
      </w:r>
      <w:bookmarkEnd w:id="121"/>
    </w:p>
    <w:p w14:paraId="43070AC1" w14:textId="77777777" w:rsidR="00E61C26" w:rsidRPr="00680D3E" w:rsidRDefault="00E61C26" w:rsidP="00E61C26">
      <w:pPr>
        <w:pStyle w:val="BodyText1"/>
      </w:pPr>
      <w:r>
        <w:t>COMMITTEE COMMENT</w:t>
      </w:r>
      <w:r>
        <w:br/>
        <w:t xml:space="preserve">The Committee heard evidence which identified the stress and trauma that children and young people suffer, both as a result of domestic and family violence, and through the child </w:t>
      </w:r>
      <w:r>
        <w:lastRenderedPageBreak/>
        <w:t xml:space="preserve">protection system. The Committee also heard of a program which is run through “Melaleuca Place” which is intended to be like that of a trauma centre which includes access to occupational therapy, psychology, social work, speech therapy and more all in one location. </w:t>
      </w:r>
    </w:p>
    <w:p w14:paraId="00346B07" w14:textId="77777777" w:rsidR="00E61C26" w:rsidRPr="005754DE" w:rsidRDefault="00E61C26" w:rsidP="00E61C26">
      <w:pPr>
        <w:pStyle w:val="Recommendation"/>
      </w:pPr>
      <w:bookmarkStart w:id="122" w:name="_Toc17279492"/>
      <w:bookmarkEnd w:id="122"/>
    </w:p>
    <w:p w14:paraId="75FAA802" w14:textId="77777777" w:rsidR="00E61C26" w:rsidRDefault="00E61C26" w:rsidP="00E61C26">
      <w:pPr>
        <w:pStyle w:val="RecommendationText"/>
      </w:pPr>
      <w:bookmarkStart w:id="123" w:name="_Toc17279493"/>
      <w:r>
        <w:t>The Committee recommends the ACT Government d</w:t>
      </w:r>
      <w:r w:rsidRPr="00F77740">
        <w:t xml:space="preserve">evelop a </w:t>
      </w:r>
      <w:r>
        <w:t>model, similar to that of “Melaleuca Place”, for engaging with children and young people who suffer trauma due to Domestic and Family Violence and/or being involved in the care and protection system.</w:t>
      </w:r>
      <w:bookmarkEnd w:id="123"/>
      <w:r>
        <w:t xml:space="preserve"> </w:t>
      </w:r>
    </w:p>
    <w:p w14:paraId="2C0C44F9" w14:textId="77777777" w:rsidR="00E61C26" w:rsidRPr="001E7367" w:rsidRDefault="00E61C26" w:rsidP="00E61C26">
      <w:pPr>
        <w:pStyle w:val="Recommendation"/>
      </w:pPr>
      <w:bookmarkStart w:id="124" w:name="_Toc17279494"/>
      <w:bookmarkEnd w:id="124"/>
    </w:p>
    <w:p w14:paraId="6DBECA10" w14:textId="77777777" w:rsidR="00E61C26" w:rsidRDefault="00E61C26" w:rsidP="00E61C26">
      <w:pPr>
        <w:pStyle w:val="RecommendationText"/>
      </w:pPr>
      <w:bookmarkStart w:id="125" w:name="_Toc17279495"/>
      <w:r>
        <w:t>The Committee recommends increased access to support and clinical services for children and young people who use violence, including sibling to sibling violence, as well as access and support for parents and siblings.</w:t>
      </w:r>
      <w:bookmarkEnd w:id="125"/>
      <w:r>
        <w:t xml:space="preserve"> </w:t>
      </w:r>
    </w:p>
    <w:p w14:paraId="4B5ABE33" w14:textId="77777777" w:rsidR="00E61C26" w:rsidRPr="0037063B" w:rsidRDefault="00E61C26" w:rsidP="00E61C26">
      <w:pPr>
        <w:pStyle w:val="Recommendation"/>
      </w:pPr>
      <w:bookmarkStart w:id="126" w:name="_Toc17279496"/>
      <w:bookmarkEnd w:id="126"/>
    </w:p>
    <w:p w14:paraId="733F8410" w14:textId="77777777" w:rsidR="00E61C26" w:rsidRDefault="00E61C26" w:rsidP="00E61C26">
      <w:pPr>
        <w:pStyle w:val="RecommendationText"/>
      </w:pPr>
      <w:bookmarkStart w:id="127" w:name="_Toc17279497"/>
      <w:r>
        <w:t>The Committee recommends that ACT Government a</w:t>
      </w:r>
      <w:r w:rsidRPr="00F77740">
        <w:t xml:space="preserve">nalyse availability and need for accommodation for </w:t>
      </w:r>
      <w:r>
        <w:t xml:space="preserve">the </w:t>
      </w:r>
      <w:r w:rsidRPr="00F77740">
        <w:t>escaping parent with male children over 10 years who are not alwa</w:t>
      </w:r>
      <w:r>
        <w:t>ys allowed in women’s refuges and f</w:t>
      </w:r>
      <w:r w:rsidRPr="00F77740">
        <w:t>und alternate solutions.</w:t>
      </w:r>
      <w:bookmarkEnd w:id="127"/>
    </w:p>
    <w:p w14:paraId="66BA5C56" w14:textId="77777777" w:rsidR="00E61C26" w:rsidRPr="00D43B92" w:rsidRDefault="00E61C26" w:rsidP="00E61C26">
      <w:pPr>
        <w:pStyle w:val="Recommendation"/>
      </w:pPr>
      <w:bookmarkStart w:id="128" w:name="_Toc17279498"/>
      <w:bookmarkEnd w:id="128"/>
    </w:p>
    <w:p w14:paraId="16753945" w14:textId="77777777" w:rsidR="00E61C26" w:rsidRDefault="00E61C26" w:rsidP="00E61C26">
      <w:pPr>
        <w:pStyle w:val="RecommendationText"/>
      </w:pPr>
      <w:bookmarkStart w:id="129" w:name="_Toc17279499"/>
      <w:r>
        <w:t>The Committee recommends that ACT Government e</w:t>
      </w:r>
      <w:r w:rsidRPr="00F77740">
        <w:t>nsure</w:t>
      </w:r>
      <w:r>
        <w:t xml:space="preserve"> that at all levels of response, whether as government services or court </w:t>
      </w:r>
      <w:r w:rsidRPr="00F77740">
        <w:t>proceedings</w:t>
      </w:r>
      <w:r>
        <w:t>, i</w:t>
      </w:r>
      <w:r w:rsidRPr="00F77740">
        <w:t xml:space="preserve">nterpreters are available </w:t>
      </w:r>
      <w:r>
        <w:t xml:space="preserve">to ensure </w:t>
      </w:r>
      <w:r w:rsidRPr="00F77740">
        <w:t>all involved fully comprehend their options, rights and outcomes.</w:t>
      </w:r>
      <w:bookmarkEnd w:id="129"/>
    </w:p>
    <w:p w14:paraId="2A22C05E" w14:textId="77777777" w:rsidR="00E61C26" w:rsidRPr="00D43B92" w:rsidRDefault="00E61C26" w:rsidP="00E61C26">
      <w:pPr>
        <w:pStyle w:val="Recommendation"/>
      </w:pPr>
      <w:bookmarkStart w:id="130" w:name="_Toc17279500"/>
      <w:bookmarkEnd w:id="130"/>
    </w:p>
    <w:p w14:paraId="123AA7C0" w14:textId="77777777" w:rsidR="00E61C26" w:rsidRPr="00F77740" w:rsidRDefault="00E61C26" w:rsidP="00E61C26">
      <w:pPr>
        <w:pStyle w:val="RecommendationText"/>
      </w:pPr>
      <w:bookmarkStart w:id="131" w:name="_Toc17279501"/>
      <w:r>
        <w:t>The Committee recommends that</w:t>
      </w:r>
      <w:r w:rsidRPr="00F77740">
        <w:t xml:space="preserve"> thought be given to those with disabilities, in particular</w:t>
      </w:r>
      <w:r>
        <w:t xml:space="preserve"> women with disabilities to ensure </w:t>
      </w:r>
      <w:r w:rsidRPr="00F77740">
        <w:t xml:space="preserve">they are able to access services, </w:t>
      </w:r>
      <w:r>
        <w:t xml:space="preserve">such as </w:t>
      </w:r>
      <w:r w:rsidRPr="00F77740">
        <w:t>escaping from abusive carers.</w:t>
      </w:r>
      <w:bookmarkEnd w:id="131"/>
    </w:p>
    <w:p w14:paraId="6F421CCE" w14:textId="77777777" w:rsidR="00E61C26" w:rsidRPr="00BE6510" w:rsidRDefault="00E61C26" w:rsidP="00E61C26">
      <w:pPr>
        <w:pStyle w:val="Headinglevel2"/>
      </w:pPr>
      <w:bookmarkStart w:id="132" w:name="_Toc16764005"/>
      <w:r>
        <w:t xml:space="preserve">Enhancing </w:t>
      </w:r>
      <w:r w:rsidRPr="00BE6510">
        <w:t>Workforce Capability</w:t>
      </w:r>
      <w:bookmarkEnd w:id="132"/>
    </w:p>
    <w:p w14:paraId="5658038B" w14:textId="77777777" w:rsidR="00E61C26" w:rsidRPr="00BE6510" w:rsidRDefault="00E61C26" w:rsidP="00E61C26">
      <w:pPr>
        <w:pStyle w:val="BodyText1"/>
      </w:pPr>
      <w:r w:rsidRPr="00BE6510">
        <w:t xml:space="preserve">The Committee has taken evidence and has received information – principally from ACT Government, on the need to ensure that all levels of contact with DFV clients are trained, </w:t>
      </w:r>
      <w:r w:rsidRPr="00BE6510">
        <w:lastRenderedPageBreak/>
        <w:t>empowered and provided with support to ensure thy can deliver services as envisaged by current DFV prevention and support.</w:t>
      </w:r>
    </w:p>
    <w:p w14:paraId="098CDD51" w14:textId="77777777" w:rsidR="00E61C26" w:rsidRPr="00BE6510" w:rsidRDefault="00E61C26" w:rsidP="00E61C26">
      <w:pPr>
        <w:pStyle w:val="BodyText1"/>
      </w:pPr>
      <w:r w:rsidRPr="00BE6510">
        <w:t>So:</w:t>
      </w:r>
    </w:p>
    <w:p w14:paraId="7C131C87" w14:textId="77777777" w:rsidR="00E61C26" w:rsidRPr="00FC6474" w:rsidRDefault="00E61C26" w:rsidP="00E61C26">
      <w:pPr>
        <w:pStyle w:val="Quote"/>
        <w:ind w:left="720"/>
        <w:rPr>
          <w:szCs w:val="22"/>
          <w:lang w:eastAsia="en-AU"/>
        </w:rPr>
      </w:pPr>
      <w:r w:rsidRPr="00FC6474">
        <w:rPr>
          <w:szCs w:val="22"/>
          <w:lang w:eastAsia="en-AU"/>
        </w:rPr>
        <w:t xml:space="preserve">The </w:t>
      </w:r>
      <w:r w:rsidRPr="00FC6474">
        <w:rPr>
          <w:i/>
          <w:szCs w:val="22"/>
          <w:lang w:eastAsia="en-AU"/>
        </w:rPr>
        <w:t>ACT Government Response to Family Violence</w:t>
      </w:r>
      <w:r w:rsidRPr="00FC6474">
        <w:rPr>
          <w:rFonts w:ascii="Arial" w:hAnsi="Arial"/>
          <w:i/>
          <w:szCs w:val="22"/>
          <w:lang w:eastAsia="en-AU"/>
        </w:rPr>
        <w:t xml:space="preserve"> </w:t>
      </w:r>
      <w:r w:rsidRPr="00FC6474">
        <w:rPr>
          <w:szCs w:val="22"/>
          <w:lang w:eastAsia="en-AU"/>
        </w:rPr>
        <w:t xml:space="preserve">responded to all three reports and is the guiding document for the ACT's policy approaches and responses to domestic and family violence. The Response included an emphasis on several themes, which (inter alia) included leadership and cultural change, prevention and early intervention, with proposals for: </w:t>
      </w:r>
    </w:p>
    <w:p w14:paraId="043A586A" w14:textId="77777777" w:rsidR="00E61C26" w:rsidRPr="00BE6510" w:rsidRDefault="00E61C26" w:rsidP="00E61C26">
      <w:pPr>
        <w:pStyle w:val="ListBullet2"/>
      </w:pPr>
      <w:r w:rsidRPr="00BE6510">
        <w:t xml:space="preserve"> appointing the first, full-time Coordinator-General for Family Safety to lead change and provide</w:t>
      </w:r>
    </w:p>
    <w:p w14:paraId="4D5E873D" w14:textId="77777777" w:rsidR="00E61C26" w:rsidRPr="00BE6510" w:rsidRDefault="00E61C26" w:rsidP="00E61C26">
      <w:pPr>
        <w:pStyle w:val="ListBullet2"/>
      </w:pPr>
      <w:r w:rsidRPr="00BE6510">
        <w:t>accountability across the service system;</w:t>
      </w:r>
    </w:p>
    <w:p w14:paraId="3E7719DC" w14:textId="77777777" w:rsidR="00E61C26" w:rsidRPr="00BE6510" w:rsidRDefault="00E61C26" w:rsidP="00E61C26">
      <w:pPr>
        <w:pStyle w:val="ListBullet2"/>
      </w:pPr>
      <w:r w:rsidRPr="00BE6510">
        <w:t xml:space="preserve"> implementing a collaborative and integrated approach to services through a dedicated Family Safety Hub; and, </w:t>
      </w:r>
    </w:p>
    <w:p w14:paraId="7A27D992" w14:textId="77777777" w:rsidR="00E61C26" w:rsidRPr="00BE6510" w:rsidRDefault="00E61C26" w:rsidP="00E61C26">
      <w:pPr>
        <w:pStyle w:val="ListBullet2"/>
      </w:pPr>
      <w:r w:rsidRPr="00BE6510">
        <w:t xml:space="preserve">developing a skilled and educated workforce, especially frontline staff, to respond to the needs of adults and children experiencing family violence. </w:t>
      </w:r>
      <w:r w:rsidRPr="00BE6510">
        <w:rPr>
          <w:rStyle w:val="FootnoteReference"/>
        </w:rPr>
        <w:footnoteReference w:id="71"/>
      </w:r>
    </w:p>
    <w:p w14:paraId="65D2AF45" w14:textId="77777777" w:rsidR="00E61C26" w:rsidRPr="00BE6510" w:rsidRDefault="00E61C26" w:rsidP="00E61C26">
      <w:pPr>
        <w:pStyle w:val="BodyText1"/>
        <w:rPr>
          <w:rFonts w:ascii="Times New Roman" w:hAnsi="Times New Roman"/>
          <w:lang w:eastAsia="en-AU"/>
        </w:rPr>
      </w:pPr>
      <w:r w:rsidRPr="00BE6510">
        <w:t xml:space="preserve">The emphasis on workforce capability which is contained in this approach, has been followed through with initiatives and processes which aim at having </w:t>
      </w:r>
      <w:r w:rsidRPr="00BE6510">
        <w:rPr>
          <w:rFonts w:ascii="Times New Roman" w:hAnsi="Times New Roman"/>
          <w:lang w:eastAsia="en-AU"/>
        </w:rPr>
        <w:t>frontline staff who are aware of how they have a role and responsibility in relation to domestic and family violence matters.</w:t>
      </w:r>
    </w:p>
    <w:p w14:paraId="5E9AE65F" w14:textId="77777777" w:rsidR="00E61C26" w:rsidRPr="00BE6510" w:rsidRDefault="00E61C26" w:rsidP="00E61C26">
      <w:pPr>
        <w:pStyle w:val="BodyText1"/>
      </w:pPr>
      <w:r w:rsidRPr="00BE6510">
        <w:t>At a hearing, Ms Jo Wood, the Coordinator-General for Family Safety, told the Committee that the Government was looking at a ‘whole-of-government approach’ to how frontline staff are trained to deal with DFV situations with the intention ‘to ensure we build consistency in the way that we do that training and also that we embed it into capability frameworks and our workforce strategies across ACT government’.</w:t>
      </w:r>
      <w:r w:rsidRPr="00BE6510">
        <w:rPr>
          <w:rStyle w:val="FootnoteReference"/>
        </w:rPr>
        <w:footnoteReference w:id="72"/>
      </w:r>
      <w:r w:rsidRPr="00BE6510">
        <w:t xml:space="preserve">  </w:t>
      </w:r>
    </w:p>
    <w:p w14:paraId="7784B176" w14:textId="77777777" w:rsidR="00E61C26" w:rsidRPr="00BE6510" w:rsidRDefault="00E61C26" w:rsidP="00E61C26">
      <w:pPr>
        <w:pStyle w:val="BodyText1"/>
      </w:pPr>
      <w:r w:rsidRPr="00BE6510">
        <w:t>In its submission to the inquiry, the ACT Government informed the Committee of some of these whole-of-government initiatives undertaken by the ACT Government to ensure frontline staff are adequately informed about their roles and responsibilities in Government DFV prevention policies. These initiatives include:</w:t>
      </w:r>
    </w:p>
    <w:p w14:paraId="3898EBBC" w14:textId="77777777" w:rsidR="00E61C26" w:rsidRPr="00BE6510" w:rsidRDefault="00E61C26" w:rsidP="003745A3">
      <w:pPr>
        <w:pStyle w:val="BodyText1"/>
        <w:numPr>
          <w:ilvl w:val="0"/>
          <w:numId w:val="28"/>
        </w:numPr>
        <w:ind w:left="1321" w:hanging="357"/>
      </w:pPr>
      <w:r w:rsidRPr="00BE6510">
        <w:t>the Community Services Directorate has revised its Domestic and Family Violence Policy Manual for Housing and Community Services. The Directorate is also making improvements to procedures and practice guidelines for Child and Youth Protection Services (CYPS), including through the Family Violence Guide for CYPS staff. This guide draws heavily on the work by the Victorian Government and aligns with the domestic and family violence training that has been implemented within CYPS;</w:t>
      </w:r>
    </w:p>
    <w:p w14:paraId="5D986C7A" w14:textId="77777777" w:rsidR="00E61C26" w:rsidRPr="00BE6510" w:rsidRDefault="00E61C26" w:rsidP="003745A3">
      <w:pPr>
        <w:pStyle w:val="BodyText1"/>
        <w:numPr>
          <w:ilvl w:val="0"/>
          <w:numId w:val="28"/>
        </w:numPr>
        <w:ind w:left="1321" w:hanging="357"/>
      </w:pPr>
      <w:r w:rsidRPr="00BE6510">
        <w:lastRenderedPageBreak/>
        <w:t>in the Health Directorate, the perinatal mental health service has introduced domestic and family violence screening, which includes four questions regarding domestic and family violence. These questions and client responses are documented in the clients' full assessment records. The intention is to expand th.is screening to all Child and Adolescent Mental Health Service (CAMHS) services;</w:t>
      </w:r>
    </w:p>
    <w:p w14:paraId="3B8674B7" w14:textId="77777777" w:rsidR="00E61C26" w:rsidRPr="00BE6510" w:rsidRDefault="00E61C26" w:rsidP="003745A3">
      <w:pPr>
        <w:pStyle w:val="BodyText1"/>
        <w:numPr>
          <w:ilvl w:val="0"/>
          <w:numId w:val="28"/>
        </w:numPr>
        <w:ind w:left="1321" w:hanging="357"/>
      </w:pPr>
      <w:r w:rsidRPr="00BE6510">
        <w:t>CAM HS staff have attended Domestic Family Violence training and CAMHS have included online domestic and family violence training as standard for new staff;</w:t>
      </w:r>
    </w:p>
    <w:p w14:paraId="303855A4" w14:textId="77777777" w:rsidR="00E61C26" w:rsidRPr="00BE6510" w:rsidRDefault="00E61C26" w:rsidP="003745A3">
      <w:pPr>
        <w:pStyle w:val="BodyText1"/>
        <w:numPr>
          <w:ilvl w:val="0"/>
          <w:numId w:val="28"/>
        </w:numPr>
        <w:ind w:left="1321" w:hanging="357"/>
      </w:pPr>
      <w:r w:rsidRPr="00BE6510">
        <w:t>the Education Directorate updated its Mandatory Reporting Guideline to include a specific module on family violence. Annual training for mandatory reporters was launched in time for the 2016 school year;</w:t>
      </w:r>
    </w:p>
    <w:p w14:paraId="7C3A4127" w14:textId="77777777" w:rsidR="00E61C26" w:rsidRPr="00BE6510" w:rsidRDefault="00E61C26" w:rsidP="003745A3">
      <w:pPr>
        <w:pStyle w:val="BodyText1"/>
        <w:numPr>
          <w:ilvl w:val="0"/>
          <w:numId w:val="28"/>
        </w:numPr>
        <w:ind w:left="1321" w:hanging="357"/>
      </w:pPr>
      <w:r w:rsidRPr="00BE6510">
        <w:t>Transport Canberra and City Services is developing a prevention of violence against women and children policy statement for the Capital Metro Agency (CMA) and distributing this to all CMA staff;</w:t>
      </w:r>
    </w:p>
    <w:p w14:paraId="61E2676F" w14:textId="77777777" w:rsidR="00E61C26" w:rsidRPr="00BE6510" w:rsidRDefault="00E61C26" w:rsidP="003745A3">
      <w:pPr>
        <w:pStyle w:val="BodyText1"/>
        <w:numPr>
          <w:ilvl w:val="0"/>
          <w:numId w:val="28"/>
        </w:numPr>
        <w:ind w:left="1321" w:hanging="357"/>
      </w:pPr>
      <w:r w:rsidRPr="00BE6510">
        <w:t>ACT Corrective Services is providing a range of training to Community Corrections and Offender Services staff, including courses on family violence offenders and working with sex offenders;</w:t>
      </w:r>
    </w:p>
    <w:p w14:paraId="45A6E750" w14:textId="77777777" w:rsidR="00E61C26" w:rsidRPr="00BE6510" w:rsidRDefault="00E61C26" w:rsidP="003745A3">
      <w:pPr>
        <w:pStyle w:val="BodyText1"/>
        <w:numPr>
          <w:ilvl w:val="0"/>
          <w:numId w:val="28"/>
        </w:numPr>
        <w:ind w:left="1321" w:hanging="357"/>
      </w:pPr>
      <w:r w:rsidRPr="00BE6510">
        <w:t>the Restorative Justice Unit is developing staff expertise in dealing with domestic and family violence. Staff have received training from Domestic Violence Crisis Service and 1800RESPECT; and</w:t>
      </w:r>
    </w:p>
    <w:p w14:paraId="2F04C7AC" w14:textId="77777777" w:rsidR="00E61C26" w:rsidRPr="00BE6510" w:rsidRDefault="00E61C26" w:rsidP="003745A3">
      <w:pPr>
        <w:pStyle w:val="BodyText1"/>
        <w:numPr>
          <w:ilvl w:val="0"/>
          <w:numId w:val="28"/>
        </w:numPr>
        <w:ind w:left="1321" w:hanging="357"/>
      </w:pPr>
      <w:r w:rsidRPr="00BE6510">
        <w:t>ACT Policing launched the Family Violence Coordination Unit to ensure officers implemented best practice policies and procedures when responding to domestic and family violence.</w:t>
      </w:r>
      <w:r w:rsidRPr="00BE6510">
        <w:rPr>
          <w:rStyle w:val="FootnoteReference"/>
        </w:rPr>
        <w:footnoteReference w:id="73"/>
      </w:r>
    </w:p>
    <w:p w14:paraId="656CE2A1" w14:textId="77777777" w:rsidR="00E61C26" w:rsidRPr="00BE6510" w:rsidRDefault="00E61C26" w:rsidP="00E61C26">
      <w:pPr>
        <w:pStyle w:val="Headinglevel4"/>
      </w:pPr>
      <w:r w:rsidRPr="00BE6510">
        <w:t>Training frontline workers to identify and response to DFV</w:t>
      </w:r>
    </w:p>
    <w:p w14:paraId="1D3F2FD4" w14:textId="77777777" w:rsidR="00E61C26" w:rsidRPr="00BE6510" w:rsidRDefault="00E61C26" w:rsidP="00E61C26">
      <w:pPr>
        <w:pStyle w:val="BodyText1"/>
      </w:pPr>
      <w:r w:rsidRPr="00BE6510">
        <w:t>The Committee heard evidence that police and crisis support staff are not always the first point of contact in DFV situations; often it is frontline workers in a wide range of government agencies who first respond to DFV situations.</w:t>
      </w:r>
      <w:r w:rsidRPr="00BE6510">
        <w:rPr>
          <w:rStyle w:val="FootnoteReference"/>
        </w:rPr>
        <w:footnoteReference w:id="74"/>
      </w:r>
      <w:r w:rsidRPr="00BE6510">
        <w:t xml:space="preserve"> The Committee recognises the need for DFV response training for frontline staff in organisations providing government services—particularly in health, education, community services and the justice sectors.</w:t>
      </w:r>
    </w:p>
    <w:p w14:paraId="1C1A9CBA" w14:textId="77777777" w:rsidR="00E61C26" w:rsidRPr="00BE6510" w:rsidRDefault="00E61C26" w:rsidP="00E61C26">
      <w:pPr>
        <w:pStyle w:val="BodyText1"/>
      </w:pPr>
      <w:r w:rsidRPr="00BE6510">
        <w:t>To this end, the ACT Government informed the Committee that it had committed ‘$770 000 of funding over three years for improved professional awareness and expertise around domestic and family violence for ACT Government frontline staff’ in these sectors.</w:t>
      </w:r>
      <w:r w:rsidRPr="00BE6510">
        <w:rPr>
          <w:rStyle w:val="FootnoteReference"/>
        </w:rPr>
        <w:footnoteReference w:id="75"/>
      </w:r>
    </w:p>
    <w:p w14:paraId="43FB54B3" w14:textId="77777777" w:rsidR="00E61C26" w:rsidRPr="00BE6510" w:rsidRDefault="00E61C26" w:rsidP="00E61C26">
      <w:pPr>
        <w:pStyle w:val="BodyText1"/>
      </w:pPr>
      <w:r w:rsidRPr="00BE6510">
        <w:lastRenderedPageBreak/>
        <w:t>The ACT Government submitted about its efforts to improve training for frontline staff across government sectors:</w:t>
      </w:r>
    </w:p>
    <w:p w14:paraId="1BED3BA9" w14:textId="77777777" w:rsidR="00E61C26" w:rsidRPr="00BE6510" w:rsidRDefault="00E61C26" w:rsidP="00E61C26">
      <w:pPr>
        <w:pStyle w:val="Quote"/>
      </w:pPr>
      <w:r w:rsidRPr="00BE6510">
        <w:t>The Coordinator-General for Family Safety is leading work across government to design a common approach for training of frontline workers that is sufficiently flexible to meet the diverse needs across Government. As part of the consultation process, the Office for the Coordinator-General for Family Safety has had discussions with ACT Government frontline worker areas that have a strong need for domestic and family violence training. The Office for the Coordinator-General for Family Safety has also identified existing domestic and family violence training programs and sought feedback on these to determine a best practice approach for ACT Government frontline workers. Further, where an existing domestic and family violence training program meets or exceeds the proposed learning outcomes, the Office for the Coordinator-General for Family Safety will work towards complementing rather than replacing these.</w:t>
      </w:r>
      <w:r w:rsidRPr="00BE6510">
        <w:rPr>
          <w:rStyle w:val="FootnoteReference"/>
        </w:rPr>
        <w:footnoteReference w:id="76"/>
      </w:r>
    </w:p>
    <w:p w14:paraId="771673B2" w14:textId="01BE2A08" w:rsidR="00E61C26" w:rsidRPr="00BE6510" w:rsidRDefault="00E61C26" w:rsidP="00E61C26">
      <w:pPr>
        <w:pStyle w:val="BodyText1"/>
      </w:pPr>
      <w:r w:rsidRPr="00BE6510">
        <w:t xml:space="preserve">Additionally, the ACT Government is also working with the community sector to improve the DFV response training of ‘General Practitioners, Allied Health Professionals and other primary health care </w:t>
      </w:r>
      <w:r w:rsidR="009F3074" w:rsidRPr="00BE6510">
        <w:t>providers</w:t>
      </w:r>
      <w:r w:rsidRPr="00BE6510">
        <w:t>. This training ‘aims to equip health service providers with the knowledge and skills to screen and respond effectively to disclosures of domestic and family violence’.</w:t>
      </w:r>
      <w:r w:rsidRPr="00BE6510">
        <w:rPr>
          <w:rStyle w:val="FootnoteReference"/>
        </w:rPr>
        <w:footnoteReference w:id="77"/>
      </w:r>
    </w:p>
    <w:p w14:paraId="3361616F" w14:textId="77777777" w:rsidR="00E61C26" w:rsidRPr="00BE6510" w:rsidRDefault="00E61C26" w:rsidP="00E61C26">
      <w:pPr>
        <w:pStyle w:val="BodyText1"/>
      </w:pPr>
      <w:r w:rsidRPr="00BE6510">
        <w:t>The Coordinator-General told the Committee that in facilitation DFV response training for frontline government staff, Government is also conscious of the need to provide support frameworks ‘within our workforce for people who lived experience of violence themselves’. She expanded: ‘The way we train our frontline workers has to be conscious of that and has to ensure that managers and HR areas are equipped to deal with disclosures and that we have the right supports and the right options to offer people’.</w:t>
      </w:r>
      <w:r w:rsidRPr="00BE6510">
        <w:rPr>
          <w:rStyle w:val="FootnoteReference"/>
        </w:rPr>
        <w:footnoteReference w:id="78"/>
      </w:r>
      <w:r w:rsidRPr="00BE6510">
        <w:t xml:space="preserve"> </w:t>
      </w:r>
    </w:p>
    <w:p w14:paraId="39E3BD36" w14:textId="77777777" w:rsidR="00E61C26" w:rsidRPr="00BE6510" w:rsidRDefault="00E61C26" w:rsidP="00E61C26">
      <w:pPr>
        <w:pStyle w:val="Headinglevel4"/>
      </w:pPr>
      <w:r w:rsidRPr="00BE6510">
        <w:t>Specialist drug and alcohol treatment services</w:t>
      </w:r>
    </w:p>
    <w:p w14:paraId="70DE8AF2" w14:textId="77777777" w:rsidR="00E61C26" w:rsidRPr="00BE6510" w:rsidRDefault="00E61C26" w:rsidP="00E61C26">
      <w:pPr>
        <w:pStyle w:val="BodyText1"/>
      </w:pPr>
      <w:r w:rsidRPr="00BE6510">
        <w:t>The Committee heard evidence that instances of DFV are often intimately related to alcohol and other drug abuse. It was also informed by the ACT Government that while alcohol and other drug abuse is an exacerbating factor in DFV, ‘we need understand it in relation to social norms and practices that condone or support violence against women, in particular those relating to masculinity and men’s peer group behaviour’.</w:t>
      </w:r>
      <w:r w:rsidRPr="00BE6510">
        <w:rPr>
          <w:rStyle w:val="FootnoteReference"/>
        </w:rPr>
        <w:footnoteReference w:id="79"/>
      </w:r>
      <w:r w:rsidRPr="00BE6510">
        <w:t xml:space="preserve"> </w:t>
      </w:r>
    </w:p>
    <w:p w14:paraId="248546F3" w14:textId="77777777" w:rsidR="00E61C26" w:rsidRPr="00BE6510" w:rsidRDefault="00E61C26" w:rsidP="00E61C26">
      <w:pPr>
        <w:pStyle w:val="BodyText1"/>
      </w:pPr>
      <w:r w:rsidRPr="00BE6510">
        <w:t xml:space="preserve">The ACT Government advised the Committee that it had provided $2 million in funding for the 2016-17 Budget ‘to provide effective responses to people who use alcohol or other drugs in harmful ways and who are experiencing, or at risk of using, family violence’. The funding was </w:t>
      </w:r>
      <w:r w:rsidRPr="00BE6510">
        <w:lastRenderedPageBreak/>
        <w:t>to be directed at the delivery of programs and training ‘that integrate best practice in addressing family violence’.</w:t>
      </w:r>
      <w:r w:rsidRPr="00BE6510">
        <w:rPr>
          <w:rStyle w:val="FootnoteReference"/>
        </w:rPr>
        <w:footnoteReference w:id="80"/>
      </w:r>
    </w:p>
    <w:p w14:paraId="27FF9472" w14:textId="77777777" w:rsidR="00E61C26" w:rsidRPr="00BE6510" w:rsidRDefault="00E61C26" w:rsidP="00E61C26">
      <w:pPr>
        <w:pStyle w:val="BodyText1"/>
      </w:pPr>
      <w:r w:rsidRPr="00BE6510">
        <w:t>Under this funding, the Alcohol, Tobacco and Other Drug Association ACT (ATODA) had been selected via a procurement process to deliver a pilot program that aims to ‘enhance opportunities for early intervention with victims and perpetrators of family violence’ within a framework that recognises the complex relationship between DFV and alcohol and other drug abuse.</w:t>
      </w:r>
      <w:r w:rsidRPr="00BE6510">
        <w:rPr>
          <w:rStyle w:val="FootnoteReference"/>
        </w:rPr>
        <w:footnoteReference w:id="81"/>
      </w:r>
    </w:p>
    <w:p w14:paraId="12EEADC9" w14:textId="77777777" w:rsidR="00E61C26" w:rsidRPr="00BE6510" w:rsidRDefault="00E61C26" w:rsidP="00E61C26">
      <w:pPr>
        <w:pStyle w:val="BodyText1"/>
      </w:pPr>
      <w:r w:rsidRPr="00BE6510">
        <w:t>ATODA has been procured by the ACT Government to specifically:</w:t>
      </w:r>
    </w:p>
    <w:p w14:paraId="698DBFB9" w14:textId="77777777" w:rsidR="00E61C26" w:rsidRPr="00BE6510" w:rsidRDefault="00E61C26" w:rsidP="003745A3">
      <w:pPr>
        <w:pStyle w:val="BodyText1"/>
        <w:numPr>
          <w:ilvl w:val="0"/>
          <w:numId w:val="29"/>
        </w:numPr>
        <w:ind w:left="1321" w:hanging="357"/>
      </w:pPr>
      <w:r w:rsidRPr="00BE6510">
        <w:t>engage and liaise with alcohol and other drugs specialist treatment and support services and other key stakeholders (including through the DFV sector) to scope the existing capacity and needs around integrating domestic and family violence into routine alcohol and other drugs practice;</w:t>
      </w:r>
    </w:p>
    <w:p w14:paraId="7E0115E3" w14:textId="7DF1FFC4" w:rsidR="00E61C26" w:rsidRPr="00BE6510" w:rsidRDefault="00E61C26" w:rsidP="003745A3">
      <w:pPr>
        <w:pStyle w:val="BodyText1"/>
        <w:numPr>
          <w:ilvl w:val="0"/>
          <w:numId w:val="29"/>
        </w:numPr>
        <w:ind w:left="1321" w:hanging="357"/>
      </w:pPr>
      <w:r w:rsidRPr="00BE6510">
        <w:t xml:space="preserve">design a </w:t>
      </w:r>
      <w:r w:rsidR="009F3074" w:rsidRPr="00BE6510">
        <w:t>three-year</w:t>
      </w:r>
      <w:r w:rsidRPr="00BE6510">
        <w:t xml:space="preserve"> pilot project that will facilitate the development of both collective capacity around domestic and family violence across all services in the alcohol and other drugs sector and specific and targeted clinical domestic and family violence capacity within individual services;</w:t>
      </w:r>
    </w:p>
    <w:p w14:paraId="0AB1A512" w14:textId="77777777" w:rsidR="00E61C26" w:rsidRPr="00BE6510" w:rsidRDefault="00E61C26" w:rsidP="003745A3">
      <w:pPr>
        <w:pStyle w:val="BodyText1"/>
        <w:numPr>
          <w:ilvl w:val="0"/>
          <w:numId w:val="29"/>
        </w:numPr>
        <w:ind w:left="1321" w:hanging="357"/>
      </w:pPr>
      <w:r w:rsidRPr="00BE6510">
        <w:t>develop an evaluation plan and recruit an external evaluation team to monitor and measure the program’s implementation and impact;</w:t>
      </w:r>
    </w:p>
    <w:p w14:paraId="5C1663E7" w14:textId="77777777" w:rsidR="00E61C26" w:rsidRPr="00BE6510" w:rsidRDefault="00E61C26" w:rsidP="003745A3">
      <w:pPr>
        <w:pStyle w:val="BodyText1"/>
        <w:numPr>
          <w:ilvl w:val="0"/>
          <w:numId w:val="29"/>
        </w:numPr>
        <w:ind w:left="1321" w:hanging="357"/>
      </w:pPr>
      <w:r w:rsidRPr="00BE6510">
        <w:t>recruit a clinician with specialist alcohol and other drugs and domestic and family violence expertise to provide expert advice on the project design and implementation; and</w:t>
      </w:r>
    </w:p>
    <w:p w14:paraId="62036FE1" w14:textId="77777777" w:rsidR="00E61C26" w:rsidRPr="00BE6510" w:rsidRDefault="00E61C26" w:rsidP="003745A3">
      <w:pPr>
        <w:pStyle w:val="BodyText1"/>
        <w:numPr>
          <w:ilvl w:val="0"/>
          <w:numId w:val="29"/>
        </w:numPr>
        <w:ind w:left="1321" w:hanging="357"/>
      </w:pPr>
      <w:r w:rsidRPr="00BE6510">
        <w:t>develop a tool on domestic and family violence capabilities that can be re-administered at regular intervals to assess increased capacity.</w:t>
      </w:r>
      <w:r w:rsidRPr="00BE6510">
        <w:rPr>
          <w:rStyle w:val="FootnoteReference"/>
        </w:rPr>
        <w:footnoteReference w:id="82"/>
      </w:r>
    </w:p>
    <w:p w14:paraId="38E7F836" w14:textId="77777777" w:rsidR="00E61C26" w:rsidRPr="00BE6510" w:rsidRDefault="00E61C26" w:rsidP="00E61C26">
      <w:pPr>
        <w:pStyle w:val="BodyText1"/>
      </w:pPr>
      <w:r w:rsidRPr="00BE6510">
        <w:t xml:space="preserve">ATODA provided a final report on the program it developed—the </w:t>
      </w:r>
      <w:r w:rsidRPr="00BE6510">
        <w:rPr>
          <w:i/>
        </w:rPr>
        <w:t>Alcohol and Other Drug Safer Families Program</w:t>
      </w:r>
      <w:r w:rsidRPr="00BE6510">
        <w:t>—to ACT Health in December 2017. ATODA’s report notes that with the implementation of the program model from 2018-2021, ‘the ACT community can have confidence that:</w:t>
      </w:r>
    </w:p>
    <w:p w14:paraId="3629F18E" w14:textId="77777777" w:rsidR="00E61C26" w:rsidRPr="00BE6510" w:rsidRDefault="00E61C26" w:rsidP="003745A3">
      <w:pPr>
        <w:pStyle w:val="Quote"/>
        <w:numPr>
          <w:ilvl w:val="0"/>
          <w:numId w:val="30"/>
        </w:numPr>
        <w:ind w:left="1321" w:hanging="357"/>
      </w:pPr>
      <w:r w:rsidRPr="00BE6510">
        <w:t>People who access specialist alcohol and other drug services (service consumers) receive comprehensive services that more effectively respond to alcohol and other drug issues as well as domestic and family violence and, as a consequence, have enhanced treatment outcomes.</w:t>
      </w:r>
    </w:p>
    <w:p w14:paraId="0224A86F" w14:textId="77777777" w:rsidR="00E61C26" w:rsidRPr="00BE6510" w:rsidRDefault="00E61C26" w:rsidP="003745A3">
      <w:pPr>
        <w:pStyle w:val="Quote"/>
        <w:numPr>
          <w:ilvl w:val="0"/>
          <w:numId w:val="30"/>
        </w:numPr>
        <w:ind w:left="1321" w:hanging="357"/>
      </w:pPr>
      <w:r w:rsidRPr="00BE6510">
        <w:lastRenderedPageBreak/>
        <w:t>The ACT has a specialist alcohol and other drug service system that provides alcohol and other drug and domestic and family violence interventions that reflect sound practice and better meets community expectations of safety.</w:t>
      </w:r>
    </w:p>
    <w:p w14:paraId="535E679D" w14:textId="77777777" w:rsidR="00E61C26" w:rsidRPr="00BE6510" w:rsidRDefault="00E61C26" w:rsidP="003745A3">
      <w:pPr>
        <w:pStyle w:val="Quote"/>
        <w:numPr>
          <w:ilvl w:val="0"/>
          <w:numId w:val="30"/>
        </w:numPr>
        <w:ind w:left="1321" w:hanging="357"/>
      </w:pPr>
      <w:r w:rsidRPr="00BE6510">
        <w:t>The frequency and severity of domestic and family violence among people who have used alcohol and other drug services in the ACT is reduced.</w:t>
      </w:r>
    </w:p>
    <w:p w14:paraId="67B9E234" w14:textId="77777777" w:rsidR="00E61C26" w:rsidRPr="00BE6510" w:rsidRDefault="00E61C26" w:rsidP="003745A3">
      <w:pPr>
        <w:pStyle w:val="Quote"/>
        <w:numPr>
          <w:ilvl w:val="0"/>
          <w:numId w:val="30"/>
        </w:numPr>
        <w:ind w:left="1321" w:hanging="357"/>
      </w:pPr>
      <w:r w:rsidRPr="00BE6510">
        <w:t>The health, wellbeing and safety of people who have used alcohol and other drug services, their families and friends, are improved’.</w:t>
      </w:r>
      <w:r w:rsidRPr="00BE6510">
        <w:rPr>
          <w:rStyle w:val="FootnoteReference"/>
        </w:rPr>
        <w:footnoteReference w:id="83"/>
      </w:r>
    </w:p>
    <w:p w14:paraId="6127D282" w14:textId="77777777" w:rsidR="00E61C26" w:rsidRPr="001042FD" w:rsidRDefault="00E61C26" w:rsidP="00E61C26">
      <w:pPr>
        <w:pStyle w:val="Heading4"/>
        <w:numPr>
          <w:ilvl w:val="0"/>
          <w:numId w:val="0"/>
        </w:numPr>
        <w:ind w:left="864" w:hanging="864"/>
      </w:pPr>
      <w:r w:rsidRPr="00BE6510">
        <w:tab/>
      </w:r>
      <w:r w:rsidRPr="001042FD">
        <w:t>Committee Comment</w:t>
      </w:r>
    </w:p>
    <w:p w14:paraId="4FC3BB76" w14:textId="6EDF4C03" w:rsidR="00E61C26" w:rsidRPr="001042FD" w:rsidRDefault="000B2A36" w:rsidP="00E61C26">
      <w:pPr>
        <w:pStyle w:val="BodyText1"/>
      </w:pPr>
      <w:r w:rsidRPr="001042FD">
        <w:t xml:space="preserve">The Committee recognises the programs and initiatives now being implemented in ACT Government in relation to </w:t>
      </w:r>
      <w:r w:rsidR="00E61C26" w:rsidRPr="001042FD">
        <w:t>workforce capability</w:t>
      </w:r>
      <w:r w:rsidRPr="001042FD">
        <w:t>.  The Committee observes that such initiatives need regular review and evaluation (as with other elements of DFV contact with workforce and others in contact with DFV matters).</w:t>
      </w:r>
    </w:p>
    <w:p w14:paraId="22FB8FD6" w14:textId="77777777" w:rsidR="00E61C26" w:rsidRPr="006060AE" w:rsidRDefault="00E61C26" w:rsidP="00E61C26">
      <w:pPr>
        <w:pStyle w:val="Headinglevel2"/>
      </w:pPr>
      <w:bookmarkStart w:id="133" w:name="_Toc16764006"/>
      <w:r w:rsidRPr="006060AE">
        <w:t>Policing and Justice Responses</w:t>
      </w:r>
      <w:bookmarkEnd w:id="133"/>
    </w:p>
    <w:p w14:paraId="27C9C2C9" w14:textId="3CABABB0" w:rsidR="00E61C26" w:rsidRDefault="00E61C26" w:rsidP="00E61C26">
      <w:pPr>
        <w:pStyle w:val="Headinglevel4"/>
      </w:pPr>
      <w:r w:rsidRPr="00153CE0">
        <w:t>Introduction</w:t>
      </w:r>
    </w:p>
    <w:p w14:paraId="20E64A78" w14:textId="026FE490" w:rsidR="00DB2762" w:rsidRPr="00DB2762" w:rsidRDefault="00DB2762" w:rsidP="00DB2762">
      <w:pPr>
        <w:pStyle w:val="BodyText1"/>
      </w:pPr>
      <w:r>
        <w:t xml:space="preserve">The </w:t>
      </w:r>
      <w:r w:rsidR="001042FD">
        <w:t>structures and support of policing and justice response provided by government in addressing DFV is of paramount importance.  The current  policing, criminal law enforcement and  judicial system, as well as crisis support and legal assistance, has developed a focus and approach which the Committee examines in detail.</w:t>
      </w:r>
    </w:p>
    <w:p w14:paraId="02425BC9" w14:textId="77777777" w:rsidR="00E61C26" w:rsidRDefault="00E61C26" w:rsidP="00E61C26">
      <w:pPr>
        <w:pStyle w:val="Headinglevel4"/>
      </w:pPr>
      <w:r w:rsidRPr="005E2B09">
        <w:t>Legal Services</w:t>
      </w:r>
    </w:p>
    <w:p w14:paraId="46C7DB6D" w14:textId="77777777" w:rsidR="00E61C26" w:rsidRPr="00C00A97" w:rsidRDefault="00E61C26" w:rsidP="00E61C26">
      <w:pPr>
        <w:pStyle w:val="BodyText1"/>
      </w:pPr>
      <w:r>
        <w:t xml:space="preserve">The Committee received submissions and heard evidence on a number of areas which focussed on </w:t>
      </w:r>
    </w:p>
    <w:p w14:paraId="7C39C148" w14:textId="77777777" w:rsidR="00E61C26" w:rsidRPr="00770FC3" w:rsidRDefault="00E61C26" w:rsidP="003745A3">
      <w:pPr>
        <w:pStyle w:val="ListBullet"/>
        <w:numPr>
          <w:ilvl w:val="0"/>
          <w:numId w:val="32"/>
        </w:numPr>
      </w:pPr>
      <w:r w:rsidRPr="00770FC3">
        <w:t>access to legal assistance and court support</w:t>
      </w:r>
    </w:p>
    <w:p w14:paraId="4EB8F273" w14:textId="77777777" w:rsidR="00E61C26" w:rsidRPr="00770FC3" w:rsidRDefault="00E61C26" w:rsidP="003745A3">
      <w:pPr>
        <w:pStyle w:val="ListBullet"/>
        <w:numPr>
          <w:ilvl w:val="0"/>
          <w:numId w:val="32"/>
        </w:numPr>
      </w:pPr>
      <w:r>
        <w:t>justice system c</w:t>
      </w:r>
      <w:r w:rsidRPr="00770FC3">
        <w:t>oordination</w:t>
      </w:r>
    </w:p>
    <w:p w14:paraId="2839F308" w14:textId="77777777" w:rsidR="00E61C26" w:rsidRPr="00770FC3" w:rsidRDefault="00E61C26" w:rsidP="003745A3">
      <w:pPr>
        <w:pStyle w:val="ListBullet"/>
        <w:numPr>
          <w:ilvl w:val="0"/>
          <w:numId w:val="32"/>
        </w:numPr>
      </w:pPr>
      <w:r>
        <w:t>stronger c</w:t>
      </w:r>
      <w:r w:rsidRPr="00770FC3">
        <w:t>r</w:t>
      </w:r>
      <w:r>
        <w:t>iminal j</w:t>
      </w:r>
      <w:r w:rsidRPr="00770FC3">
        <w:t>ustice responses</w:t>
      </w:r>
    </w:p>
    <w:p w14:paraId="522D37CC" w14:textId="77777777" w:rsidR="00E61C26" w:rsidRDefault="00E61C26" w:rsidP="003745A3">
      <w:pPr>
        <w:pStyle w:val="ListBullet"/>
        <w:numPr>
          <w:ilvl w:val="0"/>
          <w:numId w:val="32"/>
        </w:numPr>
      </w:pPr>
      <w:r>
        <w:t>c</w:t>
      </w:r>
      <w:r w:rsidRPr="00770FC3">
        <w:t>risis support</w:t>
      </w:r>
    </w:p>
    <w:p w14:paraId="2BC2684C" w14:textId="77777777" w:rsidR="00E61C26" w:rsidRPr="00770FC3" w:rsidRDefault="00E61C26" w:rsidP="003745A3">
      <w:pPr>
        <w:pStyle w:val="ListBullet"/>
        <w:numPr>
          <w:ilvl w:val="0"/>
          <w:numId w:val="32"/>
        </w:numPr>
      </w:pPr>
      <w:r>
        <w:t>policing role</w:t>
      </w:r>
    </w:p>
    <w:p w14:paraId="06B93AB4" w14:textId="77777777" w:rsidR="00E61C26" w:rsidRPr="00484D9E" w:rsidRDefault="00E61C26" w:rsidP="00E61C26">
      <w:pPr>
        <w:pStyle w:val="BodyText1"/>
      </w:pPr>
      <w:r w:rsidRPr="00484D9E">
        <w:t xml:space="preserve">The Committee has highlighted the areas of greatest importance, and of continually growing involvement, in the ACT justice system developing the continuing role of the courts, legislation, </w:t>
      </w:r>
      <w:r w:rsidRPr="00484D9E">
        <w:lastRenderedPageBreak/>
        <w:t>police and arms of the justice system such as restorative justice in addressing and supporting responses to DFV.</w:t>
      </w:r>
    </w:p>
    <w:p w14:paraId="0B0DBA00" w14:textId="77777777" w:rsidR="00E61C26" w:rsidRPr="00484D9E" w:rsidRDefault="00E61C26" w:rsidP="00E61C26">
      <w:pPr>
        <w:pStyle w:val="BodyText1"/>
      </w:pPr>
      <w:r w:rsidRPr="00484D9E">
        <w:t>Committee comments on these matters are gained from a large-scale view of the issues the committee wishes identified and which, the committee believes, should be at the forefront of government and community concern.</w:t>
      </w:r>
    </w:p>
    <w:p w14:paraId="28A544BA" w14:textId="77777777" w:rsidR="00E61C26" w:rsidRPr="00484D9E" w:rsidRDefault="00E61C26" w:rsidP="00E61C26">
      <w:pPr>
        <w:pStyle w:val="BodyText1"/>
      </w:pPr>
      <w:r w:rsidRPr="00484D9E">
        <w:t xml:space="preserve">These </w:t>
      </w:r>
      <w:r>
        <w:t>matters are as follows:</w:t>
      </w:r>
    </w:p>
    <w:p w14:paraId="674A6C49" w14:textId="1CFC44D5" w:rsidR="00E61C26" w:rsidRDefault="00E61C26" w:rsidP="00E61C26">
      <w:pPr>
        <w:pStyle w:val="Headinglevel4"/>
      </w:pPr>
      <w:r>
        <w:t>Policing - Committee Observations</w:t>
      </w:r>
    </w:p>
    <w:p w14:paraId="2D2908C2" w14:textId="77777777" w:rsidR="00E61C26" w:rsidRDefault="00E61C26" w:rsidP="00E61C26">
      <w:pPr>
        <w:pStyle w:val="BodyText1"/>
      </w:pPr>
      <w:r>
        <w:t xml:space="preserve">The Committee commends </w:t>
      </w:r>
      <w:r w:rsidRPr="00F15F52">
        <w:t xml:space="preserve">our police force for a positive attitude towards assisting with </w:t>
      </w:r>
      <w:r>
        <w:t>D</w:t>
      </w:r>
      <w:r w:rsidRPr="00F15F52">
        <w:t>FV issues, they have developed a helpful, hardworking and constructive way of working with these situations.</w:t>
      </w:r>
    </w:p>
    <w:p w14:paraId="1A41C4F5" w14:textId="77777777" w:rsidR="00E61C26" w:rsidRDefault="00E61C26" w:rsidP="00E61C26">
      <w:pPr>
        <w:pStyle w:val="RecommendationText"/>
        <w:rPr>
          <w:b w:val="0"/>
        </w:rPr>
      </w:pPr>
      <w:bookmarkStart w:id="134" w:name="_Toc7871286"/>
      <w:bookmarkStart w:id="135" w:name="_Toc7874444"/>
      <w:bookmarkStart w:id="136" w:name="_Toc17279502"/>
      <w:r w:rsidRPr="00504A06">
        <w:rPr>
          <w:b w:val="0"/>
        </w:rPr>
        <w:t>Based on witness presentations and submissions to the Committee, the Committee recommends the following changes:</w:t>
      </w:r>
      <w:bookmarkEnd w:id="134"/>
      <w:bookmarkEnd w:id="135"/>
      <w:bookmarkEnd w:id="136"/>
    </w:p>
    <w:p w14:paraId="682DB39B" w14:textId="77777777" w:rsidR="00E61C26" w:rsidRPr="00504A06" w:rsidRDefault="00E61C26" w:rsidP="00E61C26">
      <w:pPr>
        <w:pStyle w:val="Recommendation"/>
      </w:pPr>
      <w:bookmarkStart w:id="137" w:name="_Toc17279503"/>
      <w:bookmarkEnd w:id="137"/>
    </w:p>
    <w:p w14:paraId="3C5041E3" w14:textId="77777777" w:rsidR="00E61C26" w:rsidRDefault="00E61C26" w:rsidP="00E61C26">
      <w:pPr>
        <w:pStyle w:val="RecommendationText"/>
      </w:pPr>
      <w:bookmarkStart w:id="138" w:name="_Toc17279504"/>
      <w:r>
        <w:t xml:space="preserve">The Committee recommends that such changes be made to allow police to make the application for Domestic Family Orders so that the victim is removed from making those decisions </w:t>
      </w:r>
      <w:r w:rsidRPr="00504A06">
        <w:t xml:space="preserve">where </w:t>
      </w:r>
      <w:r>
        <w:t>permission is granted to this course by the victim.</w:t>
      </w:r>
      <w:r>
        <w:rPr>
          <w:rStyle w:val="FootnoteReference"/>
          <w:b w:val="0"/>
          <w:bCs/>
        </w:rPr>
        <w:footnoteReference w:id="84"/>
      </w:r>
      <w:bookmarkEnd w:id="138"/>
    </w:p>
    <w:p w14:paraId="6DFC6F9D" w14:textId="77777777" w:rsidR="00E61C26" w:rsidRDefault="00E61C26" w:rsidP="00E61C26">
      <w:pPr>
        <w:pStyle w:val="Recommendation"/>
      </w:pPr>
      <w:bookmarkStart w:id="139" w:name="_Toc17279505"/>
      <w:bookmarkEnd w:id="139"/>
    </w:p>
    <w:p w14:paraId="0852C530" w14:textId="77777777" w:rsidR="00E61C26" w:rsidRPr="004A319A" w:rsidRDefault="00E61C26" w:rsidP="00E61C26">
      <w:pPr>
        <w:pStyle w:val="RecommendationText"/>
      </w:pPr>
      <w:bookmarkStart w:id="140" w:name="_Toc17279506"/>
      <w:r>
        <w:t>The Committee recommends that the ACT Policing Family Violence Unit be sufficiently staffed with all appropriately trained personnel.</w:t>
      </w:r>
      <w:bookmarkEnd w:id="140"/>
    </w:p>
    <w:p w14:paraId="6A636C52" w14:textId="77777777" w:rsidR="00E61C26" w:rsidRPr="00B82C3A" w:rsidRDefault="00E61C26" w:rsidP="00E61C26">
      <w:pPr>
        <w:pStyle w:val="Recommendation"/>
      </w:pPr>
      <w:bookmarkStart w:id="141" w:name="_Toc17279507"/>
      <w:bookmarkEnd w:id="141"/>
    </w:p>
    <w:p w14:paraId="033F743D" w14:textId="77777777" w:rsidR="00E61C26" w:rsidRDefault="00E61C26" w:rsidP="00E61C26">
      <w:pPr>
        <w:pStyle w:val="RecommendationText"/>
      </w:pPr>
      <w:bookmarkStart w:id="142" w:name="_Toc17279508"/>
      <w:r>
        <w:t>The Committee recommends that a police risk assessment tool be developed as a decision-making tool for an interim measure or safety notice or family violence order.</w:t>
      </w:r>
      <w:bookmarkEnd w:id="142"/>
    </w:p>
    <w:p w14:paraId="345AF199" w14:textId="77777777" w:rsidR="00E61C26" w:rsidRPr="00B82C3A" w:rsidRDefault="00E61C26" w:rsidP="00E61C26">
      <w:pPr>
        <w:pStyle w:val="Recommendation"/>
      </w:pPr>
      <w:bookmarkStart w:id="143" w:name="_Toc17279509"/>
      <w:bookmarkEnd w:id="143"/>
    </w:p>
    <w:p w14:paraId="1FF33F39" w14:textId="77777777" w:rsidR="00E61C26" w:rsidRDefault="00E61C26" w:rsidP="00E61C26">
      <w:pPr>
        <w:pStyle w:val="RecommendationText"/>
      </w:pPr>
      <w:bookmarkStart w:id="144" w:name="_Toc17279510"/>
      <w:r>
        <w:t>The Committee recommends that police procedures be revised in consultation with victims who have previously called police to ensure barriers do not exist which prevent people calling police.</w:t>
      </w:r>
      <w:bookmarkEnd w:id="144"/>
    </w:p>
    <w:p w14:paraId="51CD2082" w14:textId="77777777" w:rsidR="00E61C26" w:rsidRPr="00B82C3A" w:rsidRDefault="00E61C26" w:rsidP="00E61C26">
      <w:pPr>
        <w:pStyle w:val="Recommendation"/>
      </w:pPr>
      <w:bookmarkStart w:id="145" w:name="_Toc17279511"/>
      <w:bookmarkEnd w:id="145"/>
    </w:p>
    <w:p w14:paraId="4564FAE9" w14:textId="77777777" w:rsidR="00E61C26" w:rsidRDefault="00E61C26" w:rsidP="00E61C26">
      <w:pPr>
        <w:pStyle w:val="RecommendationText"/>
      </w:pPr>
      <w:bookmarkStart w:id="146" w:name="_Toc17279512"/>
      <w:r>
        <w:t>The Committee recommends that, in the development of DFV policies, recognition be clear that the choice to leave is one option and that for those who prefer another option, not to leave is another distinct and supported option for families where it is safe to do so.</w:t>
      </w:r>
      <w:bookmarkEnd w:id="146"/>
    </w:p>
    <w:p w14:paraId="4DFA94C2" w14:textId="77777777" w:rsidR="00E61C26" w:rsidRDefault="00E61C26" w:rsidP="00E61C26">
      <w:pPr>
        <w:pStyle w:val="Recommendation"/>
      </w:pPr>
      <w:bookmarkStart w:id="147" w:name="_Toc17279513"/>
      <w:bookmarkEnd w:id="147"/>
    </w:p>
    <w:p w14:paraId="2129C7B2" w14:textId="77777777" w:rsidR="00E61C26" w:rsidRDefault="00E61C26" w:rsidP="00E61C26">
      <w:pPr>
        <w:pStyle w:val="RecommendationText"/>
      </w:pPr>
      <w:bookmarkStart w:id="148" w:name="_Toc17279514"/>
      <w:r>
        <w:t xml:space="preserve">The Committee recommends that a non-police option should be available and that this option be </w:t>
      </w:r>
      <w:r w:rsidRPr="00F15F52">
        <w:t>developed and supported out of respect for those who prefer to seek a</w:t>
      </w:r>
      <w:r>
        <w:t>n alternative.</w:t>
      </w:r>
      <w:bookmarkEnd w:id="148"/>
    </w:p>
    <w:p w14:paraId="5ADEBCBF" w14:textId="77777777" w:rsidR="00E61C26" w:rsidRPr="00B82C3A" w:rsidRDefault="00E61C26" w:rsidP="00E61C26">
      <w:pPr>
        <w:pStyle w:val="Recommendation"/>
      </w:pPr>
      <w:bookmarkStart w:id="149" w:name="_Toc17279515"/>
      <w:bookmarkEnd w:id="149"/>
    </w:p>
    <w:p w14:paraId="2DFBD75C" w14:textId="77777777" w:rsidR="00E61C26" w:rsidRDefault="00E61C26" w:rsidP="00E61C26">
      <w:pPr>
        <w:pStyle w:val="RecommendationText"/>
      </w:pPr>
      <w:bookmarkStart w:id="150" w:name="_Toc17279516"/>
      <w:r>
        <w:t>The Committee recommends that police to be able to issue ‘on-the-spot’ protection orders as is currently possible in Tasmania which can help while waiting for a family violence order to be issued.</w:t>
      </w:r>
      <w:bookmarkEnd w:id="150"/>
    </w:p>
    <w:p w14:paraId="3181B472" w14:textId="77777777" w:rsidR="00E61C26" w:rsidRDefault="00E61C26" w:rsidP="00E61C26">
      <w:pPr>
        <w:pStyle w:val="Headinglevel4"/>
      </w:pPr>
      <w:r>
        <w:t>Legal Services and Support</w:t>
      </w:r>
    </w:p>
    <w:p w14:paraId="57F452F4" w14:textId="77777777" w:rsidR="00E61C26" w:rsidRDefault="00E61C26" w:rsidP="00E61C26">
      <w:pPr>
        <w:pStyle w:val="BodyText1"/>
      </w:pPr>
      <w:r>
        <w:t>With regard to the legal structures and information available to those dealing with DFV issues, the Committee’s recommendations are:</w:t>
      </w:r>
    </w:p>
    <w:p w14:paraId="531F36CD" w14:textId="77777777" w:rsidR="00E61C26" w:rsidRPr="00A01B1D" w:rsidRDefault="00E61C26" w:rsidP="00E61C26">
      <w:pPr>
        <w:pStyle w:val="Recommendation"/>
      </w:pPr>
      <w:bookmarkStart w:id="151" w:name="_Toc17279517"/>
      <w:bookmarkEnd w:id="151"/>
    </w:p>
    <w:p w14:paraId="6F864058" w14:textId="15D6A278" w:rsidR="00E61C26" w:rsidRDefault="00E61C26" w:rsidP="00E61C26">
      <w:pPr>
        <w:pStyle w:val="RecommendationText"/>
      </w:pPr>
      <w:bookmarkStart w:id="152" w:name="_Toc17279518"/>
      <w:r>
        <w:t>The Committee recommends that</w:t>
      </w:r>
      <w:r w:rsidRPr="0070067F">
        <w:t xml:space="preserve"> ACT legal aid centres work on </w:t>
      </w:r>
      <w:r w:rsidR="009F3074" w:rsidRPr="0070067F">
        <w:t>enhancing information</w:t>
      </w:r>
      <w:r w:rsidRPr="0070067F">
        <w:t xml:space="preserve"> for the community at large</w:t>
      </w:r>
      <w:r>
        <w:t>,</w:t>
      </w:r>
      <w:r w:rsidRPr="0070067F">
        <w:t xml:space="preserve"> including the publication of suggestions for how to have open co</w:t>
      </w:r>
      <w:r>
        <w:t xml:space="preserve">nversations with people who may think they </w:t>
      </w:r>
      <w:r w:rsidR="009F3074">
        <w:t>are, or</w:t>
      </w:r>
      <w:r>
        <w:t xml:space="preserve"> who are, </w:t>
      </w:r>
      <w:r w:rsidRPr="0070067F">
        <w:t>experiencing domestic, family and intimate partner violence</w:t>
      </w:r>
      <w:bookmarkEnd w:id="152"/>
    </w:p>
    <w:p w14:paraId="0C5F6310" w14:textId="77777777" w:rsidR="00E61C26" w:rsidRPr="001C5ACE" w:rsidRDefault="00E61C26" w:rsidP="00E61C26">
      <w:pPr>
        <w:pStyle w:val="Recommendation"/>
      </w:pPr>
      <w:bookmarkStart w:id="153" w:name="_Toc17279519"/>
      <w:bookmarkEnd w:id="153"/>
    </w:p>
    <w:p w14:paraId="4268104A" w14:textId="77777777" w:rsidR="00E61C26" w:rsidRDefault="00E61C26" w:rsidP="00E61C26">
      <w:pPr>
        <w:pStyle w:val="RecommendationText"/>
      </w:pPr>
      <w:bookmarkStart w:id="154" w:name="_Toc17279520"/>
      <w:r>
        <w:t>The Committee recommends that</w:t>
      </w:r>
      <w:r w:rsidRPr="0070067F">
        <w:t xml:space="preserve"> Included in an educational and information package should be means of identifying someone who may be experiencing domestic, family and/or intimate partner violence.</w:t>
      </w:r>
      <w:bookmarkEnd w:id="154"/>
    </w:p>
    <w:p w14:paraId="2D45B88E" w14:textId="77777777" w:rsidR="00E61C26" w:rsidRPr="001C5ACE" w:rsidRDefault="00E61C26" w:rsidP="00E61C26">
      <w:pPr>
        <w:pStyle w:val="Recommendation"/>
      </w:pPr>
      <w:bookmarkStart w:id="155" w:name="_Toc17279521"/>
      <w:bookmarkEnd w:id="155"/>
    </w:p>
    <w:p w14:paraId="66C5F8F9" w14:textId="77777777" w:rsidR="00E61C26" w:rsidRDefault="00E61C26" w:rsidP="00E61C26">
      <w:pPr>
        <w:pStyle w:val="RecommendationText"/>
      </w:pPr>
      <w:bookmarkStart w:id="156" w:name="_Toc17279522"/>
      <w:r>
        <w:t xml:space="preserve">The Committee recommends that currently provided and </w:t>
      </w:r>
      <w:r w:rsidRPr="0070067F">
        <w:t>identified extra funding for</w:t>
      </w:r>
      <w:r>
        <w:t xml:space="preserve"> legal aid in the area of DFV be</w:t>
      </w:r>
      <w:r w:rsidRPr="0070067F">
        <w:t xml:space="preserve"> maintained.</w:t>
      </w:r>
      <w:bookmarkEnd w:id="156"/>
    </w:p>
    <w:p w14:paraId="53ED5D0B" w14:textId="77777777" w:rsidR="00E61C26" w:rsidRPr="001C5ACE" w:rsidRDefault="00E61C26" w:rsidP="00E61C26">
      <w:pPr>
        <w:pStyle w:val="Recommendation"/>
      </w:pPr>
      <w:bookmarkStart w:id="157" w:name="_Toc17279523"/>
      <w:bookmarkEnd w:id="157"/>
    </w:p>
    <w:p w14:paraId="5417611C" w14:textId="77777777" w:rsidR="00E61C26" w:rsidRDefault="00E61C26" w:rsidP="00E61C26">
      <w:pPr>
        <w:pStyle w:val="RecommendationText"/>
      </w:pPr>
      <w:bookmarkStart w:id="158" w:name="_Toc17279524"/>
      <w:r>
        <w:t>The Committee recommends that a</w:t>
      </w:r>
      <w:r w:rsidRPr="0070067F">
        <w:t>ccess to low-cost legal representation be publicised or made available through DFV</w:t>
      </w:r>
      <w:r>
        <w:t xml:space="preserve"> support and resources services as an alternative to the use of legal aid services</w:t>
      </w:r>
      <w:bookmarkEnd w:id="158"/>
    </w:p>
    <w:p w14:paraId="1FF56184" w14:textId="77777777" w:rsidR="00E61C26" w:rsidRPr="001C5ACE" w:rsidRDefault="00E61C26" w:rsidP="00E61C26">
      <w:pPr>
        <w:pStyle w:val="Recommendation"/>
      </w:pPr>
      <w:bookmarkStart w:id="159" w:name="_Toc17279525"/>
      <w:bookmarkEnd w:id="159"/>
    </w:p>
    <w:p w14:paraId="23AABF79" w14:textId="77777777" w:rsidR="00E61C26" w:rsidRDefault="00E61C26" w:rsidP="00E61C26">
      <w:pPr>
        <w:pStyle w:val="RecommendationText"/>
      </w:pPr>
      <w:bookmarkStart w:id="160" w:name="_Toc17279526"/>
      <w:r>
        <w:t>The Committee recommends that</w:t>
      </w:r>
      <w:r w:rsidRPr="0070067F">
        <w:t xml:space="preserve"> Identifiable resources be available to assist the elderly while ensuring the</w:t>
      </w:r>
      <w:r>
        <w:t>y</w:t>
      </w:r>
      <w:r w:rsidRPr="0070067F">
        <w:t xml:space="preserve"> retain their ability to make decisions about their lives</w:t>
      </w:r>
      <w:r>
        <w:t xml:space="preserve"> as a means of ensuring support in addressing elder abuse issues</w:t>
      </w:r>
      <w:bookmarkEnd w:id="160"/>
    </w:p>
    <w:p w14:paraId="68805979" w14:textId="77777777" w:rsidR="00E61C26" w:rsidRPr="001C5ACE" w:rsidRDefault="00E61C26" w:rsidP="00E61C26">
      <w:pPr>
        <w:pStyle w:val="Recommendation"/>
      </w:pPr>
      <w:bookmarkStart w:id="161" w:name="_Toc17279527"/>
      <w:bookmarkEnd w:id="161"/>
    </w:p>
    <w:p w14:paraId="1EF572F7" w14:textId="77777777" w:rsidR="00E61C26" w:rsidRDefault="00E61C26" w:rsidP="00E61C26">
      <w:pPr>
        <w:pStyle w:val="RecommendationText"/>
      </w:pPr>
      <w:bookmarkStart w:id="162" w:name="_Toc17279528"/>
      <w:r w:rsidRPr="00837963">
        <w:t>The Committee recommends that criteria for assistance for legal aid be clarified to ensure tha</w:t>
      </w:r>
      <w:r w:rsidRPr="0070067F">
        <w:t>t aid is available to people whose personal wealth is tied up in assets which may be effectively frozen or unavailable to use for funding legal services</w:t>
      </w:r>
      <w:r>
        <w:t>.</w:t>
      </w:r>
      <w:bookmarkEnd w:id="162"/>
    </w:p>
    <w:p w14:paraId="494838CF" w14:textId="77777777" w:rsidR="00E61C26" w:rsidRDefault="00E61C26" w:rsidP="00E61C26">
      <w:pPr>
        <w:pStyle w:val="Recommendation"/>
      </w:pPr>
      <w:bookmarkStart w:id="163" w:name="_Toc17279529"/>
      <w:bookmarkEnd w:id="163"/>
    </w:p>
    <w:p w14:paraId="72B8372F" w14:textId="77777777" w:rsidR="00E61C26" w:rsidRPr="0070067F" w:rsidRDefault="00E61C26" w:rsidP="00E61C26">
      <w:pPr>
        <w:pStyle w:val="RecommendationText"/>
        <w:rPr>
          <w:b w:val="0"/>
          <w:bCs/>
        </w:rPr>
      </w:pPr>
      <w:bookmarkStart w:id="164" w:name="_Toc17279530"/>
      <w:r w:rsidRPr="00837963">
        <w:t>The Committee recommends that, in systems development, we acknowledge and adopt case management and ongoing</w:t>
      </w:r>
      <w:r>
        <w:t xml:space="preserve"> support to those experiencing abuse via the legal system.</w:t>
      </w:r>
      <w:bookmarkEnd w:id="164"/>
    </w:p>
    <w:p w14:paraId="202A0C0C" w14:textId="77777777" w:rsidR="00E61C26" w:rsidRDefault="00E61C26" w:rsidP="00E61C26">
      <w:pPr>
        <w:pStyle w:val="Headinglevel4"/>
      </w:pPr>
      <w:r>
        <w:t>Courts and Court Procedures</w:t>
      </w:r>
    </w:p>
    <w:p w14:paraId="081CF983" w14:textId="77777777" w:rsidR="00E61C26" w:rsidRDefault="00E61C26" w:rsidP="00E61C26">
      <w:pPr>
        <w:pStyle w:val="RecommendationText"/>
        <w:rPr>
          <w:b w:val="0"/>
        </w:rPr>
      </w:pPr>
      <w:bookmarkStart w:id="165" w:name="_Toc7871315"/>
      <w:bookmarkStart w:id="166" w:name="_Toc17279531"/>
      <w:r>
        <w:rPr>
          <w:b w:val="0"/>
        </w:rPr>
        <w:t>After considering evidence and opinion offered to the Committee regarding the courts and court proceedings, the Committee recommends as follows:</w:t>
      </w:r>
      <w:bookmarkEnd w:id="165"/>
      <w:bookmarkEnd w:id="166"/>
    </w:p>
    <w:p w14:paraId="5A9CBF33" w14:textId="77777777" w:rsidR="00E61C26" w:rsidRPr="00487487" w:rsidRDefault="00E61C26" w:rsidP="00E61C26">
      <w:pPr>
        <w:pStyle w:val="Recommendation"/>
      </w:pPr>
      <w:bookmarkStart w:id="167" w:name="_Toc17279532"/>
      <w:bookmarkEnd w:id="167"/>
    </w:p>
    <w:p w14:paraId="4A5FF299" w14:textId="77777777" w:rsidR="00E61C26" w:rsidRDefault="00E61C26" w:rsidP="00E61C26">
      <w:pPr>
        <w:pStyle w:val="RecommendationText"/>
      </w:pPr>
      <w:r w:rsidRPr="00D205D5">
        <w:t xml:space="preserve"> </w:t>
      </w:r>
      <w:bookmarkStart w:id="168" w:name="_Toc17279533"/>
      <w:r>
        <w:t>The Committee recommends that</w:t>
      </w:r>
      <w:r w:rsidRPr="00D205D5">
        <w:t xml:space="preserve"> the Minister or Co-ordinator General for Family Safety </w:t>
      </w:r>
      <w:r>
        <w:t>represent to the Federal G</w:t>
      </w:r>
      <w:r w:rsidRPr="00D205D5">
        <w:t xml:space="preserve">overnment the need for interim orders via the Magistrates Court, as </w:t>
      </w:r>
      <w:r>
        <w:t xml:space="preserve">a part of </w:t>
      </w:r>
      <w:r w:rsidRPr="00D205D5">
        <w:t>any changes the Federal</w:t>
      </w:r>
      <w:r>
        <w:t xml:space="preserve"> Government is planning to make in relation to DFV matters.</w:t>
      </w:r>
      <w:bookmarkEnd w:id="168"/>
    </w:p>
    <w:p w14:paraId="5DEAC713" w14:textId="77777777" w:rsidR="00E61C26" w:rsidRDefault="00E61C26" w:rsidP="00E61C26">
      <w:pPr>
        <w:pStyle w:val="Headinglevel3"/>
      </w:pPr>
      <w:r>
        <w:t>Committee Comment</w:t>
      </w:r>
    </w:p>
    <w:p w14:paraId="12E40889" w14:textId="77777777" w:rsidR="00E61C26" w:rsidRPr="008740D3" w:rsidRDefault="00E61C26" w:rsidP="00E61C26">
      <w:pPr>
        <w:pStyle w:val="BodyText1"/>
      </w:pPr>
      <w:r>
        <w:t>During this inquiry, the Committee heard that currently notices and orders could be served within a period ranging from a day to a week.  This time gap is unnecessary and can lead to consequences that are unpredictable and potentially undesirable.</w:t>
      </w:r>
    </w:p>
    <w:p w14:paraId="51282112" w14:textId="77777777" w:rsidR="00E61C26" w:rsidRPr="00487487" w:rsidRDefault="00E61C26" w:rsidP="00E61C26">
      <w:pPr>
        <w:pStyle w:val="Recommendation"/>
      </w:pPr>
      <w:bookmarkStart w:id="169" w:name="_Toc17279534"/>
      <w:bookmarkEnd w:id="169"/>
    </w:p>
    <w:p w14:paraId="0B899D50" w14:textId="77777777" w:rsidR="00E61C26" w:rsidRDefault="00E61C26" w:rsidP="00E61C26">
      <w:pPr>
        <w:pStyle w:val="RecommendationText"/>
      </w:pPr>
      <w:bookmarkStart w:id="170" w:name="_Toc17279535"/>
      <w:r>
        <w:t>The Committee recommends that</w:t>
      </w:r>
      <w:r w:rsidRPr="00D205D5">
        <w:t xml:space="preserve"> </w:t>
      </w:r>
      <w:r>
        <w:t xml:space="preserve">ACT Government assess service of </w:t>
      </w:r>
      <w:r w:rsidRPr="00D205D5">
        <w:t>F</w:t>
      </w:r>
      <w:r>
        <w:t>amily Violence Orders</w:t>
      </w:r>
      <w:r w:rsidRPr="00D205D5">
        <w:t xml:space="preserve"> </w:t>
      </w:r>
      <w:r>
        <w:t>to ensure appropriate timeliness.</w:t>
      </w:r>
      <w:bookmarkEnd w:id="170"/>
    </w:p>
    <w:p w14:paraId="3964BD83" w14:textId="77777777" w:rsidR="00E61C26" w:rsidRPr="00487487" w:rsidRDefault="00E61C26" w:rsidP="00E61C26">
      <w:pPr>
        <w:pStyle w:val="Recommendation"/>
      </w:pPr>
      <w:bookmarkStart w:id="171" w:name="_Toc17279536"/>
      <w:bookmarkEnd w:id="171"/>
    </w:p>
    <w:p w14:paraId="68C70DF3" w14:textId="77777777" w:rsidR="00E61C26" w:rsidRDefault="00E61C26" w:rsidP="00E61C26">
      <w:pPr>
        <w:pStyle w:val="RecommendationText"/>
      </w:pPr>
      <w:bookmarkStart w:id="172" w:name="_Toc17279537"/>
      <w:r>
        <w:t>The Committee recommends that</w:t>
      </w:r>
      <w:r w:rsidRPr="00D205D5">
        <w:t xml:space="preserve"> </w:t>
      </w:r>
      <w:r>
        <w:t>m</w:t>
      </w:r>
      <w:r w:rsidRPr="00D205D5">
        <w:t>ore info</w:t>
      </w:r>
      <w:r>
        <w:t>rmation sharing between the Federal Circuit Court and ACT Child and Youth Protection Services be implemented to</w:t>
      </w:r>
      <w:r w:rsidRPr="00D205D5">
        <w:t xml:space="preserve"> avoid a child being returned to violent parents.</w:t>
      </w:r>
      <w:bookmarkEnd w:id="172"/>
      <w:r w:rsidRPr="00D205D5">
        <w:t xml:space="preserve"> </w:t>
      </w:r>
    </w:p>
    <w:p w14:paraId="376F086E" w14:textId="77777777" w:rsidR="00E61C26" w:rsidRPr="004F46CB" w:rsidRDefault="00E61C26" w:rsidP="00E61C26">
      <w:pPr>
        <w:pStyle w:val="Recommendation"/>
      </w:pPr>
      <w:bookmarkStart w:id="173" w:name="_Toc17279538"/>
      <w:bookmarkEnd w:id="173"/>
    </w:p>
    <w:p w14:paraId="39A3460B" w14:textId="77777777" w:rsidR="00E61C26" w:rsidRDefault="00E61C26" w:rsidP="00E61C26">
      <w:pPr>
        <w:pStyle w:val="RecommendationText"/>
      </w:pPr>
      <w:bookmarkStart w:id="174" w:name="_Toc17279539"/>
      <w:r>
        <w:t>The Committee recommends m</w:t>
      </w:r>
      <w:r w:rsidRPr="00D205D5">
        <w:t>ore cross jurisdictional communication between the</w:t>
      </w:r>
      <w:r>
        <w:t xml:space="preserve"> F</w:t>
      </w:r>
      <w:r w:rsidRPr="00D205D5">
        <w:t xml:space="preserve">ederal </w:t>
      </w:r>
      <w:r>
        <w:t>Circuit Court and the ACT Children’s C</w:t>
      </w:r>
      <w:r w:rsidRPr="00D205D5">
        <w:t>ourt.</w:t>
      </w:r>
      <w:bookmarkEnd w:id="174"/>
    </w:p>
    <w:p w14:paraId="47C2E4EB" w14:textId="77777777" w:rsidR="00E61C26" w:rsidRPr="004F31EE" w:rsidRDefault="00E61C26" w:rsidP="00E61C26">
      <w:pPr>
        <w:pStyle w:val="Recommendation"/>
      </w:pPr>
      <w:bookmarkStart w:id="175" w:name="_Toc17279540"/>
      <w:bookmarkEnd w:id="175"/>
    </w:p>
    <w:p w14:paraId="1AD4EBCE" w14:textId="77777777" w:rsidR="00E61C26" w:rsidRDefault="00E61C26" w:rsidP="00E61C26">
      <w:pPr>
        <w:pStyle w:val="RecommendationText"/>
      </w:pPr>
      <w:bookmarkStart w:id="176" w:name="_Toc17279541"/>
      <w:r>
        <w:t>The Committee recommends that</w:t>
      </w:r>
      <w:r w:rsidRPr="00D205D5">
        <w:t xml:space="preserve"> </w:t>
      </w:r>
      <w:r>
        <w:t>ACT Government consider that if F</w:t>
      </w:r>
      <w:r w:rsidRPr="00D205D5">
        <w:t xml:space="preserve">amily </w:t>
      </w:r>
      <w:r>
        <w:t>Violence O</w:t>
      </w:r>
      <w:r w:rsidRPr="00D205D5">
        <w:t>rders have been made with consent where evidence is not contested but settled it could be considered that it not impact W</w:t>
      </w:r>
      <w:r>
        <w:t xml:space="preserve">orking </w:t>
      </w:r>
      <w:r w:rsidRPr="00D205D5">
        <w:t>W</w:t>
      </w:r>
      <w:r>
        <w:t xml:space="preserve">ith </w:t>
      </w:r>
      <w:r w:rsidRPr="00D205D5">
        <w:t>V</w:t>
      </w:r>
      <w:r>
        <w:t xml:space="preserve">ulnerable </w:t>
      </w:r>
      <w:r w:rsidRPr="00D205D5">
        <w:t>P</w:t>
      </w:r>
      <w:r>
        <w:t>eople</w:t>
      </w:r>
      <w:r w:rsidRPr="00D205D5">
        <w:t xml:space="preserve"> and other ACT </w:t>
      </w:r>
      <w:r>
        <w:t>G</w:t>
      </w:r>
      <w:r w:rsidRPr="00D205D5">
        <w:t>overnment controlled matters.</w:t>
      </w:r>
      <w:bookmarkEnd w:id="176"/>
    </w:p>
    <w:p w14:paraId="75670EE8" w14:textId="77777777" w:rsidR="00E61C26" w:rsidRPr="004F46CB" w:rsidRDefault="00E61C26" w:rsidP="00E61C26">
      <w:pPr>
        <w:pStyle w:val="Recommendation"/>
      </w:pPr>
      <w:bookmarkStart w:id="177" w:name="_Toc17279542"/>
      <w:bookmarkEnd w:id="177"/>
    </w:p>
    <w:p w14:paraId="0DB3C8A7" w14:textId="77777777" w:rsidR="00E61C26" w:rsidRDefault="00E61C26" w:rsidP="00E61C26">
      <w:pPr>
        <w:pStyle w:val="RecommendationText"/>
      </w:pPr>
      <w:bookmarkStart w:id="178" w:name="_Toc17279543"/>
      <w:r>
        <w:t>The Committee recommends that</w:t>
      </w:r>
      <w:r w:rsidRPr="00D205D5">
        <w:t xml:space="preserve"> </w:t>
      </w:r>
      <w:r>
        <w:t xml:space="preserve">forensic accounting services </w:t>
      </w:r>
      <w:r w:rsidRPr="00D205D5">
        <w:t xml:space="preserve">be </w:t>
      </w:r>
      <w:r>
        <w:t xml:space="preserve">made </w:t>
      </w:r>
      <w:r w:rsidRPr="00D205D5">
        <w:t xml:space="preserve">available to victims to </w:t>
      </w:r>
      <w:r>
        <w:t xml:space="preserve">assist in ascertaining </w:t>
      </w:r>
      <w:r w:rsidRPr="00D205D5">
        <w:t>the full pi</w:t>
      </w:r>
      <w:r>
        <w:t xml:space="preserve">cture of </w:t>
      </w:r>
      <w:r w:rsidRPr="00D205D5">
        <w:t xml:space="preserve">their own and/partner or spouse’s </w:t>
      </w:r>
      <w:r>
        <w:t xml:space="preserve">financial </w:t>
      </w:r>
      <w:r w:rsidRPr="00D205D5">
        <w:t>situation.</w:t>
      </w:r>
      <w:bookmarkEnd w:id="178"/>
    </w:p>
    <w:p w14:paraId="45257793" w14:textId="77777777" w:rsidR="00E61C26" w:rsidRPr="00572F52" w:rsidRDefault="00E61C26" w:rsidP="00E61C26">
      <w:pPr>
        <w:pStyle w:val="Recommendation"/>
      </w:pPr>
      <w:bookmarkStart w:id="179" w:name="_Toc17279544"/>
      <w:bookmarkEnd w:id="179"/>
    </w:p>
    <w:p w14:paraId="49691220" w14:textId="77777777" w:rsidR="00E61C26" w:rsidRDefault="00E61C26" w:rsidP="00E61C26">
      <w:pPr>
        <w:pStyle w:val="RecommendationText"/>
      </w:pPr>
      <w:bookmarkStart w:id="180" w:name="_Toc17279545"/>
      <w:r>
        <w:t>The Committee recommends that</w:t>
      </w:r>
      <w:r w:rsidRPr="00D205D5">
        <w:t xml:space="preserve"> </w:t>
      </w:r>
      <w:r>
        <w:t xml:space="preserve">more be done to ensure </w:t>
      </w:r>
      <w:r w:rsidRPr="00D205D5">
        <w:t xml:space="preserve">fair and reasonable </w:t>
      </w:r>
      <w:r>
        <w:t xml:space="preserve">property </w:t>
      </w:r>
      <w:r w:rsidRPr="00D205D5">
        <w:t>set</w:t>
      </w:r>
      <w:r>
        <w:t>tlement for a reasonable future be achieved for all parties.</w:t>
      </w:r>
      <w:bookmarkEnd w:id="180"/>
    </w:p>
    <w:p w14:paraId="5EE939A7" w14:textId="77777777" w:rsidR="00E61C26" w:rsidRPr="00572F52" w:rsidRDefault="00E61C26" w:rsidP="00E61C26">
      <w:pPr>
        <w:pStyle w:val="Recommendation"/>
      </w:pPr>
      <w:bookmarkStart w:id="181" w:name="_Toc17279546"/>
      <w:bookmarkEnd w:id="181"/>
    </w:p>
    <w:p w14:paraId="3455A851" w14:textId="77777777" w:rsidR="00E61C26" w:rsidRDefault="00E61C26" w:rsidP="00E61C26">
      <w:pPr>
        <w:pStyle w:val="RecommendationText"/>
      </w:pPr>
      <w:bookmarkStart w:id="182" w:name="_Toc17279547"/>
      <w:r>
        <w:t>The Committee recommends that</w:t>
      </w:r>
      <w:r w:rsidRPr="00D205D5">
        <w:t xml:space="preserve"> </w:t>
      </w:r>
      <w:r>
        <w:t>ACT Government e</w:t>
      </w:r>
      <w:r w:rsidRPr="00D205D5">
        <w:t>xtend p</w:t>
      </w:r>
      <w:r>
        <w:t xml:space="preserve">rovisions </w:t>
      </w:r>
      <w:r w:rsidRPr="00D205D5">
        <w:t>to allow for c</w:t>
      </w:r>
      <w:r>
        <w:t xml:space="preserve">ross examination of witnesses in DFV matters in accordance with </w:t>
      </w:r>
      <w:r w:rsidRPr="00D205D5">
        <w:t xml:space="preserve">changes that </w:t>
      </w:r>
      <w:r>
        <w:t xml:space="preserve">have been made in court procedures in relation to </w:t>
      </w:r>
      <w:r w:rsidRPr="00D205D5">
        <w:t xml:space="preserve">sexual assault </w:t>
      </w:r>
      <w:r>
        <w:t xml:space="preserve">matters to allow </w:t>
      </w:r>
      <w:r w:rsidRPr="00D205D5">
        <w:t xml:space="preserve">video link </w:t>
      </w:r>
      <w:r>
        <w:t xml:space="preserve">evidence </w:t>
      </w:r>
      <w:r w:rsidRPr="00D205D5">
        <w:t xml:space="preserve">and using a statement taken at the time of reporting </w:t>
      </w:r>
      <w:r>
        <w:t>a DFV incident</w:t>
      </w:r>
      <w:r w:rsidRPr="00D205D5">
        <w:t>.</w:t>
      </w:r>
      <w:bookmarkEnd w:id="182"/>
    </w:p>
    <w:p w14:paraId="5526ED70" w14:textId="77777777" w:rsidR="00E61C26" w:rsidRDefault="00E61C26" w:rsidP="00E61C26">
      <w:pPr>
        <w:pStyle w:val="Headinglevel3"/>
      </w:pPr>
      <w:r>
        <w:t>Committee Comment</w:t>
      </w:r>
    </w:p>
    <w:p w14:paraId="516FBC80" w14:textId="77777777" w:rsidR="00E61C26" w:rsidRDefault="00E61C26" w:rsidP="00E61C26">
      <w:pPr>
        <w:pStyle w:val="BodyText1"/>
      </w:pPr>
      <w:r>
        <w:t>The Committee assessed the Canadian approach to allowing children’s views to be provided and taken into account in family custody assessments.  The Committee notes that the role played by a clinician as a support to children in this situation may greatly enhance a better outcome.  The Committee consider this approach offers the possibility of a better outcome in such matters.  The Committee particularly views it as essential that this approach – of engaging a clinician - f</w:t>
      </w:r>
      <w:r w:rsidRPr="00D205D5">
        <w:t>rom the beginning</w:t>
      </w:r>
      <w:r>
        <w:t xml:space="preserve"> of proceedings</w:t>
      </w:r>
      <w:r w:rsidRPr="00D205D5">
        <w:t xml:space="preserve"> is used </w:t>
      </w:r>
      <w:r>
        <w:t xml:space="preserve">in the case of </w:t>
      </w:r>
      <w:r w:rsidRPr="00D205D5">
        <w:t>children over 8 years of age.</w:t>
      </w:r>
    </w:p>
    <w:p w14:paraId="469F5A09" w14:textId="77777777" w:rsidR="00E61C26" w:rsidRDefault="00E61C26" w:rsidP="00E61C26">
      <w:pPr>
        <w:pStyle w:val="BodyText1"/>
      </w:pPr>
      <w:r>
        <w:t>As a further comment, the committee notes the intermediary program utilised in England and Wales to allow for children’s evidence to be assisted by a psychologist, and the current trialling of this program in NSW.  This approach would also assist with age-appropriate questions in court proceedings involving children.</w:t>
      </w:r>
    </w:p>
    <w:p w14:paraId="6A4DD572" w14:textId="77777777" w:rsidR="00E61C26" w:rsidRPr="00572F52" w:rsidRDefault="00E61C26" w:rsidP="00E61C26">
      <w:pPr>
        <w:pStyle w:val="Recommendation"/>
      </w:pPr>
      <w:bookmarkStart w:id="183" w:name="_Toc17279548"/>
      <w:bookmarkEnd w:id="183"/>
    </w:p>
    <w:p w14:paraId="47026FDF" w14:textId="77777777" w:rsidR="00E61C26" w:rsidRDefault="00E61C26" w:rsidP="00E61C26">
      <w:pPr>
        <w:pStyle w:val="RecommendationText"/>
      </w:pPr>
      <w:bookmarkStart w:id="184" w:name="_Toc17279549"/>
      <w:r>
        <w:t xml:space="preserve">The Committee </w:t>
      </w:r>
      <w:r w:rsidRPr="00DC5F98">
        <w:t>recommends that</w:t>
      </w:r>
      <w:r w:rsidRPr="00D205D5">
        <w:t xml:space="preserve"> </w:t>
      </w:r>
      <w:r>
        <w:t>children have a voice in proceedings in a similar manner to Canada’s ‘</w:t>
      </w:r>
      <w:r w:rsidRPr="00D205D5">
        <w:t>speak for themselv</w:t>
      </w:r>
      <w:r>
        <w:t>es’ clinician involved program.</w:t>
      </w:r>
      <w:bookmarkEnd w:id="184"/>
    </w:p>
    <w:p w14:paraId="438AA8B6" w14:textId="77777777" w:rsidR="00E61C26" w:rsidRPr="00DC5F98" w:rsidRDefault="00E61C26" w:rsidP="00E61C26">
      <w:pPr>
        <w:pStyle w:val="Recommendation"/>
      </w:pPr>
      <w:bookmarkStart w:id="185" w:name="_Toc17279550"/>
      <w:bookmarkEnd w:id="185"/>
    </w:p>
    <w:p w14:paraId="39771AC5" w14:textId="77777777" w:rsidR="00E61C26" w:rsidRPr="00B53B05" w:rsidRDefault="00E61C26" w:rsidP="00E61C26">
      <w:pPr>
        <w:pStyle w:val="RecommendationText"/>
        <w:rPr>
          <w:bCs/>
        </w:rPr>
      </w:pPr>
      <w:bookmarkStart w:id="186" w:name="_Toc17279551"/>
      <w:r>
        <w:t>The Committee recommends that</w:t>
      </w:r>
      <w:r w:rsidRPr="00D205D5">
        <w:t xml:space="preserve"> </w:t>
      </w:r>
      <w:r>
        <w:t>ACT Government c</w:t>
      </w:r>
      <w:r w:rsidRPr="00D205D5">
        <w:t xml:space="preserve">onsider instigating </w:t>
      </w:r>
      <w:r>
        <w:t xml:space="preserve">an </w:t>
      </w:r>
      <w:r w:rsidRPr="00D205D5">
        <w:t>intermediaries program</w:t>
      </w:r>
      <w:r>
        <w:t xml:space="preserve"> (similar to programs in </w:t>
      </w:r>
      <w:r w:rsidRPr="00D205D5">
        <w:t>England and Wales</w:t>
      </w:r>
      <w:r>
        <w:t>)</w:t>
      </w:r>
      <w:r w:rsidRPr="00D205D5">
        <w:t xml:space="preserve"> </w:t>
      </w:r>
      <w:r>
        <w:t xml:space="preserve">to ensure age-appropriate questioning during </w:t>
      </w:r>
      <w:r w:rsidRPr="00D205D5">
        <w:t xml:space="preserve">children’s evidence </w:t>
      </w:r>
      <w:r>
        <w:t xml:space="preserve">utilising psychologist’s advice, as currently being trialled in NSW and via </w:t>
      </w:r>
      <w:r w:rsidRPr="00D205D5">
        <w:t>remote location</w:t>
      </w:r>
      <w:bookmarkEnd w:id="186"/>
    </w:p>
    <w:p w14:paraId="294ACA70" w14:textId="77777777" w:rsidR="00E61C26" w:rsidRDefault="00E61C26" w:rsidP="00E61C26">
      <w:pPr>
        <w:pStyle w:val="ListParagraph"/>
      </w:pPr>
    </w:p>
    <w:p w14:paraId="333047B3" w14:textId="77777777" w:rsidR="00E61C26" w:rsidRDefault="00E61C26" w:rsidP="00E61C26">
      <w:pPr>
        <w:rPr>
          <w:rFonts w:cs="Arial"/>
          <w:iCs/>
        </w:rPr>
      </w:pPr>
    </w:p>
    <w:p w14:paraId="5E3B6FC6" w14:textId="77777777" w:rsidR="00E61C26" w:rsidRDefault="00E61C26" w:rsidP="00E61C26">
      <w:pPr>
        <w:pStyle w:val="Bodytextnonumbering"/>
        <w:sectPr w:rsidR="00E61C26" w:rsidSect="005722A6">
          <w:headerReference w:type="first" r:id="rId28"/>
          <w:type w:val="oddPage"/>
          <w:pgSz w:w="11907" w:h="16840" w:code="9"/>
          <w:pgMar w:top="1588" w:right="1418" w:bottom="1418" w:left="1418" w:header="720" w:footer="851" w:gutter="0"/>
          <w:cols w:space="720"/>
          <w:docGrid w:linePitch="360"/>
        </w:sectPr>
      </w:pPr>
    </w:p>
    <w:p w14:paraId="293BDF4A" w14:textId="77777777" w:rsidR="00E61C26" w:rsidRPr="00CE7C12" w:rsidRDefault="00E61C26" w:rsidP="003745A3">
      <w:pPr>
        <w:pStyle w:val="Heading1"/>
        <w:numPr>
          <w:ilvl w:val="0"/>
          <w:numId w:val="26"/>
        </w:numPr>
      </w:pPr>
      <w:bookmarkStart w:id="187" w:name="_Toc525296983"/>
      <w:bookmarkStart w:id="188" w:name="_Toc16764007"/>
      <w:r w:rsidRPr="00CE7C12">
        <w:lastRenderedPageBreak/>
        <w:t>National funding and agenda/policy setting—issues and policy challenges</w:t>
      </w:r>
      <w:bookmarkEnd w:id="187"/>
      <w:bookmarkEnd w:id="188"/>
    </w:p>
    <w:p w14:paraId="78F1E3FC" w14:textId="77777777" w:rsidR="00E61C26" w:rsidRPr="00CE7C12" w:rsidRDefault="00E61C26" w:rsidP="00E61C26">
      <w:pPr>
        <w:ind w:left="720"/>
        <w:rPr>
          <w:i/>
        </w:rPr>
      </w:pPr>
      <w:r w:rsidRPr="00CE7C12">
        <w:rPr>
          <w:rFonts w:eastAsia="Calibri"/>
          <w:i/>
          <w:lang w:eastAsia="en-AU"/>
        </w:rPr>
        <w:t>T of R (c)—</w:t>
      </w:r>
      <w:r w:rsidRPr="00CE7C12">
        <w:rPr>
          <w:i/>
        </w:rPr>
        <w:t>The issues and policy challenges (if any) for the ACT arising from the National funding and agenda/policy setting regime/framework—including how outcomes are measured and reported.</w:t>
      </w:r>
    </w:p>
    <w:p w14:paraId="72C42D09" w14:textId="77777777" w:rsidR="00E61C26" w:rsidRPr="00CE7C12" w:rsidRDefault="00E61C26" w:rsidP="003745A3">
      <w:pPr>
        <w:pStyle w:val="Headinglevel2"/>
        <w:numPr>
          <w:ilvl w:val="1"/>
          <w:numId w:val="26"/>
        </w:numPr>
      </w:pPr>
      <w:bookmarkStart w:id="189" w:name="_Toc525296984"/>
      <w:bookmarkStart w:id="190" w:name="_Toc16764008"/>
      <w:r w:rsidRPr="00CE7C12">
        <w:t>Background National funding and agenda setting framework</w:t>
      </w:r>
      <w:bookmarkEnd w:id="189"/>
      <w:bookmarkEnd w:id="190"/>
    </w:p>
    <w:p w14:paraId="6B00A116" w14:textId="77777777" w:rsidR="00E61C26" w:rsidRPr="00CE7C12" w:rsidRDefault="00E61C26" w:rsidP="003745A3">
      <w:pPr>
        <w:numPr>
          <w:ilvl w:val="5"/>
          <w:numId w:val="18"/>
        </w:numPr>
        <w:spacing w:before="240" w:after="100" w:line="288" w:lineRule="auto"/>
        <w:rPr>
          <w:lang w:eastAsia="en-AU"/>
        </w:rPr>
      </w:pPr>
      <w:r w:rsidRPr="00CE7C12">
        <w:rPr>
          <w:lang w:eastAsia="en-AU"/>
        </w:rPr>
        <w:t xml:space="preserve">The Commonwealth </w:t>
      </w:r>
      <w:r w:rsidRPr="00CE7C12">
        <w:rPr>
          <w:i/>
          <w:lang w:eastAsia="en-AU"/>
        </w:rPr>
        <w:t>National Plan to Reduce Violence Against Women and Children 2010–2022</w:t>
      </w:r>
      <w:r w:rsidRPr="00CE7C12">
        <w:rPr>
          <w:lang w:eastAsia="en-AU"/>
        </w:rPr>
        <w:t xml:space="preserve"> (the National Plan) is the current funding and agenda setting framework to prevent and respond to domestic, family and sexual violence</w:t>
      </w:r>
      <w:r>
        <w:rPr>
          <w:lang w:eastAsia="en-AU"/>
        </w:rPr>
        <w:t xml:space="preserve"> nationally</w:t>
      </w:r>
      <w:r w:rsidRPr="00CE7C12">
        <w:rPr>
          <w:lang w:eastAsia="en-AU"/>
        </w:rPr>
        <w:t>.  The National Plan, endorsed by the Council of Australian Governments (COAG) in February 2011, aims to bring policy and funding across jurisdictions into a cohesive national framework.</w:t>
      </w:r>
      <w:r w:rsidRPr="00CE7C12">
        <w:rPr>
          <w:vertAlign w:val="superscript"/>
          <w:lang w:eastAsia="en-AU"/>
        </w:rPr>
        <w:footnoteReference w:id="85"/>
      </w:r>
    </w:p>
    <w:p w14:paraId="1230BBB6" w14:textId="6BD22FCE" w:rsidR="00E61C26" w:rsidRPr="00CE7C12" w:rsidRDefault="00E61C26" w:rsidP="003745A3">
      <w:pPr>
        <w:numPr>
          <w:ilvl w:val="5"/>
          <w:numId w:val="18"/>
        </w:numPr>
        <w:spacing w:before="240" w:after="100" w:line="288" w:lineRule="auto"/>
        <w:rPr>
          <w:lang w:eastAsia="en-AU"/>
        </w:rPr>
      </w:pPr>
      <w:r w:rsidRPr="00CE7C12">
        <w:rPr>
          <w:lang w:eastAsia="en-AU"/>
        </w:rPr>
        <w:t xml:space="preserve">In practical terms, the National Plan seeks to connect the efforts of all Australian governments dealing with issues around domestic, family and sexual violence.  It sets out the following six national outcomes to be delivered over a </w:t>
      </w:r>
      <w:r w:rsidR="009F3074" w:rsidRPr="00CE7C12">
        <w:rPr>
          <w:lang w:eastAsia="en-AU"/>
        </w:rPr>
        <w:t>12-year</w:t>
      </w:r>
      <w:r w:rsidRPr="00CE7C12">
        <w:rPr>
          <w:lang w:eastAsia="en-AU"/>
        </w:rPr>
        <w:t xml:space="preserve"> timeframe:</w:t>
      </w:r>
    </w:p>
    <w:p w14:paraId="729DEC30" w14:textId="77777777" w:rsidR="00E61C26" w:rsidRPr="00CE7C12" w:rsidRDefault="00E61C26" w:rsidP="00E61C26">
      <w:pPr>
        <w:pStyle w:val="ListNumber3"/>
        <w:numPr>
          <w:ilvl w:val="0"/>
          <w:numId w:val="1"/>
        </w:numPr>
      </w:pPr>
      <w:r w:rsidRPr="00CE7C12">
        <w:t>communities are safe and free from violence;</w:t>
      </w:r>
    </w:p>
    <w:p w14:paraId="2F7ADAAF" w14:textId="77777777" w:rsidR="00E61C26" w:rsidRPr="00CE7C12" w:rsidRDefault="00E61C26" w:rsidP="00E61C26">
      <w:pPr>
        <w:pStyle w:val="ListNumber3"/>
        <w:numPr>
          <w:ilvl w:val="0"/>
          <w:numId w:val="1"/>
        </w:numPr>
      </w:pPr>
      <w:r w:rsidRPr="00CE7C12">
        <w:t>relationships are respectful;</w:t>
      </w:r>
    </w:p>
    <w:p w14:paraId="17243F1F" w14:textId="77777777" w:rsidR="00E61C26" w:rsidRPr="00CE7C12" w:rsidRDefault="00E61C26" w:rsidP="00E61C26">
      <w:pPr>
        <w:pStyle w:val="ListNumber3"/>
        <w:numPr>
          <w:ilvl w:val="0"/>
          <w:numId w:val="1"/>
        </w:numPr>
      </w:pPr>
      <w:r w:rsidRPr="00CE7C12">
        <w:t>Indigenous communities are strengthened;</w:t>
      </w:r>
    </w:p>
    <w:p w14:paraId="6496500B" w14:textId="77777777" w:rsidR="00E61C26" w:rsidRPr="00CE7C12" w:rsidRDefault="00E61C26" w:rsidP="00E61C26">
      <w:pPr>
        <w:pStyle w:val="ListNumber3"/>
        <w:numPr>
          <w:ilvl w:val="0"/>
          <w:numId w:val="1"/>
        </w:numPr>
      </w:pPr>
      <w:r w:rsidRPr="00CE7C12">
        <w:t>services meet the need of women and their children experiencing violence;</w:t>
      </w:r>
    </w:p>
    <w:p w14:paraId="75899048" w14:textId="77777777" w:rsidR="00E61C26" w:rsidRPr="00CE7C12" w:rsidRDefault="00E61C26" w:rsidP="00E61C26">
      <w:pPr>
        <w:pStyle w:val="ListNumber3"/>
        <w:numPr>
          <w:ilvl w:val="0"/>
          <w:numId w:val="1"/>
        </w:numPr>
      </w:pPr>
      <w:r w:rsidRPr="00CE7C12">
        <w:t>justice responses are effective; and</w:t>
      </w:r>
    </w:p>
    <w:p w14:paraId="397115A4" w14:textId="77777777" w:rsidR="00E61C26" w:rsidRPr="00CE7C12" w:rsidRDefault="00E61C26" w:rsidP="00E61C26">
      <w:pPr>
        <w:pStyle w:val="ListNumber3"/>
        <w:numPr>
          <w:ilvl w:val="0"/>
          <w:numId w:val="1"/>
        </w:numPr>
      </w:pPr>
      <w:r w:rsidRPr="00CE7C12">
        <w:t>perpetrators stop their violence and are held to account.</w:t>
      </w:r>
      <w:r w:rsidRPr="00CE7C12">
        <w:rPr>
          <w:vertAlign w:val="superscript"/>
        </w:rPr>
        <w:footnoteReference w:id="86"/>
      </w:r>
    </w:p>
    <w:p w14:paraId="4257F53E" w14:textId="77777777" w:rsidR="00E61C26" w:rsidRPr="00CE7C12" w:rsidRDefault="00E61C26" w:rsidP="003745A3">
      <w:pPr>
        <w:numPr>
          <w:ilvl w:val="5"/>
          <w:numId w:val="18"/>
        </w:numPr>
        <w:spacing w:before="240" w:after="100" w:line="288" w:lineRule="auto"/>
        <w:rPr>
          <w:lang w:eastAsia="en-AU"/>
        </w:rPr>
      </w:pPr>
      <w:r w:rsidRPr="00CE7C12">
        <w:rPr>
          <w:lang w:eastAsia="en-AU"/>
        </w:rPr>
        <w:t>The states and territories work to achieve the Six National Plan outcomes through the development of their own strategies (and are responsible for funding their own strategies).  The states and territories report their respective progress to COAG which is aggregated in the release of an annual progress report.</w:t>
      </w:r>
      <w:r w:rsidRPr="00CE7C12">
        <w:rPr>
          <w:vertAlign w:val="superscript"/>
          <w:lang w:eastAsia="en-AU"/>
        </w:rPr>
        <w:footnoteReference w:id="87"/>
      </w:r>
    </w:p>
    <w:p w14:paraId="43681BFF" w14:textId="77777777" w:rsidR="00E61C26" w:rsidRPr="00CE7C12" w:rsidRDefault="00E61C26" w:rsidP="003745A3">
      <w:pPr>
        <w:pStyle w:val="Headinglevel2"/>
        <w:numPr>
          <w:ilvl w:val="1"/>
          <w:numId w:val="26"/>
        </w:numPr>
      </w:pPr>
      <w:bookmarkStart w:id="191" w:name="_Toc525296985"/>
      <w:bookmarkStart w:id="192" w:name="_Toc16764009"/>
      <w:r w:rsidRPr="00CE7C12">
        <w:lastRenderedPageBreak/>
        <w:t>Reporting and evaluation</w:t>
      </w:r>
      <w:bookmarkEnd w:id="191"/>
      <w:bookmarkEnd w:id="192"/>
    </w:p>
    <w:p w14:paraId="0C06E2A0" w14:textId="77777777" w:rsidR="00E61C26" w:rsidRPr="00CE7C12" w:rsidRDefault="00E61C26" w:rsidP="003745A3">
      <w:pPr>
        <w:pStyle w:val="BodyText1"/>
        <w:numPr>
          <w:ilvl w:val="5"/>
          <w:numId w:val="26"/>
        </w:numPr>
      </w:pPr>
      <w:r w:rsidRPr="00CE7C12">
        <w:t xml:space="preserve">Each Action Plan defines a number of areas for action.  Measures of success are defined for each of the Six National outcomes and within each Action Plan to allow for evaluation over the term of each plan, which is factored into the development of the next Action Plan. </w:t>
      </w:r>
    </w:p>
    <w:p w14:paraId="7F30D78F" w14:textId="5A3A30BE" w:rsidR="00E61C26" w:rsidRPr="00CE7C12" w:rsidRDefault="00E61C26" w:rsidP="003745A3">
      <w:pPr>
        <w:pStyle w:val="BodyText1"/>
        <w:numPr>
          <w:ilvl w:val="5"/>
          <w:numId w:val="26"/>
        </w:numPr>
      </w:pPr>
      <w:r w:rsidRPr="00CE7C12">
        <w:t xml:space="preserve">The Commonwealth Government commissioned Health Outcomes International to develop an independent Evaluation Plan for the National Plan (over its </w:t>
      </w:r>
      <w:r w:rsidR="009F3074" w:rsidRPr="00CE7C12">
        <w:t>12-year</w:t>
      </w:r>
      <w:r w:rsidRPr="00CE7C12">
        <w:t xml:space="preserve"> life span).  This was released in June 2014.  The evaluation framework includes: three-yearly reviews of the action plans; annual progress reporting; evaluation of key national activities under the plan; and analysis of available data.</w:t>
      </w:r>
      <w:r w:rsidRPr="00CE7C12">
        <w:rPr>
          <w:rStyle w:val="FootnoteReference"/>
        </w:rPr>
        <w:footnoteReference w:id="88"/>
      </w:r>
    </w:p>
    <w:p w14:paraId="0FCA7513" w14:textId="77777777" w:rsidR="00E61C26" w:rsidRPr="00CE7C12" w:rsidRDefault="00E61C26" w:rsidP="003745A3">
      <w:pPr>
        <w:pStyle w:val="BodyText1"/>
        <w:numPr>
          <w:ilvl w:val="5"/>
          <w:numId w:val="26"/>
        </w:numPr>
      </w:pPr>
      <w:r w:rsidRPr="00CE7C12">
        <w:t>At each evaluation phase, an independent expert will be appointed to carry out a number of evaluation tasks including to: conduct reviews; consolidate and analyse evaluation reporting; and carry out reviews of consultations.</w:t>
      </w:r>
      <w:r w:rsidRPr="00CE7C12">
        <w:rPr>
          <w:rStyle w:val="FootnoteReference"/>
        </w:rPr>
        <w:footnoteReference w:id="89"/>
      </w:r>
    </w:p>
    <w:p w14:paraId="64FA1192" w14:textId="77777777" w:rsidR="00E61C26" w:rsidRPr="00CE7C12" w:rsidRDefault="00E61C26" w:rsidP="003745A3">
      <w:pPr>
        <w:pStyle w:val="Headinglevel2"/>
        <w:numPr>
          <w:ilvl w:val="1"/>
          <w:numId w:val="26"/>
        </w:numPr>
      </w:pPr>
      <w:bookmarkStart w:id="193" w:name="_Toc525296986"/>
      <w:bookmarkStart w:id="194" w:name="_Toc16764010"/>
      <w:r w:rsidRPr="00CE7C12">
        <w:t>Issue</w:t>
      </w:r>
      <w:r>
        <w:t>s and policy challenges</w:t>
      </w:r>
      <w:r w:rsidRPr="00CE7C12">
        <w:t xml:space="preserve"> for the ACT</w:t>
      </w:r>
      <w:bookmarkEnd w:id="193"/>
      <w:bookmarkEnd w:id="194"/>
    </w:p>
    <w:p w14:paraId="68810CAA" w14:textId="37A2D28B" w:rsidR="00E61C26" w:rsidRPr="00CE7C12" w:rsidRDefault="00E61C26" w:rsidP="003745A3">
      <w:pPr>
        <w:pStyle w:val="BodyText1"/>
        <w:numPr>
          <w:ilvl w:val="5"/>
          <w:numId w:val="26"/>
        </w:numPr>
      </w:pPr>
      <w:r w:rsidRPr="00CE7C12">
        <w:t xml:space="preserve">A number of </w:t>
      </w:r>
      <w:r w:rsidR="009F3074" w:rsidRPr="00CE7C12">
        <w:t>submissions</w:t>
      </w:r>
      <w:r w:rsidRPr="00CE7C12">
        <w:t xml:space="preserve"> made comments, suggestions and recommendations on issues and policy challenges for the ACT arising from the National funding and agenda/policy setting regime/framework—including how outcomes are measured and reported.</w:t>
      </w:r>
    </w:p>
    <w:p w14:paraId="39CFD4E9" w14:textId="212FC254" w:rsidR="00E61C26" w:rsidRPr="00CE7C12" w:rsidRDefault="00E61C26" w:rsidP="003745A3">
      <w:pPr>
        <w:pStyle w:val="BodyText1"/>
        <w:numPr>
          <w:ilvl w:val="5"/>
          <w:numId w:val="26"/>
        </w:numPr>
        <w:rPr>
          <w:lang w:eastAsia="en-AU"/>
        </w:rPr>
      </w:pPr>
      <w:r w:rsidRPr="00CE7C12">
        <w:rPr>
          <w:lang w:eastAsia="en-AU"/>
        </w:rPr>
        <w:t xml:space="preserve">Several </w:t>
      </w:r>
      <w:r w:rsidR="009F3074" w:rsidRPr="00CE7C12">
        <w:rPr>
          <w:lang w:eastAsia="en-AU"/>
        </w:rPr>
        <w:t>submissions</w:t>
      </w:r>
      <w:r w:rsidRPr="00CE7C12">
        <w:rPr>
          <w:lang w:eastAsia="en-AU"/>
        </w:rPr>
        <w:t xml:space="preserve"> raised concerns regarding the stability and continuity of Commonwealth funding of vital services and programs which support victims and survivors of DFV. </w:t>
      </w:r>
    </w:p>
    <w:p w14:paraId="7527D1D9" w14:textId="77777777" w:rsidR="00E61C26" w:rsidRPr="00CE7C12" w:rsidRDefault="00E61C26" w:rsidP="003745A3">
      <w:pPr>
        <w:pStyle w:val="BodyText1"/>
        <w:numPr>
          <w:ilvl w:val="5"/>
          <w:numId w:val="26"/>
        </w:numPr>
        <w:rPr>
          <w:lang w:eastAsia="en-AU"/>
        </w:rPr>
      </w:pPr>
      <w:r w:rsidRPr="00CE7C12">
        <w:rPr>
          <w:lang w:eastAsia="en-AU"/>
        </w:rPr>
        <w:t>On this, the ACT Government submitted:</w:t>
      </w:r>
    </w:p>
    <w:p w14:paraId="13AA5E8E" w14:textId="77777777" w:rsidR="00E61C26" w:rsidRPr="00CE7C12" w:rsidRDefault="00E61C26" w:rsidP="00E61C26">
      <w:pPr>
        <w:pStyle w:val="Quote"/>
        <w:rPr>
          <w:lang w:eastAsia="en-AU"/>
        </w:rPr>
      </w:pPr>
      <w:r w:rsidRPr="00CE7C12">
        <w:rPr>
          <w:lang w:eastAsia="en-AU"/>
        </w:rPr>
        <w:t>A lack of alignment between the agreed objectives of the National Plan and funding decisions made by the Commonwealth in other related spheres have created challenges in delivering on the National Plan. This has been particularly acute in relation to national funding for community legal centres and homelessness services.</w:t>
      </w:r>
      <w:r w:rsidRPr="00CE7C12">
        <w:rPr>
          <w:rStyle w:val="FootnoteReference"/>
          <w:lang w:eastAsia="en-AU"/>
        </w:rPr>
        <w:footnoteReference w:id="90"/>
      </w:r>
    </w:p>
    <w:p w14:paraId="09FA36A5" w14:textId="77777777" w:rsidR="00E61C26" w:rsidRPr="00CE7C12" w:rsidRDefault="00E61C26" w:rsidP="003745A3">
      <w:pPr>
        <w:pStyle w:val="BodyText1"/>
        <w:numPr>
          <w:ilvl w:val="5"/>
          <w:numId w:val="26"/>
        </w:numPr>
        <w:rPr>
          <w:lang w:eastAsia="en-AU"/>
        </w:rPr>
      </w:pPr>
      <w:r w:rsidRPr="00CE7C12">
        <w:rPr>
          <w:lang w:eastAsia="en-AU"/>
        </w:rPr>
        <w:t>In relation to the funding of community legal services, ACT Women’s Services Network noted that ‘Federal Government funding of community legal services has also had an impact on the ability of individual women to escape domestic violence, to keep their family safe in the immediate and longer term, and to get access to justice they deserve’. Their submission further noted that the National Plan ‘acknowledges the need to increase funding for legal assistance programs, especially those which assist victims of domestic and family violence’.</w:t>
      </w:r>
      <w:r w:rsidRPr="00CE7C12">
        <w:rPr>
          <w:rStyle w:val="FootnoteReference"/>
          <w:lang w:eastAsia="en-AU"/>
        </w:rPr>
        <w:t xml:space="preserve"> </w:t>
      </w:r>
      <w:r w:rsidRPr="00CE7C12">
        <w:rPr>
          <w:rStyle w:val="FootnoteReference"/>
          <w:lang w:eastAsia="en-AU"/>
        </w:rPr>
        <w:footnoteReference w:id="91"/>
      </w:r>
    </w:p>
    <w:p w14:paraId="5F0F0F3D" w14:textId="77777777" w:rsidR="00E61C26" w:rsidRPr="00CE7C12" w:rsidRDefault="00E61C26" w:rsidP="003745A3">
      <w:pPr>
        <w:pStyle w:val="BodyText1"/>
        <w:numPr>
          <w:ilvl w:val="5"/>
          <w:numId w:val="26"/>
        </w:numPr>
        <w:rPr>
          <w:lang w:eastAsia="en-AU"/>
        </w:rPr>
      </w:pPr>
      <w:r w:rsidRPr="00CE7C12">
        <w:rPr>
          <w:lang w:eastAsia="en-AU"/>
        </w:rPr>
        <w:lastRenderedPageBreak/>
        <w:t>Moreover,</w:t>
      </w:r>
    </w:p>
    <w:p w14:paraId="5FC872F2" w14:textId="77777777" w:rsidR="00E61C26" w:rsidRPr="00CE7C12" w:rsidRDefault="00E61C26" w:rsidP="00E61C26">
      <w:pPr>
        <w:pStyle w:val="Quote"/>
        <w:rPr>
          <w:lang w:eastAsia="en-AU"/>
        </w:rPr>
      </w:pPr>
      <w:r w:rsidRPr="00CE7C12">
        <w:rPr>
          <w:lang w:eastAsia="en-AU"/>
        </w:rPr>
        <w:t>Uncertainty with regards to core Commonwealth funding to community legal services over the past 18 months has also greatly affected other ACT community legal centres’ ability to provide legal</w:t>
      </w:r>
      <w:r>
        <w:rPr>
          <w:lang w:eastAsia="en-AU"/>
        </w:rPr>
        <w:t xml:space="preserve"> advice to women experiencing DF</w:t>
      </w:r>
      <w:r w:rsidRPr="00CE7C12">
        <w:rPr>
          <w:lang w:eastAsia="en-AU"/>
        </w:rPr>
        <w:t>V on a range of other matters including housing, social security and debt.</w:t>
      </w:r>
      <w:r w:rsidRPr="00CE7C12">
        <w:rPr>
          <w:rStyle w:val="FootnoteReference"/>
          <w:lang w:eastAsia="en-AU"/>
        </w:rPr>
        <w:footnoteReference w:id="92"/>
      </w:r>
    </w:p>
    <w:p w14:paraId="27EE9B50" w14:textId="77777777" w:rsidR="00E61C26" w:rsidRPr="00CE7C12" w:rsidRDefault="00E61C26" w:rsidP="003745A3">
      <w:pPr>
        <w:pStyle w:val="BodyText1"/>
        <w:numPr>
          <w:ilvl w:val="5"/>
          <w:numId w:val="26"/>
        </w:numPr>
        <w:rPr>
          <w:lang w:eastAsia="en-AU"/>
        </w:rPr>
      </w:pPr>
      <w:r w:rsidRPr="00CE7C12">
        <w:rPr>
          <w:lang w:eastAsia="en-AU"/>
        </w:rPr>
        <w:t>As a specific example of such a community legal support service imperilled by funding uncertainty, Women’s Legal Centre (ACT &amp; Region) referred to its Domestic Violence Program (DVP), which is funded under the Commonwealth’s Women’s Safety Package. The DVP:</w:t>
      </w:r>
    </w:p>
    <w:p w14:paraId="07C90709" w14:textId="4A7DFD7E" w:rsidR="00E61C26" w:rsidRPr="00CE7C12" w:rsidRDefault="00E61C26" w:rsidP="00E61C26">
      <w:pPr>
        <w:pStyle w:val="Quote"/>
        <w:rPr>
          <w:lang w:eastAsia="en-AU"/>
        </w:rPr>
      </w:pPr>
      <w:r w:rsidRPr="00CE7C12">
        <w:rPr>
          <w:lang w:eastAsia="en-AU"/>
        </w:rPr>
        <w:t xml:space="preserve">Provides a holistic, wrap around response for women affected by family violence and navigating, or needing to navigate the legal system. The focus of the program is on family </w:t>
      </w:r>
      <w:r w:rsidR="009F3074" w:rsidRPr="00CE7C12">
        <w:rPr>
          <w:lang w:eastAsia="en-AU"/>
        </w:rPr>
        <w:t>law;</w:t>
      </w:r>
      <w:r w:rsidRPr="00CE7C12">
        <w:rPr>
          <w:lang w:eastAsia="en-AU"/>
        </w:rPr>
        <w:t xml:space="preserve"> </w:t>
      </w:r>
      <w:r w:rsidR="009F3074" w:rsidRPr="00CE7C12">
        <w:rPr>
          <w:lang w:eastAsia="en-AU"/>
        </w:rPr>
        <w:t>however,</w:t>
      </w:r>
      <w:r w:rsidRPr="00CE7C12">
        <w:rPr>
          <w:lang w:eastAsia="en-AU"/>
        </w:rPr>
        <w:t xml:space="preserve"> we also provide advice and representation in family violence order matters, victims of crime compensation matters and to a more limited extant care and protection matters.</w:t>
      </w:r>
      <w:r w:rsidRPr="00CE7C12">
        <w:rPr>
          <w:rStyle w:val="FootnoteReference"/>
          <w:lang w:eastAsia="en-AU"/>
        </w:rPr>
        <w:footnoteReference w:id="93"/>
      </w:r>
    </w:p>
    <w:p w14:paraId="461F95DF" w14:textId="77777777" w:rsidR="00E61C26" w:rsidRPr="00CE7C12" w:rsidRDefault="00E61C26" w:rsidP="003745A3">
      <w:pPr>
        <w:pStyle w:val="BodyText1"/>
        <w:numPr>
          <w:ilvl w:val="5"/>
          <w:numId w:val="26"/>
        </w:numPr>
        <w:rPr>
          <w:lang w:eastAsia="en-AU"/>
        </w:rPr>
      </w:pPr>
      <w:r w:rsidRPr="00CE7C12">
        <w:rPr>
          <w:lang w:eastAsia="en-AU"/>
        </w:rPr>
        <w:t>Women’s Legal Centre (ACT &amp; Region) highlighted that the DVP had assisted 184 clients between January 2017 and June 2017, including representation in court and other dispute resolution conferences, and the provision of non-legal support service. Yet, ‘despite the significant offerings of this program, and its uniqueness, the DVP’s funding comes to an end in June 2019’.</w:t>
      </w:r>
    </w:p>
    <w:p w14:paraId="44C56F4B" w14:textId="02E93784" w:rsidR="00E61C26" w:rsidRPr="00CE7C12" w:rsidRDefault="00E61C26" w:rsidP="003745A3">
      <w:pPr>
        <w:pStyle w:val="BodyText1"/>
        <w:numPr>
          <w:ilvl w:val="5"/>
          <w:numId w:val="26"/>
        </w:numPr>
        <w:rPr>
          <w:lang w:eastAsia="en-AU"/>
        </w:rPr>
      </w:pPr>
      <w:r w:rsidRPr="00CE7C12">
        <w:rPr>
          <w:lang w:eastAsia="en-AU"/>
        </w:rPr>
        <w:t xml:space="preserve">In its submission, the ACT Government acknowledged the ‘unexplained 25 per cent cut in their core funding from 2017-18’ faced by the Women’s Legal Centre and Canberra Community Law. In response to these cuts, ‘the ACT Government committed $2.48 million from 2017-18 to support the Women’s Legal Centre, Canberra Community Law and Street Law, for four </w:t>
      </w:r>
      <w:r w:rsidR="009F3074" w:rsidRPr="00CE7C12">
        <w:rPr>
          <w:lang w:eastAsia="en-AU"/>
        </w:rPr>
        <w:t>years</w:t>
      </w:r>
      <w:r w:rsidRPr="00CE7C12">
        <w:rPr>
          <w:lang w:eastAsia="en-AU"/>
        </w:rPr>
        <w:t>.</w:t>
      </w:r>
      <w:r w:rsidRPr="00CE7C12">
        <w:rPr>
          <w:rStyle w:val="FootnoteReference"/>
          <w:lang w:eastAsia="en-AU"/>
        </w:rPr>
        <w:footnoteReference w:id="94"/>
      </w:r>
    </w:p>
    <w:p w14:paraId="654B5D92" w14:textId="77777777" w:rsidR="00E61C26" w:rsidRPr="00CE7C12" w:rsidRDefault="00E61C26" w:rsidP="003745A3">
      <w:pPr>
        <w:pStyle w:val="BodyText1"/>
        <w:numPr>
          <w:ilvl w:val="5"/>
          <w:numId w:val="26"/>
        </w:numPr>
        <w:rPr>
          <w:lang w:eastAsia="en-AU"/>
        </w:rPr>
      </w:pPr>
      <w:r w:rsidRPr="00CE7C12">
        <w:rPr>
          <w:lang w:eastAsia="en-AU"/>
        </w:rPr>
        <w:t>Uncertainty of Commonwealth funding for homelessness services and the potential impacts of this on support of DFV victims and survivors was also raised by several submissions.</w:t>
      </w:r>
    </w:p>
    <w:p w14:paraId="17519544" w14:textId="77777777" w:rsidR="00E61C26" w:rsidRPr="00CE7C12" w:rsidRDefault="00E61C26" w:rsidP="003745A3">
      <w:pPr>
        <w:pStyle w:val="BodyText1"/>
        <w:numPr>
          <w:ilvl w:val="5"/>
          <w:numId w:val="26"/>
        </w:numPr>
        <w:rPr>
          <w:lang w:eastAsia="en-AU"/>
        </w:rPr>
      </w:pPr>
      <w:r w:rsidRPr="00CE7C12">
        <w:rPr>
          <w:lang w:eastAsia="en-AU"/>
        </w:rPr>
        <w:t>Domestic Violence Crisis Support explained in their submission that:</w:t>
      </w:r>
    </w:p>
    <w:p w14:paraId="2FD80268" w14:textId="77777777" w:rsidR="00E61C26" w:rsidRPr="00CE7C12" w:rsidRDefault="00E61C26" w:rsidP="00E61C26">
      <w:pPr>
        <w:pStyle w:val="Quote"/>
        <w:rPr>
          <w:lang w:eastAsia="en-AU"/>
        </w:rPr>
      </w:pPr>
      <w:r w:rsidRPr="00CE7C12">
        <w:rPr>
          <w:lang w:eastAsia="en-AU"/>
        </w:rPr>
        <w:t xml:space="preserve">The Commonwealth Government also partners with the ACT Government in funding the domestic violence refuges, through the National Partnership Agreement on Homelessness. The Commonwealth’s commitment to the partnership was up in the air until March when they committed to it for another 2 years. It is unknown what will happen after that. For the women and children who need to leave their homes after violence it is essential that they have somewhere safe to go. The refuges are a key part </w:t>
      </w:r>
      <w:r w:rsidRPr="00CE7C12">
        <w:rPr>
          <w:lang w:eastAsia="en-AU"/>
        </w:rPr>
        <w:lastRenderedPageBreak/>
        <w:t>of the ACT response to domestic and family violence and should continue to be supported by the Commonwealth as well as the ACT Governments.</w:t>
      </w:r>
      <w:r w:rsidRPr="00CE7C12">
        <w:rPr>
          <w:rStyle w:val="FootnoteReference"/>
          <w:lang w:eastAsia="en-AU"/>
        </w:rPr>
        <w:footnoteReference w:id="95"/>
      </w:r>
    </w:p>
    <w:p w14:paraId="0CE12C2C" w14:textId="77777777" w:rsidR="00E61C26" w:rsidRPr="00CE7C12" w:rsidRDefault="00E61C26" w:rsidP="003745A3">
      <w:pPr>
        <w:pStyle w:val="BodyText1"/>
        <w:numPr>
          <w:ilvl w:val="5"/>
          <w:numId w:val="26"/>
        </w:numPr>
        <w:rPr>
          <w:lang w:eastAsia="en-AU"/>
        </w:rPr>
      </w:pPr>
      <w:r w:rsidRPr="00CE7C12">
        <w:rPr>
          <w:lang w:eastAsia="en-AU"/>
        </w:rPr>
        <w:t>ACT Domestic Violence Prevention Council likewise warned of the ‘potential impact of Commonwealth funding cuts passed on to “homelessness” services which may diminish current responses for women and their children leaving domestic violence’. Their submission also raised the ‘lack of availability of public housing that is disability accessible, and the impact that this has on people with disability leaving violent relationships’.</w:t>
      </w:r>
      <w:r w:rsidRPr="00CE7C12">
        <w:rPr>
          <w:rStyle w:val="FootnoteReference"/>
          <w:lang w:eastAsia="en-AU"/>
        </w:rPr>
        <w:footnoteReference w:id="96"/>
      </w:r>
    </w:p>
    <w:p w14:paraId="3568460A" w14:textId="5EE19E0F" w:rsidR="00E61C26" w:rsidRPr="00CE7C12" w:rsidRDefault="00E61C26" w:rsidP="003745A3">
      <w:pPr>
        <w:pStyle w:val="BodyText1"/>
        <w:numPr>
          <w:ilvl w:val="5"/>
          <w:numId w:val="26"/>
        </w:numPr>
        <w:rPr>
          <w:lang w:eastAsia="en-AU"/>
        </w:rPr>
      </w:pPr>
      <w:r w:rsidRPr="00CE7C12">
        <w:rPr>
          <w:lang w:eastAsia="en-AU"/>
        </w:rPr>
        <w:t xml:space="preserve">ACT Women’s Services Network similarly noted concerns related to this funding uncertainty under the National Partnership Agreement on Homelessness, adding that ‘we are yet to see any other significant </w:t>
      </w:r>
      <w:r w:rsidR="009F3074" w:rsidRPr="00CE7C12">
        <w:rPr>
          <w:lang w:eastAsia="en-AU"/>
        </w:rPr>
        <w:t>long-term</w:t>
      </w:r>
      <w:r w:rsidRPr="00CE7C12">
        <w:rPr>
          <w:lang w:eastAsia="en-AU"/>
        </w:rPr>
        <w:t xml:space="preserve"> investment in funding of generalist and specialist homelessness services/projects, affordable housing, or emergency relief/financial counselling services’.</w:t>
      </w:r>
      <w:r w:rsidRPr="00CE7C12">
        <w:rPr>
          <w:rStyle w:val="FootnoteReference"/>
          <w:lang w:eastAsia="en-AU"/>
        </w:rPr>
        <w:footnoteReference w:id="97"/>
      </w:r>
    </w:p>
    <w:p w14:paraId="7C53ADFE" w14:textId="3708E9F7" w:rsidR="00E61C26" w:rsidRPr="00CE7C12" w:rsidRDefault="00E61C26" w:rsidP="003745A3">
      <w:pPr>
        <w:pStyle w:val="BodyText1"/>
        <w:numPr>
          <w:ilvl w:val="5"/>
          <w:numId w:val="26"/>
        </w:numPr>
        <w:rPr>
          <w:lang w:eastAsia="en-AU"/>
        </w:rPr>
      </w:pPr>
      <w:r w:rsidRPr="00CE7C12">
        <w:rPr>
          <w:lang w:eastAsia="en-AU"/>
        </w:rPr>
        <w:t xml:space="preserve">ACT Women’s Services Network further argued that ‘funding must be available to assist women given that homelessness is but one effect of </w:t>
      </w:r>
      <w:r w:rsidR="009F3074" w:rsidRPr="00CE7C12">
        <w:rPr>
          <w:lang w:eastAsia="en-AU"/>
        </w:rPr>
        <w:t>trauma and</w:t>
      </w:r>
      <w:r w:rsidRPr="00CE7C12">
        <w:rPr>
          <w:lang w:eastAsia="en-AU"/>
        </w:rPr>
        <w:t xml:space="preserve"> considering the range of effects from domestic violence on women and their children’. Given the diverse range of issues associated with women and children escaping, or oth</w:t>
      </w:r>
      <w:r>
        <w:rPr>
          <w:lang w:eastAsia="en-AU"/>
        </w:rPr>
        <w:t>erwise facing</w:t>
      </w:r>
      <w:r w:rsidRPr="00CE7C12">
        <w:rPr>
          <w:lang w:eastAsia="en-AU"/>
        </w:rPr>
        <w:t xml:space="preserve"> DFV this funding ‘should not solely be for services that sit solely within the homelessness sector’. </w:t>
      </w:r>
      <w:r w:rsidRPr="00CE7C12">
        <w:rPr>
          <w:rStyle w:val="FootnoteReference"/>
          <w:lang w:eastAsia="en-AU"/>
        </w:rPr>
        <w:footnoteReference w:id="98"/>
      </w:r>
    </w:p>
    <w:p w14:paraId="3146EA9A" w14:textId="77777777" w:rsidR="00E61C26" w:rsidRPr="00CE7C12" w:rsidRDefault="00E61C26" w:rsidP="003745A3">
      <w:pPr>
        <w:pStyle w:val="BodyText1"/>
        <w:numPr>
          <w:ilvl w:val="5"/>
          <w:numId w:val="26"/>
        </w:numPr>
        <w:rPr>
          <w:lang w:eastAsia="en-AU"/>
        </w:rPr>
      </w:pPr>
      <w:r w:rsidRPr="00CE7C12">
        <w:rPr>
          <w:lang w:eastAsia="en-AU"/>
        </w:rPr>
        <w:t>ACTCOSS argued a similar point that ‘the current homelessness response cannot provide longer-term support beyond an immediate crisis response’. Adding to this, they noted:</w:t>
      </w:r>
    </w:p>
    <w:p w14:paraId="08A2DD35" w14:textId="77777777" w:rsidR="00E61C26" w:rsidRPr="00CE7C12" w:rsidRDefault="00E61C26" w:rsidP="00E61C26">
      <w:pPr>
        <w:pStyle w:val="Quote"/>
        <w:rPr>
          <w:lang w:eastAsia="en-AU"/>
        </w:rPr>
      </w:pPr>
      <w:r w:rsidRPr="00CE7C12">
        <w:rPr>
          <w:lang w:eastAsia="en-AU"/>
        </w:rPr>
        <w:t>…the current funding model is inadequate at responding to the needs of women who may have experienced domestic violence but not presented to specialist homelessness services. Domestic and family violence is complex, and women who make the decision to stay at home, rather than present to a refuge, should receive support.</w:t>
      </w:r>
      <w:r w:rsidRPr="00CE7C12">
        <w:rPr>
          <w:rStyle w:val="FootnoteReference"/>
          <w:lang w:eastAsia="en-AU"/>
        </w:rPr>
        <w:footnoteReference w:id="99"/>
      </w:r>
    </w:p>
    <w:p w14:paraId="6B0CE3C3" w14:textId="77777777" w:rsidR="00E61C26" w:rsidRPr="00CE7C12" w:rsidRDefault="00E61C26" w:rsidP="003745A3">
      <w:pPr>
        <w:pStyle w:val="BodyText1"/>
        <w:numPr>
          <w:ilvl w:val="5"/>
          <w:numId w:val="26"/>
        </w:numPr>
        <w:rPr>
          <w:lang w:eastAsia="en-AU"/>
        </w:rPr>
      </w:pPr>
      <w:r w:rsidRPr="00CE7C12">
        <w:rPr>
          <w:lang w:eastAsia="en-AU"/>
        </w:rPr>
        <w:t>The ACT Government argued that for the provision of both community legal services and homelessness services:</w:t>
      </w:r>
    </w:p>
    <w:p w14:paraId="688AA1CE" w14:textId="77777777" w:rsidR="00E61C26" w:rsidRPr="00CE7C12" w:rsidRDefault="00E61C26" w:rsidP="00E61C26">
      <w:pPr>
        <w:pStyle w:val="Quote"/>
        <w:rPr>
          <w:lang w:eastAsia="en-AU"/>
        </w:rPr>
      </w:pPr>
      <w:r w:rsidRPr="00CE7C12">
        <w:rPr>
          <w:lang w:eastAsia="en-AU"/>
        </w:rPr>
        <w:t>…funding cuts, delays or uncertainty have created significant risks of community services that play a critical role in the response to victims of domestic and family violence. This funding uncertainty has undermined the capacity at a local level to respond effectively to an increasing need for support.</w:t>
      </w:r>
      <w:r w:rsidRPr="00CE7C12">
        <w:rPr>
          <w:rStyle w:val="FootnoteReference"/>
          <w:lang w:eastAsia="en-AU"/>
        </w:rPr>
        <w:footnoteReference w:id="100"/>
      </w:r>
    </w:p>
    <w:p w14:paraId="296E4051" w14:textId="592173E2" w:rsidR="00E61C26" w:rsidRPr="00CE7C12" w:rsidRDefault="00E61C26" w:rsidP="003745A3">
      <w:pPr>
        <w:pStyle w:val="BodyText1"/>
        <w:numPr>
          <w:ilvl w:val="5"/>
          <w:numId w:val="26"/>
        </w:numPr>
        <w:rPr>
          <w:lang w:eastAsia="en-AU"/>
        </w:rPr>
      </w:pPr>
      <w:r w:rsidRPr="00CE7C12">
        <w:rPr>
          <w:lang w:eastAsia="en-AU"/>
        </w:rPr>
        <w:t>Several submission</w:t>
      </w:r>
      <w:r w:rsidR="000B2A36">
        <w:rPr>
          <w:lang w:eastAsia="en-AU"/>
        </w:rPr>
        <w:t>s</w:t>
      </w:r>
      <w:r w:rsidRPr="00CE7C12">
        <w:rPr>
          <w:lang w:eastAsia="en-AU"/>
        </w:rPr>
        <w:t xml:space="preserve"> raised the importance of respectful relationships education as a long-term national response to DFV.</w:t>
      </w:r>
    </w:p>
    <w:p w14:paraId="05A62D29" w14:textId="77777777" w:rsidR="00E61C26" w:rsidRPr="00CE7C12" w:rsidRDefault="00E61C26" w:rsidP="003745A3">
      <w:pPr>
        <w:pStyle w:val="BodyText1"/>
        <w:numPr>
          <w:ilvl w:val="5"/>
          <w:numId w:val="26"/>
        </w:numPr>
        <w:rPr>
          <w:lang w:eastAsia="en-AU"/>
        </w:rPr>
      </w:pPr>
      <w:r w:rsidRPr="00CE7C12">
        <w:rPr>
          <w:lang w:eastAsia="en-AU"/>
        </w:rPr>
        <w:lastRenderedPageBreak/>
        <w:t>Our Watch highlighted that:</w:t>
      </w:r>
    </w:p>
    <w:p w14:paraId="531F272E" w14:textId="5B402238" w:rsidR="00E61C26" w:rsidRPr="00CE7C12" w:rsidRDefault="00E61C26" w:rsidP="00E61C26">
      <w:pPr>
        <w:pStyle w:val="Quote"/>
        <w:rPr>
          <w:lang w:eastAsia="en-AU"/>
        </w:rPr>
      </w:pPr>
      <w:r w:rsidRPr="00CE7C12">
        <w:rPr>
          <w:lang w:eastAsia="en-AU"/>
        </w:rPr>
        <w:t xml:space="preserve">The current challenge—and opportunity—for governments at all levels, is to scale up and systematise proven and promising, yet still small-scale, programs to the population level—enabling them to reach and impact far greater numbers of </w:t>
      </w:r>
      <w:r w:rsidR="009F3074" w:rsidRPr="00CE7C12">
        <w:rPr>
          <w:lang w:eastAsia="en-AU"/>
        </w:rPr>
        <w:t>people and</w:t>
      </w:r>
      <w:r w:rsidRPr="00CE7C12">
        <w:rPr>
          <w:lang w:eastAsia="en-AU"/>
        </w:rPr>
        <w:t xml:space="preserve"> create the potential for the kind of whole-of-population change that is needed.</w:t>
      </w:r>
    </w:p>
    <w:p w14:paraId="6D2EECC5" w14:textId="77777777" w:rsidR="00E61C26" w:rsidRPr="00CE7C12" w:rsidRDefault="00E61C26" w:rsidP="003745A3">
      <w:pPr>
        <w:pStyle w:val="BodyText1"/>
        <w:numPr>
          <w:ilvl w:val="5"/>
          <w:numId w:val="26"/>
        </w:numPr>
        <w:rPr>
          <w:lang w:eastAsia="en-AU"/>
        </w:rPr>
      </w:pPr>
      <w:r w:rsidRPr="00CE7C12">
        <w:rPr>
          <w:lang w:eastAsia="en-AU"/>
        </w:rPr>
        <w:t>As an example of such a program th</w:t>
      </w:r>
      <w:r>
        <w:rPr>
          <w:lang w:eastAsia="en-AU"/>
        </w:rPr>
        <w:t>at should be scaled up, Our</w:t>
      </w:r>
      <w:r w:rsidRPr="00CE7C12">
        <w:rPr>
          <w:lang w:eastAsia="en-AU"/>
        </w:rPr>
        <w:t xml:space="preserve"> Watch raised ‘comprehensively supported Respectful Relationships Education programs’, which, ‘if undertaken across government schools alone in Australia, an estimated 7</w:t>
      </w:r>
      <w:r>
        <w:rPr>
          <w:lang w:eastAsia="en-AU"/>
        </w:rPr>
        <w:t>,</w:t>
      </w:r>
      <w:r w:rsidRPr="00CE7C12">
        <w:rPr>
          <w:lang w:eastAsia="en-AU"/>
        </w:rPr>
        <w:t>000-12,000 future experiences of violence against women could be avoided’.</w:t>
      </w:r>
      <w:r w:rsidRPr="00CE7C12">
        <w:rPr>
          <w:rStyle w:val="FootnoteReference"/>
          <w:lang w:eastAsia="en-AU"/>
        </w:rPr>
        <w:footnoteReference w:id="101"/>
      </w:r>
    </w:p>
    <w:p w14:paraId="3C3E3256" w14:textId="03B12267" w:rsidR="00E61C26" w:rsidRPr="00CE7C12" w:rsidRDefault="00E61C26" w:rsidP="003745A3">
      <w:pPr>
        <w:pStyle w:val="BodyText1"/>
        <w:numPr>
          <w:ilvl w:val="5"/>
          <w:numId w:val="26"/>
        </w:numPr>
        <w:rPr>
          <w:lang w:eastAsia="en-AU"/>
        </w:rPr>
      </w:pPr>
      <w:r w:rsidRPr="00CE7C12">
        <w:rPr>
          <w:lang w:eastAsia="en-AU"/>
        </w:rPr>
        <w:t>ACTCOSS, likewise, emphasised the importance of such respectful relationship education to early-intervention and prevention strategies and pointed out ‘lack of central commitment to Respectful Relationships education that provides targeted, long-term funding for school-based Respectful Relationships education’.</w:t>
      </w:r>
      <w:r w:rsidRPr="00CE7C12">
        <w:rPr>
          <w:rStyle w:val="FootnoteReference"/>
          <w:lang w:eastAsia="en-AU"/>
        </w:rPr>
        <w:footnoteReference w:id="102"/>
      </w:r>
      <w:r w:rsidRPr="00CE7C12">
        <w:rPr>
          <w:lang w:eastAsia="en-AU"/>
        </w:rPr>
        <w:t xml:space="preserve">  </w:t>
      </w:r>
    </w:p>
    <w:p w14:paraId="391DCEF4" w14:textId="77777777" w:rsidR="00E61C26" w:rsidRPr="00CE7C12" w:rsidRDefault="00E61C26" w:rsidP="003745A3">
      <w:pPr>
        <w:pStyle w:val="BodyText1"/>
        <w:numPr>
          <w:ilvl w:val="5"/>
          <w:numId w:val="26"/>
        </w:numPr>
        <w:rPr>
          <w:lang w:eastAsia="en-AU"/>
        </w:rPr>
      </w:pPr>
      <w:r w:rsidRPr="00CE7C12">
        <w:rPr>
          <w:lang w:eastAsia="en-AU"/>
        </w:rPr>
        <w:t>ACTCOSS recommended that:</w:t>
      </w:r>
    </w:p>
    <w:p w14:paraId="47994BF2" w14:textId="77777777" w:rsidR="00E61C26" w:rsidRPr="00CE7C12" w:rsidRDefault="00E61C26" w:rsidP="00E61C26">
      <w:pPr>
        <w:pStyle w:val="Quote"/>
        <w:rPr>
          <w:lang w:eastAsia="en-AU"/>
        </w:rPr>
      </w:pPr>
      <w:r w:rsidRPr="00CE7C12">
        <w:rPr>
          <w:lang w:eastAsia="en-AU"/>
        </w:rPr>
        <w:t>Respectful Relationships education as a prevention and early-intervention model should be a required program across all ACT schools. We recommend community organisations…are adequately resourced to deliver these programs.</w:t>
      </w:r>
      <w:r w:rsidRPr="00CE7C12">
        <w:rPr>
          <w:rStyle w:val="FootnoteReference"/>
          <w:lang w:eastAsia="en-AU"/>
        </w:rPr>
        <w:footnoteReference w:id="103"/>
      </w:r>
    </w:p>
    <w:p w14:paraId="5F034C91" w14:textId="77777777" w:rsidR="00E61C26" w:rsidRPr="00CE7C12" w:rsidRDefault="00E61C26" w:rsidP="003745A3">
      <w:pPr>
        <w:pStyle w:val="BodyText1"/>
        <w:numPr>
          <w:ilvl w:val="5"/>
          <w:numId w:val="26"/>
        </w:numPr>
        <w:rPr>
          <w:lang w:eastAsia="en-AU"/>
        </w:rPr>
      </w:pPr>
      <w:r w:rsidRPr="00CE7C12">
        <w:rPr>
          <w:lang w:eastAsia="en-AU"/>
        </w:rPr>
        <w:t>The Foundation for Alcohol Research and Education’s submission argued that there needs to be a greater acknowledgement of the role alcohol plays in fuelling DFV. While praising recent efforts to reduce DFV through the National Plan and the ACT Government’s Safer Families Package, the Foundation highlighted that:</w:t>
      </w:r>
    </w:p>
    <w:p w14:paraId="1C9D45B9" w14:textId="77777777" w:rsidR="00E61C26" w:rsidRPr="00CE7C12" w:rsidRDefault="00E61C26" w:rsidP="00E61C26">
      <w:pPr>
        <w:pStyle w:val="Quote"/>
        <w:rPr>
          <w:lang w:eastAsia="en-AU"/>
        </w:rPr>
      </w:pPr>
      <w:r w:rsidRPr="00CE7C12">
        <w:rPr>
          <w:lang w:eastAsia="en-AU"/>
        </w:rPr>
        <w:t>…rarely do these efforts give serious consideration to alcohol and its contribution to family violence and no plans, at any level, address the issue adequately. This is a significant failing of the ACT’s response to family violence to date. As the government continues to develop and implement these policy and project commitments, they must consider the significance and complex role that alcohol plays in family violence.</w:t>
      </w:r>
      <w:r w:rsidRPr="00CE7C12">
        <w:rPr>
          <w:rStyle w:val="FootnoteReference"/>
          <w:lang w:eastAsia="en-AU"/>
        </w:rPr>
        <w:footnoteReference w:id="104"/>
      </w:r>
      <w:r w:rsidRPr="00CE7C12">
        <w:rPr>
          <w:lang w:eastAsia="en-AU"/>
        </w:rPr>
        <w:t xml:space="preserve"> </w:t>
      </w:r>
    </w:p>
    <w:p w14:paraId="58888506" w14:textId="77777777" w:rsidR="00E61C26" w:rsidRPr="00CE7C12" w:rsidRDefault="00E61C26" w:rsidP="003745A3">
      <w:pPr>
        <w:pStyle w:val="BodyText1"/>
        <w:numPr>
          <w:ilvl w:val="5"/>
          <w:numId w:val="26"/>
        </w:numPr>
        <w:rPr>
          <w:lang w:eastAsia="en-AU"/>
        </w:rPr>
      </w:pPr>
      <w:r w:rsidRPr="00CE7C12">
        <w:rPr>
          <w:lang w:eastAsia="en-AU"/>
        </w:rPr>
        <w:t>In a statement to the ACT Legislative Assembly on 5 June 2018, the Minister for the Prevention of Domestic and Family Violence, Ms Yvette Berry MLA, acknowledged the role alcohol plays in DFV: ‘Whilst the relationship between alcohol use and domestic and family violence is complex, we have a clear mandate to address the issues together with access to the best available evidence’.</w:t>
      </w:r>
      <w:r w:rsidRPr="00CE7C12">
        <w:rPr>
          <w:rStyle w:val="FootnoteReference"/>
          <w:lang w:eastAsia="en-AU"/>
        </w:rPr>
        <w:footnoteReference w:id="105"/>
      </w:r>
      <w:r w:rsidRPr="00CE7C12">
        <w:rPr>
          <w:lang w:eastAsia="en-AU"/>
        </w:rPr>
        <w:t xml:space="preserve"> </w:t>
      </w:r>
    </w:p>
    <w:p w14:paraId="08642793" w14:textId="77777777" w:rsidR="00E61C26" w:rsidRPr="00CE7C12" w:rsidRDefault="00E61C26" w:rsidP="003745A3">
      <w:pPr>
        <w:pStyle w:val="BodyText1"/>
        <w:numPr>
          <w:ilvl w:val="5"/>
          <w:numId w:val="26"/>
        </w:numPr>
        <w:rPr>
          <w:lang w:eastAsia="en-AU"/>
        </w:rPr>
      </w:pPr>
      <w:r w:rsidRPr="00CE7C12">
        <w:rPr>
          <w:lang w:eastAsia="en-AU"/>
        </w:rPr>
        <w:lastRenderedPageBreak/>
        <w:t>Minister Berry explained that:</w:t>
      </w:r>
    </w:p>
    <w:p w14:paraId="054EF791" w14:textId="77777777" w:rsidR="00E61C26" w:rsidRDefault="00E61C26" w:rsidP="00E61C26">
      <w:pPr>
        <w:pStyle w:val="Quote"/>
        <w:rPr>
          <w:lang w:eastAsia="en-AU"/>
        </w:rPr>
      </w:pPr>
      <w:r w:rsidRPr="00CE7C12">
        <w:rPr>
          <w:lang w:eastAsia="en-AU"/>
        </w:rPr>
        <w:t>Significant progress has been made in the ACT towards building capacity in the alcohol and other drug sector to better respond to domestic and family violence. Through funding from the Safer Families Package, the Alcohol Tobacco and Other Drug Association of the ACT, ATODA, developed a suite of Australian first tools to assess and build capacity among workers and organisations within the specialist alcohol and other drug sectors. Launched in the Legislative Assembly, in April 2018, the tools developed by ATODA are an important step in the ACT Government’s commitment to expand upon pathways to safety for those experiencing domestic and family violence.</w:t>
      </w:r>
      <w:r w:rsidRPr="00CE7C12">
        <w:rPr>
          <w:rStyle w:val="FootnoteReference"/>
          <w:lang w:eastAsia="en-AU"/>
        </w:rPr>
        <w:footnoteReference w:id="106"/>
      </w:r>
    </w:p>
    <w:p w14:paraId="417C1BE4" w14:textId="77777777" w:rsidR="00E61C26" w:rsidRDefault="00E61C26" w:rsidP="003745A3">
      <w:pPr>
        <w:pStyle w:val="Headinglevel3"/>
        <w:numPr>
          <w:ilvl w:val="2"/>
          <w:numId w:val="26"/>
        </w:numPr>
        <w:rPr>
          <w:lang w:eastAsia="en-AU"/>
        </w:rPr>
      </w:pPr>
      <w:r>
        <w:rPr>
          <w:lang w:eastAsia="en-AU"/>
        </w:rPr>
        <w:t>Committee Comment</w:t>
      </w:r>
    </w:p>
    <w:p w14:paraId="5146C5BB" w14:textId="77777777" w:rsidR="00E61C26" w:rsidRDefault="00E61C26" w:rsidP="003745A3">
      <w:pPr>
        <w:pStyle w:val="BodyText1"/>
        <w:numPr>
          <w:ilvl w:val="5"/>
          <w:numId w:val="26"/>
        </w:numPr>
        <w:rPr>
          <w:lang w:eastAsia="en-AU"/>
        </w:rPr>
      </w:pPr>
      <w:r>
        <w:rPr>
          <w:lang w:eastAsia="en-AU"/>
        </w:rPr>
        <w:t>The submissions and views put to the Committee have emphasised the importance of the National Plan in addressing what remain as unacceptable levels of domestic, family and sexual violence in Australia.  The coordination of effort between the commonwealth and states and territories is central to any overall improvement of protection and of responses for victims, and for ensuring perpetrators are held to account, with an aim of ensuring emphasis on prevention and early intervention.</w:t>
      </w:r>
    </w:p>
    <w:p w14:paraId="231C70DA" w14:textId="77777777" w:rsidR="00E61C26" w:rsidRDefault="00E61C26" w:rsidP="003745A3">
      <w:pPr>
        <w:pStyle w:val="BodyText1"/>
        <w:numPr>
          <w:ilvl w:val="5"/>
          <w:numId w:val="26"/>
        </w:numPr>
        <w:rPr>
          <w:lang w:eastAsia="en-AU"/>
        </w:rPr>
      </w:pPr>
      <w:r>
        <w:rPr>
          <w:lang w:eastAsia="en-AU"/>
        </w:rPr>
        <w:t>The comments made in this Chapter on outstanding and important considerations of alignment of programs have, in the end, the aim of:</w:t>
      </w:r>
    </w:p>
    <w:p w14:paraId="15220D7A" w14:textId="73DB3039" w:rsidR="00E61C26" w:rsidRDefault="00E61C26" w:rsidP="00E61C26">
      <w:pPr>
        <w:pStyle w:val="Quote"/>
        <w:rPr>
          <w:lang w:eastAsia="en-AU"/>
        </w:rPr>
      </w:pPr>
      <w:r>
        <w:t xml:space="preserve">….raising whole of community awareness and the Commonwealth-led awareness-raising and prevention campaigns. This effort is critical to the </w:t>
      </w:r>
      <w:r w:rsidR="009F3074">
        <w:t>long-term</w:t>
      </w:r>
      <w:r>
        <w:t xml:space="preserve"> intergenerational change we need to achieve. In the short and medium term, strategies to build awareness will also have a flow on impact on demand for crisis services as more victims are encouraged to seek help.</w:t>
      </w:r>
      <w:r>
        <w:rPr>
          <w:rStyle w:val="FootnoteReference"/>
        </w:rPr>
        <w:footnoteReference w:id="107"/>
      </w:r>
    </w:p>
    <w:p w14:paraId="566BB039" w14:textId="77777777" w:rsidR="00E61C26" w:rsidRDefault="00E61C26" w:rsidP="003745A3">
      <w:pPr>
        <w:pStyle w:val="BodyText1"/>
        <w:numPr>
          <w:ilvl w:val="5"/>
          <w:numId w:val="26"/>
        </w:numPr>
        <w:rPr>
          <w:lang w:eastAsia="en-AU"/>
        </w:rPr>
      </w:pPr>
      <w:r>
        <w:rPr>
          <w:lang w:eastAsia="en-AU"/>
        </w:rPr>
        <w:t>The Committee has highlighted that, in common with the ACT Government and comment and views taken in evidence, that the need for Commonwealth-led and coordinated programs of awareness-raising and prevention is critical – especially to the need for long-term intergenerational change which is imperative if levels of domestic family and sexual violence are to be overcome.</w:t>
      </w:r>
    </w:p>
    <w:p w14:paraId="7C546FAB" w14:textId="77777777" w:rsidR="00E61C26" w:rsidRDefault="00E61C26" w:rsidP="003745A3">
      <w:pPr>
        <w:pStyle w:val="BodyText1"/>
        <w:numPr>
          <w:ilvl w:val="5"/>
          <w:numId w:val="26"/>
        </w:numPr>
        <w:rPr>
          <w:lang w:eastAsia="en-AU"/>
        </w:rPr>
      </w:pPr>
      <w:r>
        <w:rPr>
          <w:lang w:eastAsia="en-AU"/>
        </w:rPr>
        <w:t>As noted in this chapter, the effectiveness and the continuing role of the National Partnerships on Legal Assistance Services, Homelessness and National Outcome Standards for Perpetrators Interventions, require consistent and well targeted input by the states and territories – and hence, the ACT.</w:t>
      </w:r>
    </w:p>
    <w:p w14:paraId="4E4CE1B7" w14:textId="77777777" w:rsidR="00E61C26" w:rsidRPr="00F6034F" w:rsidRDefault="00E61C26" w:rsidP="00E61C26">
      <w:pPr>
        <w:pStyle w:val="Recommendation"/>
      </w:pPr>
      <w:bookmarkStart w:id="195" w:name="_Toc17279552"/>
      <w:bookmarkEnd w:id="195"/>
    </w:p>
    <w:p w14:paraId="767C0736" w14:textId="77777777" w:rsidR="00E61C26" w:rsidRDefault="00E61C26" w:rsidP="00E61C26">
      <w:pPr>
        <w:pStyle w:val="RecommendationText"/>
      </w:pPr>
      <w:bookmarkStart w:id="196" w:name="_Toc17279553"/>
      <w:r>
        <w:t>The Committee recommends that assessment of success of outcomes must include victims and families own views on their own circumstances—not only the views of support, officials, or social workers.</w:t>
      </w:r>
      <w:bookmarkEnd w:id="196"/>
    </w:p>
    <w:p w14:paraId="0F2DABBD" w14:textId="77777777" w:rsidR="00E61C26" w:rsidRDefault="00E61C26" w:rsidP="00E61C26">
      <w:pPr>
        <w:pStyle w:val="Recommendation"/>
        <w:rPr>
          <w:lang w:eastAsia="en-AU"/>
        </w:rPr>
      </w:pPr>
      <w:bookmarkStart w:id="197" w:name="_Toc17279554"/>
      <w:bookmarkEnd w:id="197"/>
    </w:p>
    <w:p w14:paraId="662234B8" w14:textId="77777777" w:rsidR="00E61C26" w:rsidRDefault="00E61C26" w:rsidP="0058160C">
      <w:pPr>
        <w:pStyle w:val="RecommendationText"/>
      </w:pPr>
      <w:bookmarkStart w:id="198" w:name="_Toc525296966"/>
      <w:bookmarkStart w:id="199" w:name="_Toc17279555"/>
      <w:r>
        <w:t>The Committee recommends that current policy challenges for the ACT arising from the current National Plan to Reduce Violence Against women and Their Children, through the structure and mechanism of the National Partnerships Program, under the National Plan continue.</w:t>
      </w:r>
      <w:bookmarkEnd w:id="198"/>
      <w:bookmarkEnd w:id="199"/>
    </w:p>
    <w:p w14:paraId="494D667D" w14:textId="77777777" w:rsidR="00E61C26" w:rsidRPr="00CE7C12" w:rsidRDefault="00E61C26" w:rsidP="003745A3">
      <w:pPr>
        <w:pStyle w:val="Heading1"/>
        <w:numPr>
          <w:ilvl w:val="0"/>
          <w:numId w:val="26"/>
        </w:numPr>
        <w:sectPr w:rsidR="00E61C26" w:rsidRPr="00CE7C12" w:rsidSect="005722A6">
          <w:headerReference w:type="first" r:id="rId29"/>
          <w:type w:val="oddPage"/>
          <w:pgSz w:w="11907" w:h="16840" w:code="9"/>
          <w:pgMar w:top="1588" w:right="1418" w:bottom="1418" w:left="1418" w:header="720" w:footer="851" w:gutter="0"/>
          <w:cols w:space="720"/>
          <w:docGrid w:linePitch="360"/>
        </w:sectPr>
      </w:pPr>
    </w:p>
    <w:p w14:paraId="3961959D" w14:textId="77777777" w:rsidR="00E61C26" w:rsidRPr="00217BE4" w:rsidRDefault="00E61C26" w:rsidP="003745A3">
      <w:pPr>
        <w:pStyle w:val="Heading1"/>
        <w:numPr>
          <w:ilvl w:val="0"/>
          <w:numId w:val="26"/>
        </w:numPr>
      </w:pPr>
      <w:bookmarkStart w:id="200" w:name="_Toc525296975"/>
      <w:bookmarkStart w:id="201" w:name="_Toc16764011"/>
      <w:bookmarkStart w:id="202" w:name="_Toc525296987"/>
      <w:r>
        <w:lastRenderedPageBreak/>
        <w:t>Implementation of the ACT Safer Families initiative</w:t>
      </w:r>
      <w:bookmarkEnd w:id="200"/>
      <w:bookmarkEnd w:id="201"/>
    </w:p>
    <w:p w14:paraId="6FB57775" w14:textId="362C5FF4" w:rsidR="00E61C26" w:rsidRPr="008B716E" w:rsidRDefault="00E61C26" w:rsidP="00E61C26">
      <w:pPr>
        <w:pStyle w:val="Bodytextnonumbering"/>
        <w:rPr>
          <w:i/>
        </w:rPr>
      </w:pPr>
      <w:r w:rsidRPr="008B716E">
        <w:rPr>
          <w:i/>
        </w:rPr>
        <w:t xml:space="preserve">T of R (b)—The implementation of the ACT Government’s 2016–17 funding commitments to prevent and respond to domestic and family violence in the </w:t>
      </w:r>
      <w:r w:rsidR="009F3074" w:rsidRPr="008B716E">
        <w:rPr>
          <w:i/>
        </w:rPr>
        <w:t>ACT,</w:t>
      </w:r>
      <w:r w:rsidRPr="008B716E">
        <w:rPr>
          <w:i/>
        </w:rPr>
        <w:t xml:space="preserve"> in particular how outcomes are being measured.</w:t>
      </w:r>
    </w:p>
    <w:p w14:paraId="1FB4B207" w14:textId="5F7E1B62" w:rsidR="00E61C26" w:rsidRDefault="00E61C26" w:rsidP="003745A3">
      <w:pPr>
        <w:pStyle w:val="Headinglevel2"/>
        <w:numPr>
          <w:ilvl w:val="1"/>
          <w:numId w:val="26"/>
        </w:numPr>
      </w:pPr>
      <w:bookmarkStart w:id="203" w:name="_Toc525296976"/>
      <w:bookmarkStart w:id="204" w:name="_Toc16764012"/>
      <w:r>
        <w:t>B</w:t>
      </w:r>
      <w:r w:rsidRPr="008B716E">
        <w:t xml:space="preserve">ackground </w:t>
      </w:r>
      <w:r>
        <w:t xml:space="preserve">to ACT Safer Families </w:t>
      </w:r>
      <w:r w:rsidR="009F3074" w:rsidRPr="009F3074">
        <w:rPr>
          <w:rStyle w:val="Heading2Char"/>
        </w:rPr>
        <w:t>INITIATIVE</w:t>
      </w:r>
      <w:r w:rsidR="009F3074">
        <w:t xml:space="preserve"> -</w:t>
      </w:r>
      <w:r>
        <w:t xml:space="preserve"> </w:t>
      </w:r>
      <w:r w:rsidRPr="008B716E">
        <w:t xml:space="preserve">including </w:t>
      </w:r>
      <w:r>
        <w:t xml:space="preserve">the </w:t>
      </w:r>
      <w:r w:rsidRPr="008B716E">
        <w:t>levy concept</w:t>
      </w:r>
      <w:bookmarkEnd w:id="203"/>
      <w:bookmarkEnd w:id="204"/>
    </w:p>
    <w:p w14:paraId="721E6705" w14:textId="77777777" w:rsidR="00E61C26" w:rsidRDefault="00E61C26" w:rsidP="00E61C26">
      <w:pPr>
        <w:pStyle w:val="Heading4"/>
        <w:numPr>
          <w:ilvl w:val="0"/>
          <w:numId w:val="0"/>
        </w:numPr>
        <w:ind w:left="864"/>
      </w:pPr>
      <w:r>
        <w:t>Introduction and Background</w:t>
      </w:r>
    </w:p>
    <w:p w14:paraId="136318AA" w14:textId="3EB875CF" w:rsidR="00E61C26" w:rsidRDefault="00E61C26" w:rsidP="003745A3">
      <w:pPr>
        <w:pStyle w:val="BodyText1"/>
        <w:numPr>
          <w:ilvl w:val="5"/>
          <w:numId w:val="26"/>
        </w:numPr>
      </w:pPr>
      <w:r>
        <w:t>As noted in paragraph 5.28, the ACT approach to addressing domestic and family violence, was reframed in 2015-16.</w:t>
      </w:r>
      <w:r>
        <w:rPr>
          <w:lang w:eastAsia="en-AU"/>
        </w:rPr>
        <w:t xml:space="preserve"> As part of its inquiry, the </w:t>
      </w:r>
      <w:r w:rsidRPr="0043376C">
        <w:rPr>
          <w:lang w:eastAsia="en-AU"/>
        </w:rPr>
        <w:t>Committee</w:t>
      </w:r>
      <w:r>
        <w:rPr>
          <w:lang w:eastAsia="en-AU"/>
        </w:rPr>
        <w:t xml:space="preserve"> is considering the </w:t>
      </w:r>
      <w:r w:rsidRPr="000415EF">
        <w:rPr>
          <w:lang w:eastAsia="en-AU"/>
        </w:rPr>
        <w:t>implementation of the ACT</w:t>
      </w:r>
      <w:r>
        <w:rPr>
          <w:lang w:eastAsia="en-AU"/>
        </w:rPr>
        <w:t> </w:t>
      </w:r>
      <w:r w:rsidRPr="000415EF">
        <w:rPr>
          <w:lang w:eastAsia="en-AU"/>
        </w:rPr>
        <w:t>Government’s 2016–17 funding commitments</w:t>
      </w:r>
      <w:r>
        <w:rPr>
          <w:lang w:eastAsia="en-AU"/>
        </w:rPr>
        <w:t xml:space="preserve"> (the Safer Families initiative)</w:t>
      </w:r>
      <w:r w:rsidRPr="000415EF">
        <w:rPr>
          <w:lang w:eastAsia="en-AU"/>
        </w:rPr>
        <w:t xml:space="preserve"> to prevent and respond to </w:t>
      </w:r>
      <w:r>
        <w:rPr>
          <w:lang w:eastAsia="en-AU"/>
        </w:rPr>
        <w:t>DFV</w:t>
      </w:r>
      <w:r w:rsidRPr="000415EF">
        <w:rPr>
          <w:lang w:eastAsia="en-AU"/>
        </w:rPr>
        <w:t xml:space="preserve"> in the ACT, </w:t>
      </w:r>
      <w:r>
        <w:rPr>
          <w:lang w:eastAsia="en-AU"/>
        </w:rPr>
        <w:t xml:space="preserve">and </w:t>
      </w:r>
      <w:r w:rsidR="009F3074" w:rsidRPr="000415EF">
        <w:rPr>
          <w:lang w:eastAsia="en-AU"/>
        </w:rPr>
        <w:t>how</w:t>
      </w:r>
      <w:r w:rsidRPr="000415EF">
        <w:rPr>
          <w:lang w:eastAsia="en-AU"/>
        </w:rPr>
        <w:t xml:space="preserve"> outcomes are being measured</w:t>
      </w:r>
      <w:r>
        <w:rPr>
          <w:lang w:eastAsia="en-AU"/>
        </w:rPr>
        <w:t>.</w:t>
      </w:r>
    </w:p>
    <w:p w14:paraId="5BB5F052" w14:textId="77777777" w:rsidR="00E61C26" w:rsidRDefault="00E61C26" w:rsidP="003745A3">
      <w:pPr>
        <w:pStyle w:val="BodyText1"/>
        <w:numPr>
          <w:ilvl w:val="5"/>
          <w:numId w:val="18"/>
        </w:numPr>
      </w:pPr>
      <w:r>
        <w:rPr>
          <w:lang w:eastAsia="en-AU"/>
        </w:rPr>
        <w:t>This chapter provides an overview of the Safer Families initiative as announced in the 2016–17 Budget and draws on the information in the Safer Families statements made by the minister on the 2017-18 and 2018-19 Budgets.  As has been identified earlier, these Initiatives have been developed as a re-focusing of the Government’s policies directed at prevention and response to</w:t>
      </w:r>
      <w:r w:rsidRPr="00933269">
        <w:t xml:space="preserve"> </w:t>
      </w:r>
      <w:r>
        <w:t>domestic and family violence in the ACT.</w:t>
      </w:r>
    </w:p>
    <w:p w14:paraId="6DD16D53" w14:textId="4B292752" w:rsidR="00E61C26" w:rsidRDefault="00E61C26" w:rsidP="003745A3">
      <w:pPr>
        <w:pStyle w:val="BodyText1"/>
        <w:numPr>
          <w:ilvl w:val="5"/>
          <w:numId w:val="18"/>
        </w:numPr>
      </w:pPr>
      <w:r>
        <w:rPr>
          <w:lang w:eastAsia="en-AU"/>
        </w:rPr>
        <w:t xml:space="preserve">The basis and motive for the re-focusing of efforts was in the main attributable to </w:t>
      </w:r>
      <w:r w:rsidR="009F3074">
        <w:rPr>
          <w:lang w:eastAsia="en-AU"/>
        </w:rPr>
        <w:t>the three</w:t>
      </w:r>
      <w:r>
        <w:rPr>
          <w:lang w:eastAsia="en-AU"/>
        </w:rPr>
        <w:t xml:space="preserve"> reports published in 2015 which identified areas of service requiring change and made recommendations for improving service responses to domestic and family violence.</w:t>
      </w:r>
    </w:p>
    <w:p w14:paraId="165C0CCE" w14:textId="1F4583FF" w:rsidR="00E61C26" w:rsidRDefault="00E61C26" w:rsidP="003745A3">
      <w:pPr>
        <w:pStyle w:val="BodyText1"/>
        <w:numPr>
          <w:ilvl w:val="5"/>
          <w:numId w:val="18"/>
        </w:numPr>
      </w:pPr>
      <w:r>
        <w:rPr>
          <w:lang w:eastAsia="en-AU"/>
        </w:rPr>
        <w:t>The three reports making up the basis for this policy response, have been referred to previously and are:</w:t>
      </w:r>
    </w:p>
    <w:p w14:paraId="6463F3DB" w14:textId="77777777" w:rsidR="00E61C26" w:rsidRDefault="00E61C26" w:rsidP="00E61C26">
      <w:pPr>
        <w:pStyle w:val="ListBullet"/>
        <w:tabs>
          <w:tab w:val="num" w:pos="964"/>
        </w:tabs>
        <w:spacing w:after="60" w:line="288" w:lineRule="auto"/>
        <w:ind w:left="964" w:hanging="397"/>
      </w:pPr>
      <w:r w:rsidRPr="00933269">
        <w:rPr>
          <w:i/>
        </w:rPr>
        <w:t>Review into the system level responses to family violence in the ACT</w:t>
      </w:r>
      <w:r w:rsidRPr="00D720A4">
        <w:t xml:space="preserve"> by Mr Laurie Glanfield</w:t>
      </w:r>
      <w:r>
        <w:t> </w:t>
      </w:r>
      <w:r w:rsidRPr="00D720A4">
        <w:t>AM (</w:t>
      </w:r>
      <w:r>
        <w:t xml:space="preserve">the </w:t>
      </w:r>
      <w:r w:rsidRPr="00D720A4">
        <w:t>Glanfield Inquiry).</w:t>
      </w:r>
      <w:r>
        <w:t xml:space="preserve">  </w:t>
      </w:r>
    </w:p>
    <w:p w14:paraId="698EFB29" w14:textId="77777777" w:rsidR="00E61C26" w:rsidRDefault="00E61C26" w:rsidP="00E61C26">
      <w:pPr>
        <w:pStyle w:val="ListBullet"/>
        <w:tabs>
          <w:tab w:val="num" w:pos="964"/>
        </w:tabs>
        <w:spacing w:after="60" w:line="288" w:lineRule="auto"/>
        <w:ind w:left="964" w:hanging="397"/>
      </w:pPr>
      <w:r>
        <w:rPr>
          <w:i/>
        </w:rPr>
        <w:tab/>
      </w:r>
      <w:r w:rsidRPr="00933269">
        <w:rPr>
          <w:i/>
        </w:rPr>
        <w:t>Findings and Recommendations from the Review of Domestic and Family Violence Deaths in the ACT by the Domestic Violence Prevention Council</w:t>
      </w:r>
      <w:r w:rsidRPr="00D720A4">
        <w:t xml:space="preserve"> (</w:t>
      </w:r>
      <w:r>
        <w:t xml:space="preserve">the </w:t>
      </w:r>
      <w:r w:rsidRPr="00D720A4">
        <w:t xml:space="preserve">Death Review). </w:t>
      </w:r>
      <w:r>
        <w:t xml:space="preserve">  </w:t>
      </w:r>
      <w:r w:rsidRPr="00D720A4">
        <w:t>The Death Review ma</w:t>
      </w:r>
      <w:r>
        <w:t>de</w:t>
      </w:r>
      <w:r w:rsidRPr="00D720A4">
        <w:t xml:space="preserve"> 28</w:t>
      </w:r>
      <w:r>
        <w:t> </w:t>
      </w:r>
      <w:r w:rsidRPr="00D720A4">
        <w:t>recommendations.</w:t>
      </w:r>
    </w:p>
    <w:p w14:paraId="2D465599" w14:textId="77777777" w:rsidR="00E61C26" w:rsidRDefault="00E61C26" w:rsidP="00E61C26">
      <w:pPr>
        <w:pStyle w:val="ListBullet"/>
        <w:tabs>
          <w:tab w:val="num" w:pos="964"/>
        </w:tabs>
        <w:spacing w:after="60" w:line="288" w:lineRule="auto"/>
        <w:ind w:left="964" w:hanging="397"/>
      </w:pPr>
      <w:r w:rsidRPr="00911F7C">
        <w:rPr>
          <w:i/>
        </w:rPr>
        <w:t>ACT Domestic Violence Service System Final Gap Analysis Report</w:t>
      </w:r>
      <w:r w:rsidRPr="00D720A4">
        <w:t xml:space="preserve"> (</w:t>
      </w:r>
      <w:r>
        <w:t xml:space="preserve">the </w:t>
      </w:r>
      <w:r w:rsidRPr="00D720A4">
        <w:t>Gap Analysis</w:t>
      </w:r>
      <w:r>
        <w:t>)</w:t>
      </w:r>
      <w:r w:rsidRPr="00D720A4">
        <w:t>.</w:t>
      </w:r>
      <w:r>
        <w:rPr>
          <w:rStyle w:val="FootnoteReference"/>
        </w:rPr>
        <w:footnoteReference w:id="108"/>
      </w:r>
    </w:p>
    <w:p w14:paraId="7E4E922A" w14:textId="77777777" w:rsidR="00E61C26" w:rsidRPr="00AA6D0A" w:rsidRDefault="00E61C26" w:rsidP="003745A3">
      <w:pPr>
        <w:pStyle w:val="BodyText1"/>
        <w:numPr>
          <w:ilvl w:val="5"/>
          <w:numId w:val="18"/>
        </w:numPr>
        <w:rPr>
          <w:rFonts w:cs="Source Sans Pro Light"/>
          <w:color w:val="000000"/>
        </w:rPr>
      </w:pPr>
      <w:r>
        <w:lastRenderedPageBreak/>
        <w:t>In its submission to the inquiry, the ACT Government indicated that the three reports into the DFV system ‘provide a map for reform in the ACT’.</w:t>
      </w:r>
      <w:r>
        <w:rPr>
          <w:rStyle w:val="FootnoteReference"/>
        </w:rPr>
        <w:footnoteReference w:id="109"/>
      </w:r>
      <w:r>
        <w:t xml:space="preserve">  Five consistent themes across the three reports, according to ACT Government, will ‘</w:t>
      </w:r>
      <w:r w:rsidRPr="00CD3F26">
        <w:t>shape the next stage of reform</w:t>
      </w:r>
      <w:r>
        <w:t>’ and ‘</w:t>
      </w:r>
      <w:r w:rsidRPr="00AA6D0A">
        <w:rPr>
          <w:rFonts w:cs="Source Sans Pro Light"/>
          <w:color w:val="000000"/>
        </w:rPr>
        <w:t>represent the characteristics of a cohesive and integrated service system</w:t>
      </w:r>
      <w:r>
        <w:rPr>
          <w:rFonts w:cs="Source Sans Pro Light"/>
          <w:color w:val="000000"/>
        </w:rPr>
        <w:t>’.</w:t>
      </w:r>
      <w:r>
        <w:rPr>
          <w:rStyle w:val="FootnoteReference"/>
          <w:rFonts w:cs="Source Sans Pro Light"/>
          <w:color w:val="000000"/>
        </w:rPr>
        <w:footnoteReference w:id="110"/>
      </w:r>
      <w:r>
        <w:rPr>
          <w:rFonts w:cs="Source Sans Pro Light"/>
          <w:color w:val="000000"/>
        </w:rPr>
        <w:t xml:space="preserve">  The five themes are</w:t>
      </w:r>
      <w:r w:rsidRPr="00AA6D0A">
        <w:rPr>
          <w:rFonts w:cs="Source Sans Pro Light"/>
          <w:color w:val="000000"/>
        </w:rPr>
        <w:t xml:space="preserve">: </w:t>
      </w:r>
    </w:p>
    <w:p w14:paraId="274A4F51" w14:textId="77777777" w:rsidR="00E61C26" w:rsidRPr="00D07A01" w:rsidRDefault="00E61C26" w:rsidP="00E61C26">
      <w:pPr>
        <w:pStyle w:val="ListBullet2"/>
      </w:pPr>
      <w:r w:rsidRPr="00D07A01">
        <w:t xml:space="preserve">leadership and cultural change; </w:t>
      </w:r>
    </w:p>
    <w:p w14:paraId="68D1AC37" w14:textId="77777777" w:rsidR="00E61C26" w:rsidRPr="00D07A01" w:rsidRDefault="00E61C26" w:rsidP="00E61C26">
      <w:pPr>
        <w:pStyle w:val="ListBullet2"/>
      </w:pPr>
      <w:r w:rsidRPr="00D07A01">
        <w:t xml:space="preserve">prevention and early intervention; </w:t>
      </w:r>
    </w:p>
    <w:p w14:paraId="4EC8B95C" w14:textId="77777777" w:rsidR="00E61C26" w:rsidRPr="00D07A01" w:rsidRDefault="00E61C26" w:rsidP="00E61C26">
      <w:pPr>
        <w:pStyle w:val="ListBullet2"/>
      </w:pPr>
      <w:r w:rsidRPr="00D07A01">
        <w:t xml:space="preserve">information sharing; </w:t>
      </w:r>
    </w:p>
    <w:p w14:paraId="057BD02C" w14:textId="77777777" w:rsidR="00E61C26" w:rsidRPr="00D07A01" w:rsidRDefault="00E61C26" w:rsidP="00E61C26">
      <w:pPr>
        <w:pStyle w:val="ListBullet2"/>
      </w:pPr>
      <w:r w:rsidRPr="00D07A01">
        <w:t>collaboration and integration; and</w:t>
      </w:r>
      <w:r>
        <w:t xml:space="preserve">, </w:t>
      </w:r>
    </w:p>
    <w:p w14:paraId="79EDE1FA" w14:textId="77777777" w:rsidR="00E61C26" w:rsidRPr="00D07A01" w:rsidRDefault="00E61C26" w:rsidP="00E61C26">
      <w:pPr>
        <w:pStyle w:val="ListBullet2"/>
      </w:pPr>
      <w:r w:rsidRPr="00D07A01">
        <w:t>t</w:t>
      </w:r>
      <w:r>
        <w:t>ransparency and accountability.</w:t>
      </w:r>
    </w:p>
    <w:p w14:paraId="3603244A" w14:textId="77777777" w:rsidR="00E61C26" w:rsidRDefault="00E61C26" w:rsidP="003745A3">
      <w:pPr>
        <w:pStyle w:val="Headinglevel2"/>
        <w:numPr>
          <w:ilvl w:val="1"/>
          <w:numId w:val="18"/>
        </w:numPr>
      </w:pPr>
      <w:bookmarkStart w:id="205" w:name="_Toc488828259"/>
      <w:bookmarkStart w:id="206" w:name="_Toc484509729"/>
      <w:bookmarkStart w:id="207" w:name="_Toc525296977"/>
      <w:bookmarkStart w:id="208" w:name="_Toc16764013"/>
      <w:r w:rsidRPr="00AA6D0A">
        <w:t xml:space="preserve">2016–17 </w:t>
      </w:r>
      <w:r>
        <w:t>Budget f</w:t>
      </w:r>
      <w:r w:rsidRPr="00AA6D0A">
        <w:t>unding commitments</w:t>
      </w:r>
      <w:bookmarkEnd w:id="205"/>
      <w:bookmarkEnd w:id="206"/>
      <w:bookmarkEnd w:id="207"/>
      <w:bookmarkEnd w:id="208"/>
    </w:p>
    <w:p w14:paraId="3193F716" w14:textId="77777777" w:rsidR="00E61C26" w:rsidRPr="00B86F1C" w:rsidRDefault="00E61C26" w:rsidP="003745A3">
      <w:pPr>
        <w:pStyle w:val="BodyText1"/>
        <w:numPr>
          <w:ilvl w:val="5"/>
          <w:numId w:val="18"/>
        </w:numPr>
        <w:rPr>
          <w:rFonts w:eastAsia="Calibri"/>
        </w:rPr>
      </w:pPr>
      <w:r w:rsidRPr="00B86F1C">
        <w:rPr>
          <w:rFonts w:eastAsia="Calibri" w:cs="Calibri"/>
          <w:color w:val="000000"/>
          <w:spacing w:val="-3"/>
        </w:rPr>
        <w:t xml:space="preserve">The 2016–17 </w:t>
      </w:r>
      <w:r>
        <w:rPr>
          <w:rFonts w:eastAsia="Calibri" w:cs="Calibri"/>
          <w:color w:val="000000"/>
          <w:spacing w:val="-3"/>
        </w:rPr>
        <w:t xml:space="preserve">ACT </w:t>
      </w:r>
      <w:r w:rsidRPr="00B86F1C">
        <w:rPr>
          <w:rFonts w:eastAsia="Calibri" w:cs="Calibri"/>
          <w:color w:val="000000"/>
          <w:spacing w:val="-3"/>
        </w:rPr>
        <w:t>Budget, delivered on 6 June 2016, funded a $21.42 million domestic violence package over four years</w:t>
      </w:r>
      <w:r>
        <w:rPr>
          <w:rStyle w:val="FootnoteReference"/>
          <w:rFonts w:eastAsia="Calibri" w:cs="Calibri"/>
          <w:color w:val="000000"/>
          <w:spacing w:val="-3"/>
        </w:rPr>
        <w:footnoteReference w:id="111"/>
      </w:r>
      <w:r w:rsidRPr="00B86F1C">
        <w:rPr>
          <w:rFonts w:eastAsia="Calibri" w:cs="Calibri"/>
          <w:color w:val="000000"/>
          <w:spacing w:val="-3"/>
        </w:rPr>
        <w:t xml:space="preserve">—referred to as Safer Families. This initiative </w:t>
      </w:r>
      <w:r>
        <w:rPr>
          <w:rFonts w:eastAsia="Calibri" w:cs="Calibri"/>
          <w:color w:val="000000"/>
          <w:spacing w:val="-3"/>
        </w:rPr>
        <w:t>is directed at several areas with an overall objective of establishing a foundation for the next phase of policy direction to be included in the Safer Families package of initiatives and programs.</w:t>
      </w:r>
      <w:r>
        <w:rPr>
          <w:rStyle w:val="FootnoteReference"/>
          <w:rFonts w:eastAsia="Calibri" w:cs="Calibri"/>
          <w:color w:val="000000"/>
          <w:spacing w:val="-3"/>
        </w:rPr>
        <w:footnoteReference w:id="112"/>
      </w:r>
      <w:r w:rsidRPr="00B86F1C">
        <w:rPr>
          <w:rFonts w:eastAsia="Calibri" w:cs="Calibri"/>
          <w:color w:val="000000"/>
          <w:spacing w:val="-3"/>
        </w:rPr>
        <w:t xml:space="preserve">  </w:t>
      </w:r>
      <w:r w:rsidRPr="00B86F1C">
        <w:rPr>
          <w:rFonts w:eastAsia="Calibri"/>
        </w:rPr>
        <w:t>The domestic violence package—Safer Families initiative(s)</w:t>
      </w:r>
      <w:r>
        <w:rPr>
          <w:rFonts w:eastAsia="Calibri"/>
        </w:rPr>
        <w:t xml:space="preserve"> was designed to provide</w:t>
      </w:r>
      <w:r w:rsidRPr="00B86F1C">
        <w:rPr>
          <w:rFonts w:eastAsia="Calibri"/>
        </w:rPr>
        <w:t xml:space="preserve">:     </w:t>
      </w:r>
    </w:p>
    <w:p w14:paraId="147AD66B" w14:textId="77777777" w:rsidR="00E61C26" w:rsidRPr="004D3784" w:rsidRDefault="00E61C26" w:rsidP="00E61C26">
      <w:pPr>
        <w:pStyle w:val="ListBullet2"/>
        <w:rPr>
          <w:rFonts w:eastAsia="Calibri"/>
        </w:rPr>
      </w:pPr>
      <w:r w:rsidRPr="004D3784">
        <w:rPr>
          <w:rFonts w:eastAsia="Calibri"/>
        </w:rPr>
        <w:t>introduction of a new dimension to service integration and coordination in the ACT, as a formal response, to three commissioned reports on family violence in the Territory;</w:t>
      </w:r>
    </w:p>
    <w:p w14:paraId="47808F07" w14:textId="77777777" w:rsidR="00E61C26" w:rsidRPr="004D3784" w:rsidRDefault="00E61C26" w:rsidP="00E61C26">
      <w:pPr>
        <w:pStyle w:val="ListBullet2"/>
        <w:rPr>
          <w:rFonts w:eastAsia="Calibri"/>
        </w:rPr>
      </w:pPr>
      <w:r w:rsidRPr="004D3784">
        <w:rPr>
          <w:rFonts w:eastAsia="Calibri"/>
        </w:rPr>
        <w:t xml:space="preserve">a $30 annual levy that will hypothecate funds for the majority of the Safer Families initiative(s), applicable to all ACT ratepayers. This means of raising revenue to address </w:t>
      </w:r>
      <w:r>
        <w:rPr>
          <w:rFonts w:eastAsia="Calibri"/>
        </w:rPr>
        <w:t>DFV</w:t>
      </w:r>
      <w:r w:rsidRPr="004D3784">
        <w:rPr>
          <w:rFonts w:eastAsia="Calibri"/>
        </w:rPr>
        <w:t xml:space="preserve"> is considered to be a first in any Australian state or territory; </w:t>
      </w:r>
    </w:p>
    <w:p w14:paraId="29FBD650" w14:textId="77777777" w:rsidR="00E61C26" w:rsidRPr="004D3784" w:rsidRDefault="00E61C26" w:rsidP="00E61C26">
      <w:pPr>
        <w:pStyle w:val="ListBullet2"/>
        <w:rPr>
          <w:rFonts w:eastAsia="Calibri"/>
        </w:rPr>
      </w:pPr>
      <w:r w:rsidRPr="004D3784">
        <w:rPr>
          <w:rFonts w:eastAsia="Calibri"/>
        </w:rPr>
        <w:t>supplementation of the levied funds through the Confiscated Assets Trust Fund, allowing forfeited proceeds of crime to go towards priority criminal justice initiatives and support organisations committed to reducing domestic violence;</w:t>
      </w:r>
      <w:r>
        <w:rPr>
          <w:rFonts w:eastAsia="Calibri"/>
        </w:rPr>
        <w:t xml:space="preserve"> and</w:t>
      </w:r>
    </w:p>
    <w:p w14:paraId="3D597B94" w14:textId="77777777" w:rsidR="00E61C26" w:rsidRPr="004D3784" w:rsidRDefault="00E61C26" w:rsidP="00E61C26">
      <w:pPr>
        <w:pStyle w:val="ListBullet2"/>
        <w:rPr>
          <w:rFonts w:eastAsia="Calibri"/>
        </w:rPr>
      </w:pPr>
      <w:r w:rsidRPr="004D3784">
        <w:rPr>
          <w:rFonts w:eastAsia="Calibri"/>
        </w:rPr>
        <w:t xml:space="preserve">the appointment of a full-time Coordinator-General for Family Safety and a dedicated safer families team ($3,070,000) to: (i) lead the whole of government effort to improve outcomes for victims and their families through collaboration, information sharing, awareness raising and working in partnership with the community; and (ii) oversee strategic efforts in this policy area and will drive the </w:t>
      </w:r>
      <w:r>
        <w:rPr>
          <w:rFonts w:eastAsia="Calibri"/>
        </w:rPr>
        <w:t>se</w:t>
      </w:r>
      <w:r w:rsidRPr="004D3784">
        <w:rPr>
          <w:rFonts w:eastAsia="Calibri"/>
        </w:rPr>
        <w:t>cond implementation plan for the ACT Prevention of Violence against women and children strategy 2011–17.</w:t>
      </w:r>
      <w:r>
        <w:rPr>
          <w:rStyle w:val="FootnoteReference"/>
          <w:rFonts w:eastAsia="Calibri" w:cs="Calibri"/>
          <w:color w:val="000000"/>
          <w:spacing w:val="-3"/>
        </w:rPr>
        <w:footnoteReference w:id="113"/>
      </w:r>
      <w:r w:rsidRPr="004D3784">
        <w:rPr>
          <w:rFonts w:eastAsia="Calibri"/>
        </w:rPr>
        <w:t xml:space="preserve">  </w:t>
      </w:r>
    </w:p>
    <w:p w14:paraId="2CE69F4E" w14:textId="77777777" w:rsidR="00E61C26" w:rsidRDefault="00E61C26" w:rsidP="003745A3">
      <w:pPr>
        <w:pStyle w:val="Headinglevel2"/>
        <w:numPr>
          <w:ilvl w:val="1"/>
          <w:numId w:val="18"/>
        </w:numPr>
        <w:rPr>
          <w:rFonts w:eastAsia="Calibri"/>
        </w:rPr>
      </w:pPr>
      <w:bookmarkStart w:id="209" w:name="_Toc488828260"/>
      <w:bookmarkStart w:id="210" w:name="_Toc525296978"/>
      <w:bookmarkStart w:id="211" w:name="_Toc16764014"/>
      <w:r w:rsidRPr="0019709E">
        <w:rPr>
          <w:rFonts w:eastAsia="Calibri"/>
        </w:rPr>
        <w:lastRenderedPageBreak/>
        <w:t>$21.4</w:t>
      </w:r>
      <w:r>
        <w:rPr>
          <w:rFonts w:eastAsia="Calibri"/>
        </w:rPr>
        <w:t>2M</w:t>
      </w:r>
      <w:r w:rsidRPr="0019709E">
        <w:rPr>
          <w:rFonts w:eastAsia="Calibri"/>
        </w:rPr>
        <w:t xml:space="preserve"> </w:t>
      </w:r>
      <w:r>
        <w:rPr>
          <w:rFonts w:eastAsia="Calibri"/>
        </w:rPr>
        <w:t xml:space="preserve">Family violence </w:t>
      </w:r>
      <w:r w:rsidRPr="0019709E">
        <w:rPr>
          <w:rFonts w:eastAsia="Calibri"/>
        </w:rPr>
        <w:t>package</w:t>
      </w:r>
      <w:bookmarkEnd w:id="209"/>
      <w:bookmarkEnd w:id="210"/>
      <w:r>
        <w:rPr>
          <w:rFonts w:eastAsia="Calibri"/>
        </w:rPr>
        <w:t xml:space="preserve"> and annual levy</w:t>
      </w:r>
      <w:bookmarkEnd w:id="211"/>
    </w:p>
    <w:p w14:paraId="267A3234" w14:textId="77777777" w:rsidR="00E61C26" w:rsidRDefault="00E61C26" w:rsidP="003745A3">
      <w:pPr>
        <w:pStyle w:val="BodyText1"/>
        <w:numPr>
          <w:ilvl w:val="5"/>
          <w:numId w:val="18"/>
        </w:numPr>
        <w:rPr>
          <w:rFonts w:eastAsia="Calibri"/>
        </w:rPr>
      </w:pPr>
      <w:r>
        <w:rPr>
          <w:rFonts w:eastAsia="Calibri"/>
        </w:rPr>
        <w:t>The funding for the Safer Families initiative—$21.42 million, in the main, will be sourced from a $30 levy ($19.1 million) with s</w:t>
      </w:r>
      <w:r w:rsidRPr="00B86F1C">
        <w:rPr>
          <w:rFonts w:eastAsia="Calibri"/>
        </w:rPr>
        <w:t>upplementation of the levied funds through the Confiscated Assets Trust Fund</w:t>
      </w:r>
      <w:r>
        <w:rPr>
          <w:rFonts w:eastAsia="Calibri"/>
        </w:rPr>
        <w:t>.</w:t>
      </w:r>
      <w:r>
        <w:rPr>
          <w:rStyle w:val="FootnoteReference"/>
          <w:rFonts w:eastAsia="Calibri"/>
        </w:rPr>
        <w:footnoteReference w:id="114"/>
      </w:r>
    </w:p>
    <w:p w14:paraId="38E4B794" w14:textId="77777777" w:rsidR="00E61C26" w:rsidRDefault="00E61C26" w:rsidP="003745A3">
      <w:pPr>
        <w:pStyle w:val="BodyText1"/>
        <w:numPr>
          <w:ilvl w:val="5"/>
          <w:numId w:val="18"/>
        </w:numPr>
        <w:rPr>
          <w:rFonts w:eastAsia="Calibri"/>
        </w:rPr>
      </w:pPr>
      <w:r>
        <w:rPr>
          <w:rFonts w:eastAsia="Calibri"/>
        </w:rPr>
        <w:t xml:space="preserve">The 2016–17 Budget introduced a $30 per year safer families’ levy in all residential and rural properties—effective on ratepayers from 1 July 2016.  The levy is designed to raise $19.1 million over four years. </w:t>
      </w:r>
    </w:p>
    <w:p w14:paraId="39637591" w14:textId="7D6A192B" w:rsidR="00E61C26" w:rsidRDefault="00E61C26" w:rsidP="003745A3">
      <w:pPr>
        <w:pStyle w:val="BodyText1"/>
        <w:numPr>
          <w:ilvl w:val="5"/>
          <w:numId w:val="18"/>
        </w:numPr>
        <w:rPr>
          <w:rFonts w:eastAsia="Calibri"/>
        </w:rPr>
      </w:pPr>
      <w:r>
        <w:rPr>
          <w:rFonts w:eastAsia="Calibri"/>
        </w:rPr>
        <w:t xml:space="preserve">2019 was the fourth </w:t>
      </w:r>
      <w:r w:rsidR="009F3074">
        <w:rPr>
          <w:rFonts w:eastAsia="Calibri"/>
        </w:rPr>
        <w:t>year</w:t>
      </w:r>
      <w:r>
        <w:rPr>
          <w:rFonts w:eastAsia="Calibri"/>
        </w:rPr>
        <w:t xml:space="preserve"> for implementing the first </w:t>
      </w:r>
      <w:r w:rsidR="009F3074">
        <w:rPr>
          <w:rFonts w:eastAsia="Calibri"/>
        </w:rPr>
        <w:t>phase</w:t>
      </w:r>
      <w:r>
        <w:rPr>
          <w:rFonts w:eastAsia="Calibri"/>
        </w:rPr>
        <w:t xml:space="preserve"> of Safer </w:t>
      </w:r>
      <w:r w:rsidR="009F3074">
        <w:rPr>
          <w:rFonts w:eastAsia="Calibri"/>
        </w:rPr>
        <w:t>Families.</w:t>
      </w:r>
      <w:r>
        <w:rPr>
          <w:rFonts w:eastAsia="Calibri"/>
        </w:rPr>
        <w:t xml:space="preserve">  The </w:t>
      </w:r>
      <w:r w:rsidR="009F3074">
        <w:rPr>
          <w:rFonts w:eastAsia="Calibri"/>
        </w:rPr>
        <w:t>Government</w:t>
      </w:r>
      <w:r>
        <w:rPr>
          <w:rFonts w:eastAsia="Calibri"/>
        </w:rPr>
        <w:t xml:space="preserve"> has reported that in the 2019-20 Budget, total Safer Families funding will be $24 million over the four years form 2019-20.</w:t>
      </w:r>
    </w:p>
    <w:p w14:paraId="37A21C7C" w14:textId="77777777" w:rsidR="00E61C26" w:rsidRDefault="00E61C26" w:rsidP="003745A3">
      <w:pPr>
        <w:pStyle w:val="Headinglevel2"/>
        <w:numPr>
          <w:ilvl w:val="1"/>
          <w:numId w:val="18"/>
        </w:numPr>
        <w:rPr>
          <w:rFonts w:eastAsia="Calibri"/>
        </w:rPr>
      </w:pPr>
      <w:bookmarkStart w:id="212" w:name="_Toc488828261"/>
      <w:bookmarkStart w:id="213" w:name="_Toc525296979"/>
      <w:bookmarkStart w:id="214" w:name="_Toc16764015"/>
      <w:r w:rsidRPr="00B44AF7">
        <w:rPr>
          <w:rFonts w:eastAsia="Calibri"/>
        </w:rPr>
        <w:t>Coordinator</w:t>
      </w:r>
      <w:r>
        <w:rPr>
          <w:rFonts w:eastAsia="Calibri"/>
        </w:rPr>
        <w:t>-</w:t>
      </w:r>
      <w:r w:rsidRPr="00B44AF7">
        <w:rPr>
          <w:rFonts w:eastAsia="Calibri"/>
        </w:rPr>
        <w:t>General for Family Safety</w:t>
      </w:r>
      <w:bookmarkEnd w:id="212"/>
      <w:bookmarkEnd w:id="213"/>
      <w:bookmarkEnd w:id="214"/>
    </w:p>
    <w:p w14:paraId="612B8E99" w14:textId="77777777" w:rsidR="00E61C26" w:rsidRPr="00A940C2" w:rsidRDefault="00E61C26" w:rsidP="003745A3">
      <w:pPr>
        <w:pStyle w:val="BodyText1"/>
        <w:numPr>
          <w:ilvl w:val="5"/>
          <w:numId w:val="18"/>
        </w:numPr>
      </w:pPr>
      <w:r>
        <w:rPr>
          <w:rFonts w:eastAsia="Calibri" w:cs="Calibri"/>
          <w:color w:val="000000"/>
          <w:spacing w:val="-3"/>
        </w:rPr>
        <w:t>The principal structural arrangement to carry the Safer Families initiative is the Coordinator-General for Family Safety; a full-time position which was major recommendation of the Glanfield Inquiry.</w:t>
      </w:r>
    </w:p>
    <w:p w14:paraId="5F0A5D58" w14:textId="77777777" w:rsidR="00E61C26" w:rsidRPr="00F67CF6" w:rsidRDefault="00E61C26" w:rsidP="003745A3">
      <w:pPr>
        <w:pStyle w:val="BodyText1"/>
        <w:numPr>
          <w:ilvl w:val="5"/>
          <w:numId w:val="18"/>
        </w:numPr>
      </w:pPr>
      <w:r w:rsidRPr="00A940C2">
        <w:rPr>
          <w:rFonts w:eastAsia="Calibri" w:cs="Calibri"/>
          <w:color w:val="000000"/>
          <w:spacing w:val="-3"/>
        </w:rPr>
        <w:t xml:space="preserve">Prior to the Glanfield Inquiry—the </w:t>
      </w:r>
      <w:r>
        <w:rPr>
          <w:rFonts w:eastAsia="Calibri" w:cs="Calibri"/>
          <w:color w:val="000000"/>
          <w:spacing w:val="-3"/>
        </w:rPr>
        <w:t xml:space="preserve">ACT </w:t>
      </w:r>
      <w:r w:rsidRPr="00A940C2">
        <w:rPr>
          <w:rFonts w:eastAsia="Calibri" w:cs="Calibri"/>
          <w:color w:val="000000"/>
          <w:spacing w:val="-3"/>
        </w:rPr>
        <w:t>Government appoint</w:t>
      </w:r>
      <w:r>
        <w:rPr>
          <w:rFonts w:eastAsia="Calibri" w:cs="Calibri"/>
          <w:color w:val="000000"/>
          <w:spacing w:val="-3"/>
        </w:rPr>
        <w:t xml:space="preserve">ed a </w:t>
      </w:r>
      <w:r w:rsidRPr="00F67CF6">
        <w:t>Coordinator</w:t>
      </w:r>
      <w:r w:rsidRPr="00F67CF6">
        <w:noBreakHyphen/>
        <w:t>General for Family and Domestic Violence in May 2015</w:t>
      </w:r>
      <w:r>
        <w:t xml:space="preserve">. </w:t>
      </w:r>
      <w:r w:rsidRPr="00F67CF6">
        <w:t xml:space="preserve"> The </w:t>
      </w:r>
      <w:r>
        <w:t xml:space="preserve">ACT Government subsequently adopted the recommendation of the </w:t>
      </w:r>
      <w:r w:rsidRPr="00F67CF6">
        <w:t xml:space="preserve">Glanfield Inquiry </w:t>
      </w:r>
      <w:r>
        <w:t xml:space="preserve">and funded the position of a </w:t>
      </w:r>
      <w:r w:rsidRPr="00F67CF6">
        <w:t>Coordinator</w:t>
      </w:r>
      <w:r w:rsidRPr="00F67CF6">
        <w:noBreakHyphen/>
        <w:t>General for Family Safety</w:t>
      </w:r>
      <w:r>
        <w:t xml:space="preserve"> in the 2016–17 Budget and incorporates the position of </w:t>
      </w:r>
      <w:r w:rsidRPr="00F67CF6">
        <w:t>Coordinator</w:t>
      </w:r>
      <w:r w:rsidRPr="00F67CF6">
        <w:noBreakHyphen/>
        <w:t>General for Domestic and Family Violence</w:t>
      </w:r>
      <w:r>
        <w:t>.</w:t>
      </w:r>
      <w:r>
        <w:rPr>
          <w:rStyle w:val="FootnoteReference"/>
        </w:rPr>
        <w:footnoteReference w:id="115"/>
      </w:r>
      <w:r w:rsidRPr="00F67CF6">
        <w:t xml:space="preserve"> </w:t>
      </w:r>
    </w:p>
    <w:p w14:paraId="2BABEA09" w14:textId="77777777" w:rsidR="00E61C26" w:rsidRDefault="00E61C26" w:rsidP="003745A3">
      <w:pPr>
        <w:pStyle w:val="BodyText1"/>
        <w:numPr>
          <w:ilvl w:val="5"/>
          <w:numId w:val="18"/>
        </w:numPr>
      </w:pPr>
      <w:r>
        <w:t xml:space="preserve">The position of Coordinator-General for </w:t>
      </w:r>
      <w:r w:rsidRPr="00F67CF6">
        <w:t xml:space="preserve">Family Safety </w:t>
      </w:r>
      <w:r>
        <w:t>is a newly created position, and has the following role and functions:</w:t>
      </w:r>
    </w:p>
    <w:p w14:paraId="7D3E38C7" w14:textId="77777777" w:rsidR="00E61C26" w:rsidRDefault="00E61C26" w:rsidP="003745A3">
      <w:pPr>
        <w:pStyle w:val="BodyText1"/>
        <w:numPr>
          <w:ilvl w:val="5"/>
          <w:numId w:val="18"/>
        </w:numPr>
      </w:pPr>
      <w:r>
        <w:t>The Coordinator-General role provides the leadership needed for a whole of government approach to preventing domestic and family violence. The Coordinator-General is supported by a Safer Families team, with in-posted officers from other Directorates, including Chief Minister, Treasury and Economic Development, Health and Community Services. Key priorities for the Coordinator-General are to work with community and government partners to ensure services provided are appropriate, to lead the necessary change to embed an information sharing culture, to promote collaboration, to focus on key outcomes and to report to the ACT Government on achievements.</w:t>
      </w:r>
      <w:r>
        <w:rPr>
          <w:rStyle w:val="FootnoteReference"/>
        </w:rPr>
        <w:footnoteReference w:id="116"/>
      </w:r>
    </w:p>
    <w:p w14:paraId="57151E81" w14:textId="77777777" w:rsidR="00E61C26" w:rsidRDefault="00E61C26" w:rsidP="003745A3">
      <w:pPr>
        <w:pStyle w:val="BodyText1"/>
        <w:numPr>
          <w:ilvl w:val="5"/>
          <w:numId w:val="18"/>
        </w:numPr>
      </w:pPr>
      <w:r>
        <w:lastRenderedPageBreak/>
        <w:t>In 2016-17, the role of Coordinator-General and the associated Safer Families team moved from the Justice and Community Safety (JACS) Directorate to the Community Services Directorate (CSD.  The stated intention for the move was to: ‘provide a more robust alignment with service delivery and community service providers.’</w:t>
      </w:r>
      <w:r>
        <w:rPr>
          <w:rStyle w:val="FootnoteReference"/>
        </w:rPr>
        <w:footnoteReference w:id="117"/>
      </w:r>
      <w:r>
        <w:t xml:space="preserve"> </w:t>
      </w:r>
    </w:p>
    <w:p w14:paraId="60403093" w14:textId="77777777" w:rsidR="00E61C26" w:rsidRDefault="00E61C26" w:rsidP="003745A3">
      <w:pPr>
        <w:pStyle w:val="BodyText1"/>
        <w:numPr>
          <w:ilvl w:val="5"/>
          <w:numId w:val="18"/>
        </w:numPr>
      </w:pPr>
      <w:r>
        <w:t>The Coordinator-General and the Safer Families team have provided leadership, and continue to provide leadership, in the development of several important strategic and service development initiatives following the position’s creation, particularly:</w:t>
      </w:r>
    </w:p>
    <w:p w14:paraId="19945EF5" w14:textId="77777777" w:rsidR="00E61C26" w:rsidRPr="00415E05" w:rsidRDefault="00E61C26" w:rsidP="00E61C26">
      <w:pPr>
        <w:pStyle w:val="ListBullet2"/>
      </w:pPr>
      <w:r w:rsidRPr="00415E05">
        <w:t xml:space="preserve">a co-design process to inform the development of a Family Safety Hub; Inquiry into Domestic and Family Violence-Policy Approaches and Responses </w:t>
      </w:r>
    </w:p>
    <w:p w14:paraId="6C0B9187" w14:textId="77777777" w:rsidR="00E61C26" w:rsidRPr="00415E05" w:rsidRDefault="00E61C26" w:rsidP="00E61C26">
      <w:pPr>
        <w:pStyle w:val="ListBullet2"/>
      </w:pPr>
      <w:r w:rsidRPr="00415E05">
        <w:t xml:space="preserve">the release of an Issues Paper: Information Sharing to Improve the Response to domestic and family violence in the ACT in September 2016 and a community consultation process; </w:t>
      </w:r>
    </w:p>
    <w:p w14:paraId="12DACE8C" w14:textId="77777777" w:rsidR="00E61C26" w:rsidRPr="00415E05" w:rsidRDefault="00E61C26" w:rsidP="00E61C26">
      <w:pPr>
        <w:pStyle w:val="ListBullet2"/>
      </w:pPr>
      <w:r w:rsidRPr="00415E05">
        <w:t xml:space="preserve">a scoping exercise to inform domestic and family violence risk assessment practices; and </w:t>
      </w:r>
    </w:p>
    <w:p w14:paraId="6F3296EA" w14:textId="77777777" w:rsidR="00E61C26" w:rsidRDefault="00E61C26" w:rsidP="00E61C26">
      <w:pPr>
        <w:pStyle w:val="ListBullet2"/>
      </w:pPr>
      <w:r w:rsidRPr="00415E05">
        <w:t>research and consultation across government to inform the introduction of domestic and family violence training to frontline workers.</w:t>
      </w:r>
      <w:r>
        <w:rPr>
          <w:rStyle w:val="FootnoteReference"/>
        </w:rPr>
        <w:footnoteReference w:id="118"/>
      </w:r>
    </w:p>
    <w:p w14:paraId="02D488D8" w14:textId="77777777" w:rsidR="00E61C26" w:rsidRPr="00415E05" w:rsidRDefault="00E61C26" w:rsidP="003745A3">
      <w:pPr>
        <w:pStyle w:val="BodyText1"/>
        <w:numPr>
          <w:ilvl w:val="5"/>
          <w:numId w:val="26"/>
        </w:numPr>
      </w:pPr>
      <w:r>
        <w:t>The Committee comments on the Coordinator-General’s role and activities later in this chapter.</w:t>
      </w:r>
    </w:p>
    <w:p w14:paraId="2E92876F" w14:textId="77777777" w:rsidR="00E61C26" w:rsidRDefault="00E61C26" w:rsidP="003745A3">
      <w:pPr>
        <w:pStyle w:val="Headinglevel2"/>
        <w:numPr>
          <w:ilvl w:val="1"/>
          <w:numId w:val="26"/>
        </w:numPr>
      </w:pPr>
      <w:bookmarkStart w:id="215" w:name="_Toc525296980"/>
      <w:bookmarkStart w:id="216" w:name="_Toc16764016"/>
      <w:r w:rsidRPr="008B716E">
        <w:t>Progress to date</w:t>
      </w:r>
      <w:r>
        <w:t xml:space="preserve"> – Safer Families Initiative</w:t>
      </w:r>
      <w:bookmarkEnd w:id="215"/>
      <w:bookmarkEnd w:id="216"/>
    </w:p>
    <w:p w14:paraId="4662734F" w14:textId="77777777" w:rsidR="00E61C26" w:rsidRPr="00033339" w:rsidRDefault="00E61C26" w:rsidP="003745A3">
      <w:pPr>
        <w:pStyle w:val="Headinglevel3"/>
        <w:numPr>
          <w:ilvl w:val="2"/>
          <w:numId w:val="26"/>
        </w:numPr>
      </w:pPr>
      <w:r>
        <w:t>Ministerial statements – 2017-18 and 2018-19</w:t>
      </w:r>
    </w:p>
    <w:p w14:paraId="49EE8134" w14:textId="77777777" w:rsidR="00E61C26" w:rsidRDefault="00E61C26" w:rsidP="003745A3">
      <w:pPr>
        <w:pStyle w:val="BodyText1"/>
        <w:numPr>
          <w:ilvl w:val="5"/>
          <w:numId w:val="26"/>
        </w:numPr>
      </w:pPr>
      <w:r>
        <w:t>The Minister for Prevention of Domestic and family Violence has made two statements on the progress of Safer Families initiatives since the announcement of the program’s adoption.</w:t>
      </w:r>
    </w:p>
    <w:p w14:paraId="5DDF8A1F" w14:textId="46580EC0" w:rsidR="00E61C26" w:rsidRDefault="00E61C26" w:rsidP="003745A3">
      <w:pPr>
        <w:pStyle w:val="BodyText1"/>
        <w:numPr>
          <w:ilvl w:val="5"/>
          <w:numId w:val="26"/>
        </w:numPr>
      </w:pPr>
      <w:r>
        <w:t xml:space="preserve">The first was made as a paper published in conjunction with the 2017 ACT Budget.  The statement provided a summary of matters that </w:t>
      </w:r>
      <w:r w:rsidR="009F3074">
        <w:t>were:</w:t>
      </w:r>
    </w:p>
    <w:p w14:paraId="63C2A61E" w14:textId="77777777" w:rsidR="00E61C26" w:rsidRPr="000F4BE4" w:rsidRDefault="00E61C26" w:rsidP="00E61C26">
      <w:pPr>
        <w:pStyle w:val="ListBullet2"/>
      </w:pPr>
      <w:r w:rsidRPr="000F4BE4">
        <w:t>Enactment of new laws from 1 May 2017 to recognise a broader definition of family violence including the full range of coercive, controlling and abusive behaviours.</w:t>
      </w:r>
    </w:p>
    <w:p w14:paraId="3D6BCB74" w14:textId="77777777" w:rsidR="00E61C26" w:rsidRPr="000F4BE4" w:rsidRDefault="00E61C26" w:rsidP="00E61C26">
      <w:pPr>
        <w:pStyle w:val="ListBullet2"/>
      </w:pPr>
      <w:r w:rsidRPr="000F4BE4">
        <w:t>Invested in more Legal Aid ACT support for victims of domestic and family violence, with an additional 100 Canberrans supported in the first three quarters of 2016-17 compared to the same period the year before. ($313,000)</w:t>
      </w:r>
    </w:p>
    <w:p w14:paraId="6B68F2F6" w14:textId="77777777" w:rsidR="00E61C26" w:rsidRPr="000F4BE4" w:rsidRDefault="00E61C26" w:rsidP="00E61C26">
      <w:pPr>
        <w:pStyle w:val="ListBullet2"/>
      </w:pPr>
      <w:r w:rsidRPr="000F4BE4">
        <w:t>Enactment of legislation to establish an improved Reportable Conduct Scheme in Canberra to apply a new level of scrutiny on organisations that are investigating the conduct of employees in relation to allegations of child abuse ($473,000).</w:t>
      </w:r>
    </w:p>
    <w:p w14:paraId="343DAEB2" w14:textId="77777777" w:rsidR="00E61C26" w:rsidRPr="000F4BE4" w:rsidRDefault="00E61C26" w:rsidP="00E61C26">
      <w:pPr>
        <w:pStyle w:val="ListBullet2"/>
      </w:pPr>
      <w:r w:rsidRPr="000F4BE4">
        <w:lastRenderedPageBreak/>
        <w:t>Invested in the Domestic Violence Crisis Service to enhance its 24/7 telephone and outreach support service providing information, counselling, advocacy and practical safety to the community ($200,000).</w:t>
      </w:r>
    </w:p>
    <w:p w14:paraId="3D63A8B9" w14:textId="77777777" w:rsidR="00E61C26" w:rsidRPr="000F4BE4" w:rsidRDefault="00E61C26" w:rsidP="00E61C26">
      <w:pPr>
        <w:pStyle w:val="ListBullet2"/>
      </w:pPr>
      <w:r w:rsidRPr="000F4BE4">
        <w:t>Increased support to the Canberra Rape Crisis Centre to meet increasing demand from victims of sexual assault in the ACT ($100,000).</w:t>
      </w:r>
    </w:p>
    <w:p w14:paraId="334C94AE" w14:textId="77777777" w:rsidR="00E61C26" w:rsidRPr="000F4BE4" w:rsidRDefault="00E61C26" w:rsidP="00E61C26">
      <w:pPr>
        <w:pStyle w:val="ListBullet2"/>
      </w:pPr>
      <w:r w:rsidRPr="000F4BE4">
        <w:t>Supported people of non-English speaking backgrounds experiencing family violence by providing increased access to translating and interpreting services through the ACT courts and eligible service providers ($39,000).</w:t>
      </w:r>
    </w:p>
    <w:p w14:paraId="1BF09807" w14:textId="77777777" w:rsidR="00E61C26" w:rsidRPr="000F4BE4" w:rsidRDefault="00E61C26" w:rsidP="00E61C26">
      <w:pPr>
        <w:pStyle w:val="ListBullet2"/>
      </w:pPr>
      <w:r w:rsidRPr="000F4BE4">
        <w:t>Assistance to applicants for a Family Violence Order by funding two new Family Violence Order Liaison Officers at ACT Policing ($281,000).</w:t>
      </w:r>
    </w:p>
    <w:p w14:paraId="7804FC96" w14:textId="77777777" w:rsidR="00E61C26" w:rsidRPr="000F4BE4" w:rsidRDefault="00E61C26" w:rsidP="00E61C26">
      <w:pPr>
        <w:pStyle w:val="ListBullet2"/>
      </w:pPr>
      <w:r w:rsidRPr="000F4BE4">
        <w:t>Assistance to the Tara Costigan Foundation to establish a free caseworker service to support those who have experienced family violence as they rebuild their lives and break the cycle of violence ($40,000).</w:t>
      </w:r>
    </w:p>
    <w:p w14:paraId="725B0199" w14:textId="77777777" w:rsidR="00E61C26" w:rsidRPr="000F4BE4" w:rsidRDefault="00E61C26" w:rsidP="00E61C26">
      <w:pPr>
        <w:pStyle w:val="ListBullet2"/>
      </w:pPr>
      <w:r w:rsidRPr="000F4BE4">
        <w:t>Assisted claimants with immediate expenses to escape family violence by delivering a brokerage and bond fund ($30,000).</w:t>
      </w:r>
    </w:p>
    <w:p w14:paraId="28593535" w14:textId="77777777" w:rsidR="00E61C26" w:rsidRPr="000F4BE4" w:rsidRDefault="00E61C26" w:rsidP="00E61C26">
      <w:pPr>
        <w:pStyle w:val="ListBullet2"/>
      </w:pPr>
      <w:r w:rsidRPr="000F4BE4">
        <w:t>Established a therapeutic residential behaviour change program for perpetrators, Room4Change, that also supports women and children to stay safely in their home ($228,000 in program funds and $1.8 million reallocated from specialist homelessness services).</w:t>
      </w:r>
    </w:p>
    <w:p w14:paraId="015AF804" w14:textId="77777777" w:rsidR="00E61C26" w:rsidRPr="000F4BE4" w:rsidRDefault="00E61C26" w:rsidP="00E61C26">
      <w:pPr>
        <w:pStyle w:val="ListBullet2"/>
      </w:pPr>
      <w:r w:rsidRPr="000F4BE4">
        <w:t>Delivered a Justice Reinvestment Trial in partnership with Winnunga Nimmityjah Aboriginal Health Service to deliver a family-focused approach to reduce over-representation of Aboriginal and Torres Strait Islanders in the justice system ($443,000).</w:t>
      </w:r>
    </w:p>
    <w:p w14:paraId="19E9690D" w14:textId="2033907C" w:rsidR="00E61C26" w:rsidRPr="000F4BE4" w:rsidRDefault="00E61C26" w:rsidP="00E61C26">
      <w:pPr>
        <w:pStyle w:val="ListBullet2"/>
      </w:pPr>
      <w:r w:rsidRPr="000F4BE4">
        <w:t xml:space="preserve">Established a Case Analysis Team within Child and Youth Protection Services to undertake case analysis and provide independent advice on individual cases at key </w:t>
      </w:r>
      <w:r w:rsidR="009F3074" w:rsidRPr="000F4BE4">
        <w:t>decision-making</w:t>
      </w:r>
      <w:r w:rsidRPr="000F4BE4">
        <w:t xml:space="preserve"> points. </w:t>
      </w:r>
      <w:r w:rsidR="009F3074" w:rsidRPr="000F4BE4">
        <w:t>Additionally,</w:t>
      </w:r>
      <w:r w:rsidRPr="000F4BE4">
        <w:t xml:space="preserve"> this advice will inform training priorities and development of new policies and procedures ($863,000).</w:t>
      </w:r>
      <w:r w:rsidRPr="000F4BE4">
        <w:rPr>
          <w:rStyle w:val="FootnoteReference"/>
        </w:rPr>
        <w:footnoteReference w:id="119"/>
      </w:r>
    </w:p>
    <w:p w14:paraId="2A6FE906" w14:textId="77777777" w:rsidR="00E61C26" w:rsidRDefault="00E61C26" w:rsidP="003745A3">
      <w:pPr>
        <w:pStyle w:val="BodyText1"/>
        <w:numPr>
          <w:ilvl w:val="5"/>
          <w:numId w:val="26"/>
        </w:numPr>
      </w:pPr>
      <w:r w:rsidRPr="000F4BE4">
        <w:t>On 5 Ju</w:t>
      </w:r>
      <w:r>
        <w:t xml:space="preserve">ne 2018, as a part of ACT Budget 2018-19 announcements, the Minister published a statement on the Safer Families program. </w:t>
      </w:r>
      <w:r>
        <w:rPr>
          <w:rStyle w:val="FootnoteReference"/>
        </w:rPr>
        <w:footnoteReference w:id="120"/>
      </w:r>
      <w:r>
        <w:t xml:space="preserve">  The focus of the Minister’s statement was the development of the foreshadowed Family Safety Hub by the Coordinator-General for family Safety.  Principal matters dealt with in the statement were:</w:t>
      </w:r>
    </w:p>
    <w:p w14:paraId="224B4D3B" w14:textId="77777777" w:rsidR="00E61C26" w:rsidRPr="00592FEA" w:rsidRDefault="00E61C26" w:rsidP="00E61C26">
      <w:pPr>
        <w:pStyle w:val="Quote"/>
        <w:rPr>
          <w:lang w:eastAsia="en-AU"/>
        </w:rPr>
      </w:pPr>
      <w:r w:rsidRPr="00592FEA">
        <w:rPr>
          <w:lang w:eastAsia="en-AU"/>
        </w:rPr>
        <w:t xml:space="preserve">The ACT Government’s Coordinator-General for Family Safety has been a driver for an interconnected, whole of government and community approach to implementing the Governments’ commitments to address domestic and family violence.  Crucial to this </w:t>
      </w:r>
      <w:r w:rsidRPr="00592FEA">
        <w:rPr>
          <w:lang w:eastAsia="en-AU"/>
        </w:rPr>
        <w:lastRenderedPageBreak/>
        <w:t>approach has been putting victims and survivors at the centre of policy and service design.</w:t>
      </w:r>
    </w:p>
    <w:p w14:paraId="3DDE9B8D" w14:textId="77777777" w:rsidR="00E61C26" w:rsidRPr="00592FEA" w:rsidRDefault="00E61C26" w:rsidP="00E61C26">
      <w:pPr>
        <w:pStyle w:val="Quote"/>
        <w:rPr>
          <w:lang w:eastAsia="en-AU"/>
        </w:rPr>
      </w:pPr>
      <w:r w:rsidRPr="00592FEA">
        <w:rPr>
          <w:lang w:eastAsia="en-AU"/>
        </w:rPr>
        <w:t>Utilising a co-design approach, the Coordinator-General and her team made significant progress during 2017-18 towards the establishment of the Family Safety Hub.</w:t>
      </w:r>
      <w:r>
        <w:rPr>
          <w:rStyle w:val="FootnoteReference"/>
          <w:lang w:eastAsia="en-AU"/>
        </w:rPr>
        <w:footnoteReference w:id="121"/>
      </w:r>
      <w:r w:rsidRPr="00592FEA">
        <w:rPr>
          <w:lang w:eastAsia="en-AU"/>
        </w:rPr>
        <w:t> </w:t>
      </w:r>
    </w:p>
    <w:p w14:paraId="20023A84" w14:textId="77777777" w:rsidR="00E61C26" w:rsidRDefault="00E61C26" w:rsidP="003745A3">
      <w:pPr>
        <w:pStyle w:val="BodyText1"/>
        <w:numPr>
          <w:ilvl w:val="5"/>
          <w:numId w:val="26"/>
        </w:numPr>
      </w:pPr>
      <w:r>
        <w:t>The minister’s statement described the co-design process followed for the Hub, detailing the development of insights and information as a basis for establishing a Hub which will be a more effective and accessible form of reference for those who need to draw on the services.</w:t>
      </w:r>
    </w:p>
    <w:p w14:paraId="108BA449" w14:textId="77777777" w:rsidR="00E61C26" w:rsidRDefault="00E61C26" w:rsidP="003745A3">
      <w:pPr>
        <w:pStyle w:val="BodyText1"/>
        <w:numPr>
          <w:ilvl w:val="5"/>
          <w:numId w:val="26"/>
        </w:numPr>
      </w:pPr>
      <w:r>
        <w:t>The Committee discusses the Family Safety Hub specifically in the next section of the Chapter.</w:t>
      </w:r>
    </w:p>
    <w:p w14:paraId="582A3F30" w14:textId="77777777" w:rsidR="00E61C26" w:rsidRDefault="00E61C26" w:rsidP="003745A3">
      <w:pPr>
        <w:pStyle w:val="BodyText1"/>
        <w:numPr>
          <w:ilvl w:val="5"/>
          <w:numId w:val="26"/>
        </w:numPr>
      </w:pPr>
      <w:r>
        <w:t>Other matters dealt with in the Minister’s 2018 statement were:</w:t>
      </w:r>
    </w:p>
    <w:p w14:paraId="67C6F6E4" w14:textId="77777777" w:rsidR="00E61C26" w:rsidRPr="00E05489" w:rsidRDefault="00E61C26" w:rsidP="00E61C26">
      <w:pPr>
        <w:pStyle w:val="ListBullet2"/>
      </w:pPr>
      <w:r>
        <w:rPr>
          <w:shd w:val="clear" w:color="auto" w:fill="FFFFFF"/>
        </w:rPr>
        <w:t>D</w:t>
      </w:r>
      <w:r w:rsidRPr="00E05489">
        <w:rPr>
          <w:shd w:val="clear" w:color="auto" w:fill="FFFFFF"/>
        </w:rPr>
        <w:t>elivery of training to frontline workers across the health, education, community services and justice sectors:</w:t>
      </w:r>
    </w:p>
    <w:p w14:paraId="56FA7C97" w14:textId="77777777" w:rsidR="00E61C26" w:rsidRPr="00E05489" w:rsidRDefault="00E61C26" w:rsidP="00E61C26">
      <w:pPr>
        <w:pStyle w:val="Quote"/>
      </w:pPr>
      <w:r w:rsidRPr="00E05489">
        <w:t>A Frontline Worker Training Strategy will be implemented to build enduring core capability to expand on, rather than displace existing training.  To commence in 2018-19, the frontline worker training will equip workers to sensitively inquire about domestic and family violence and provide the skills needed to deliver basic support to reduce the impact of domestic and family violence across the community.</w:t>
      </w:r>
      <w:r w:rsidRPr="00E05489">
        <w:rPr>
          <w:rStyle w:val="FootnoteReference"/>
        </w:rPr>
        <w:footnoteReference w:id="122"/>
      </w:r>
    </w:p>
    <w:p w14:paraId="628A9F0B" w14:textId="77777777" w:rsidR="00E61C26" w:rsidRPr="00FE7145" w:rsidRDefault="00E61C26" w:rsidP="00E61C26">
      <w:pPr>
        <w:pStyle w:val="ListBullet2"/>
        <w:rPr>
          <w:szCs w:val="22"/>
        </w:rPr>
      </w:pPr>
      <w:r w:rsidRPr="00E05489">
        <w:rPr>
          <w:szCs w:val="22"/>
          <w:shd w:val="clear" w:color="auto" w:fill="FFFFFF"/>
        </w:rPr>
        <w:t xml:space="preserve">Work with the Domestic Violence Prevention Council to respond to the recommendations from the Domestic Violence Prevention Council Extraordinary Meeting. </w:t>
      </w:r>
    </w:p>
    <w:p w14:paraId="7B04624D" w14:textId="77777777" w:rsidR="00E61C26" w:rsidRPr="00E05489" w:rsidRDefault="00E61C26" w:rsidP="00E61C26">
      <w:pPr>
        <w:pStyle w:val="Quote"/>
        <w:rPr>
          <w:szCs w:val="22"/>
        </w:rPr>
      </w:pPr>
      <w:r w:rsidRPr="00902C07">
        <w:t>It is expected the recommendations will seek improvements to service and policy design for children and young people impacted by, or at risk of domestic and family violence following the results of research by the Australian Institute of Health and</w:t>
      </w:r>
      <w:r w:rsidRPr="00E05489">
        <w:rPr>
          <w:szCs w:val="22"/>
          <w:shd w:val="clear" w:color="auto" w:fill="FFFFFF"/>
        </w:rPr>
        <w:t xml:space="preserve"> Welfare and additional work undertaken by the Domestic Violence Prevention council</w:t>
      </w:r>
      <w:r w:rsidRPr="00E05489">
        <w:rPr>
          <w:szCs w:val="22"/>
        </w:rPr>
        <w:t>.</w:t>
      </w:r>
      <w:r>
        <w:rPr>
          <w:rStyle w:val="FootnoteReference"/>
          <w:rFonts w:asciiTheme="minorHAnsi" w:hAnsiTheme="minorHAnsi"/>
          <w:szCs w:val="22"/>
        </w:rPr>
        <w:footnoteReference w:id="123"/>
      </w:r>
    </w:p>
    <w:p w14:paraId="723C2718" w14:textId="77777777" w:rsidR="00E61C26" w:rsidRPr="00A125FA" w:rsidRDefault="00E61C26" w:rsidP="00E61C26">
      <w:pPr>
        <w:pStyle w:val="ListBullet2"/>
        <w:rPr>
          <w:szCs w:val="22"/>
        </w:rPr>
      </w:pPr>
      <w:r w:rsidRPr="00A125FA">
        <w:rPr>
          <w:szCs w:val="22"/>
        </w:rPr>
        <w:t xml:space="preserve">Improve and build on </w:t>
      </w:r>
      <w:r w:rsidRPr="00A125FA">
        <w:rPr>
          <w:szCs w:val="22"/>
          <w:shd w:val="clear" w:color="auto" w:fill="FFFFFF"/>
        </w:rPr>
        <w:t>capacity in the alcohol and other drug sector to better respond to domestic and family violence.</w:t>
      </w:r>
    </w:p>
    <w:p w14:paraId="08B4BF21" w14:textId="77777777" w:rsidR="00E61C26" w:rsidRPr="00D21498" w:rsidRDefault="00E61C26" w:rsidP="00E61C26">
      <w:pPr>
        <w:pStyle w:val="Quote"/>
        <w:rPr>
          <w:rFonts w:cs="Times New Roman"/>
        </w:rPr>
      </w:pPr>
      <w:r w:rsidRPr="00D21498">
        <w:rPr>
          <w:shd w:val="clear" w:color="auto" w:fill="FFFFFF"/>
        </w:rPr>
        <w:t xml:space="preserve">Through funding from the Safer Families Package, the Alcohol Tobacco and Other Drug Association of the ACT, ATODA, developed a suite of Australian first tools to assess and build capacity among workers and organisations within the specialist </w:t>
      </w:r>
      <w:r>
        <w:rPr>
          <w:shd w:val="clear" w:color="auto" w:fill="FFFFFF"/>
        </w:rPr>
        <w:t>alcohol and other drug sector.</w:t>
      </w:r>
      <w:r>
        <w:rPr>
          <w:rStyle w:val="FootnoteReference"/>
          <w:shd w:val="clear" w:color="auto" w:fill="FFFFFF"/>
        </w:rPr>
        <w:footnoteReference w:id="124"/>
      </w:r>
    </w:p>
    <w:p w14:paraId="19150EC3" w14:textId="77777777" w:rsidR="00E61C26" w:rsidRPr="00D21498" w:rsidRDefault="00E61C26" w:rsidP="00E61C26">
      <w:pPr>
        <w:pStyle w:val="ListBullet2"/>
        <w:rPr>
          <w:szCs w:val="22"/>
        </w:rPr>
      </w:pPr>
      <w:r>
        <w:rPr>
          <w:szCs w:val="22"/>
          <w:shd w:val="clear" w:color="auto" w:fill="FFFFFF"/>
        </w:rPr>
        <w:t>As a summary, the M</w:t>
      </w:r>
      <w:r w:rsidRPr="00D21498">
        <w:rPr>
          <w:szCs w:val="22"/>
          <w:shd w:val="clear" w:color="auto" w:fill="FFFFFF"/>
        </w:rPr>
        <w:t xml:space="preserve">inister also noted commitments made </w:t>
      </w:r>
      <w:r>
        <w:rPr>
          <w:szCs w:val="22"/>
          <w:shd w:val="clear" w:color="auto" w:fill="FFFFFF"/>
        </w:rPr>
        <w:t xml:space="preserve">since the </w:t>
      </w:r>
      <w:r w:rsidRPr="00D21498">
        <w:rPr>
          <w:szCs w:val="22"/>
          <w:shd w:val="clear" w:color="auto" w:fill="FFFFFF"/>
        </w:rPr>
        <w:t>commencement of th</w:t>
      </w:r>
      <w:r>
        <w:rPr>
          <w:szCs w:val="22"/>
          <w:shd w:val="clear" w:color="auto" w:fill="FFFFFF"/>
        </w:rPr>
        <w:t>e</w:t>
      </w:r>
      <w:r w:rsidRPr="00D21498">
        <w:rPr>
          <w:szCs w:val="22"/>
          <w:shd w:val="clear" w:color="auto" w:fill="FFFFFF"/>
        </w:rPr>
        <w:t xml:space="preserve"> 2016-17 program, as</w:t>
      </w:r>
      <w:r>
        <w:rPr>
          <w:szCs w:val="22"/>
          <w:shd w:val="clear" w:color="auto" w:fill="FFFFFF"/>
        </w:rPr>
        <w:t>:</w:t>
      </w:r>
    </w:p>
    <w:p w14:paraId="57E4040A" w14:textId="77777777" w:rsidR="00E61C26" w:rsidRPr="00D21498" w:rsidRDefault="00E61C26" w:rsidP="00E61C26">
      <w:pPr>
        <w:pStyle w:val="Quote"/>
        <w:rPr>
          <w:rFonts w:cs="Times New Roman"/>
        </w:rPr>
      </w:pPr>
      <w:r w:rsidRPr="00D21498">
        <w:lastRenderedPageBreak/>
        <w:t xml:space="preserve">A number of the commitments made by the ACT Government in 2016 have now been fully implemented.  An example of this is the introduction of the </w:t>
      </w:r>
      <w:r w:rsidRPr="00FE7145">
        <w:rPr>
          <w:i/>
        </w:rPr>
        <w:t>Family Violence Act 2016</w:t>
      </w:r>
      <w:r w:rsidRPr="00D21498">
        <w:t xml:space="preserve"> which saw a broadening of the definition of family violence in the ACT to include the full range of coercive, controlling and abusive behaviours.  Having now been in operation for over twelve months, the Government is monitoring the application of the </w:t>
      </w:r>
      <w:r w:rsidRPr="00FE7145">
        <w:rPr>
          <w:i/>
        </w:rPr>
        <w:t>Family Violence Act 2016</w:t>
      </w:r>
      <w:r w:rsidRPr="00D21498">
        <w:t xml:space="preserve"> to gauge whether it is achieving the changes that were intended</w:t>
      </w:r>
      <w:r>
        <w:rPr>
          <w:rFonts w:ascii="Arial" w:hAnsi="Arial"/>
          <w:shd w:val="clear" w:color="auto" w:fill="FFFFFF"/>
        </w:rPr>
        <w:t>.</w:t>
      </w:r>
      <w:r>
        <w:rPr>
          <w:rStyle w:val="FootnoteReference"/>
          <w:rFonts w:ascii="Arial" w:hAnsi="Arial"/>
          <w:color w:val="30343D"/>
          <w:sz w:val="21"/>
          <w:szCs w:val="21"/>
          <w:shd w:val="clear" w:color="auto" w:fill="FFFFFF"/>
        </w:rPr>
        <w:footnoteReference w:id="125"/>
      </w:r>
    </w:p>
    <w:p w14:paraId="617BCC1F" w14:textId="77777777" w:rsidR="00E61C26" w:rsidRDefault="00E61C26" w:rsidP="003745A3">
      <w:pPr>
        <w:pStyle w:val="Headinglevel2"/>
        <w:numPr>
          <w:ilvl w:val="1"/>
          <w:numId w:val="26"/>
        </w:numPr>
      </w:pPr>
      <w:bookmarkStart w:id="217" w:name="_Toc525296981"/>
      <w:bookmarkStart w:id="218" w:name="_Toc16764017"/>
      <w:r>
        <w:t>Family Safety Hub</w:t>
      </w:r>
      <w:bookmarkEnd w:id="217"/>
      <w:bookmarkEnd w:id="218"/>
    </w:p>
    <w:p w14:paraId="6552AEF4" w14:textId="77777777" w:rsidR="00E61C26" w:rsidRDefault="00E61C26" w:rsidP="003745A3">
      <w:pPr>
        <w:pStyle w:val="BodyText1"/>
        <w:numPr>
          <w:ilvl w:val="5"/>
          <w:numId w:val="26"/>
        </w:numPr>
      </w:pPr>
      <w:r>
        <w:t>One of the central needs identified for the developments in responses to domestic and family violence in the Safer Families Initiative arose from the three reviews referred to in paragraph 7.4. That was information sharing between domestic and family violence agencies as a critically important way of ensuring safety of victims and an area of reform for the ACT.</w:t>
      </w:r>
      <w:r>
        <w:rPr>
          <w:rStyle w:val="FootnoteReference"/>
        </w:rPr>
        <w:footnoteReference w:id="126"/>
      </w:r>
      <w:r>
        <w:t xml:space="preserve"> </w:t>
      </w:r>
    </w:p>
    <w:p w14:paraId="300EC3D9" w14:textId="77777777" w:rsidR="00E61C26" w:rsidRDefault="00E61C26" w:rsidP="003745A3">
      <w:pPr>
        <w:pStyle w:val="BodyText1"/>
        <w:numPr>
          <w:ilvl w:val="5"/>
          <w:numId w:val="26"/>
        </w:numPr>
      </w:pPr>
      <w:r>
        <w:t>This initiative resulted in a proposal for information sharing to be followed up by the Coordinator-General:</w:t>
      </w:r>
    </w:p>
    <w:p w14:paraId="417C2350" w14:textId="77777777" w:rsidR="00E61C26" w:rsidRDefault="00E61C26" w:rsidP="00E61C26">
      <w:pPr>
        <w:pStyle w:val="Quote"/>
      </w:pPr>
      <w:r>
        <w:t>The Coordinator-General led an extensive community consultation and information process which has provided the ACT Government with valuable insights into the cultural and legislative barriers for effective information sharing. This includes a clear message that a change in culture and practice is at least as important as improving the legislative framework. Information sharing is being actively considered through the co-design of the Family Safety Hub and this process has also revealed the need to be specific about what information we want to share, and for what purpose, before an effective legislative response can be developed.</w:t>
      </w:r>
      <w:r>
        <w:rPr>
          <w:rStyle w:val="FootnoteReference"/>
        </w:rPr>
        <w:footnoteReference w:id="127"/>
      </w:r>
    </w:p>
    <w:p w14:paraId="526398D7" w14:textId="77777777" w:rsidR="00E61C26" w:rsidRPr="00EE5118" w:rsidRDefault="00E61C26" w:rsidP="003745A3">
      <w:pPr>
        <w:pStyle w:val="BodyText1"/>
        <w:numPr>
          <w:ilvl w:val="5"/>
          <w:numId w:val="26"/>
        </w:numPr>
      </w:pPr>
      <w:r>
        <w:t>This initiative was carried through by implementing a recommendation that a requirement was to strengthen domestic and family violence risk assessment and management capability of ACT service providers, a recommendation supported by survey results which found that a large percentage (44per cent) of survey respondents reported never completing domestic and family violence risk assessments.  This result and other factors, led to the development, under the Coordinator General’s direction, of the Family Safety Hub pilot and Family Safety Hub establishment.</w:t>
      </w:r>
      <w:r>
        <w:rPr>
          <w:rStyle w:val="FootnoteReference"/>
        </w:rPr>
        <w:footnoteReference w:id="128"/>
      </w:r>
    </w:p>
    <w:p w14:paraId="51EB55B5" w14:textId="77777777" w:rsidR="00E61C26" w:rsidRDefault="00E61C26" w:rsidP="003745A3">
      <w:pPr>
        <w:pStyle w:val="BodyText1"/>
        <w:numPr>
          <w:ilvl w:val="5"/>
          <w:numId w:val="26"/>
        </w:numPr>
      </w:pPr>
      <w:r>
        <w:t>Development of the Hub in 2016-17 was organised and directed by the Coordinator-General.</w:t>
      </w:r>
    </w:p>
    <w:p w14:paraId="4C43E648" w14:textId="77777777" w:rsidR="00E61C26" w:rsidRDefault="00E61C26" w:rsidP="003745A3">
      <w:pPr>
        <w:pStyle w:val="BodyText1"/>
        <w:numPr>
          <w:ilvl w:val="5"/>
          <w:numId w:val="26"/>
        </w:numPr>
      </w:pPr>
      <w:r>
        <w:lastRenderedPageBreak/>
        <w:t>In discussions with the committee in the lead-up to the launch of the Hub, the Coordinator-General, Ms Wood, told the committee:</w:t>
      </w:r>
    </w:p>
    <w:p w14:paraId="63E636B7" w14:textId="77777777" w:rsidR="00E61C26" w:rsidRDefault="00E61C26" w:rsidP="00E61C26">
      <w:pPr>
        <w:pStyle w:val="Quote"/>
      </w:pPr>
      <w:r>
        <w:t>I think the family safety hub co-design process is a good example of how we are working differently with both government partners and the community sector and actually bringing all the different players that have different roles in what we call a system but what is actually a series of sectors that intersect because domestic and family violence is so cross-cutting.</w:t>
      </w:r>
      <w:r>
        <w:rPr>
          <w:rStyle w:val="FootnoteReference"/>
        </w:rPr>
        <w:footnoteReference w:id="129"/>
      </w:r>
    </w:p>
    <w:p w14:paraId="11CDED2A" w14:textId="77777777" w:rsidR="00E61C26" w:rsidRDefault="00E61C26" w:rsidP="003745A3">
      <w:pPr>
        <w:pStyle w:val="BodyText1"/>
        <w:numPr>
          <w:ilvl w:val="5"/>
          <w:numId w:val="26"/>
        </w:numPr>
      </w:pPr>
      <w:r>
        <w:t>The Committee sought detail on how workshops had been used to help design the Hub.  Advice was, in implementing the co-design process and timetable that:</w:t>
      </w:r>
    </w:p>
    <w:p w14:paraId="24102034" w14:textId="77777777" w:rsidR="00E61C26" w:rsidRDefault="00E61C26" w:rsidP="00E61C26">
      <w:pPr>
        <w:pStyle w:val="Quote"/>
      </w:pPr>
      <w:r>
        <w:t>The first was the insights gathering which was the user research. We did start out with a set of principles, and they are at the front of our insights report, that really shaped how we approached that co-design.</w:t>
      </w:r>
    </w:p>
    <w:p w14:paraId="19B02A5C" w14:textId="77777777" w:rsidR="00E61C26" w:rsidRDefault="00E61C26" w:rsidP="00E61C26">
      <w:pPr>
        <w:pStyle w:val="Quote"/>
      </w:pPr>
      <w:r>
        <w:t>….</w:t>
      </w:r>
    </w:p>
    <w:p w14:paraId="1655B922" w14:textId="2517B8AD" w:rsidR="00E61C26" w:rsidRDefault="00E61C26" w:rsidP="00E61C26">
      <w:pPr>
        <w:pStyle w:val="Quote"/>
      </w:pPr>
      <w:r>
        <w:t xml:space="preserve">The first principle was that the co-design needed to be informed by people with a lived experience of violence and the front-line workers who support them. On that first piece, we did intend to start with people with the experience of </w:t>
      </w:r>
      <w:r w:rsidR="009F3074">
        <w:t>violence,</w:t>
      </w:r>
      <w:r>
        <w:t xml:space="preserve"> but we actually involved some of the community partners and representative organisations in looking at how we would do the co-design process itself and take on board their advice about how we did that safely. </w:t>
      </w:r>
      <w:r>
        <w:rPr>
          <w:rStyle w:val="FootnoteReference"/>
        </w:rPr>
        <w:footnoteReference w:id="130"/>
      </w:r>
    </w:p>
    <w:p w14:paraId="71ABF92F" w14:textId="77777777" w:rsidR="00E61C26" w:rsidRDefault="00E61C26" w:rsidP="00E61C26">
      <w:pPr>
        <w:pStyle w:val="Quote"/>
      </w:pPr>
      <w:r>
        <w:t>….</w:t>
      </w:r>
    </w:p>
    <w:p w14:paraId="6D8363E0" w14:textId="77777777" w:rsidR="00E61C26" w:rsidRDefault="00E61C26" w:rsidP="00E61C26">
      <w:pPr>
        <w:pStyle w:val="Quote"/>
      </w:pPr>
    </w:p>
    <w:p w14:paraId="649B867A" w14:textId="1FCDDE6B" w:rsidR="00E61C26" w:rsidRDefault="00E61C26" w:rsidP="00E61C26">
      <w:pPr>
        <w:pStyle w:val="Quote"/>
      </w:pPr>
      <w:r>
        <w:t xml:space="preserve">We actually started with interviews and focus groups with front-line </w:t>
      </w:r>
      <w:r w:rsidR="009F3074">
        <w:t>workers,</w:t>
      </w:r>
      <w:r>
        <w:t xml:space="preserve"> and we used the people who had trusted relationships with former clients to actually reach people with a lived experience of violence. We had about 50 people who worked in a range of front-line roles participate in that research phase and we then interviewed 20 people with a lived experience of violence.</w:t>
      </w:r>
      <w:r>
        <w:rPr>
          <w:rStyle w:val="FootnoteReference"/>
        </w:rPr>
        <w:footnoteReference w:id="131"/>
      </w:r>
    </w:p>
    <w:p w14:paraId="3D82EB22" w14:textId="77777777" w:rsidR="00E61C26" w:rsidRDefault="00E61C26" w:rsidP="00E61C26">
      <w:pPr>
        <w:pStyle w:val="Quote"/>
      </w:pPr>
      <w:r>
        <w:t>….</w:t>
      </w:r>
    </w:p>
    <w:p w14:paraId="62835802" w14:textId="23E7DB81" w:rsidR="00E61C26" w:rsidRDefault="00E61C26" w:rsidP="00E61C26">
      <w:pPr>
        <w:pStyle w:val="Quote"/>
      </w:pPr>
      <w:r>
        <w:t xml:space="preserve">We had a design team, which was government and community sector people, and there was a pretty big ask of the design team. We asked them for six half days over eight weeks and, for community sector organisations, that is a really big ask. The test, for me, about how well people were engaged in the process was that the people actually moved things and did a whole lot of rearranging so that they could participate in that conversation. Some people who were invited to be in the design team just could not physically give us that amount of time. So we had a critical friends group as well. After every couple of design workshops, we would take the output from the design </w:t>
      </w:r>
      <w:r>
        <w:lastRenderedPageBreak/>
        <w:t xml:space="preserve">team back to this broader critical </w:t>
      </w:r>
      <w:r w:rsidR="009F3074">
        <w:t>friends’</w:t>
      </w:r>
      <w:r>
        <w:t xml:space="preserve"> group and get some other feedback. That enabled us to bring some other broader perspectives into the design work as well.</w:t>
      </w:r>
    </w:p>
    <w:p w14:paraId="63D42AB4" w14:textId="77777777" w:rsidR="00E61C26" w:rsidRDefault="00E61C26" w:rsidP="003745A3">
      <w:pPr>
        <w:pStyle w:val="BodyText1"/>
        <w:numPr>
          <w:ilvl w:val="5"/>
          <w:numId w:val="26"/>
        </w:numPr>
      </w:pPr>
      <w:r>
        <w:t xml:space="preserve">The Committee had the opportunity of several discussions with the coordinator-General before the Hub was launched, as well as consideration of the background and rationale for the Hub’s establishment </w:t>
      </w:r>
    </w:p>
    <w:p w14:paraId="5D771D65" w14:textId="77777777" w:rsidR="00E61C26" w:rsidRDefault="00E61C26" w:rsidP="003745A3">
      <w:pPr>
        <w:pStyle w:val="BodyText1"/>
        <w:numPr>
          <w:ilvl w:val="5"/>
          <w:numId w:val="26"/>
        </w:numPr>
      </w:pPr>
      <w:r>
        <w:t>The over-arching nature of the Hub’s role in domestic and family violence, and the generally holistic approach the Hub proposal is designed to embody and implement policy, structure and process founded on feedback and input from service users.</w:t>
      </w:r>
    </w:p>
    <w:p w14:paraId="3DAF9C02" w14:textId="77777777" w:rsidR="00E61C26" w:rsidRDefault="00E61C26" w:rsidP="003745A3">
      <w:pPr>
        <w:pStyle w:val="BodyText1"/>
        <w:numPr>
          <w:ilvl w:val="5"/>
          <w:numId w:val="26"/>
        </w:numPr>
      </w:pPr>
      <w:r>
        <w:t>In a comment to the committee, which developed this point, particularly regarding insights gained in the Hub development process, the Coordinator-General told the Committee:</w:t>
      </w:r>
    </w:p>
    <w:p w14:paraId="1500DD49" w14:textId="77777777" w:rsidR="00E61C26" w:rsidRDefault="00E61C26" w:rsidP="00E61C26">
      <w:pPr>
        <w:pStyle w:val="Quote"/>
      </w:pPr>
      <w:r>
        <w:t>In terms of the insights that have come out of it, a couple that are particularly critical in shaping the final design of the family safety hub have been insights that tell us, first, about trust and how critical trust is for vulnerable people seeking help. It is about understanding what people’s help-seeking behaviour looks like. For a lot of people, it is not coming to the shiny front door that says “Family violence help here,” which in the ACT would be going to the police or Domestic Violence Crisis Service. Often people only disclose their experience of domestic or family violence after they have built a trusting relationship with some professional. It might be in a health setting; they might present with an issue around a child’s development in a child and family centre; they might seek help through a financial counselling service for financial stress.</w:t>
      </w:r>
      <w:r>
        <w:rPr>
          <w:rStyle w:val="FootnoteReference"/>
        </w:rPr>
        <w:footnoteReference w:id="132"/>
      </w:r>
    </w:p>
    <w:p w14:paraId="5D35E3DA" w14:textId="77777777" w:rsidR="00E61C26" w:rsidRDefault="00E61C26" w:rsidP="00E61C26">
      <w:pPr>
        <w:pStyle w:val="Quote"/>
      </w:pPr>
      <w:r>
        <w:t>…</w:t>
      </w:r>
    </w:p>
    <w:p w14:paraId="77731415" w14:textId="77777777" w:rsidR="00E61C26" w:rsidRDefault="00E61C26" w:rsidP="00E61C26">
      <w:pPr>
        <w:pStyle w:val="Quote"/>
      </w:pPr>
      <w:r>
        <w:t xml:space="preserve">That is really important in where we go next. The other thing I would say about the insights we have gathered and the insights report is that it has pointed us at a whole range of system change and system reform that we need to improve our response to domestic and family violence and to get better at early intervention, in particular, and also prevention. </w:t>
      </w:r>
    </w:p>
    <w:p w14:paraId="14D66D6E" w14:textId="77777777" w:rsidR="00E61C26" w:rsidRDefault="00E61C26" w:rsidP="00E61C26">
      <w:pPr>
        <w:pStyle w:val="Quote"/>
      </w:pPr>
    </w:p>
    <w:p w14:paraId="0130DBEC" w14:textId="77777777" w:rsidR="00E61C26" w:rsidRDefault="00E61C26" w:rsidP="00E61C26">
      <w:pPr>
        <w:pStyle w:val="Quote"/>
      </w:pPr>
      <w:r>
        <w:t>We are seeing the insights as an evidence base for future policy broadly. It will inform the family safety hub but it is a really rich range of insights that will also inform a range of future policy and strategies. We are seeking to take that kind of insights work, which is our local evidence base, and marry that up with the published evidence, both nationally and internationally, and also what the data from the services is telling us in terms of what are emerging as trends, needs and gaps in the ACT.</w:t>
      </w:r>
      <w:r>
        <w:rPr>
          <w:rStyle w:val="FootnoteReference"/>
        </w:rPr>
        <w:footnoteReference w:id="133"/>
      </w:r>
    </w:p>
    <w:p w14:paraId="4A71A0BC" w14:textId="77777777" w:rsidR="00E61C26" w:rsidRDefault="00E61C26" w:rsidP="003745A3">
      <w:pPr>
        <w:pStyle w:val="BodyText1"/>
        <w:numPr>
          <w:ilvl w:val="5"/>
          <w:numId w:val="26"/>
        </w:numPr>
      </w:pPr>
      <w:r>
        <w:lastRenderedPageBreak/>
        <w:t>The Hub was launched by the Minister on 11 May 2018.  In a statement accompanying the launch, the Minister described the central idea of a Hub as being:</w:t>
      </w:r>
    </w:p>
    <w:p w14:paraId="04302864" w14:textId="77777777" w:rsidR="00E61C26" w:rsidRDefault="00E61C26" w:rsidP="00E61C26">
      <w:pPr>
        <w:pStyle w:val="Quote"/>
      </w:pPr>
      <w:r w:rsidRPr="003A7ECE">
        <w:t>…a central avenue to bring the right people together to develop new solutions and to then design, trial and test these ideas before allowing for them to be scaled-up and merged into the existing service system.</w:t>
      </w:r>
      <w:r>
        <w:rPr>
          <w:rStyle w:val="FootnoteReference"/>
        </w:rPr>
        <w:footnoteReference w:id="134"/>
      </w:r>
    </w:p>
    <w:p w14:paraId="468A25F9" w14:textId="77777777" w:rsidR="00E61C26" w:rsidRDefault="00E61C26" w:rsidP="003745A3">
      <w:pPr>
        <w:pStyle w:val="BodyText1"/>
        <w:numPr>
          <w:ilvl w:val="5"/>
          <w:numId w:val="26"/>
        </w:numPr>
      </w:pPr>
      <w:r>
        <w:t>The Minister provided detail on the design process for the Hub:</w:t>
      </w:r>
    </w:p>
    <w:p w14:paraId="3CDF8A4A" w14:textId="77777777" w:rsidR="00E61C26" w:rsidRDefault="00E61C26" w:rsidP="00E61C26">
      <w:pPr>
        <w:pStyle w:val="Quote"/>
        <w:rPr>
          <w:lang w:eastAsia="en-AU"/>
        </w:rPr>
      </w:pPr>
      <w:r>
        <w:t>The Hub was developed through a 12 month co-design process which involved over 50 service providers, as well as 20 people with lived experience of domestic and family violence. Through the co-design process we heard that some people are incredibly isolated and many seek help through trusted relationships. This means that the whole service system, including the education, health and legal sectors, need to be able to respond to domestic and family violence.</w:t>
      </w:r>
    </w:p>
    <w:p w14:paraId="66C901A3" w14:textId="77777777" w:rsidR="00E61C26" w:rsidRDefault="00E61C26" w:rsidP="00E61C26">
      <w:pPr>
        <w:pStyle w:val="Quote"/>
      </w:pPr>
      <w:r>
        <w:t>What we heard throughout the co-design process, was that people won’t use our services if we don’t offer different, more flexible supports to the ones that are currently available. We were also told that very clearly that a ‘new shiny front door’ was not the ultimate solution and won’t help them access the services that they need.</w:t>
      </w:r>
      <w:r>
        <w:rPr>
          <w:rStyle w:val="FootnoteReference"/>
        </w:rPr>
        <w:footnoteReference w:id="135"/>
      </w:r>
    </w:p>
    <w:p w14:paraId="4850B25D" w14:textId="77777777" w:rsidR="00E61C26" w:rsidRDefault="00E61C26" w:rsidP="003745A3">
      <w:pPr>
        <w:pStyle w:val="BodyText1"/>
        <w:numPr>
          <w:ilvl w:val="5"/>
          <w:numId w:val="26"/>
        </w:numPr>
      </w:pPr>
      <w:r>
        <w:t xml:space="preserve"> The Hub is to operate as a central means of developing, organising and implementing needs-driven and appropriate support and services.  In addition, the Hub will have as its focus each year a Challenge or Challenges which are described as :</w:t>
      </w:r>
    </w:p>
    <w:p w14:paraId="5AD7860E" w14:textId="77777777" w:rsidR="00E61C26" w:rsidRPr="00765845" w:rsidRDefault="00E61C26" w:rsidP="00E61C26">
      <w:pPr>
        <w:pStyle w:val="Quote"/>
      </w:pPr>
      <w:r w:rsidRPr="00765845">
        <w:t>Each year the Hub will work through a series of </w:t>
      </w:r>
      <w:r w:rsidRPr="00765845">
        <w:rPr>
          <w:i/>
        </w:rPr>
        <w:t>Challenges</w:t>
      </w:r>
      <w:r w:rsidRPr="00765845">
        <w:t>. The best ideas from these </w:t>
      </w:r>
      <w:r w:rsidRPr="00765845">
        <w:rPr>
          <w:i/>
        </w:rPr>
        <w:t>Challenges </w:t>
      </w:r>
      <w:r w:rsidRPr="00765845">
        <w:t>will be further developed and tested with the community. The ideas that show the most potential will be scaled-up and embedded across the service system. In this way, the Hub will help create change by bringing together the right people to problem-solve how we might do things differently.</w:t>
      </w:r>
    </w:p>
    <w:p w14:paraId="193EB2FC" w14:textId="77777777" w:rsidR="00E61C26" w:rsidRPr="00765845" w:rsidRDefault="00E61C26" w:rsidP="00E61C26">
      <w:pPr>
        <w:pStyle w:val="Quote"/>
        <w:rPr>
          <w:lang w:eastAsia="en-AU"/>
        </w:rPr>
      </w:pPr>
      <w:r w:rsidRPr="00765845">
        <w:rPr>
          <w:lang w:eastAsia="en-AU"/>
        </w:rPr>
        <w:t>The first challenge will consider how to build better early intervention support for pregnant women and new parents, which of course was an area identified as a priority and an opportunity through the co-design work last year.</w:t>
      </w:r>
      <w:r>
        <w:rPr>
          <w:rStyle w:val="FootnoteReference"/>
          <w:lang w:eastAsia="en-AU"/>
        </w:rPr>
        <w:footnoteReference w:id="136"/>
      </w:r>
    </w:p>
    <w:p w14:paraId="1565369B" w14:textId="77777777" w:rsidR="00E61C26" w:rsidRDefault="00E61C26" w:rsidP="003745A3">
      <w:pPr>
        <w:pStyle w:val="BodyText1"/>
        <w:numPr>
          <w:ilvl w:val="5"/>
          <w:numId w:val="26"/>
        </w:numPr>
      </w:pPr>
      <w:r>
        <w:t>The Minister also noted that:</w:t>
      </w:r>
    </w:p>
    <w:p w14:paraId="66EC8F9B" w14:textId="77777777" w:rsidR="00E61C26" w:rsidRDefault="00E61C26" w:rsidP="00E61C26">
      <w:pPr>
        <w:pStyle w:val="Quote"/>
      </w:pPr>
      <w:r>
        <w:t>…the inaugural </w:t>
      </w:r>
      <w:r w:rsidRPr="0077650F">
        <w:rPr>
          <w:rStyle w:val="Emphasis"/>
          <w:rFonts w:asciiTheme="minorHAnsi" w:hAnsiTheme="minorHAnsi"/>
          <w:color w:val="313131"/>
          <w:szCs w:val="22"/>
        </w:rPr>
        <w:t>Challenge</w:t>
      </w:r>
      <w:r>
        <w:t xml:space="preserve"> will also take place with the support and involvement of community services, experts, service providers and government representatives </w:t>
      </w:r>
      <w:r>
        <w:lastRenderedPageBreak/>
        <w:t>seeking better solutions to better work to enable better early intervention for pregnant women and new parents.</w:t>
      </w:r>
      <w:r>
        <w:rPr>
          <w:rStyle w:val="FootnoteReference"/>
        </w:rPr>
        <w:footnoteReference w:id="137"/>
      </w:r>
    </w:p>
    <w:p w14:paraId="1C4E0919" w14:textId="77777777" w:rsidR="00E61C26" w:rsidRDefault="00E61C26" w:rsidP="003745A3">
      <w:pPr>
        <w:pStyle w:val="BodyText1"/>
        <w:numPr>
          <w:ilvl w:val="5"/>
          <w:numId w:val="26"/>
        </w:numPr>
      </w:pPr>
      <w:r>
        <w:t>The Minister highlighted the following aspects of the 2018 Challenge as:</w:t>
      </w:r>
    </w:p>
    <w:p w14:paraId="78BFCB1C" w14:textId="77777777" w:rsidR="00E61C26" w:rsidRDefault="00E61C26" w:rsidP="00E61C26">
      <w:pPr>
        <w:pStyle w:val="ListBullet2"/>
        <w:rPr>
          <w:lang w:eastAsia="en-AU"/>
        </w:rPr>
      </w:pPr>
      <w:r w:rsidRPr="00CB7C1C">
        <w:rPr>
          <w:lang w:eastAsia="en-AU"/>
        </w:rPr>
        <w:t xml:space="preserve">Research suggests that women can be at greater risk of experiencing violence from their partners during pregnancy and post-partum, especially when they are separated. </w:t>
      </w:r>
    </w:p>
    <w:p w14:paraId="70DFF8DD" w14:textId="77777777" w:rsidR="00E61C26" w:rsidRPr="00CB7C1C" w:rsidRDefault="00E61C26" w:rsidP="00E61C26">
      <w:pPr>
        <w:pStyle w:val="ListBullet2"/>
        <w:rPr>
          <w:lang w:eastAsia="en-AU"/>
        </w:rPr>
      </w:pPr>
      <w:r w:rsidRPr="00CB7C1C">
        <w:rPr>
          <w:lang w:eastAsia="en-AU"/>
        </w:rPr>
        <w:t xml:space="preserve">Experts from across the community and health sectors, including child and maternal health services, Child and Family Centres, domestic violence services and men’s behaviour change programs, </w:t>
      </w:r>
      <w:r>
        <w:rPr>
          <w:lang w:eastAsia="en-AU"/>
        </w:rPr>
        <w:t>[will]</w:t>
      </w:r>
      <w:r w:rsidRPr="00CB7C1C">
        <w:rPr>
          <w:lang w:eastAsia="en-AU"/>
        </w:rPr>
        <w:t>come together</w:t>
      </w:r>
      <w:r>
        <w:rPr>
          <w:lang w:eastAsia="en-AU"/>
        </w:rPr>
        <w:t xml:space="preserve"> </w:t>
      </w:r>
      <w:r w:rsidRPr="00CB7C1C">
        <w:rPr>
          <w:lang w:eastAsia="en-AU"/>
        </w:rPr>
        <w:t>to tackle this issue in innovative ways.</w:t>
      </w:r>
    </w:p>
    <w:p w14:paraId="5B5B34B0" w14:textId="77777777" w:rsidR="00E61C26" w:rsidRPr="00CB7C1C" w:rsidRDefault="00E61C26" w:rsidP="00E61C26">
      <w:pPr>
        <w:pStyle w:val="ListBullet2"/>
        <w:rPr>
          <w:lang w:eastAsia="en-AU"/>
        </w:rPr>
      </w:pPr>
      <w:r w:rsidRPr="00CB7C1C">
        <w:rPr>
          <w:lang w:eastAsia="en-AU"/>
        </w:rPr>
        <w:t>The capability of services will be enhanced to understand, identify and respond to domestic and family violence and provide improved responses to clients, as well as build new pathways for Aboriginal and Torres Strait Islander families, children, women with disabilities and the LGBTIQ+ community.</w:t>
      </w:r>
      <w:r>
        <w:rPr>
          <w:rStyle w:val="FootnoteReference"/>
          <w:lang w:eastAsia="en-AU"/>
        </w:rPr>
        <w:footnoteReference w:id="138"/>
      </w:r>
    </w:p>
    <w:p w14:paraId="55012E43" w14:textId="77777777" w:rsidR="00E61C26" w:rsidRPr="00CB7C1C" w:rsidRDefault="00E61C26" w:rsidP="00E61C26">
      <w:pPr>
        <w:pStyle w:val="ListBullet2"/>
        <w:rPr>
          <w:rFonts w:ascii="Source Sans Pro" w:hAnsi="Source Sans Pro"/>
          <w:color w:val="313131"/>
          <w:sz w:val="27"/>
          <w:szCs w:val="27"/>
          <w:lang w:eastAsia="en-AU"/>
        </w:rPr>
      </w:pPr>
      <w:r>
        <w:t>The Minister also stated that during 2018, Challenges to be tackled through the Hub will include a focus on enhancing women’s access to financial support and private housing.</w:t>
      </w:r>
      <w:r>
        <w:rPr>
          <w:rStyle w:val="FootnoteReference"/>
        </w:rPr>
        <w:footnoteReference w:id="139"/>
      </w:r>
    </w:p>
    <w:p w14:paraId="29589084" w14:textId="77777777" w:rsidR="00E61C26" w:rsidRDefault="00E61C26" w:rsidP="003745A3">
      <w:pPr>
        <w:pStyle w:val="BodyText1"/>
        <w:numPr>
          <w:ilvl w:val="5"/>
          <w:numId w:val="26"/>
        </w:numPr>
      </w:pPr>
      <w:r>
        <w:t>The Committee notes that there has been some questions asked regarding the ‘physical’ Hub.  The Coordinator-General has advised:</w:t>
      </w:r>
    </w:p>
    <w:p w14:paraId="45ACD911" w14:textId="77777777" w:rsidR="00E61C26" w:rsidRDefault="00E61C26" w:rsidP="00E61C26">
      <w:pPr>
        <w:pStyle w:val="Quote"/>
      </w:pPr>
      <w:r>
        <w:t xml:space="preserve">The hub is not necessarily a place. Because we are bringing people together to work on developing new options and new pilots and designing reform, we need space to work in. </w:t>
      </w:r>
    </w:p>
    <w:p w14:paraId="13103519" w14:textId="77777777" w:rsidR="00E61C26" w:rsidRDefault="00E61C26" w:rsidP="00E61C26">
      <w:pPr>
        <w:pStyle w:val="Quote"/>
      </w:pPr>
      <w:r>
        <w:t>So we are looking at options in terms of the working space we need for the hub. We are looking at spaces the ACT public service already has access to, but we are also conscious that we need to make sure we are not setting up something where we are expecting people to come to us all the time. We need to be getting out and meeting people where they already feel comfortable gathering and where there are already some trusted relationships. We are looking at having some physical workshopping space to do that kind of work in, but we are also looking at making sure we work in a really flexible way and that we are taking the conversation out to different parts of the community. The hub will be virtual in that it could work in a range of different spaces.</w:t>
      </w:r>
      <w:r>
        <w:rPr>
          <w:rStyle w:val="FootnoteReference"/>
        </w:rPr>
        <w:footnoteReference w:id="140"/>
      </w:r>
    </w:p>
    <w:p w14:paraId="6FD1C457" w14:textId="77777777" w:rsidR="00E61C26" w:rsidRPr="00372A82" w:rsidRDefault="00E61C26" w:rsidP="003745A3">
      <w:pPr>
        <w:pStyle w:val="Headinglevel3"/>
        <w:numPr>
          <w:ilvl w:val="2"/>
          <w:numId w:val="26"/>
        </w:numPr>
      </w:pPr>
      <w:r w:rsidRPr="00372A82">
        <w:lastRenderedPageBreak/>
        <w:t xml:space="preserve">Progress </w:t>
      </w:r>
      <w:r>
        <w:t xml:space="preserve">of the </w:t>
      </w:r>
      <w:r w:rsidRPr="00372A82">
        <w:t>family safety hub</w:t>
      </w:r>
    </w:p>
    <w:p w14:paraId="5D6629A7" w14:textId="77777777" w:rsidR="00E61C26" w:rsidRDefault="00E61C26" w:rsidP="003745A3">
      <w:pPr>
        <w:pStyle w:val="BodyText1"/>
        <w:numPr>
          <w:ilvl w:val="5"/>
          <w:numId w:val="26"/>
        </w:numPr>
        <w:rPr>
          <w:rFonts w:cs="Arial"/>
          <w:iCs/>
        </w:rPr>
      </w:pPr>
      <w:r>
        <w:rPr>
          <w:rFonts w:cs="Arial"/>
          <w:iCs/>
        </w:rPr>
        <w:t>The i</w:t>
      </w:r>
      <w:r w:rsidRPr="008B716E">
        <w:rPr>
          <w:rFonts w:cs="Arial"/>
          <w:iCs/>
        </w:rPr>
        <w:t xml:space="preserve">mplementation of the ACT Safer Families initiative </w:t>
      </w:r>
      <w:r>
        <w:rPr>
          <w:rFonts w:cs="Arial"/>
          <w:iCs/>
        </w:rPr>
        <w:t>and the Hub was explored during the latter stages of the Committee’s inquiry, particularly as aspects of the Hub plans were developed and announced.</w:t>
      </w:r>
    </w:p>
    <w:p w14:paraId="3358C2D0" w14:textId="77777777" w:rsidR="00E61C26" w:rsidRDefault="00E61C26" w:rsidP="003745A3">
      <w:pPr>
        <w:pStyle w:val="BodyText1"/>
        <w:numPr>
          <w:ilvl w:val="5"/>
          <w:numId w:val="26"/>
        </w:numPr>
        <w:rPr>
          <w:rFonts w:cs="Arial"/>
          <w:iCs/>
        </w:rPr>
      </w:pPr>
      <w:r>
        <w:rPr>
          <w:rFonts w:cs="Arial"/>
          <w:iCs/>
        </w:rPr>
        <w:t>During hearings by the Select Committee on Estimates for ACT Budget appropriations 2018-19, the Coordinator-Genial was asked to provide details on the Hub’s implementation and - to date – progress.</w:t>
      </w:r>
    </w:p>
    <w:p w14:paraId="6F36628D" w14:textId="77777777" w:rsidR="00E61C26" w:rsidRDefault="00E61C26" w:rsidP="00E61C26">
      <w:pPr>
        <w:pStyle w:val="Headinglevel3"/>
      </w:pPr>
      <w:r>
        <w:t>The Hub 2018 - 2019</w:t>
      </w:r>
    </w:p>
    <w:p w14:paraId="146FB5E2" w14:textId="77777777" w:rsidR="00E61C26" w:rsidRDefault="00E61C26" w:rsidP="003745A3">
      <w:pPr>
        <w:pStyle w:val="BodyText1"/>
        <w:numPr>
          <w:ilvl w:val="5"/>
          <w:numId w:val="26"/>
        </w:numPr>
        <w:rPr>
          <w:rFonts w:cs="Arial"/>
          <w:iCs/>
        </w:rPr>
      </w:pPr>
      <w:r>
        <w:rPr>
          <w:rFonts w:cs="Arial"/>
          <w:iCs/>
        </w:rPr>
        <w:t>The Coordinator-General advised the Estimates Committee, that in considering an area to pilot thorough the Hub:</w:t>
      </w:r>
    </w:p>
    <w:p w14:paraId="1CA15FEB" w14:textId="77777777" w:rsidR="00E61C26" w:rsidRDefault="00E61C26" w:rsidP="00E61C26">
      <w:pPr>
        <w:pStyle w:val="Quote"/>
      </w:pPr>
      <w:r>
        <w:t>The way we are choosing the things to pilot is looking at the idea and the potential impact it will have. We are looking for the things that will have the most impact and deliver the most benefit, and you can measure that in different ways. If we are reaching people who are at high risk, even if it is a small number of them, that is a huge benefit. If we have a more early intervention approach and reach a broader range of people that is another way to measure the impact. We are looking at the ideas that will have the most impact and those where the evidence backs up that it is the right approach. We are also looking at the feasibility of implementing an idea and what is required to implement it.</w:t>
      </w:r>
      <w:r>
        <w:rPr>
          <w:rStyle w:val="FootnoteReference"/>
        </w:rPr>
        <w:footnoteReference w:id="141"/>
      </w:r>
    </w:p>
    <w:p w14:paraId="75E9726A" w14:textId="77777777" w:rsidR="00E61C26" w:rsidRDefault="00E61C26" w:rsidP="003745A3">
      <w:pPr>
        <w:pStyle w:val="BodyText1"/>
        <w:numPr>
          <w:ilvl w:val="5"/>
          <w:numId w:val="26"/>
        </w:numPr>
      </w:pPr>
      <w:r>
        <w:t>In relation to the future course of action with the Hub, the Estimates Committee was advised that:</w:t>
      </w:r>
    </w:p>
    <w:p w14:paraId="17D7479E" w14:textId="77777777" w:rsidR="00E61C26" w:rsidRDefault="00E61C26" w:rsidP="00E61C26">
      <w:pPr>
        <w:pStyle w:val="Quote"/>
      </w:pPr>
      <w:r>
        <w:t>In the future operation of the hub we will have an expert panel that will bring together a range of expertise across community sector, government and people with lived experience of violence to advise the minister on the work that comes out of our challenges, that is, which ideas make the strongest case, which ideas we should proceed to pilot phase and how we spend the funds to invest in those pilots.</w:t>
      </w:r>
      <w:r>
        <w:rPr>
          <w:rStyle w:val="FootnoteReference"/>
        </w:rPr>
        <w:footnoteReference w:id="142"/>
      </w:r>
    </w:p>
    <w:p w14:paraId="38E33CA9" w14:textId="7CC2F273" w:rsidR="00E61C26" w:rsidRDefault="00E61C26" w:rsidP="003745A3">
      <w:pPr>
        <w:pStyle w:val="BodyText1"/>
        <w:numPr>
          <w:ilvl w:val="5"/>
          <w:numId w:val="26"/>
        </w:numPr>
      </w:pPr>
      <w:r>
        <w:t xml:space="preserve">In terms of evaluation, the Coordinator-General gave this analysis of the approach being taken to setting up priorities for the </w:t>
      </w:r>
      <w:r w:rsidR="009F3074">
        <w:t>Hub:</w:t>
      </w:r>
    </w:p>
    <w:p w14:paraId="009AE515" w14:textId="77777777" w:rsidR="00E61C26" w:rsidRDefault="00E61C26" w:rsidP="00E61C26">
      <w:pPr>
        <w:pStyle w:val="Quote"/>
      </w:pPr>
      <w:r>
        <w:t xml:space="preserve">They cluster around three major areas: one is around building a shared understanding of domestic and family violence and the dynamics of that both within and across the service sectors and also the broader community. That is critical to enabling early intervention and ensuring appropriate responses across all kinds of services. </w:t>
      </w:r>
    </w:p>
    <w:p w14:paraId="51530742" w14:textId="77777777" w:rsidR="00E61C26" w:rsidRDefault="00E61C26" w:rsidP="00E61C26">
      <w:pPr>
        <w:pStyle w:val="Quote"/>
      </w:pPr>
      <w:r>
        <w:lastRenderedPageBreak/>
        <w:t xml:space="preserve">The second clustering is around building capability of services to offer an integrated holistic response to victims and families, to ensure those responses are culturally competent, and to ensure that across the board we are connecting the right capability to respond. </w:t>
      </w:r>
    </w:p>
    <w:p w14:paraId="794A4465" w14:textId="77777777" w:rsidR="00E61C26" w:rsidRDefault="00E61C26" w:rsidP="00E61C26">
      <w:pPr>
        <w:pStyle w:val="Quote"/>
      </w:pPr>
      <w:r>
        <w:t>The third cluster of priorities is around what we have labelled pathways to safety, which wraps up a range of areas where our insights have identified that we do not yet have the full suite of responses we need for all the individuals and families affected by domestic and family violence.</w:t>
      </w:r>
      <w:r>
        <w:rPr>
          <w:rStyle w:val="FootnoteReference"/>
        </w:rPr>
        <w:footnoteReference w:id="143"/>
      </w:r>
    </w:p>
    <w:p w14:paraId="312EBEB1" w14:textId="77777777" w:rsidR="00E61C26" w:rsidRDefault="00E61C26" w:rsidP="003745A3">
      <w:pPr>
        <w:pStyle w:val="BodyText1"/>
        <w:numPr>
          <w:ilvl w:val="5"/>
          <w:numId w:val="26"/>
        </w:numPr>
      </w:pPr>
      <w:r>
        <w:t>The governance arrangements for the Hub (by an expert panel), which will influence the selection of pilot issues and Challenges in future, were described by the Coordinator-General as:</w:t>
      </w:r>
    </w:p>
    <w:p w14:paraId="69566AA2" w14:textId="77777777" w:rsidR="00E61C26" w:rsidRDefault="00E61C26" w:rsidP="00E61C26">
      <w:pPr>
        <w:pStyle w:val="Quote"/>
      </w:pPr>
      <w:r>
        <w:t>Once we establish our expert panel to be the governance group for the hub, that panel will be looking at setting priorities for each year of the hub, so basically setting a work plan.</w:t>
      </w:r>
    </w:p>
    <w:p w14:paraId="3345BCFE" w14:textId="77777777" w:rsidR="00E61C26" w:rsidRDefault="00E61C26" w:rsidP="00E61C26">
      <w:pPr>
        <w:pStyle w:val="BodyText1"/>
        <w:numPr>
          <w:ilvl w:val="0"/>
          <w:numId w:val="0"/>
        </w:numPr>
        <w:ind w:left="567"/>
      </w:pPr>
      <w:r>
        <w:t>and</w:t>
      </w:r>
    </w:p>
    <w:p w14:paraId="15702495" w14:textId="77777777" w:rsidR="00E61C26" w:rsidRDefault="00E61C26" w:rsidP="00E61C26">
      <w:pPr>
        <w:pStyle w:val="Quote"/>
      </w:pPr>
      <w:r>
        <w:t>We are in the process of working out the terms of reference and the processes and procedures for that panel as well as the potential membership of that panel. We intend to keep it to a size that can make decisions and provide clear advice. We are really interested in multidisciplinary expertise. We definitely want community sector and government service delivery expertise, but we want to continue to make sure we are bringing people with lived experience into guiding the work of the hub. We have put diverse needs at the centre of our work in the hub, so we want to make sure we continue to bring diverse perspectives into it.</w:t>
      </w:r>
      <w:r>
        <w:rPr>
          <w:rStyle w:val="FootnoteReference"/>
        </w:rPr>
        <w:footnoteReference w:id="144"/>
      </w:r>
    </w:p>
    <w:p w14:paraId="0A382679" w14:textId="77777777" w:rsidR="00E61C26" w:rsidRDefault="00E61C26" w:rsidP="003745A3">
      <w:pPr>
        <w:pStyle w:val="BodyText1"/>
        <w:numPr>
          <w:ilvl w:val="5"/>
          <w:numId w:val="26"/>
        </w:numPr>
      </w:pPr>
      <w:r>
        <w:t>Explanation was also sought from the Coordinator-General on the bases for formulating a first Challenge for the Hub as vulnerable pregnant women:</w:t>
      </w:r>
      <w:r w:rsidRPr="003247C9">
        <w:t xml:space="preserve"> </w:t>
      </w:r>
    </w:p>
    <w:p w14:paraId="2728A83B" w14:textId="77777777" w:rsidR="00E61C26" w:rsidRDefault="00E61C26" w:rsidP="00E61C26">
      <w:pPr>
        <w:pStyle w:val="Quote"/>
      </w:pPr>
      <w:r w:rsidRPr="00902C07">
        <w:t xml:space="preserve">We know that the point of pregnancy and the birth of a first child in particular is a time that can change the dynamics in a relationship and can disrupt the roles of people in that relationship. A range of people have looked at this issue. We cannot have a definitive answer, but we know it is a period that disrupts relationships. When we think about domestic and family violence and particularly intimate partner violence, it is very strongly grounded in power and control. The dynamics that happen during pregnancy and early parenthood shift those dynamics of control and within in a relationship. That seems to be the context that causes violence to emerge at that time. It is not always </w:t>
      </w:r>
      <w:r w:rsidRPr="00902C07">
        <w:lastRenderedPageBreak/>
        <w:t>the case that that is where it starts, but it is common that where there is violence in a relationship it is experienced during pregnancy</w:t>
      </w:r>
      <w:r>
        <w:t>.</w:t>
      </w:r>
      <w:r>
        <w:rPr>
          <w:rStyle w:val="FootnoteReference"/>
        </w:rPr>
        <w:footnoteReference w:id="145"/>
      </w:r>
    </w:p>
    <w:p w14:paraId="5DCAA2B8" w14:textId="77777777" w:rsidR="00E61C26" w:rsidRDefault="00E61C26" w:rsidP="003745A3">
      <w:pPr>
        <w:pStyle w:val="Headinglevel3"/>
        <w:numPr>
          <w:ilvl w:val="2"/>
          <w:numId w:val="26"/>
        </w:numPr>
      </w:pPr>
      <w:r>
        <w:t>Family Safety Hub – Funding</w:t>
      </w:r>
    </w:p>
    <w:p w14:paraId="41D14B07" w14:textId="17B1479E" w:rsidR="00E61C26" w:rsidRDefault="00E61C26" w:rsidP="003745A3">
      <w:pPr>
        <w:pStyle w:val="BodyText1"/>
        <w:numPr>
          <w:ilvl w:val="5"/>
          <w:numId w:val="26"/>
        </w:numPr>
      </w:pPr>
      <w:r>
        <w:t>The funding of the Hub program from the Safer Families Levy has been detailed in discussion of the 2018-19 Budget Papers.  In particular</w:t>
      </w:r>
      <w:r w:rsidR="009F3074">
        <w:t>,</w:t>
      </w:r>
      <w:r>
        <w:t xml:space="preserve"> responses by the Coordinator-General, in the context of a reprioritising existing projects funded by the Safer Families Levy.</w:t>
      </w:r>
    </w:p>
    <w:p w14:paraId="153831C0" w14:textId="5537DFE7" w:rsidR="00E61C26" w:rsidRDefault="00E61C26" w:rsidP="00E61C26">
      <w:pPr>
        <w:pStyle w:val="Quote"/>
      </w:pPr>
      <w:r>
        <w:t xml:space="preserve">The particular initiatives that have been reshaped to deliver the </w:t>
      </w:r>
      <w:r w:rsidR="009F3074">
        <w:t>H</w:t>
      </w:r>
      <w:r>
        <w:t xml:space="preserve">ub were two initiatives that were already earmarked for the hub but we are using the money in a slightly different way. There was an initial commitment to an initiative that was broadly described as a case coordination capability in the original safer families’ package. There was a specific family safety hub commitment in last year’s budget. It is those two initiatives that have been rolled together to support the hub over the forward estimates. </w:t>
      </w:r>
    </w:p>
    <w:p w14:paraId="27D93CF0" w14:textId="77777777" w:rsidR="00E61C26" w:rsidRDefault="00E61C26" w:rsidP="00E61C26">
      <w:pPr>
        <w:pStyle w:val="Quote"/>
      </w:pPr>
      <w:r>
        <w:t>All of that funding was already earmarked for the family safety hub, but because we had not completed the design work, we had not actually worked out the best way to use the funding. Now that we have, we have reshaped what that funding is for, and we are using it across the four years of the forward estimates.</w:t>
      </w:r>
      <w:r>
        <w:rPr>
          <w:rStyle w:val="FootnoteReference"/>
        </w:rPr>
        <w:footnoteReference w:id="146"/>
      </w:r>
    </w:p>
    <w:p w14:paraId="540380C7" w14:textId="77777777" w:rsidR="00E61C26" w:rsidRPr="000310F0" w:rsidRDefault="00E61C26" w:rsidP="003745A3">
      <w:pPr>
        <w:pStyle w:val="Headinglevel3"/>
        <w:numPr>
          <w:ilvl w:val="2"/>
          <w:numId w:val="26"/>
        </w:numPr>
      </w:pPr>
      <w:r>
        <w:t>Family Safety Programs</w:t>
      </w:r>
      <w:r w:rsidRPr="000310F0">
        <w:t xml:space="preserve"> – Evaluation and review</w:t>
      </w:r>
    </w:p>
    <w:p w14:paraId="257037F9" w14:textId="77777777" w:rsidR="00E61C26" w:rsidRDefault="00E61C26" w:rsidP="003745A3">
      <w:pPr>
        <w:pStyle w:val="BodyText1"/>
        <w:numPr>
          <w:ilvl w:val="5"/>
          <w:numId w:val="26"/>
        </w:numPr>
      </w:pPr>
      <w:r>
        <w:t>The Committee notes that the evaluation of the Hub, its effectiveness and its influence on outcomes and program refinement and responsiveness is of high importance.</w:t>
      </w:r>
    </w:p>
    <w:p w14:paraId="5D201197" w14:textId="77777777" w:rsidR="00E61C26" w:rsidRDefault="00E61C26" w:rsidP="003745A3">
      <w:pPr>
        <w:pStyle w:val="BodyText1"/>
        <w:numPr>
          <w:ilvl w:val="5"/>
          <w:numId w:val="26"/>
        </w:numPr>
      </w:pPr>
      <w:r>
        <w:t>During discussions on the Hub at hearings on Budget Estimates for 2018-19, the Minister provided a detailed account of how this process will develop:</w:t>
      </w:r>
    </w:p>
    <w:p w14:paraId="324FA84C" w14:textId="77777777" w:rsidR="00E61C26" w:rsidRDefault="00E61C26" w:rsidP="00E61C26">
      <w:pPr>
        <w:pStyle w:val="Quote"/>
      </w:pPr>
      <w:r>
        <w:t xml:space="preserve">The [Hub] program itself is the only one of its kind, really. There is something slightly similar in Western Australia, but this one in the ACT is of its own sort of making. So we need to make sure that it is working; that the funding is actually delivering the outcomes that we want to see in the community; that families are safe and that behaviour is changing. </w:t>
      </w:r>
    </w:p>
    <w:p w14:paraId="34F8284D" w14:textId="77777777" w:rsidR="00E61C26" w:rsidRDefault="00E61C26" w:rsidP="00E61C26">
      <w:pPr>
        <w:pStyle w:val="Quote"/>
      </w:pPr>
      <w:r>
        <w:t xml:space="preserve">We will do due diligence on that funding. We will do that checking on the pilot to see whether it is actually achieving. It is a quite complex and detailed piece of work that sort of individualised support for a family and an individual who might be perpetrating violence against their family. We want to see if it is working. If it is working, that is fantastic. So far, whilst it has been difficult—well, not difficult; challenging because it is so different and new—we are seeing some positive outcomes. </w:t>
      </w:r>
    </w:p>
    <w:p w14:paraId="2F2EF0C2" w14:textId="77777777" w:rsidR="00E61C26" w:rsidRDefault="00E61C26" w:rsidP="00E61C26">
      <w:pPr>
        <w:pStyle w:val="Quote"/>
      </w:pPr>
      <w:r>
        <w:lastRenderedPageBreak/>
        <w:t>But we do need to check in on the pilot to make sure it is actually working in a longer period of time rather than just going six months or 12 months and saying, “Yes, it is fine. We had this many through.” It cannot be just about numbers. We actually need to see outcomes from this that people’s lives are actually changed and safer, and that relationships are either ending or staying together, but that it is amicable.</w:t>
      </w:r>
      <w:r>
        <w:rPr>
          <w:rStyle w:val="FootnoteReference"/>
        </w:rPr>
        <w:footnoteReference w:id="147"/>
      </w:r>
    </w:p>
    <w:p w14:paraId="36D713B3" w14:textId="77777777" w:rsidR="00E61C26" w:rsidRPr="008F4CA2" w:rsidRDefault="00E61C26" w:rsidP="00E61C26">
      <w:pPr>
        <w:pStyle w:val="Headinglevel4"/>
        <w:rPr>
          <w:color w:val="BF8F00" w:themeColor="accent4" w:themeShade="BF"/>
        </w:rPr>
      </w:pPr>
      <w:r w:rsidRPr="008F4CA2">
        <w:t>family Safety Hub initiatives – 2017-2018 Annual Report hearings</w:t>
      </w:r>
    </w:p>
    <w:p w14:paraId="741B8FF8" w14:textId="77777777" w:rsidR="00E61C26" w:rsidRDefault="00E61C26" w:rsidP="00E61C26">
      <w:pPr>
        <w:pStyle w:val="BodyText1"/>
      </w:pPr>
      <w:r>
        <w:t>In comments to the Standing Committee on Health, Ageing and Community Services (HACS), at its hearings on 2017-18.</w:t>
      </w:r>
    </w:p>
    <w:p w14:paraId="606F040B" w14:textId="77777777" w:rsidR="00E61C26" w:rsidRPr="006A2C94" w:rsidRDefault="00E61C26" w:rsidP="00E61C26">
      <w:pPr>
        <w:pStyle w:val="BodyText1"/>
      </w:pPr>
      <w:r>
        <w:t>In evidence to the HACS committee, the coordinator-general highlighted the following developments in the Family Safety Hub update</w:t>
      </w:r>
    </w:p>
    <w:p w14:paraId="1DFB0A04" w14:textId="77777777" w:rsidR="00E61C26" w:rsidRDefault="00E61C26" w:rsidP="00E61C26">
      <w:pPr>
        <w:pStyle w:val="BodyText1"/>
      </w:pPr>
      <w:r>
        <w:t xml:space="preserve">These points included </w:t>
      </w:r>
    </w:p>
    <w:p w14:paraId="42BC0422" w14:textId="77777777" w:rsidR="00E61C26" w:rsidRDefault="00E61C26" w:rsidP="00E61C26">
      <w:pPr>
        <w:pStyle w:val="Quote"/>
      </w:pPr>
      <w:r>
        <w:t>the family safety hub has spent time reviewing ideas and further developing your concepts to the action stage for women and families during pregnancy and early parenting who are statistically at greater risk or are experiencing family violence. In practical terms, though, what does this actually mean?</w:t>
      </w:r>
      <w:r>
        <w:rPr>
          <w:rStyle w:val="FootnoteReference"/>
        </w:rPr>
        <w:footnoteReference w:id="148"/>
      </w:r>
    </w:p>
    <w:p w14:paraId="41F76D89" w14:textId="77777777" w:rsidR="00E61C26" w:rsidRDefault="00E61C26" w:rsidP="00E61C26">
      <w:pPr>
        <w:pStyle w:val="BodyText1"/>
      </w:pPr>
      <w:r>
        <w:t>In advising the Committee, the coordinator-general noted that:</w:t>
      </w:r>
    </w:p>
    <w:p w14:paraId="4C31EACC" w14:textId="1430CC82" w:rsidR="00E61C26" w:rsidRDefault="00E61C26" w:rsidP="00E61C26">
      <w:pPr>
        <w:pStyle w:val="Quote"/>
      </w:pPr>
      <w:r>
        <w:t xml:space="preserve">The starting point for that challenge and the reason for picking that issue was what the data tells us about women’s exposure to violence during pregnancy. Women are at greater risk of violence starting. It is one of the escalation points when violence may emerge in a relationship, because that relationship is undergoing very significant change and people’s roles are </w:t>
      </w:r>
      <w:r w:rsidR="009F3074">
        <w:t>changing and</w:t>
      </w:r>
      <w:r>
        <w:t xml:space="preserve"> controlling behaviour that may have pre-existed is now expressed in new ways in that setting.</w:t>
      </w:r>
      <w:r>
        <w:rPr>
          <w:rStyle w:val="FootnoteReference"/>
        </w:rPr>
        <w:footnoteReference w:id="149"/>
      </w:r>
    </w:p>
    <w:p w14:paraId="32097FA2" w14:textId="77777777" w:rsidR="00E61C26" w:rsidRDefault="00E61C26" w:rsidP="00E61C26">
      <w:pPr>
        <w:pStyle w:val="BodyText1"/>
      </w:pPr>
      <w:r>
        <w:t>The Coordinator-General was clear about the challenges presented by these steps:</w:t>
      </w:r>
    </w:p>
    <w:p w14:paraId="3172366E" w14:textId="77777777" w:rsidR="00E61C26" w:rsidRDefault="00E61C26" w:rsidP="00E61C26">
      <w:pPr>
        <w:pStyle w:val="Quote"/>
      </w:pPr>
      <w:r>
        <w:t xml:space="preserve">We are learning how to do this. This was our first go at it. We brought together a whole range of people across the service system—particularly people in health settings but also people from education, from the legal sector and from a range of community services—to come and talk about the opportunities to engage people in help earlier, and what things we would need to have in place to be able to do that. I think there were 57 ideas from that first challenge. We have kind of crunched them down to some concepts that we are taking forward in different ways. Some of them need more </w:t>
      </w:r>
      <w:r>
        <w:lastRenderedPageBreak/>
        <w:t>research and we need to look at what is the best practice elsewhere, and some of them are things that we can start testing in the ACT.</w:t>
      </w:r>
      <w:r>
        <w:rPr>
          <w:rStyle w:val="FootnoteReference"/>
        </w:rPr>
        <w:footnoteReference w:id="150"/>
      </w:r>
    </w:p>
    <w:p w14:paraId="059EE5DE" w14:textId="77777777" w:rsidR="00E61C26" w:rsidRDefault="00E61C26" w:rsidP="00E61C26">
      <w:pPr>
        <w:pStyle w:val="BodyText1"/>
      </w:pPr>
      <w:r>
        <w:t>Further details on the pilot program through the Hub, described by the Minister as follows:</w:t>
      </w:r>
    </w:p>
    <w:p w14:paraId="3BE52933" w14:textId="77777777" w:rsidR="00E61C26" w:rsidRPr="00AD2826" w:rsidRDefault="00E61C26" w:rsidP="00E61C26">
      <w:pPr>
        <w:pStyle w:val="Quote"/>
      </w:pPr>
      <w:r>
        <w:t>We are about to pilot a new program for these women, who have been identified as people in our community who would not normally access this kind of support or could not access it in a normal way. It is a legal support service for women who might be seeking maternal health services. What a pilot will deliver is an opportunity to do that in a place where a woman feels safe and comfortable and has disclosed her situation in a way that she feels is safe.</w:t>
      </w:r>
      <w:r>
        <w:rPr>
          <w:rStyle w:val="FootnoteReference"/>
        </w:rPr>
        <w:footnoteReference w:id="151"/>
      </w:r>
    </w:p>
    <w:p w14:paraId="616A622A" w14:textId="77777777" w:rsidR="00E61C26" w:rsidRDefault="00E61C26" w:rsidP="003745A3">
      <w:pPr>
        <w:pStyle w:val="Headinglevel3"/>
        <w:numPr>
          <w:ilvl w:val="2"/>
          <w:numId w:val="26"/>
        </w:numPr>
      </w:pPr>
      <w:r w:rsidRPr="00372A82">
        <w:t>Committee Comment</w:t>
      </w:r>
    </w:p>
    <w:p w14:paraId="4944E0E4" w14:textId="77777777" w:rsidR="00E61C26" w:rsidRDefault="00E61C26" w:rsidP="00E61C26">
      <w:pPr>
        <w:pStyle w:val="BodyText1"/>
      </w:pPr>
      <w:r>
        <w:t xml:space="preserve">Despite the change in direction from a physical Hub, the safer families Initiative, after much research has essentially chosen to use the word ‘Hub’ to describe another process altogether; that of a thorough policy and program design.  </w:t>
      </w:r>
    </w:p>
    <w:p w14:paraId="7274596D" w14:textId="77777777" w:rsidR="00E61C26" w:rsidRDefault="00E61C26" w:rsidP="00E61C26">
      <w:pPr>
        <w:pStyle w:val="BodyText1"/>
      </w:pPr>
      <w:r>
        <w:t>Though there may be some disappointment from those in the broader community who expected that there would be, as part of the Safer Families levy, a ‘one-stop-shop’ created, there is some wisdom to the change of direction as it has been noted in this report, that such a venue would not have fulfilled the needs of those the levy was intended to assist.</w:t>
      </w:r>
    </w:p>
    <w:p w14:paraId="74979930" w14:textId="77777777" w:rsidR="00E61C26" w:rsidRDefault="00E61C26" w:rsidP="00E61C26">
      <w:pPr>
        <w:pStyle w:val="Recommendation"/>
      </w:pPr>
      <w:bookmarkStart w:id="219" w:name="_Toc17279556"/>
      <w:bookmarkEnd w:id="219"/>
    </w:p>
    <w:p w14:paraId="76DCCA88" w14:textId="77777777" w:rsidR="00E61C26" w:rsidRPr="004B74B3" w:rsidRDefault="00E61C26" w:rsidP="00E61C26">
      <w:pPr>
        <w:pStyle w:val="RecommendationText"/>
      </w:pPr>
      <w:bookmarkStart w:id="220" w:name="_Toc17279557"/>
      <w:r w:rsidRPr="00091254">
        <w:rPr>
          <w:shd w:val="clear" w:color="auto" w:fill="FFFFFF" w:themeFill="background1"/>
        </w:rPr>
        <w:t>The Committee recommends that the term Family Safety Hub be re-considered given the changes in direction to planning and programs, rather than a ‘one-stop-shop’ as originally envisaged</w:t>
      </w:r>
      <w:r w:rsidRPr="004B74B3">
        <w:t>.</w:t>
      </w:r>
      <w:bookmarkEnd w:id="220"/>
    </w:p>
    <w:p w14:paraId="0F52CC9A" w14:textId="303EBE63" w:rsidR="00E61C26" w:rsidRDefault="00E61C26" w:rsidP="003745A3">
      <w:pPr>
        <w:pStyle w:val="BodyText1"/>
        <w:numPr>
          <w:ilvl w:val="5"/>
          <w:numId w:val="26"/>
        </w:numPr>
      </w:pPr>
      <w:r>
        <w:t>The Committee and the Assembly, though inquires such as estimates and Annual reports hearings – and by direct briefing by the Coordinator-</w:t>
      </w:r>
      <w:r w:rsidR="009F3074">
        <w:t>General - has</w:t>
      </w:r>
      <w:r>
        <w:t xml:space="preserve"> been kept informed on the Safer Families of Initiative during the development of the program, and in particular, the development of the Family Safety Hub.  This has included examination and discussion with the Minister and the Coordinator-General at hearings, and in discussions.</w:t>
      </w:r>
    </w:p>
    <w:p w14:paraId="767FF9E6" w14:textId="77777777" w:rsidR="00E61C26" w:rsidRDefault="00E61C26" w:rsidP="003745A3">
      <w:pPr>
        <w:pStyle w:val="BodyText1"/>
        <w:numPr>
          <w:ilvl w:val="5"/>
          <w:numId w:val="26"/>
        </w:numPr>
      </w:pPr>
      <w:r>
        <w:t>The Committee, under one of its ToRs, sought the views those making submissions on the Safer Families Initiative and the Levy proposals.  The views put to the Committee were generally in support of the proposals, with some comment and recommendations that reflected the approach that:</w:t>
      </w:r>
    </w:p>
    <w:p w14:paraId="26A2D11C" w14:textId="77777777" w:rsidR="00E61C26" w:rsidRDefault="00E61C26" w:rsidP="003745A3">
      <w:pPr>
        <w:pStyle w:val="BodyText1"/>
        <w:numPr>
          <w:ilvl w:val="5"/>
          <w:numId w:val="26"/>
        </w:numPr>
      </w:pPr>
      <w:r>
        <w:lastRenderedPageBreak/>
        <w:t>It is still at an early outcomes of the Family Safety Hub work, however, it is important that monitoring and evaluation be built into the pilot process to ensure it is possible to measure outcomes.</w:t>
      </w:r>
      <w:r>
        <w:rPr>
          <w:rStyle w:val="FootnoteReference"/>
        </w:rPr>
        <w:footnoteReference w:id="152"/>
      </w:r>
    </w:p>
    <w:p w14:paraId="4F3CF005" w14:textId="77777777" w:rsidR="00E61C26" w:rsidRDefault="00E61C26" w:rsidP="003745A3">
      <w:pPr>
        <w:pStyle w:val="BodyText1"/>
        <w:numPr>
          <w:ilvl w:val="5"/>
          <w:numId w:val="26"/>
        </w:numPr>
      </w:pPr>
      <w:r>
        <w:t>In addition, submissions, which were made at an early stage in the development and implementation of the Hub proposal emphasised that evaluation and sharing of information will be expected of the Hub process, and what the evaluation shows on the development of the Hub as a means of support and of prevention.</w:t>
      </w:r>
    </w:p>
    <w:p w14:paraId="6FD0C947" w14:textId="77777777" w:rsidR="00E61C26" w:rsidRDefault="00E61C26" w:rsidP="003745A3">
      <w:pPr>
        <w:pStyle w:val="BodyText1"/>
        <w:numPr>
          <w:ilvl w:val="5"/>
          <w:numId w:val="26"/>
        </w:numPr>
      </w:pPr>
      <w:r>
        <w:t>The Committee notes that the Minister has provided something of a road map for this process, and the Committee also notes that the public plans and process for the working of the Hub.</w:t>
      </w:r>
    </w:p>
    <w:p w14:paraId="37C6A45A" w14:textId="77777777" w:rsidR="00E61C26" w:rsidRDefault="00E61C26" w:rsidP="003745A3">
      <w:pPr>
        <w:pStyle w:val="BodyText1"/>
        <w:numPr>
          <w:ilvl w:val="5"/>
          <w:numId w:val="26"/>
        </w:numPr>
      </w:pPr>
      <w:r>
        <w:t>Equally, included in the Committee’s view is that those targeted by nature of the Hub, both those that require and are provided with services, and the personnel working to deliver services, should  have an input to this process which is clearly recorded and utilised as an evaluation tool to allow future arrangements for the Hub to work effectively.</w:t>
      </w:r>
    </w:p>
    <w:p w14:paraId="5A9BD867" w14:textId="77777777" w:rsidR="00E61C26" w:rsidRDefault="00E61C26" w:rsidP="003745A3">
      <w:pPr>
        <w:pStyle w:val="BodyText1"/>
        <w:numPr>
          <w:ilvl w:val="5"/>
          <w:numId w:val="26"/>
        </w:numPr>
      </w:pPr>
      <w:r>
        <w:t>The Committee concludes that a central element of all aspects of the Safer Families Imitative, and particularly the Family Safety Hub, should be subject of continual evaluation and of published reviews and progress reports on the matters referred to by the Minister.  The Committee comments further on other questions of evaluation in the next section of this Chapter.</w:t>
      </w:r>
    </w:p>
    <w:p w14:paraId="27C9BABD" w14:textId="77777777" w:rsidR="00E61C26" w:rsidRDefault="00E61C26" w:rsidP="00E61C26">
      <w:pPr>
        <w:pStyle w:val="Recommendation"/>
      </w:pPr>
      <w:bookmarkStart w:id="221" w:name="_Toc17279558"/>
      <w:bookmarkEnd w:id="221"/>
    </w:p>
    <w:p w14:paraId="010DBDE7" w14:textId="77777777" w:rsidR="00E61C26" w:rsidRPr="000F5805" w:rsidRDefault="00E61C26" w:rsidP="003745A3">
      <w:pPr>
        <w:pStyle w:val="RecommendationText"/>
        <w:numPr>
          <w:ilvl w:val="5"/>
          <w:numId w:val="26"/>
        </w:numPr>
      </w:pPr>
      <w:bookmarkStart w:id="222" w:name="_Toc525296960"/>
      <w:bookmarkStart w:id="223" w:name="_Toc17279559"/>
      <w:r>
        <w:t>The Committee recommends that progress of the Family Safety Hub, its developing role and any measurable outcomes, be the subject of regular reporting.</w:t>
      </w:r>
      <w:bookmarkEnd w:id="222"/>
      <w:bookmarkEnd w:id="223"/>
    </w:p>
    <w:p w14:paraId="073B0736" w14:textId="77777777" w:rsidR="00E61C26" w:rsidRDefault="00E61C26" w:rsidP="003745A3">
      <w:pPr>
        <w:pStyle w:val="Headinglevel2"/>
        <w:numPr>
          <w:ilvl w:val="1"/>
          <w:numId w:val="26"/>
        </w:numPr>
      </w:pPr>
      <w:bookmarkStart w:id="224" w:name="_Toc525296982"/>
      <w:bookmarkStart w:id="225" w:name="_Toc16764018"/>
      <w:r w:rsidRPr="008B716E">
        <w:t>Outcomes framework—reporting and evaluation</w:t>
      </w:r>
      <w:bookmarkEnd w:id="224"/>
      <w:bookmarkEnd w:id="225"/>
    </w:p>
    <w:p w14:paraId="7E90503F" w14:textId="77777777" w:rsidR="00E61C26" w:rsidRDefault="00E61C26" w:rsidP="003745A3">
      <w:pPr>
        <w:pStyle w:val="BodyText1"/>
        <w:numPr>
          <w:ilvl w:val="5"/>
          <w:numId w:val="26"/>
        </w:numPr>
      </w:pPr>
      <w:r>
        <w:t>The ACT Government submission highlighted that measuring the impact and outcomes of the 2016-17 funding commitments will be ‘central to improving the prevention and response to domestic and family violence in the ACT.</w:t>
      </w:r>
    </w:p>
    <w:p w14:paraId="01637DFC" w14:textId="23145452" w:rsidR="00E61C26" w:rsidRDefault="00E61C26" w:rsidP="003745A3">
      <w:pPr>
        <w:pStyle w:val="BodyText1"/>
        <w:numPr>
          <w:ilvl w:val="5"/>
          <w:numId w:val="26"/>
        </w:numPr>
      </w:pPr>
      <w:r>
        <w:t xml:space="preserve">The stated aims and benefits of good data collection to support </w:t>
      </w:r>
      <w:r w:rsidR="009F3074">
        <w:t>evaluation are</w:t>
      </w:r>
      <w:r>
        <w:t xml:space="preserve"> described as </w:t>
      </w:r>
      <w:r w:rsidR="009F3074">
        <w:t>follows:</w:t>
      </w:r>
    </w:p>
    <w:p w14:paraId="60E4D66E" w14:textId="77777777" w:rsidR="00E61C26" w:rsidRDefault="00E61C26" w:rsidP="00E61C26">
      <w:pPr>
        <w:pStyle w:val="Quote"/>
      </w:pPr>
      <w:r w:rsidRPr="00B3406F">
        <w:t>The Centre for Social Impact identifies a number of benefits to i</w:t>
      </w:r>
      <w:r>
        <w:t>mpact and outcome measurement11.</w:t>
      </w:r>
      <w:r w:rsidRPr="00B3406F">
        <w:t xml:space="preserve"> The primary reason is that it tells us whether, across government, </w:t>
      </w:r>
      <w:r w:rsidRPr="00B3406F">
        <w:lastRenderedPageBreak/>
        <w:t>community and private sector efforts, we are really making a difference. It also provides a mechanism for accountability and the opportunities for increasing efficiency. Across Government and the service system, effective outcome measurement can help create a culture of learning and innovation, promote professional development, improve transparency and trust and underpin the sustainability of services and organisations</w:t>
      </w:r>
      <w:r>
        <w:t>.</w:t>
      </w:r>
      <w:r>
        <w:rPr>
          <w:rStyle w:val="FootnoteReference"/>
        </w:rPr>
        <w:footnoteReference w:id="153"/>
      </w:r>
    </w:p>
    <w:p w14:paraId="46032868" w14:textId="77777777" w:rsidR="00E61C26" w:rsidRDefault="00E61C26" w:rsidP="003745A3">
      <w:pPr>
        <w:pStyle w:val="BodyText1"/>
        <w:numPr>
          <w:ilvl w:val="5"/>
          <w:numId w:val="26"/>
        </w:numPr>
      </w:pPr>
      <w:r>
        <w:t>The challenges in measuring outcomes form complex areas of social policy and service delivery are difficult on a number of levels.  These were enumerated by ACT Government as:</w:t>
      </w:r>
    </w:p>
    <w:p w14:paraId="0231F90C" w14:textId="77777777" w:rsidR="00E61C26" w:rsidRDefault="00E61C26" w:rsidP="00E61C26">
      <w:pPr>
        <w:pStyle w:val="ListBullet2"/>
      </w:pPr>
      <w:r>
        <w:t xml:space="preserve">Good data is a prerequisite for good outcomes measurement and for cross-cutting issues like family violence, the capacity to connect up data across services and systems. inconsistent collection methodologies or definitions which create barriers to integration of data; </w:t>
      </w:r>
    </w:p>
    <w:p w14:paraId="522BFDFA" w14:textId="77777777" w:rsidR="00E61C26" w:rsidRDefault="00E61C26" w:rsidP="00E61C26">
      <w:pPr>
        <w:pStyle w:val="ListBullet2"/>
      </w:pPr>
      <w:r>
        <w:t xml:space="preserve">Timeframes are long for some important outcomes. Changing community attitudes about domestic and family violence is an intergenerational project. Even changes for individuals or families affected by violence will need to be measured over years. </w:t>
      </w:r>
    </w:p>
    <w:p w14:paraId="7CBB37A3" w14:textId="77777777" w:rsidR="00E61C26" w:rsidRDefault="00E61C26" w:rsidP="00E61C26">
      <w:pPr>
        <w:pStyle w:val="ListBullet2"/>
      </w:pPr>
      <w:r>
        <w:t xml:space="preserve">Some outcomes are hard to measure quantitatively, and often these are the ones that matter most to the people we are trying to help-safety, resilience and sustainability are important goals but may look different for different people and families. </w:t>
      </w:r>
    </w:p>
    <w:p w14:paraId="35525490" w14:textId="77777777" w:rsidR="00E61C26" w:rsidRDefault="00E61C26" w:rsidP="00E61C26">
      <w:pPr>
        <w:pStyle w:val="ListBullet2"/>
      </w:pPr>
      <w:r>
        <w:t xml:space="preserve"> Attribution or causation is hard to establish. Identifying the contribution particular policies or interventions make to outcomes can be difficult, even impossible, where there are complex relationships between services, interventions and the external environment.</w:t>
      </w:r>
    </w:p>
    <w:p w14:paraId="3282E4F7" w14:textId="77777777" w:rsidR="00E61C26" w:rsidRDefault="00E61C26" w:rsidP="003745A3">
      <w:pPr>
        <w:pStyle w:val="BodyText1"/>
        <w:numPr>
          <w:ilvl w:val="5"/>
          <w:numId w:val="26"/>
        </w:numPr>
      </w:pPr>
      <w:r>
        <w:t>The establishment of effective outcome measurement and evaluation of the impact of the Safer Families agenda is being implemented in the ACT over a range of activities.</w:t>
      </w:r>
    </w:p>
    <w:p w14:paraId="6296AA99" w14:textId="77777777" w:rsidR="00E61C26" w:rsidRDefault="00E61C26" w:rsidP="003745A3">
      <w:pPr>
        <w:pStyle w:val="BodyText1"/>
        <w:numPr>
          <w:ilvl w:val="5"/>
          <w:numId w:val="26"/>
        </w:numPr>
      </w:pPr>
      <w:r>
        <w:t xml:space="preserve">These include </w:t>
      </w:r>
    </w:p>
    <w:p w14:paraId="491BABBD" w14:textId="77777777" w:rsidR="00E61C26" w:rsidRDefault="00E61C26" w:rsidP="00E61C26">
      <w:pPr>
        <w:pStyle w:val="ListBullet2"/>
      </w:pPr>
      <w:r>
        <w:t>Regular reporting on implementation of the commitments contained in Safe Families</w:t>
      </w:r>
    </w:p>
    <w:p w14:paraId="45984AAD" w14:textId="77777777" w:rsidR="00E61C26" w:rsidRDefault="00E61C26" w:rsidP="00E61C26">
      <w:pPr>
        <w:pStyle w:val="ListBullet2"/>
      </w:pPr>
      <w:r>
        <w:t>Development of specific evaluation strategies (which are to be published) by all agencies responsible for implementing the program</w:t>
      </w:r>
    </w:p>
    <w:p w14:paraId="7E75A097" w14:textId="77777777" w:rsidR="00E61C26" w:rsidRDefault="00E61C26" w:rsidP="00E61C26">
      <w:pPr>
        <w:pStyle w:val="ListBullet2"/>
      </w:pPr>
      <w:r>
        <w:t>Identification of appropriate indicators for measuring the effectiveness of the family Safety Hub</w:t>
      </w:r>
    </w:p>
    <w:p w14:paraId="019EC795" w14:textId="77777777" w:rsidR="00E61C26" w:rsidRDefault="00E61C26" w:rsidP="00E61C26">
      <w:pPr>
        <w:pStyle w:val="ListBullet2"/>
      </w:pPr>
      <w:r>
        <w:t>Identification by the Coordinator-General during 2018-19 of training programs for frontline workers including consideration and inclusion of capability, diversity and other factors</w:t>
      </w:r>
    </w:p>
    <w:p w14:paraId="435B4305" w14:textId="77777777" w:rsidR="00E61C26" w:rsidRPr="004A02FB" w:rsidRDefault="00E61C26" w:rsidP="00E61C26">
      <w:pPr>
        <w:pStyle w:val="ListBullet2"/>
        <w:rPr>
          <w:i/>
        </w:rPr>
      </w:pPr>
      <w:r>
        <w:t xml:space="preserve">Transition by the CSD to commissioning of outcomes to ensure clients receive timely support and services according to need.  This includes the continued development of the </w:t>
      </w:r>
      <w:r w:rsidRPr="004A02FB">
        <w:rPr>
          <w:i/>
        </w:rPr>
        <w:t>A Step Up for Our Kids – Out of Home care Str</w:t>
      </w:r>
      <w:r>
        <w:rPr>
          <w:i/>
        </w:rPr>
        <w:t>ategy</w:t>
      </w:r>
      <w:r w:rsidRPr="004A02FB">
        <w:rPr>
          <w:i/>
        </w:rPr>
        <w:t xml:space="preserve"> 2015-2020.</w:t>
      </w:r>
      <w:r>
        <w:rPr>
          <w:rStyle w:val="FootnoteReference"/>
          <w:i/>
        </w:rPr>
        <w:footnoteReference w:id="154"/>
      </w:r>
    </w:p>
    <w:p w14:paraId="1F26F0E2" w14:textId="77777777" w:rsidR="00E61C26" w:rsidRPr="004A02FB" w:rsidRDefault="00E61C26" w:rsidP="003745A3">
      <w:pPr>
        <w:pStyle w:val="Headinglevel3"/>
        <w:numPr>
          <w:ilvl w:val="2"/>
          <w:numId w:val="26"/>
        </w:numPr>
        <w:rPr>
          <w:i/>
        </w:rPr>
      </w:pPr>
      <w:r>
        <w:lastRenderedPageBreak/>
        <w:t>Outcomes evaluation – Safer Families</w:t>
      </w:r>
    </w:p>
    <w:p w14:paraId="33F3D9C8" w14:textId="77777777" w:rsidR="00E61C26" w:rsidRPr="00B3406F" w:rsidRDefault="00E61C26" w:rsidP="003745A3">
      <w:pPr>
        <w:pStyle w:val="BodyText1"/>
        <w:numPr>
          <w:ilvl w:val="5"/>
          <w:numId w:val="26"/>
        </w:numPr>
        <w:rPr>
          <w:i/>
        </w:rPr>
      </w:pPr>
      <w:r>
        <w:t>The approach to be taken by ACT Government in this area puts in place a number of outcomes measures which will focus on issues such as:</w:t>
      </w:r>
    </w:p>
    <w:p w14:paraId="2CF692AB" w14:textId="2247A917" w:rsidR="00E61C26" w:rsidRPr="004A02FB" w:rsidRDefault="00E61C26" w:rsidP="00E61C26">
      <w:pPr>
        <w:pStyle w:val="ListBullet2"/>
        <w:rPr>
          <w:i/>
        </w:rPr>
      </w:pPr>
      <w:r>
        <w:t xml:space="preserve">increased awareness of domestic and family violence in the community is likely to result in increased numbers of people accessing services. </w:t>
      </w:r>
      <w:r w:rsidR="009F3074">
        <w:t>Therefore,</w:t>
      </w:r>
      <w:r>
        <w:t xml:space="preserve"> more people accessing services should not be interpreted as an increase in the occurrence of domestic and family violence in the community or a failure of agencies to address domestic and family violence;  </w:t>
      </w:r>
    </w:p>
    <w:p w14:paraId="0A6568C4" w14:textId="77777777" w:rsidR="00E61C26" w:rsidRPr="004A02FB" w:rsidRDefault="00E61C26" w:rsidP="00E61C26">
      <w:pPr>
        <w:pStyle w:val="ListBullet2"/>
        <w:rPr>
          <w:i/>
        </w:rPr>
      </w:pPr>
      <w:r>
        <w:t xml:space="preserve">prevention efforts are difficult to evaluate given the complexity of domestic and family violence, particularly the multiple factors which contribute to domestic and family violence, many of which lie beyond the remit of the ACT Government; </w:t>
      </w:r>
    </w:p>
    <w:p w14:paraId="6F70D4FB" w14:textId="77777777" w:rsidR="00E61C26" w:rsidRPr="004A02FB" w:rsidRDefault="00E61C26" w:rsidP="00E61C26">
      <w:pPr>
        <w:pStyle w:val="ListBullet2"/>
        <w:rPr>
          <w:i/>
        </w:rPr>
      </w:pPr>
      <w:r>
        <w:t xml:space="preserve">the effectiveness of domestic and family violence initiatives, particularly those relating to prevention, should be viewed as a long-term intergenerational activity. For that reason, any measure of effectiveness of domestic and family violence initiatives would need to occur after a significant period of time has passed, following full implementation of each of the funded measures; and, </w:t>
      </w:r>
    </w:p>
    <w:p w14:paraId="56A7A0B6" w14:textId="77777777" w:rsidR="00E61C26" w:rsidRPr="004A02FB" w:rsidRDefault="00E61C26" w:rsidP="00E61C26">
      <w:pPr>
        <w:pStyle w:val="ListBullet2"/>
        <w:rPr>
          <w:i/>
        </w:rPr>
      </w:pPr>
      <w:r>
        <w:t>efforts to prevent domestic and family violence may not bring about a reduction in the incidence of domestic and family violence in the short or medium term.</w:t>
      </w:r>
      <w:r>
        <w:rPr>
          <w:rStyle w:val="FootnoteReference"/>
        </w:rPr>
        <w:footnoteReference w:id="155"/>
      </w:r>
    </w:p>
    <w:p w14:paraId="77CD45F3" w14:textId="77777777" w:rsidR="00E61C26" w:rsidRPr="004A02FB" w:rsidRDefault="00E61C26" w:rsidP="003745A3">
      <w:pPr>
        <w:pStyle w:val="BodyText1"/>
        <w:numPr>
          <w:ilvl w:val="5"/>
          <w:numId w:val="26"/>
        </w:numPr>
        <w:rPr>
          <w:i/>
        </w:rPr>
      </w:pPr>
      <w:r>
        <w:t>The Committee notes that this level of evaluation is looking at the short or medium term.</w:t>
      </w:r>
    </w:p>
    <w:p w14:paraId="19016155" w14:textId="1102A9DF" w:rsidR="00E61C26" w:rsidRPr="004A02FB" w:rsidRDefault="00E61C26" w:rsidP="003745A3">
      <w:pPr>
        <w:pStyle w:val="BodyText1"/>
        <w:numPr>
          <w:ilvl w:val="5"/>
          <w:numId w:val="26"/>
        </w:numPr>
        <w:rPr>
          <w:i/>
        </w:rPr>
      </w:pPr>
      <w:r>
        <w:t xml:space="preserve">For the </w:t>
      </w:r>
      <w:r w:rsidR="009F3074">
        <w:t>medium- and longer-term</w:t>
      </w:r>
      <w:r>
        <w:t xml:space="preserve"> assessment of the program, the ACT Government notes that there is a need to:</w:t>
      </w:r>
    </w:p>
    <w:p w14:paraId="64FFBCA3" w14:textId="77777777" w:rsidR="00E61C26" w:rsidRPr="004A02FB" w:rsidRDefault="00E61C26" w:rsidP="00E61C26">
      <w:pPr>
        <w:pStyle w:val="Quote"/>
        <w:rPr>
          <w:i/>
        </w:rPr>
      </w:pPr>
      <w:r>
        <w:t>…develop whole of system and whole of population measures to assess the quality of response to victims and families affected by violence, the effectiveness of perpetrator interventions, and changes in community attitudes and understanding.</w:t>
      </w:r>
    </w:p>
    <w:p w14:paraId="41F4B359" w14:textId="77777777" w:rsidR="00E61C26" w:rsidRPr="004A02FB" w:rsidRDefault="00E61C26" w:rsidP="003745A3">
      <w:pPr>
        <w:pStyle w:val="BodyText1"/>
        <w:numPr>
          <w:ilvl w:val="5"/>
          <w:numId w:val="26"/>
        </w:numPr>
        <w:rPr>
          <w:i/>
        </w:rPr>
      </w:pPr>
      <w:r>
        <w:t>Importantly, this approach will include a number of measures which will align with measures of success under the National Plan:</w:t>
      </w:r>
    </w:p>
    <w:p w14:paraId="63913A04" w14:textId="77777777" w:rsidR="00E61C26" w:rsidRPr="004A02FB" w:rsidRDefault="00E61C26" w:rsidP="00E61C26">
      <w:pPr>
        <w:pStyle w:val="ListBullet2"/>
        <w:rPr>
          <w:i/>
        </w:rPr>
      </w:pPr>
      <w:r>
        <w:t xml:space="preserve">an increase in the community's intolerance of violence against women;  </w:t>
      </w:r>
    </w:p>
    <w:p w14:paraId="556B9FBE" w14:textId="77777777" w:rsidR="00E61C26" w:rsidRPr="004A02FB" w:rsidRDefault="00E61C26" w:rsidP="00E61C26">
      <w:pPr>
        <w:pStyle w:val="ListBullet2"/>
        <w:rPr>
          <w:i/>
        </w:rPr>
      </w:pPr>
      <w:r>
        <w:t xml:space="preserve">improved knowledge of, and the skills and behaviour for, respectful relationships by young people;  </w:t>
      </w:r>
    </w:p>
    <w:p w14:paraId="1CDC1245" w14:textId="77777777" w:rsidR="00E61C26" w:rsidRPr="004A02FB" w:rsidRDefault="00E61C26" w:rsidP="00E61C26">
      <w:pPr>
        <w:pStyle w:val="ListBullet2"/>
        <w:rPr>
          <w:i/>
        </w:rPr>
      </w:pPr>
      <w:r>
        <w:t xml:space="preserve">reduction in the proportion of Indigenous women who consider that family violence, assault and sexual assault are problems for their communities and neighbourhoods; </w:t>
      </w:r>
    </w:p>
    <w:p w14:paraId="41B5972A" w14:textId="77777777" w:rsidR="00E61C26" w:rsidRPr="004A02FB" w:rsidRDefault="00E61C26" w:rsidP="00E61C26">
      <w:pPr>
        <w:pStyle w:val="ListBullet2"/>
        <w:rPr>
          <w:i/>
        </w:rPr>
      </w:pPr>
      <w:r>
        <w:t xml:space="preserve"> increase in the proportion of Indigenous women who are able to have their say within their communities on important issues, including violence;  </w:t>
      </w:r>
    </w:p>
    <w:p w14:paraId="6E7505A4" w14:textId="77777777" w:rsidR="00E61C26" w:rsidRPr="004A02FB" w:rsidRDefault="00E61C26" w:rsidP="00E61C26">
      <w:pPr>
        <w:pStyle w:val="ListBullet2"/>
        <w:rPr>
          <w:i/>
        </w:rPr>
      </w:pPr>
      <w:r>
        <w:lastRenderedPageBreak/>
        <w:t xml:space="preserve">an increase in the access to, and responsiveness of, services for victims of domestic and family violence and sexual assault;  </w:t>
      </w:r>
    </w:p>
    <w:p w14:paraId="1A664730" w14:textId="77777777" w:rsidR="00E61C26" w:rsidRPr="004A02FB" w:rsidRDefault="00E61C26" w:rsidP="00E61C26">
      <w:pPr>
        <w:pStyle w:val="ListBullet2"/>
        <w:rPr>
          <w:i/>
        </w:rPr>
      </w:pPr>
      <w:r>
        <w:t>an increase in the rate of women reporting domestic violence and sexual assault and a decrease in repeated partner victimisation.</w:t>
      </w:r>
      <w:r>
        <w:rPr>
          <w:rStyle w:val="FootnoteReference"/>
        </w:rPr>
        <w:footnoteReference w:id="156"/>
      </w:r>
    </w:p>
    <w:p w14:paraId="60C5B169" w14:textId="77777777" w:rsidR="00E61C26" w:rsidRPr="006B21C0" w:rsidRDefault="00E61C26" w:rsidP="003745A3">
      <w:pPr>
        <w:pStyle w:val="Headinglevel3"/>
        <w:numPr>
          <w:ilvl w:val="2"/>
          <w:numId w:val="26"/>
        </w:numPr>
      </w:pPr>
      <w:r>
        <w:t>Committee Comment</w:t>
      </w:r>
    </w:p>
    <w:p w14:paraId="1B33F319" w14:textId="77777777" w:rsidR="00E61C26" w:rsidRPr="004A02FB" w:rsidRDefault="00E61C26" w:rsidP="003745A3">
      <w:pPr>
        <w:pStyle w:val="BodyText1"/>
        <w:numPr>
          <w:ilvl w:val="5"/>
          <w:numId w:val="26"/>
        </w:numPr>
        <w:rPr>
          <w:rFonts w:cs="Arial"/>
          <w:iCs/>
        </w:rPr>
      </w:pPr>
      <w:r>
        <w:rPr>
          <w:lang w:eastAsia="en-AU"/>
        </w:rPr>
        <w:t>The Committee has provided, in as much detail as it considers is required a summary of the process and progress of the Safer Families initiative, and of the development and establishment of the Family Safety Hub that is the central element in building a responsive and focussed service delivery process for addressing and preventing domestic and family violence in the ACT.  This process has been, to date, well focussed and has provided as an important and relevant element of change a way forward for addressing these issues.</w:t>
      </w:r>
    </w:p>
    <w:p w14:paraId="3301B36A" w14:textId="77777777" w:rsidR="00E61C26" w:rsidRPr="004A02FB" w:rsidRDefault="00E61C26" w:rsidP="003745A3">
      <w:pPr>
        <w:pStyle w:val="BodyText1"/>
        <w:numPr>
          <w:ilvl w:val="5"/>
          <w:numId w:val="26"/>
        </w:numPr>
        <w:rPr>
          <w:rFonts w:cs="Arial"/>
          <w:iCs/>
        </w:rPr>
      </w:pPr>
      <w:r>
        <w:rPr>
          <w:lang w:eastAsia="en-AU"/>
        </w:rPr>
        <w:t>The Committee notes that, given the discussion above, evaluation of the progress and the success of the 2016-17 funding commitments, the Safer Families initiative and the other elements of the programs funded form the Family Safety levy will depend on a clear and transparent account and evaluation of how the programs are developing.</w:t>
      </w:r>
    </w:p>
    <w:p w14:paraId="634CBF39" w14:textId="77777777" w:rsidR="00E61C26" w:rsidRPr="004A02FB" w:rsidRDefault="00E61C26" w:rsidP="003745A3">
      <w:pPr>
        <w:pStyle w:val="BodyText1"/>
        <w:numPr>
          <w:ilvl w:val="5"/>
          <w:numId w:val="26"/>
        </w:numPr>
        <w:rPr>
          <w:rFonts w:cs="Arial"/>
          <w:iCs/>
        </w:rPr>
      </w:pPr>
      <w:r>
        <w:rPr>
          <w:lang w:eastAsia="en-AU"/>
        </w:rPr>
        <w:t>The Committee has, in the previous section spelt out the detailed criteria and measures which have been adopted for the assessment, publication and further involvement of the community of short and long-term outcomes.</w:t>
      </w:r>
    </w:p>
    <w:p w14:paraId="1250E61F" w14:textId="5148F888" w:rsidR="00E61C26" w:rsidRPr="004A02FB" w:rsidRDefault="00E61C26" w:rsidP="003745A3">
      <w:pPr>
        <w:pStyle w:val="BodyText1"/>
        <w:numPr>
          <w:ilvl w:val="5"/>
          <w:numId w:val="26"/>
        </w:numPr>
        <w:rPr>
          <w:rFonts w:cs="Arial"/>
          <w:iCs/>
        </w:rPr>
      </w:pPr>
      <w:r>
        <w:rPr>
          <w:lang w:eastAsia="en-AU"/>
        </w:rPr>
        <w:t xml:space="preserve">The Committee considers that this process of measuring impacts and outcomes should be dealt with in both the short and long term.  The </w:t>
      </w:r>
      <w:r w:rsidR="009F3074">
        <w:rPr>
          <w:lang w:eastAsia="en-AU"/>
        </w:rPr>
        <w:t>C</w:t>
      </w:r>
      <w:r>
        <w:rPr>
          <w:lang w:eastAsia="en-AU"/>
        </w:rPr>
        <w:t xml:space="preserve">ommittee notes that the focus of the program, and of the Family Safety Hub </w:t>
      </w:r>
      <w:r w:rsidR="00F016CA">
        <w:rPr>
          <w:lang w:eastAsia="en-AU"/>
        </w:rPr>
        <w:t>is -</w:t>
      </w:r>
      <w:r>
        <w:rPr>
          <w:lang w:eastAsia="en-AU"/>
        </w:rPr>
        <w:t xml:space="preserve"> in the words of the Minister: </w:t>
      </w:r>
    </w:p>
    <w:p w14:paraId="4498E2C4" w14:textId="77777777" w:rsidR="00E61C26" w:rsidRPr="004A02FB" w:rsidRDefault="00E61C26" w:rsidP="00E61C26">
      <w:pPr>
        <w:pStyle w:val="Quote"/>
      </w:pPr>
      <w:r>
        <w:rPr>
          <w:lang w:eastAsia="en-AU"/>
        </w:rPr>
        <w:t>‘</w:t>
      </w:r>
      <w:r>
        <w:t>working with all of the services and listening to people who have experienced domestic and family violence is that they do not necessarily want a legal response to the situation. More and more people are saying they want to find another way.</w:t>
      </w:r>
      <w:r>
        <w:rPr>
          <w:lang w:eastAsia="en-AU"/>
        </w:rPr>
        <w:t>’</w:t>
      </w:r>
      <w:r>
        <w:rPr>
          <w:rStyle w:val="FootnoteReference"/>
          <w:lang w:eastAsia="en-AU"/>
        </w:rPr>
        <w:footnoteReference w:id="157"/>
      </w:r>
    </w:p>
    <w:p w14:paraId="38405930" w14:textId="433E1228" w:rsidR="00E61C26" w:rsidRPr="004A02FB" w:rsidRDefault="00E61C26" w:rsidP="003745A3">
      <w:pPr>
        <w:pStyle w:val="BodyText1"/>
        <w:numPr>
          <w:ilvl w:val="5"/>
          <w:numId w:val="26"/>
        </w:numPr>
        <w:rPr>
          <w:rFonts w:cs="Arial"/>
          <w:iCs/>
        </w:rPr>
      </w:pPr>
      <w:r>
        <w:rPr>
          <w:lang w:eastAsia="en-AU"/>
        </w:rPr>
        <w:t xml:space="preserve">Accordingly, the Committee’s recommendation </w:t>
      </w:r>
      <w:r w:rsidR="00F016CA">
        <w:rPr>
          <w:lang w:eastAsia="en-AU"/>
        </w:rPr>
        <w:t>emphasises a</w:t>
      </w:r>
      <w:r>
        <w:rPr>
          <w:lang w:eastAsia="en-AU"/>
        </w:rPr>
        <w:t xml:space="preserve"> course the Committee sees as being the most effective and focussed way of ensuring that evaluation of what is an innovative process is assessed, measured and evaluated – and subject to proper levels of public accountability and scrutiny.</w:t>
      </w:r>
    </w:p>
    <w:p w14:paraId="17AA5411" w14:textId="77777777" w:rsidR="00E61C26" w:rsidRPr="00CE7C12" w:rsidRDefault="00E61C26" w:rsidP="003745A3">
      <w:pPr>
        <w:pStyle w:val="Heading1"/>
        <w:numPr>
          <w:ilvl w:val="0"/>
          <w:numId w:val="26"/>
        </w:numPr>
      </w:pPr>
      <w:bookmarkStart w:id="226" w:name="_Toc16764019"/>
      <w:r>
        <w:lastRenderedPageBreak/>
        <w:t xml:space="preserve">Most effective current </w:t>
      </w:r>
      <w:r w:rsidRPr="00CE7C12">
        <w:t>policy approaches and responses</w:t>
      </w:r>
      <w:bookmarkEnd w:id="202"/>
      <w:bookmarkEnd w:id="226"/>
    </w:p>
    <w:p w14:paraId="7C67CA8B" w14:textId="77777777" w:rsidR="00E61C26" w:rsidRPr="00CE7C12" w:rsidRDefault="00E61C26" w:rsidP="00E61C26">
      <w:pPr>
        <w:pStyle w:val="Bodytextnonumbering"/>
        <w:rPr>
          <w:i/>
        </w:rPr>
      </w:pPr>
      <w:r w:rsidRPr="00CE7C12">
        <w:rPr>
          <w:i/>
        </w:rPr>
        <w:t>T of R (d)—Best practice policy approaches and responses being undertaken in other jurisdictions to prevent and/or respond to domestic and family violence</w:t>
      </w:r>
    </w:p>
    <w:p w14:paraId="34D22371" w14:textId="77777777" w:rsidR="00E61C26" w:rsidRPr="00CE7C12" w:rsidRDefault="00E61C26" w:rsidP="003745A3">
      <w:pPr>
        <w:pStyle w:val="Headinglevel2"/>
        <w:numPr>
          <w:ilvl w:val="1"/>
          <w:numId w:val="26"/>
        </w:numPr>
      </w:pPr>
      <w:bookmarkStart w:id="227" w:name="_Toc525296988"/>
      <w:bookmarkStart w:id="228" w:name="_Toc16764020"/>
      <w:r w:rsidRPr="00CE7C12">
        <w:t xml:space="preserve">approaches and responses being undertaken </w:t>
      </w:r>
      <w:r>
        <w:t xml:space="preserve">nationally and </w:t>
      </w:r>
      <w:r w:rsidRPr="00CE7C12">
        <w:t>in other jurisdictions</w:t>
      </w:r>
      <w:bookmarkEnd w:id="227"/>
      <w:bookmarkEnd w:id="228"/>
    </w:p>
    <w:p w14:paraId="7CA68415" w14:textId="77777777" w:rsidR="00E61C26" w:rsidRPr="00CE7C12" w:rsidRDefault="00E61C26" w:rsidP="003745A3">
      <w:pPr>
        <w:pStyle w:val="BodyText1"/>
        <w:numPr>
          <w:ilvl w:val="5"/>
          <w:numId w:val="26"/>
        </w:numPr>
      </w:pPr>
      <w:r w:rsidRPr="00CE7C12">
        <w:t xml:space="preserve">Several submissions to the Committee touched on the issue of best practice policy approaches and responses, with some noting examples from other jurisdictions which may inform policy for the ACT. </w:t>
      </w:r>
    </w:p>
    <w:p w14:paraId="1B261843" w14:textId="77777777" w:rsidR="00E61C26" w:rsidRPr="00CE7C12" w:rsidRDefault="00E61C26" w:rsidP="003745A3">
      <w:pPr>
        <w:pStyle w:val="BodyText1"/>
        <w:numPr>
          <w:ilvl w:val="5"/>
          <w:numId w:val="26"/>
        </w:numPr>
      </w:pPr>
      <w:r w:rsidRPr="00CE7C12">
        <w:t xml:space="preserve">Addressing first principles to best practice approaches, Our Watch informed the Committee that: </w:t>
      </w:r>
    </w:p>
    <w:p w14:paraId="1F7D74EB" w14:textId="77777777" w:rsidR="00E61C26" w:rsidRPr="00CE7C12" w:rsidRDefault="00E61C26" w:rsidP="00E61C26">
      <w:pPr>
        <w:pStyle w:val="Quote"/>
      </w:pPr>
      <w:r w:rsidRPr="00CE7C12">
        <w:t>With respect to best practice policy approaches to prevention, Our Watch’s organisational position, informed by the international evidence on this issue, is that gender inequality is the fundamental and underlying driver of violence against women.</w:t>
      </w:r>
      <w:r w:rsidRPr="00CE7C12">
        <w:rPr>
          <w:rStyle w:val="FootnoteReference"/>
        </w:rPr>
        <w:footnoteReference w:id="158"/>
      </w:r>
      <w:r w:rsidRPr="00CE7C12">
        <w:t xml:space="preserve"> </w:t>
      </w:r>
    </w:p>
    <w:p w14:paraId="2AFB2627" w14:textId="77777777" w:rsidR="00E61C26" w:rsidRPr="00CE7C12" w:rsidRDefault="00E61C26" w:rsidP="003745A3">
      <w:pPr>
        <w:pStyle w:val="BodyText1"/>
        <w:numPr>
          <w:ilvl w:val="5"/>
          <w:numId w:val="26"/>
        </w:numPr>
      </w:pPr>
      <w:r w:rsidRPr="00CE7C12">
        <w:t>Related to this point, ACTCOSS and White Ribbon Australia pointed out that best practice policy needs to promote behavioural and attitudinal change in order to prevent DFV before it occurs. ACTCOSS submitted that ‘productively and sustainably responding to domestic and family violence requires investment into prevention and early-intervention’.</w:t>
      </w:r>
      <w:r w:rsidRPr="00CE7C12">
        <w:rPr>
          <w:rStyle w:val="FootnoteReference"/>
        </w:rPr>
        <w:footnoteReference w:id="159"/>
      </w:r>
    </w:p>
    <w:p w14:paraId="7FF36448" w14:textId="6A445315" w:rsidR="00E61C26" w:rsidRPr="00CE7C12" w:rsidRDefault="00E61C26" w:rsidP="003745A3">
      <w:pPr>
        <w:pStyle w:val="BodyText1"/>
        <w:numPr>
          <w:ilvl w:val="5"/>
          <w:numId w:val="26"/>
        </w:numPr>
      </w:pPr>
      <w:r w:rsidRPr="00CE7C12">
        <w:t xml:space="preserve">A number of </w:t>
      </w:r>
      <w:r w:rsidR="00F016CA" w:rsidRPr="00CE7C12">
        <w:t>submissions</w:t>
      </w:r>
      <w:r w:rsidRPr="00CE7C12">
        <w:t xml:space="preserve"> posited that an integrated approach to support service delivery represents a best practice model. Toora Women, for instance, argued for a ‘holistic service delivery approach’, noting that ‘to be fully effective, community responses and support for women and children need to take into account the complexity of women’s DFV issues and apply a service model that removes barriers between services’.</w:t>
      </w:r>
      <w:r w:rsidRPr="00CE7C12">
        <w:rPr>
          <w:rStyle w:val="FootnoteReference"/>
        </w:rPr>
        <w:footnoteReference w:id="160"/>
      </w:r>
    </w:p>
    <w:p w14:paraId="375B0E40" w14:textId="77777777" w:rsidR="00E61C26" w:rsidRPr="00CE7C12" w:rsidRDefault="00E61C26" w:rsidP="003745A3">
      <w:pPr>
        <w:pStyle w:val="BodyText1"/>
        <w:numPr>
          <w:ilvl w:val="5"/>
          <w:numId w:val="26"/>
        </w:numPr>
      </w:pPr>
      <w:r w:rsidRPr="00CE7C12">
        <w:t xml:space="preserve">As an example of such an integrated approach, ACT Policing submitted that ‘the South Australian Multi Agency Protection Service (MAPS) is considered best practice in co-locating agencies, information sharing and collaboration relative to Domestic Violence’. ACT Policing pointed out the benefits of MAPS: ‘early identification and intervention, holistic risk assessment processes, better coordination or responses, reduction of harm to vulnerable </w:t>
      </w:r>
      <w:r w:rsidRPr="00CE7C12">
        <w:lastRenderedPageBreak/>
        <w:t>people and families, greater and more timely information sharing across agencies, improved efficiencies (including reduced duplication), and the cultivation of shared cultures in the management of domestic violence.’</w:t>
      </w:r>
      <w:r w:rsidRPr="00CE7C12">
        <w:rPr>
          <w:rStyle w:val="FootnoteReference"/>
        </w:rPr>
        <w:footnoteReference w:id="161"/>
      </w:r>
    </w:p>
    <w:p w14:paraId="3B3E7CE6" w14:textId="77777777" w:rsidR="00E61C26" w:rsidRPr="00CE7C12" w:rsidRDefault="00E61C26" w:rsidP="003745A3">
      <w:pPr>
        <w:pStyle w:val="BodyText1"/>
        <w:numPr>
          <w:ilvl w:val="5"/>
          <w:numId w:val="26"/>
        </w:numPr>
      </w:pPr>
      <w:r w:rsidRPr="00CE7C12">
        <w:t>The ACT Government’s response to the need for an integrated approach to service delivery is discussed further below.</w:t>
      </w:r>
    </w:p>
    <w:p w14:paraId="674A609D" w14:textId="0F7EFDF7" w:rsidR="00E61C26" w:rsidRPr="00CE7C12" w:rsidRDefault="00E61C26" w:rsidP="003745A3">
      <w:pPr>
        <w:pStyle w:val="BodyText1"/>
        <w:numPr>
          <w:ilvl w:val="5"/>
          <w:numId w:val="26"/>
        </w:numPr>
      </w:pPr>
      <w:r w:rsidRPr="00CE7C12">
        <w:t xml:space="preserve">In their submission, ACT Policing highlighted a range of best practice policing initiatives being undertaken in other jurisdictions. For one, the UK government has implemented a Domestic Violence Disclosure Scheme designed ‘to give members of the public a formal mechanism to make enquiries about an individual who they are in a relationship with, or who is in a relationship with someone they </w:t>
      </w:r>
      <w:r w:rsidR="00F016CA" w:rsidRPr="00CE7C12">
        <w:t>know and</w:t>
      </w:r>
      <w:r w:rsidRPr="00CE7C12">
        <w:t xml:space="preserve"> has concerns that the individual may be abusive’. NSW has developed a similar scheme based on the UK initiative. </w:t>
      </w:r>
      <w:r w:rsidRPr="00CE7C12">
        <w:rPr>
          <w:rStyle w:val="FootnoteReference"/>
        </w:rPr>
        <w:footnoteReference w:id="162"/>
      </w:r>
    </w:p>
    <w:p w14:paraId="2B6957CE" w14:textId="77777777" w:rsidR="00E61C26" w:rsidRPr="00CE7C12" w:rsidRDefault="00E61C26" w:rsidP="003745A3">
      <w:pPr>
        <w:pStyle w:val="BodyText1"/>
        <w:numPr>
          <w:ilvl w:val="5"/>
          <w:numId w:val="26"/>
        </w:numPr>
      </w:pPr>
      <w:r w:rsidRPr="00CE7C12">
        <w:t>ACT Policing ‘is considering developing a proposal for such a scheme in the ACT and will consult with the NSW Police Force to determine the effectiveness of their pilot following its completion’.</w:t>
      </w:r>
      <w:r w:rsidRPr="00CE7C12">
        <w:rPr>
          <w:rStyle w:val="FootnoteReference"/>
        </w:rPr>
        <w:footnoteReference w:id="163"/>
      </w:r>
    </w:p>
    <w:p w14:paraId="035A3B7A" w14:textId="77777777" w:rsidR="00E61C26" w:rsidRPr="00CE7C12" w:rsidRDefault="00E61C26" w:rsidP="003745A3">
      <w:pPr>
        <w:pStyle w:val="BodyText1"/>
        <w:numPr>
          <w:ilvl w:val="5"/>
          <w:numId w:val="26"/>
        </w:numPr>
      </w:pPr>
      <w:r w:rsidRPr="00CE7C12">
        <w:t>The NSW Police Force has also established three High Risk Offender Teams ‘who conduct daily operations and investigations to identify and target repeat domestic violence offenders to reduce reoffending’. ACT Policing is similarly ‘considering implementing an initiative focused on high risk, recidivist DFV perpetrator accountability regarding compliance with DFV Orders and court attendance’.</w:t>
      </w:r>
      <w:r w:rsidRPr="00CE7C12">
        <w:rPr>
          <w:rStyle w:val="FootnoteReference"/>
        </w:rPr>
        <w:footnoteReference w:id="164"/>
      </w:r>
    </w:p>
    <w:p w14:paraId="37A86F4B" w14:textId="77777777" w:rsidR="00E61C26" w:rsidRPr="00CE7C12" w:rsidRDefault="00E61C26" w:rsidP="003745A3">
      <w:pPr>
        <w:pStyle w:val="BodyText1"/>
        <w:numPr>
          <w:ilvl w:val="5"/>
          <w:numId w:val="26"/>
        </w:numPr>
      </w:pPr>
      <w:r w:rsidRPr="00CE7C12">
        <w:t>The ACT Human Rights Commission suggested that ‘it is time for the Government to take action towards developing ACT Police issued safety notices’.</w:t>
      </w:r>
      <w:r w:rsidRPr="00CE7C12">
        <w:rPr>
          <w:rStyle w:val="FootnoteReference"/>
        </w:rPr>
        <w:footnoteReference w:id="165"/>
      </w:r>
      <w:r w:rsidRPr="00CE7C12">
        <w:t xml:space="preserve"> The Commission submitted that:</w:t>
      </w:r>
    </w:p>
    <w:p w14:paraId="53C25E05" w14:textId="77777777" w:rsidR="00E61C26" w:rsidRPr="00CE7C12" w:rsidRDefault="00E61C26" w:rsidP="003745A3">
      <w:pPr>
        <w:pStyle w:val="BodyText1"/>
        <w:numPr>
          <w:ilvl w:val="0"/>
          <w:numId w:val="24"/>
        </w:numPr>
      </w:pPr>
      <w:r w:rsidRPr="00CE7C12">
        <w:t>Police issued safety notices may have the capacity to fill a gap in the non-arrest interventions available to police.</w:t>
      </w:r>
    </w:p>
    <w:p w14:paraId="629DD47C" w14:textId="77777777" w:rsidR="00E61C26" w:rsidRPr="00CE7C12" w:rsidRDefault="00E61C26" w:rsidP="003745A3">
      <w:pPr>
        <w:pStyle w:val="BodyText1"/>
        <w:numPr>
          <w:ilvl w:val="0"/>
          <w:numId w:val="24"/>
        </w:numPr>
      </w:pPr>
      <w:r w:rsidRPr="00CE7C12">
        <w:t>Police issued safety notices would provide an important intervention opportunity for police where an offence may not meet the burden of proof required at court.</w:t>
      </w:r>
    </w:p>
    <w:p w14:paraId="5BED7DC0" w14:textId="77777777" w:rsidR="00E61C26" w:rsidRPr="00CE7C12" w:rsidRDefault="00E61C26" w:rsidP="003745A3">
      <w:pPr>
        <w:pStyle w:val="BodyText1"/>
        <w:numPr>
          <w:ilvl w:val="0"/>
          <w:numId w:val="24"/>
        </w:numPr>
      </w:pPr>
      <w:r w:rsidRPr="00CE7C12">
        <w:t>Recent changes in ACT Policing, including the pilot of the family violence risk assessment tool, have increased police capability to identify situations where there is risk of further family violence that cannot be addressed through police charges.</w:t>
      </w:r>
    </w:p>
    <w:p w14:paraId="40FE0D62" w14:textId="77777777" w:rsidR="00E61C26" w:rsidRPr="00CE7C12" w:rsidRDefault="00E61C26" w:rsidP="003745A3">
      <w:pPr>
        <w:pStyle w:val="BodyText1"/>
        <w:numPr>
          <w:ilvl w:val="0"/>
          <w:numId w:val="24"/>
        </w:numPr>
      </w:pPr>
      <w:r w:rsidRPr="00CE7C12">
        <w:lastRenderedPageBreak/>
        <w:t>Police issued safety notices provide an important opportunity to reduce the burden on victims to take steps to protect their own safety. In all other jurisdictions, police have a role in either making or applying for orders on behalf of victims.</w:t>
      </w:r>
      <w:r w:rsidRPr="00CE7C12">
        <w:rPr>
          <w:rStyle w:val="FootnoteReference"/>
        </w:rPr>
        <w:footnoteReference w:id="166"/>
      </w:r>
    </w:p>
    <w:p w14:paraId="6D54523F" w14:textId="77777777" w:rsidR="00E61C26" w:rsidRPr="00CE7C12" w:rsidRDefault="00E61C26" w:rsidP="003745A3">
      <w:pPr>
        <w:pStyle w:val="Headinglevel2"/>
        <w:numPr>
          <w:ilvl w:val="1"/>
          <w:numId w:val="26"/>
        </w:numPr>
      </w:pPr>
      <w:bookmarkStart w:id="229" w:name="_Toc525296989"/>
      <w:bookmarkStart w:id="230" w:name="_Toc16764021"/>
      <w:r w:rsidRPr="00CE7C12">
        <w:t>ACT initiatives</w:t>
      </w:r>
      <w:bookmarkEnd w:id="229"/>
      <w:bookmarkEnd w:id="230"/>
    </w:p>
    <w:p w14:paraId="56E43F6F" w14:textId="77777777" w:rsidR="00E61C26" w:rsidRPr="00CE7C12" w:rsidRDefault="00E61C26" w:rsidP="003745A3">
      <w:pPr>
        <w:pStyle w:val="BodyText1"/>
        <w:numPr>
          <w:ilvl w:val="5"/>
          <w:numId w:val="26"/>
        </w:numPr>
      </w:pPr>
      <w:r w:rsidRPr="00CE7C12">
        <w:t>It is clear t</w:t>
      </w:r>
      <w:r>
        <w:t>hat the ACT Government is cognis</w:t>
      </w:r>
      <w:r w:rsidRPr="00CE7C12">
        <w:t xml:space="preserve">ant that an integrated approach to service delivery works best. On 31 October 2016, an ACT Coordinator-General for Safer Families commenced work to ‘drive cultural change, lead reform and provide accountability’. Minister for the Prevention of Domestic and Family Violence, Ms Yvette Berry MLA, informed the ACT Legislative Assembly on 5 June 2018 that the ‘ACT Government’s Coordinator-General for Family Safety has been a driver for an interconnected, whole of government and community approach to implementing the </w:t>
      </w:r>
      <w:r>
        <w:t xml:space="preserve">ACT </w:t>
      </w:r>
      <w:r w:rsidRPr="00CE7C12">
        <w:t xml:space="preserve">Government’s commitments to address domestic and family violence’. </w:t>
      </w:r>
    </w:p>
    <w:p w14:paraId="0D626B9B" w14:textId="77777777" w:rsidR="00E61C26" w:rsidRPr="00CE7C12" w:rsidRDefault="00E61C26" w:rsidP="003745A3">
      <w:pPr>
        <w:pStyle w:val="BodyText1"/>
        <w:numPr>
          <w:ilvl w:val="5"/>
          <w:numId w:val="26"/>
        </w:numPr>
      </w:pPr>
      <w:r w:rsidRPr="00CE7C12">
        <w:t>One key strategic initiative undertaken by the Coordinator-General was ‘oversight of a co-design process to inform the development of a Family Safety Hub to improve service integration and coordination’. The Family Safety Hub is discussed in chapter five of this report.</w:t>
      </w:r>
    </w:p>
    <w:p w14:paraId="13C6CA77" w14:textId="77777777" w:rsidR="00E61C26" w:rsidRPr="00CE7C12" w:rsidRDefault="00E61C26" w:rsidP="003745A3">
      <w:pPr>
        <w:pStyle w:val="BodyText1"/>
        <w:numPr>
          <w:ilvl w:val="5"/>
          <w:numId w:val="26"/>
        </w:numPr>
      </w:pPr>
      <w:r w:rsidRPr="00CE7C12">
        <w:t>Related to this initiative, the Foundation for Alcohol Research and Education submitted that:</w:t>
      </w:r>
    </w:p>
    <w:p w14:paraId="4C51F0B3" w14:textId="77777777" w:rsidR="00E61C26" w:rsidRPr="00CE7C12" w:rsidRDefault="00E61C26" w:rsidP="00E61C26">
      <w:pPr>
        <w:pStyle w:val="Quote"/>
      </w:pPr>
      <w:r w:rsidRPr="00CE7C12">
        <w:t>The ACT Government’s new Family Safety Hub hopes to provide an integrated support service for victims of family violence. However, the current description of the Hub’s purpose, while considering housing services, does not mention the interrelatedness of alcohol and other drug services with family violence support services.</w:t>
      </w:r>
      <w:r w:rsidRPr="00CE7C12">
        <w:rPr>
          <w:rStyle w:val="FootnoteReference"/>
        </w:rPr>
        <w:footnoteReference w:id="167"/>
      </w:r>
      <w:r w:rsidRPr="00CE7C12">
        <w:t xml:space="preserve"> </w:t>
      </w:r>
    </w:p>
    <w:p w14:paraId="7E8BE914" w14:textId="77777777" w:rsidR="00E61C26" w:rsidRPr="00CE7C12" w:rsidRDefault="00E61C26" w:rsidP="003745A3">
      <w:pPr>
        <w:pStyle w:val="BodyText1"/>
        <w:numPr>
          <w:ilvl w:val="5"/>
          <w:numId w:val="26"/>
        </w:numPr>
      </w:pPr>
      <w:r w:rsidRPr="00CE7C12">
        <w:t>The Foundation for Alcohol Research and Education suggest that ‘developing and funding a comprehensive Model of Care (MoC) for victims of alcohol-related family violence will improve service integration’. They explain that a MoC is ‘a coordinated and evidence-based package of programs that:</w:t>
      </w:r>
    </w:p>
    <w:p w14:paraId="58798D3D" w14:textId="77777777" w:rsidR="00E61C26" w:rsidRPr="00CE7C12" w:rsidRDefault="00E61C26" w:rsidP="003745A3">
      <w:pPr>
        <w:pStyle w:val="BodyText1"/>
        <w:numPr>
          <w:ilvl w:val="0"/>
          <w:numId w:val="23"/>
        </w:numPr>
      </w:pPr>
      <w:r w:rsidRPr="00CE7C12">
        <w:t>Provide a structure for collaboration to meet the complex trauma-related support needs of AOD [alcohol and other drug] treatment and family violence service clients</w:t>
      </w:r>
    </w:p>
    <w:p w14:paraId="4A2C496E" w14:textId="77777777" w:rsidR="00E61C26" w:rsidRPr="00CE7C12" w:rsidRDefault="00E61C26" w:rsidP="003745A3">
      <w:pPr>
        <w:pStyle w:val="BodyText1"/>
        <w:numPr>
          <w:ilvl w:val="0"/>
          <w:numId w:val="23"/>
        </w:numPr>
      </w:pPr>
      <w:r w:rsidRPr="00CE7C12">
        <w:t>Focuses on developing professionals shared understanding of the issues through cross-agency training and establishing formal partnership for delivery of training</w:t>
      </w:r>
    </w:p>
    <w:p w14:paraId="2009ECDC" w14:textId="77777777" w:rsidR="00E61C26" w:rsidRPr="00CE7C12" w:rsidRDefault="00E61C26" w:rsidP="003745A3">
      <w:pPr>
        <w:pStyle w:val="BodyText1"/>
        <w:numPr>
          <w:ilvl w:val="0"/>
          <w:numId w:val="23"/>
        </w:numPr>
      </w:pPr>
      <w:r w:rsidRPr="00CE7C12">
        <w:lastRenderedPageBreak/>
        <w:t>Coordinates and delivers a standardised approach to information to protect the privacy, safety and wellbeing of clients and their children, this includes the development of common risk assessment frameworks’.</w:t>
      </w:r>
      <w:r w:rsidRPr="00CE7C12">
        <w:footnoteReference w:id="168"/>
      </w:r>
    </w:p>
    <w:p w14:paraId="37D07CFA" w14:textId="77777777" w:rsidR="00E61C26" w:rsidRPr="00CE7C12" w:rsidRDefault="00E61C26" w:rsidP="003745A3">
      <w:pPr>
        <w:pStyle w:val="BodyText1"/>
        <w:numPr>
          <w:ilvl w:val="5"/>
          <w:numId w:val="26"/>
        </w:numPr>
      </w:pPr>
      <w:r w:rsidRPr="00CE7C12">
        <w:t xml:space="preserve">Domestic Violence Crisis Service’s submission to the inquiry highlighted their Room4Change program as an example of a best practice response being undertaken in the ACT. The program was funded under the ACT Government’s Safer Families budget initiative in 2016 and is delivered by the Crisis Service. Room4Change is ‘a residential therapeutic model for people who use violence and/or controlling behaviours and who want to change that behaviour’. Through the Room4Change program, the Crisis Service will provide ‘a group for fathers called </w:t>
      </w:r>
      <w:r w:rsidRPr="00CE7C12">
        <w:rPr>
          <w:i/>
        </w:rPr>
        <w:t>Caring Dads</w:t>
      </w:r>
      <w:r w:rsidRPr="00CE7C12">
        <w:t xml:space="preserve"> and an 8-week program called </w:t>
      </w:r>
      <w:r w:rsidRPr="00CE7C12">
        <w:rPr>
          <w:i/>
        </w:rPr>
        <w:t>Emerge</w:t>
      </w:r>
      <w:r w:rsidRPr="00CE7C12">
        <w:t xml:space="preserve"> which will run 4 times a year to prepare men for their journey towards responsibility’.</w:t>
      </w:r>
      <w:r w:rsidRPr="00CE7C12">
        <w:rPr>
          <w:rStyle w:val="FootnoteReference"/>
        </w:rPr>
        <w:footnoteReference w:id="169"/>
      </w:r>
    </w:p>
    <w:p w14:paraId="5457607B" w14:textId="77777777" w:rsidR="00E61C26" w:rsidRDefault="00E61C26" w:rsidP="003745A3">
      <w:pPr>
        <w:pStyle w:val="BodyText1"/>
        <w:numPr>
          <w:ilvl w:val="5"/>
          <w:numId w:val="26"/>
        </w:numPr>
      </w:pPr>
      <w:r w:rsidRPr="00CE7C12">
        <w:t xml:space="preserve">The Crisis Service further explained that Room4Change ‘forms part of our whole-of-family service response, sitting alongside the Staying@Home program which has funding from the Commonwealth Government for the 2016-2020 period. This program ensures women and children are safe to remain in their homes, providing appropriate security upgrades and ongoing case management support’. </w:t>
      </w:r>
      <w:r w:rsidRPr="00CE7C12">
        <w:rPr>
          <w:rStyle w:val="FootnoteReference"/>
        </w:rPr>
        <w:footnoteReference w:id="170"/>
      </w:r>
    </w:p>
    <w:p w14:paraId="371D2A79" w14:textId="77777777" w:rsidR="00E61C26" w:rsidRDefault="00E61C26" w:rsidP="003745A3">
      <w:pPr>
        <w:pStyle w:val="Headinglevel3"/>
        <w:numPr>
          <w:ilvl w:val="2"/>
          <w:numId w:val="26"/>
        </w:numPr>
      </w:pPr>
      <w:r>
        <w:t>Committee Comment</w:t>
      </w:r>
    </w:p>
    <w:p w14:paraId="74F32AFC" w14:textId="77777777" w:rsidR="00E61C26" w:rsidRDefault="00E61C26" w:rsidP="003745A3">
      <w:pPr>
        <w:pStyle w:val="BodyText1"/>
        <w:numPr>
          <w:ilvl w:val="5"/>
          <w:numId w:val="26"/>
        </w:numPr>
      </w:pPr>
      <w:r>
        <w:t>Views put to the Committee on this area of reference have highlighted activities and involvement with other jurisdictions which largely flow form the engagement in the National Plan.</w:t>
      </w:r>
    </w:p>
    <w:p w14:paraId="2FC50D3E" w14:textId="1CCB3D6E" w:rsidR="00E61C26" w:rsidRDefault="00E61C26" w:rsidP="003745A3">
      <w:pPr>
        <w:pStyle w:val="BodyText1"/>
        <w:numPr>
          <w:ilvl w:val="5"/>
          <w:numId w:val="26"/>
        </w:numPr>
      </w:pPr>
      <w:r>
        <w:t xml:space="preserve">The Committee has noted the result of its discussions with those making submissions to the inquiry, particularly addressing the ACT’s involvement with the National Plan Implementation Executive Group central to the current (Third) Action Plan directed at all-jurisdiction coordination of programs.  In addition, programs - including Our Watch program - which are directed to change and improve all levels of behaviour challenges and imbalance which </w:t>
      </w:r>
      <w:r w:rsidR="00F016CA">
        <w:t>a feature of domestic and family violence are</w:t>
      </w:r>
      <w:r>
        <w:t xml:space="preserve"> important to develop and reinforce national attitude change.</w:t>
      </w:r>
    </w:p>
    <w:p w14:paraId="3599DB91" w14:textId="77777777" w:rsidR="00E61C26" w:rsidRDefault="00E61C26" w:rsidP="003745A3">
      <w:pPr>
        <w:pStyle w:val="BodyText1"/>
        <w:numPr>
          <w:ilvl w:val="5"/>
          <w:numId w:val="26"/>
        </w:numPr>
      </w:pPr>
      <w:r>
        <w:t>The Committee also observes that ACT, and organisational involvement, with these programs and working groups particularly in relation to better practice and outcomes in child protection and family violence areas to share information, identify risk and improve the professional capability of those working in legal and family jurisdictions.  The involvement of ACT Policing with other jurisdictions to improve and utilise best-practice risk assessment and action programs form other jurisdictions is also essential.</w:t>
      </w:r>
    </w:p>
    <w:p w14:paraId="6A890D8F" w14:textId="77777777" w:rsidR="00E61C26" w:rsidRDefault="00E61C26" w:rsidP="003745A3">
      <w:pPr>
        <w:pStyle w:val="BodyText1"/>
        <w:numPr>
          <w:ilvl w:val="5"/>
          <w:numId w:val="26"/>
        </w:numPr>
      </w:pPr>
      <w:r>
        <w:lastRenderedPageBreak/>
        <w:t>The committee’s recommendation on this area is directed at continual involvement and contribution to appropriate and effective bodies working in other jurisdictions.</w:t>
      </w:r>
    </w:p>
    <w:p w14:paraId="26DA1685" w14:textId="77777777" w:rsidR="00E61C26" w:rsidRDefault="00E61C26" w:rsidP="00E61C26">
      <w:pPr>
        <w:rPr>
          <w:rFonts w:ascii="Arial Narrow" w:hAnsi="Arial Narrow" w:cs="Arial"/>
          <w:bCs/>
          <w:smallCaps/>
          <w:spacing w:val="40"/>
          <w:kern w:val="32"/>
          <w:sz w:val="44"/>
          <w:szCs w:val="36"/>
        </w:rPr>
      </w:pPr>
    </w:p>
    <w:p w14:paraId="179EB18E" w14:textId="77777777" w:rsidR="00E61C26" w:rsidRDefault="00E61C26" w:rsidP="00E61C26">
      <w:pPr>
        <w:pStyle w:val="Heading1"/>
        <w:sectPr w:rsidR="00E61C26" w:rsidSect="005722A6">
          <w:footerReference w:type="even" r:id="rId30"/>
          <w:footerReference w:type="default" r:id="rId31"/>
          <w:headerReference w:type="first" r:id="rId32"/>
          <w:type w:val="oddPage"/>
          <w:pgSz w:w="11907" w:h="16840" w:code="9"/>
          <w:pgMar w:top="1588" w:right="1418" w:bottom="1418" w:left="1418" w:header="720" w:footer="851" w:gutter="0"/>
          <w:cols w:space="720"/>
          <w:docGrid w:linePitch="360"/>
        </w:sectPr>
      </w:pPr>
    </w:p>
    <w:p w14:paraId="3E0E41C5" w14:textId="77777777" w:rsidR="00E61C26" w:rsidRDefault="00E61C26" w:rsidP="00E61C26">
      <w:pPr>
        <w:pStyle w:val="Heading1"/>
      </w:pPr>
      <w:bookmarkStart w:id="231" w:name="_Toc16764022"/>
      <w:bookmarkStart w:id="232" w:name="_Toc341433430"/>
      <w:bookmarkStart w:id="233" w:name="_Toc341687875"/>
      <w:r w:rsidRPr="00123676">
        <w:lastRenderedPageBreak/>
        <w:t>C</w:t>
      </w:r>
      <w:r>
        <w:t>onclusion</w:t>
      </w:r>
      <w:bookmarkEnd w:id="231"/>
      <w:r w:rsidRPr="00123676">
        <w:t xml:space="preserve"> </w:t>
      </w:r>
      <w:bookmarkEnd w:id="232"/>
      <w:bookmarkEnd w:id="233"/>
    </w:p>
    <w:p w14:paraId="43FDEA59" w14:textId="77777777" w:rsidR="00E61C26" w:rsidRDefault="00E61C26" w:rsidP="00E61C26">
      <w:pPr>
        <w:pStyle w:val="BodyText1"/>
      </w:pPr>
      <w:r>
        <w:t xml:space="preserve">Domestic and family violence causes physical and psychological harm, destroys families and erodes communities.  The Committee recognises that preventing and responding to domestic and family violence is a complex and challenging area of law, policy and service delivery. </w:t>
      </w:r>
    </w:p>
    <w:p w14:paraId="7F14329E" w14:textId="77777777" w:rsidR="00E61C26" w:rsidRDefault="00E61C26" w:rsidP="00E61C26">
      <w:pPr>
        <w:pStyle w:val="BodyText1"/>
      </w:pPr>
      <w:r>
        <w:t>Responding to such violence requires a variety of policy approaches and can include: primary prevention and community attitude campaigns; integrated intervention programs; mass-screening programs; programs for violence perpetrators; programs for victims who have been subject to domestic violence; legislative approaches; and criminal justice approaches.  It is useful that the adequacy and effectiveness of policy approaches and responses is examined.</w:t>
      </w:r>
    </w:p>
    <w:p w14:paraId="44E6D2E1" w14:textId="77777777" w:rsidR="00E61C26" w:rsidRDefault="00E61C26" w:rsidP="00E61C26">
      <w:pPr>
        <w:pStyle w:val="BodyText1"/>
      </w:pPr>
      <w:r>
        <w:t>The Committee acknowledges the considerable efforts of people working at the policy development and frontline of service delivery in this complex and challenging area.  The Committee also acknowledges that frontline services are often delivered under significant pressure and demand.</w:t>
      </w:r>
    </w:p>
    <w:p w14:paraId="6634E8C3" w14:textId="77777777" w:rsidR="00E61C26" w:rsidRDefault="00E61C26" w:rsidP="00E61C26">
      <w:pPr>
        <w:pStyle w:val="BodyText1"/>
      </w:pPr>
      <w:r>
        <w:t xml:space="preserve">The Committee wishes to thank all of those who have contributed to its inquiry, by making submissions and/or appearing before it to give evidence.  </w:t>
      </w:r>
      <w:r w:rsidRPr="00991F1B">
        <w:t xml:space="preserve">The Committee recognises the significant commitment of time and resources required to participate in an inquiry of this nature and is grateful that it was able to draw on a broad range of expertise and experience in its deliberations.  </w:t>
      </w:r>
      <w:r>
        <w:t>In its report, t</w:t>
      </w:r>
      <w:r w:rsidRPr="00991F1B">
        <w:t>he Committee has based many of its recommendations, or variations thereof, on suggestions by inquiry participants.</w:t>
      </w:r>
    </w:p>
    <w:p w14:paraId="16D277AE" w14:textId="7ECDAD3E" w:rsidR="00E61C26" w:rsidRDefault="00E61C26" w:rsidP="00E61C26">
      <w:pPr>
        <w:pStyle w:val="BodyText1"/>
      </w:pPr>
      <w:r w:rsidRPr="00960E9A">
        <w:t xml:space="preserve">The </w:t>
      </w:r>
      <w:r w:rsidRPr="00F67234">
        <w:t xml:space="preserve">Committee has made </w:t>
      </w:r>
      <w:r>
        <w:rPr>
          <w:b/>
        </w:rPr>
        <w:t>60</w:t>
      </w:r>
      <w:r w:rsidRPr="00F67234">
        <w:rPr>
          <w:b/>
        </w:rPr>
        <w:t xml:space="preserve"> </w:t>
      </w:r>
      <w:r w:rsidRPr="00F67234">
        <w:t>recommendations</w:t>
      </w:r>
      <w:r w:rsidRPr="00960E9A">
        <w:t xml:space="preserve"> in relation to its inquiry into </w:t>
      </w:r>
      <w:r>
        <w:t>domestic and family violence—policy approaches and responses</w:t>
      </w:r>
      <w:r w:rsidRPr="00960E9A">
        <w:t>.</w:t>
      </w:r>
    </w:p>
    <w:p w14:paraId="234604D6" w14:textId="77777777" w:rsidR="00E61C26" w:rsidRDefault="00E61C26" w:rsidP="00E61C26">
      <w:pPr>
        <w:pStyle w:val="BodyText1"/>
        <w:numPr>
          <w:ilvl w:val="0"/>
          <w:numId w:val="0"/>
        </w:numPr>
        <w:ind w:left="680" w:hanging="680"/>
      </w:pPr>
    </w:p>
    <w:p w14:paraId="5034492D" w14:textId="77777777" w:rsidR="00E61C26" w:rsidRDefault="00E61C26" w:rsidP="00E61C26">
      <w:pPr>
        <w:pStyle w:val="BodyText1"/>
        <w:numPr>
          <w:ilvl w:val="0"/>
          <w:numId w:val="0"/>
        </w:numPr>
        <w:ind w:left="680" w:hanging="680"/>
      </w:pPr>
    </w:p>
    <w:p w14:paraId="00E82F79" w14:textId="77777777" w:rsidR="00E61C26" w:rsidRDefault="00E61C26" w:rsidP="00E61C26">
      <w:pPr>
        <w:pStyle w:val="BodyText1"/>
        <w:numPr>
          <w:ilvl w:val="0"/>
          <w:numId w:val="0"/>
        </w:numPr>
        <w:ind w:left="680" w:hanging="680"/>
      </w:pPr>
    </w:p>
    <w:p w14:paraId="6671EC8D" w14:textId="77777777" w:rsidR="00E61C26" w:rsidRDefault="00E61C26" w:rsidP="00E61C26">
      <w:pPr>
        <w:pStyle w:val="BodyText1"/>
        <w:numPr>
          <w:ilvl w:val="0"/>
          <w:numId w:val="0"/>
        </w:numPr>
        <w:ind w:left="680" w:hanging="680"/>
      </w:pPr>
    </w:p>
    <w:p w14:paraId="3B8CD4E3" w14:textId="77777777" w:rsidR="00E61C26" w:rsidRDefault="00E61C26" w:rsidP="00E61C26">
      <w:pPr>
        <w:pStyle w:val="BodyText1"/>
        <w:numPr>
          <w:ilvl w:val="0"/>
          <w:numId w:val="0"/>
        </w:numPr>
        <w:ind w:left="680" w:hanging="680"/>
      </w:pPr>
    </w:p>
    <w:p w14:paraId="24CFCA7B" w14:textId="77777777" w:rsidR="00E61C26" w:rsidRPr="00960E9A" w:rsidRDefault="00E61C26" w:rsidP="00E61C26">
      <w:pPr>
        <w:pStyle w:val="BodyText1"/>
        <w:numPr>
          <w:ilvl w:val="0"/>
          <w:numId w:val="0"/>
        </w:numPr>
        <w:ind w:left="680" w:hanging="680"/>
      </w:pPr>
      <w:r>
        <w:t xml:space="preserve">Mrs Giulia Jones </w:t>
      </w:r>
      <w:r w:rsidRPr="00960E9A">
        <w:t>MLA</w:t>
      </w:r>
    </w:p>
    <w:p w14:paraId="52978522" w14:textId="77777777" w:rsidR="00E61C26" w:rsidRPr="00960E9A" w:rsidRDefault="00E61C26" w:rsidP="00E61C26">
      <w:pPr>
        <w:spacing w:before="240" w:after="100" w:line="288" w:lineRule="auto"/>
        <w:ind w:left="680" w:hanging="680"/>
      </w:pPr>
      <w:r w:rsidRPr="00960E9A">
        <w:t>Chair</w:t>
      </w:r>
    </w:p>
    <w:p w14:paraId="19DB48E3" w14:textId="347AFE6C" w:rsidR="00E61C26" w:rsidRDefault="00CE7B67" w:rsidP="00E61C26">
      <w:pPr>
        <w:keepNext/>
        <w:spacing w:before="160" w:after="80" w:line="288" w:lineRule="auto"/>
        <w:outlineLvl w:val="1"/>
        <w:rPr>
          <w:rFonts w:cs="Arial"/>
          <w:iCs/>
        </w:rPr>
        <w:sectPr w:rsidR="00E61C26" w:rsidSect="005722A6">
          <w:headerReference w:type="even" r:id="rId33"/>
          <w:headerReference w:type="first" r:id="rId34"/>
          <w:type w:val="oddPage"/>
          <w:pgSz w:w="11907" w:h="16840" w:code="9"/>
          <w:pgMar w:top="1588" w:right="1418" w:bottom="1418" w:left="1418" w:header="720" w:footer="851" w:gutter="0"/>
          <w:cols w:space="720"/>
          <w:docGrid w:linePitch="360"/>
        </w:sectPr>
      </w:pPr>
      <w:r w:rsidRPr="0058160C">
        <w:rPr>
          <w:rFonts w:cs="Arial"/>
          <w:iCs/>
        </w:rPr>
        <w:t xml:space="preserve">22 August </w:t>
      </w:r>
      <w:r w:rsidR="00E61C26" w:rsidRPr="0058160C">
        <w:rPr>
          <w:rFonts w:cs="Arial"/>
          <w:iCs/>
        </w:rPr>
        <w:t>2019</w:t>
      </w:r>
    </w:p>
    <w:p w14:paraId="0C87F6A6" w14:textId="77777777" w:rsidR="00E61C26" w:rsidRPr="00344FB1" w:rsidRDefault="00E61C26" w:rsidP="003745A3">
      <w:pPr>
        <w:pStyle w:val="AppendixHeading1"/>
        <w:numPr>
          <w:ilvl w:val="7"/>
          <w:numId w:val="19"/>
        </w:numPr>
      </w:pPr>
      <w:bookmarkStart w:id="234" w:name="_Toc497043226"/>
      <w:bookmarkStart w:id="235" w:name="_Toc16764023"/>
      <w:bookmarkStart w:id="236" w:name="_Toc444182515"/>
      <w:r w:rsidRPr="00344FB1">
        <w:lastRenderedPageBreak/>
        <w:t>Interstate field visit</w:t>
      </w:r>
      <w:bookmarkEnd w:id="234"/>
      <w:r w:rsidRPr="00344FB1">
        <w:t>—Melbourne, Victoria</w:t>
      </w:r>
      <w:bookmarkEnd w:id="235"/>
    </w:p>
    <w:p w14:paraId="570DEB09" w14:textId="77777777" w:rsidR="00E61C26" w:rsidRPr="00DC77DB" w:rsidRDefault="00E61C26" w:rsidP="00E61C26">
      <w:pPr>
        <w:pStyle w:val="Bodytextnonumbering"/>
        <w:rPr>
          <w:b/>
        </w:rPr>
      </w:pPr>
      <w:r>
        <w:rPr>
          <w:b/>
        </w:rPr>
        <w:t>Wednesday 3</w:t>
      </w:r>
      <w:r w:rsidRPr="00DC77DB">
        <w:rPr>
          <w:b/>
        </w:rPr>
        <w:t xml:space="preserve"> May 2017</w:t>
      </w:r>
    </w:p>
    <w:tbl>
      <w:tblPr>
        <w:tblW w:w="907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7"/>
        <w:gridCol w:w="5385"/>
      </w:tblGrid>
      <w:tr w:rsidR="00E61C26" w:rsidRPr="00832BAC" w14:paraId="6D5B0241" w14:textId="77777777" w:rsidTr="005722A6">
        <w:tc>
          <w:tcPr>
            <w:tcW w:w="3687" w:type="dxa"/>
            <w:shd w:val="pct15" w:color="auto" w:fill="auto"/>
          </w:tcPr>
          <w:p w14:paraId="4BFEA2F8" w14:textId="77777777" w:rsidR="00E61C26" w:rsidRPr="00832BAC" w:rsidRDefault="00E61C26" w:rsidP="005722A6">
            <w:pPr>
              <w:pStyle w:val="Agendasub-item"/>
              <w:ind w:left="0"/>
              <w:jc w:val="center"/>
              <w:rPr>
                <w:b/>
              </w:rPr>
            </w:pPr>
            <w:r w:rsidRPr="00832BAC">
              <w:rPr>
                <w:b/>
              </w:rPr>
              <w:t>Organisation</w:t>
            </w:r>
          </w:p>
        </w:tc>
        <w:tc>
          <w:tcPr>
            <w:tcW w:w="5385" w:type="dxa"/>
            <w:shd w:val="pct15" w:color="auto" w:fill="auto"/>
          </w:tcPr>
          <w:p w14:paraId="02BED0C0" w14:textId="77777777" w:rsidR="00E61C26" w:rsidRPr="00832BAC" w:rsidRDefault="00E61C26" w:rsidP="005722A6">
            <w:pPr>
              <w:pStyle w:val="Agendasub-item"/>
              <w:ind w:left="0"/>
              <w:jc w:val="center"/>
              <w:rPr>
                <w:b/>
              </w:rPr>
            </w:pPr>
            <w:r w:rsidRPr="00832BAC">
              <w:rPr>
                <w:b/>
              </w:rPr>
              <w:t>Representative(s)</w:t>
            </w:r>
          </w:p>
        </w:tc>
      </w:tr>
      <w:tr w:rsidR="00E61C26" w14:paraId="129FEC2B" w14:textId="77777777" w:rsidTr="005722A6">
        <w:tc>
          <w:tcPr>
            <w:tcW w:w="3687" w:type="dxa"/>
          </w:tcPr>
          <w:p w14:paraId="577273C5" w14:textId="77777777" w:rsidR="00E61C26" w:rsidRDefault="00E61C26" w:rsidP="005722A6">
            <w:pPr>
              <w:pStyle w:val="Agendasub-item"/>
              <w:spacing w:after="0" w:line="240" w:lineRule="auto"/>
              <w:ind w:left="0"/>
            </w:pPr>
            <w:r w:rsidRPr="001A17D3">
              <w:t>Victorian Department of Justice and Regulation</w:t>
            </w:r>
          </w:p>
        </w:tc>
        <w:tc>
          <w:tcPr>
            <w:tcW w:w="5385" w:type="dxa"/>
          </w:tcPr>
          <w:p w14:paraId="5CD03C95" w14:textId="77777777" w:rsidR="00E61C26" w:rsidRPr="00475D00" w:rsidRDefault="00E61C26" w:rsidP="003745A3">
            <w:pPr>
              <w:numPr>
                <w:ilvl w:val="0"/>
                <w:numId w:val="17"/>
              </w:numPr>
              <w:ind w:left="318"/>
            </w:pPr>
            <w:r w:rsidRPr="00492064">
              <w:rPr>
                <w:bCs/>
                <w:lang w:val="en-GB"/>
              </w:rPr>
              <w:t>Ms Emma Hunt, Principal Legal Policy Officer—Bail Review Team, Victorian Department of Justice and Regulation</w:t>
            </w:r>
          </w:p>
          <w:p w14:paraId="3BB10F2C" w14:textId="77777777" w:rsidR="00E61C26" w:rsidRDefault="00E61C26" w:rsidP="005722A6">
            <w:pPr>
              <w:ind w:left="-42"/>
            </w:pPr>
          </w:p>
        </w:tc>
      </w:tr>
      <w:tr w:rsidR="00E61C26" w14:paraId="58FD5D2D" w14:textId="77777777" w:rsidTr="005722A6">
        <w:tc>
          <w:tcPr>
            <w:tcW w:w="3687" w:type="dxa"/>
          </w:tcPr>
          <w:p w14:paraId="1C33F7A7" w14:textId="77777777" w:rsidR="00E61C26" w:rsidRPr="00611FE4" w:rsidRDefault="00E61C26" w:rsidP="005722A6">
            <w:pPr>
              <w:pStyle w:val="Agendasub-item"/>
              <w:spacing w:after="0" w:line="240" w:lineRule="auto"/>
              <w:ind w:left="33"/>
            </w:pPr>
            <w:r w:rsidRPr="001A17D3">
              <w:t>Victoria Legal Aid</w:t>
            </w:r>
          </w:p>
        </w:tc>
        <w:tc>
          <w:tcPr>
            <w:tcW w:w="5385" w:type="dxa"/>
          </w:tcPr>
          <w:p w14:paraId="10B086D4" w14:textId="77777777" w:rsidR="00E61C26" w:rsidRPr="00492064" w:rsidRDefault="00E61C26" w:rsidP="003745A3">
            <w:pPr>
              <w:pStyle w:val="ListParagraph"/>
              <w:numPr>
                <w:ilvl w:val="0"/>
                <w:numId w:val="21"/>
              </w:numPr>
              <w:ind w:left="318"/>
              <w:rPr>
                <w:szCs w:val="22"/>
              </w:rPr>
            </w:pPr>
            <w:r w:rsidRPr="00492064">
              <w:rPr>
                <w:bCs/>
                <w:szCs w:val="22"/>
              </w:rPr>
              <w:t xml:space="preserve">Ms </w:t>
            </w:r>
            <w:r w:rsidRPr="00492064">
              <w:rPr>
                <w:color w:val="000000"/>
                <w:szCs w:val="22"/>
              </w:rPr>
              <w:t>Leanne Sinclair, Associate Director, Family Violence, Victoria Legal Aid</w:t>
            </w:r>
          </w:p>
          <w:p w14:paraId="5F313F97" w14:textId="77777777" w:rsidR="00E61C26" w:rsidRPr="00475D00" w:rsidRDefault="00E61C26" w:rsidP="003745A3">
            <w:pPr>
              <w:numPr>
                <w:ilvl w:val="0"/>
                <w:numId w:val="17"/>
              </w:numPr>
              <w:ind w:left="318"/>
              <w:rPr>
                <w:szCs w:val="22"/>
              </w:rPr>
            </w:pPr>
            <w:r w:rsidRPr="00492064">
              <w:rPr>
                <w:bCs/>
                <w:lang w:val="en-GB"/>
              </w:rPr>
              <w:t>Ms Emma Smallwood, Family Violence, Victoria Legal Aid</w:t>
            </w:r>
          </w:p>
          <w:p w14:paraId="7F61761E" w14:textId="77777777" w:rsidR="00E61C26" w:rsidRDefault="00E61C26" w:rsidP="005722A6">
            <w:pPr>
              <w:ind w:left="-42"/>
              <w:rPr>
                <w:szCs w:val="22"/>
              </w:rPr>
            </w:pPr>
          </w:p>
        </w:tc>
      </w:tr>
      <w:tr w:rsidR="00E61C26" w14:paraId="5E839E4B" w14:textId="77777777" w:rsidTr="005722A6">
        <w:tc>
          <w:tcPr>
            <w:tcW w:w="3687" w:type="dxa"/>
          </w:tcPr>
          <w:p w14:paraId="0AEC5FFE" w14:textId="77777777" w:rsidR="00E61C26" w:rsidRPr="001A17D3" w:rsidRDefault="00E61C26" w:rsidP="005722A6">
            <w:pPr>
              <w:pStyle w:val="Agendasub-item"/>
              <w:spacing w:after="0" w:line="240" w:lineRule="auto"/>
              <w:ind w:left="33"/>
            </w:pPr>
            <w:r w:rsidRPr="001A17D3">
              <w:t>Women's Legal Service Victoria</w:t>
            </w:r>
          </w:p>
        </w:tc>
        <w:tc>
          <w:tcPr>
            <w:tcW w:w="5385" w:type="dxa"/>
          </w:tcPr>
          <w:p w14:paraId="292B422E" w14:textId="77777777" w:rsidR="00E61C26" w:rsidRDefault="00E61C26" w:rsidP="003745A3">
            <w:pPr>
              <w:pStyle w:val="ListParagraph"/>
              <w:numPr>
                <w:ilvl w:val="0"/>
                <w:numId w:val="21"/>
              </w:numPr>
              <w:ind w:left="318"/>
              <w:rPr>
                <w:bCs/>
                <w:szCs w:val="22"/>
              </w:rPr>
            </w:pPr>
            <w:r w:rsidRPr="00492064">
              <w:rPr>
                <w:bCs/>
                <w:szCs w:val="22"/>
              </w:rPr>
              <w:t>Ms Joanna Fletcher, Chief Executive Officer, Women’s Legal Service Victoria</w:t>
            </w:r>
          </w:p>
          <w:p w14:paraId="7B96AD4F" w14:textId="77777777" w:rsidR="00E61C26" w:rsidRPr="00475D00" w:rsidRDefault="00E61C26" w:rsidP="005722A6">
            <w:pPr>
              <w:ind w:left="-42"/>
              <w:rPr>
                <w:bCs/>
                <w:szCs w:val="22"/>
              </w:rPr>
            </w:pPr>
          </w:p>
        </w:tc>
      </w:tr>
      <w:tr w:rsidR="00E61C26" w14:paraId="485CE751" w14:textId="77777777" w:rsidTr="005722A6">
        <w:tc>
          <w:tcPr>
            <w:tcW w:w="3687" w:type="dxa"/>
          </w:tcPr>
          <w:p w14:paraId="7A5C80FA" w14:textId="77777777" w:rsidR="00E61C26" w:rsidRPr="001A17D3" w:rsidRDefault="00E61C26" w:rsidP="005722A6">
            <w:pPr>
              <w:pStyle w:val="Agendasub-item"/>
              <w:spacing w:after="0" w:line="240" w:lineRule="auto"/>
              <w:ind w:left="33"/>
            </w:pPr>
            <w:r w:rsidRPr="001A17D3">
              <w:t>Luke Batty Foundation</w:t>
            </w:r>
          </w:p>
        </w:tc>
        <w:tc>
          <w:tcPr>
            <w:tcW w:w="5385" w:type="dxa"/>
          </w:tcPr>
          <w:p w14:paraId="49CCFFF0" w14:textId="77777777" w:rsidR="00E61C26" w:rsidRDefault="00E61C26" w:rsidP="003745A3">
            <w:pPr>
              <w:pStyle w:val="ListParagraph"/>
              <w:numPr>
                <w:ilvl w:val="0"/>
                <w:numId w:val="21"/>
              </w:numPr>
              <w:ind w:left="318"/>
              <w:rPr>
                <w:bCs/>
                <w:szCs w:val="22"/>
              </w:rPr>
            </w:pPr>
            <w:r w:rsidRPr="00492064">
              <w:rPr>
                <w:bCs/>
                <w:szCs w:val="22"/>
              </w:rPr>
              <w:t>Mr Stewart McMullin, Chief Operating Officer, Luke Batty Foundation</w:t>
            </w:r>
          </w:p>
          <w:p w14:paraId="5883839C" w14:textId="77777777" w:rsidR="00E61C26" w:rsidRPr="00475D00" w:rsidRDefault="00E61C26" w:rsidP="005722A6">
            <w:pPr>
              <w:ind w:left="-42"/>
              <w:rPr>
                <w:bCs/>
                <w:szCs w:val="22"/>
              </w:rPr>
            </w:pPr>
          </w:p>
        </w:tc>
      </w:tr>
      <w:tr w:rsidR="00E61C26" w14:paraId="7D865AC6" w14:textId="77777777" w:rsidTr="005722A6">
        <w:tc>
          <w:tcPr>
            <w:tcW w:w="3687" w:type="dxa"/>
          </w:tcPr>
          <w:p w14:paraId="2F22DAA1" w14:textId="77777777" w:rsidR="00E61C26" w:rsidRPr="001A17D3" w:rsidRDefault="00E61C26" w:rsidP="005722A6">
            <w:pPr>
              <w:pStyle w:val="Agendasub-item"/>
              <w:spacing w:after="0" w:line="240" w:lineRule="auto"/>
              <w:ind w:left="33"/>
            </w:pPr>
            <w:r w:rsidRPr="001A17D3">
              <w:t>Law Institute of Victoria (LIV)</w:t>
            </w:r>
          </w:p>
        </w:tc>
        <w:tc>
          <w:tcPr>
            <w:tcW w:w="5385" w:type="dxa"/>
          </w:tcPr>
          <w:p w14:paraId="672A21E9" w14:textId="77777777" w:rsidR="00E61C26" w:rsidRPr="00492064" w:rsidRDefault="00E61C26" w:rsidP="003745A3">
            <w:pPr>
              <w:pStyle w:val="ListParagraph"/>
              <w:numPr>
                <w:ilvl w:val="0"/>
                <w:numId w:val="21"/>
              </w:numPr>
              <w:ind w:left="317" w:hanging="357"/>
              <w:rPr>
                <w:bCs/>
                <w:szCs w:val="22"/>
              </w:rPr>
            </w:pPr>
            <w:r w:rsidRPr="00492064">
              <w:rPr>
                <w:bCs/>
                <w:szCs w:val="22"/>
              </w:rPr>
              <w:t>Ms Melinda Walker, a private criminal law practitioner who chaired the Law Institute of Victoria’s Bail Taskforce</w:t>
            </w:r>
          </w:p>
          <w:p w14:paraId="5663D62A" w14:textId="77777777" w:rsidR="00E61C26" w:rsidRPr="00492064" w:rsidRDefault="00E61C26" w:rsidP="003745A3">
            <w:pPr>
              <w:pStyle w:val="ListParagraph"/>
              <w:numPr>
                <w:ilvl w:val="0"/>
                <w:numId w:val="21"/>
              </w:numPr>
              <w:ind w:left="317" w:hanging="357"/>
              <w:rPr>
                <w:bCs/>
                <w:szCs w:val="22"/>
              </w:rPr>
            </w:pPr>
            <w:r w:rsidRPr="00492064">
              <w:rPr>
                <w:bCs/>
                <w:szCs w:val="22"/>
              </w:rPr>
              <w:t>Ms Gemma Hazmi, Acting Principal Lawyer, Law Institute of Victoria</w:t>
            </w:r>
          </w:p>
          <w:p w14:paraId="4F1BE006" w14:textId="77777777" w:rsidR="00E61C26" w:rsidRDefault="00E61C26" w:rsidP="003745A3">
            <w:pPr>
              <w:pStyle w:val="ListParagraph"/>
              <w:numPr>
                <w:ilvl w:val="0"/>
                <w:numId w:val="21"/>
              </w:numPr>
              <w:ind w:left="317" w:hanging="357"/>
              <w:rPr>
                <w:bCs/>
                <w:szCs w:val="22"/>
              </w:rPr>
            </w:pPr>
            <w:r w:rsidRPr="00492064">
              <w:rPr>
                <w:bCs/>
                <w:szCs w:val="22"/>
              </w:rPr>
              <w:t>Mr Darryl Annett, LIV, Criminal Law Section</w:t>
            </w:r>
          </w:p>
          <w:p w14:paraId="7B6E2D0E" w14:textId="77777777" w:rsidR="00E61C26" w:rsidRDefault="00E61C26" w:rsidP="003745A3">
            <w:pPr>
              <w:pStyle w:val="ListParagraph"/>
              <w:numPr>
                <w:ilvl w:val="0"/>
                <w:numId w:val="21"/>
              </w:numPr>
              <w:ind w:left="318"/>
              <w:rPr>
                <w:bCs/>
                <w:szCs w:val="22"/>
              </w:rPr>
            </w:pPr>
            <w:r>
              <w:rPr>
                <w:bCs/>
                <w:szCs w:val="22"/>
              </w:rPr>
              <w:t>Mr Alex McGee, Intern—Family Violence</w:t>
            </w:r>
          </w:p>
          <w:p w14:paraId="4CC35AFC" w14:textId="77777777" w:rsidR="00E61C26" w:rsidRPr="00475D00" w:rsidRDefault="00E61C26" w:rsidP="005722A6">
            <w:pPr>
              <w:ind w:left="-42"/>
              <w:rPr>
                <w:bCs/>
                <w:szCs w:val="22"/>
              </w:rPr>
            </w:pPr>
          </w:p>
        </w:tc>
      </w:tr>
    </w:tbl>
    <w:p w14:paraId="61427ABB" w14:textId="77777777" w:rsidR="00FC6474" w:rsidRDefault="00FC6474" w:rsidP="003745A3">
      <w:pPr>
        <w:pStyle w:val="AppendixHeading1"/>
        <w:numPr>
          <w:ilvl w:val="7"/>
          <w:numId w:val="19"/>
        </w:numPr>
        <w:sectPr w:rsidR="00FC6474">
          <w:headerReference w:type="first" r:id="rId35"/>
          <w:footerReference w:type="first" r:id="rId36"/>
          <w:pgSz w:w="11906" w:h="16838"/>
          <w:pgMar w:top="1440" w:right="1440" w:bottom="1440" w:left="1440" w:header="708" w:footer="708" w:gutter="0"/>
          <w:cols w:space="708"/>
          <w:docGrid w:linePitch="360"/>
        </w:sectPr>
      </w:pPr>
      <w:bookmarkStart w:id="237" w:name="_Toc16764024"/>
    </w:p>
    <w:p w14:paraId="3090D823" w14:textId="4324439B" w:rsidR="00E61C26" w:rsidRPr="00BD748B" w:rsidRDefault="00E61C26" w:rsidP="003745A3">
      <w:pPr>
        <w:pStyle w:val="AppendixHeading1"/>
        <w:numPr>
          <w:ilvl w:val="7"/>
          <w:numId w:val="19"/>
        </w:numPr>
      </w:pPr>
      <w:r>
        <w:lastRenderedPageBreak/>
        <w:t>List of written submissions</w:t>
      </w:r>
      <w:bookmarkEnd w:id="237"/>
    </w:p>
    <w:p w14:paraId="3FC07F19" w14:textId="77777777" w:rsidR="00E61C26" w:rsidRDefault="00E61C26" w:rsidP="00E61C26">
      <w:pPr>
        <w:keepNext/>
        <w:spacing w:before="160" w:after="80" w:line="288" w:lineRule="auto"/>
        <w:outlineLvl w:val="1"/>
        <w:rPr>
          <w:rFonts w:cs="Arial"/>
          <w:iCs/>
        </w:rPr>
      </w:pPr>
      <w:r>
        <w:rPr>
          <w:rFonts w:cs="Arial"/>
          <w:iCs/>
        </w:rPr>
        <w:t xml:space="preserve">Submissions received by the </w:t>
      </w:r>
      <w:r w:rsidRPr="00BD748B">
        <w:rPr>
          <w:rFonts w:cs="Arial"/>
          <w:iCs/>
        </w:rPr>
        <w:t xml:space="preserve">Committee </w:t>
      </w:r>
      <w:r>
        <w:rPr>
          <w:rFonts w:cs="Arial"/>
          <w:iCs/>
        </w:rPr>
        <w:t>to the Inquiry</w:t>
      </w:r>
      <w:r w:rsidRPr="00BD748B">
        <w:rPr>
          <w:rFonts w:cs="Arial"/>
          <w:iCs/>
        </w:rPr>
        <w:t>:</w:t>
      </w:r>
    </w:p>
    <w:tbl>
      <w:tblPr>
        <w:tblStyle w:val="TableGrid"/>
        <w:tblW w:w="0" w:type="auto"/>
        <w:tblLook w:val="04A0" w:firstRow="1" w:lastRow="0" w:firstColumn="1" w:lastColumn="0" w:noHBand="0" w:noVBand="1"/>
      </w:tblPr>
      <w:tblGrid>
        <w:gridCol w:w="985"/>
        <w:gridCol w:w="8031"/>
      </w:tblGrid>
      <w:tr w:rsidR="00E61C26" w14:paraId="5273FF21" w14:textId="77777777" w:rsidTr="005722A6">
        <w:trPr>
          <w:tblHeader/>
        </w:trPr>
        <w:tc>
          <w:tcPr>
            <w:tcW w:w="988" w:type="dxa"/>
            <w:shd w:val="clear" w:color="auto" w:fill="BFBFBF" w:themeFill="background1" w:themeFillShade="BF"/>
            <w:vAlign w:val="center"/>
          </w:tcPr>
          <w:p w14:paraId="56D8A764" w14:textId="77777777" w:rsidR="00E61C26" w:rsidRPr="004D0383" w:rsidRDefault="00E61C26" w:rsidP="00050D38">
            <w:pPr>
              <w:keepNext/>
              <w:spacing w:before="160" w:after="80" w:line="288" w:lineRule="auto"/>
              <w:jc w:val="center"/>
              <w:outlineLvl w:val="1"/>
              <w:rPr>
                <w:rFonts w:cs="Arial"/>
                <w:b/>
                <w:iCs/>
              </w:rPr>
            </w:pPr>
            <w:r w:rsidRPr="004D0383">
              <w:rPr>
                <w:rFonts w:cs="Arial"/>
                <w:b/>
                <w:iCs/>
              </w:rPr>
              <w:lastRenderedPageBreak/>
              <w:t>Sub No.</w:t>
            </w:r>
          </w:p>
        </w:tc>
        <w:tc>
          <w:tcPr>
            <w:tcW w:w="8073" w:type="dxa"/>
            <w:shd w:val="clear" w:color="auto" w:fill="BFBFBF" w:themeFill="background1" w:themeFillShade="BF"/>
            <w:vAlign w:val="center"/>
          </w:tcPr>
          <w:p w14:paraId="509A81D7" w14:textId="77777777" w:rsidR="00E61C26" w:rsidRPr="002844D7" w:rsidRDefault="00E61C26" w:rsidP="00050D38">
            <w:pPr>
              <w:keepNext/>
              <w:spacing w:before="160" w:after="80" w:line="288" w:lineRule="auto"/>
              <w:outlineLvl w:val="1"/>
              <w:rPr>
                <w:rFonts w:cs="Arial"/>
                <w:b/>
                <w:iCs/>
              </w:rPr>
            </w:pPr>
            <w:r w:rsidRPr="002844D7">
              <w:rPr>
                <w:rFonts w:cs="Arial"/>
                <w:b/>
                <w:iCs/>
              </w:rPr>
              <w:t>Author/</w:t>
            </w:r>
            <w:r>
              <w:rPr>
                <w:rFonts w:cs="Arial"/>
                <w:b/>
                <w:iCs/>
              </w:rPr>
              <w:t>O</w:t>
            </w:r>
            <w:r w:rsidRPr="002844D7">
              <w:rPr>
                <w:rFonts w:cs="Arial"/>
                <w:b/>
                <w:iCs/>
              </w:rPr>
              <w:t>rganisation</w:t>
            </w:r>
          </w:p>
        </w:tc>
      </w:tr>
      <w:tr w:rsidR="00E61C26" w14:paraId="16F7A221" w14:textId="77777777" w:rsidTr="005722A6">
        <w:trPr>
          <w:tblHeader/>
        </w:trPr>
        <w:tc>
          <w:tcPr>
            <w:tcW w:w="988" w:type="dxa"/>
            <w:vAlign w:val="center"/>
          </w:tcPr>
          <w:p w14:paraId="470F6FA7" w14:textId="77777777" w:rsidR="00E61C26" w:rsidRPr="004D0383" w:rsidRDefault="00E61C26" w:rsidP="00050D38">
            <w:pPr>
              <w:keepNext/>
              <w:spacing w:before="160" w:after="80" w:line="288" w:lineRule="auto"/>
              <w:jc w:val="center"/>
              <w:outlineLvl w:val="1"/>
              <w:rPr>
                <w:rFonts w:cs="Arial"/>
                <w:iCs/>
              </w:rPr>
            </w:pPr>
            <w:r w:rsidRPr="004D0383">
              <w:rPr>
                <w:rFonts w:cs="Arial"/>
                <w:iCs/>
              </w:rPr>
              <w:t>1</w:t>
            </w:r>
          </w:p>
        </w:tc>
        <w:tc>
          <w:tcPr>
            <w:tcW w:w="8073" w:type="dxa"/>
            <w:vAlign w:val="center"/>
          </w:tcPr>
          <w:p w14:paraId="363B2B44" w14:textId="77777777" w:rsidR="00E61C26" w:rsidRDefault="00E61C26" w:rsidP="005722A6">
            <w:pPr>
              <w:keepNext/>
              <w:spacing w:before="160" w:after="80" w:line="288" w:lineRule="auto"/>
              <w:outlineLvl w:val="1"/>
              <w:rPr>
                <w:rFonts w:cs="Arial"/>
                <w:iCs/>
              </w:rPr>
            </w:pPr>
            <w:r w:rsidRPr="00732BC6">
              <w:rPr>
                <w:bCs/>
              </w:rPr>
              <w:t>Family Court of Australia—Chief Justice Diana Bryant AO</w:t>
            </w:r>
          </w:p>
        </w:tc>
      </w:tr>
      <w:tr w:rsidR="00E61C26" w:rsidRPr="00050D38" w14:paraId="40861F3E" w14:textId="77777777" w:rsidTr="005722A6">
        <w:trPr>
          <w:tblHeader/>
        </w:trPr>
        <w:tc>
          <w:tcPr>
            <w:tcW w:w="988" w:type="dxa"/>
            <w:vAlign w:val="center"/>
          </w:tcPr>
          <w:p w14:paraId="351377F9" w14:textId="77777777" w:rsidR="00E61C26" w:rsidRPr="004D0383" w:rsidRDefault="00E61C26" w:rsidP="00050D38">
            <w:pPr>
              <w:keepNext/>
              <w:spacing w:before="160" w:after="80" w:line="288" w:lineRule="auto"/>
              <w:jc w:val="center"/>
              <w:outlineLvl w:val="1"/>
              <w:rPr>
                <w:rFonts w:cs="Arial"/>
                <w:iCs/>
              </w:rPr>
            </w:pPr>
            <w:r w:rsidRPr="004D0383">
              <w:rPr>
                <w:rFonts w:cs="Arial"/>
                <w:iCs/>
              </w:rPr>
              <w:t>1a</w:t>
            </w:r>
          </w:p>
        </w:tc>
        <w:tc>
          <w:tcPr>
            <w:tcW w:w="8073" w:type="dxa"/>
            <w:vAlign w:val="center"/>
          </w:tcPr>
          <w:p w14:paraId="46EE56D6" w14:textId="77777777" w:rsidR="00E61C26" w:rsidRDefault="00E61C26" w:rsidP="00050D38">
            <w:pPr>
              <w:keepNext/>
              <w:spacing w:before="160" w:after="80" w:line="288" w:lineRule="auto"/>
              <w:outlineLvl w:val="1"/>
              <w:rPr>
                <w:rFonts w:cs="Arial"/>
                <w:iCs/>
              </w:rPr>
            </w:pPr>
            <w:r w:rsidRPr="00050D38">
              <w:rPr>
                <w:rFonts w:cs="Arial"/>
                <w:iCs/>
              </w:rPr>
              <w:t>Family Court of Australia—Chief Justice Diana Bryant AO</w:t>
            </w:r>
          </w:p>
        </w:tc>
      </w:tr>
      <w:tr w:rsidR="00E61C26" w:rsidRPr="00050D38" w14:paraId="63F4379A" w14:textId="77777777" w:rsidTr="005722A6">
        <w:trPr>
          <w:tblHeader/>
        </w:trPr>
        <w:tc>
          <w:tcPr>
            <w:tcW w:w="988" w:type="dxa"/>
            <w:vAlign w:val="center"/>
          </w:tcPr>
          <w:p w14:paraId="74695CA5" w14:textId="77777777" w:rsidR="00E61C26" w:rsidRPr="004D0383" w:rsidRDefault="00E61C26" w:rsidP="00050D38">
            <w:pPr>
              <w:keepNext/>
              <w:spacing w:before="160" w:after="80" w:line="288" w:lineRule="auto"/>
              <w:jc w:val="center"/>
              <w:outlineLvl w:val="1"/>
              <w:rPr>
                <w:rFonts w:cs="Arial"/>
                <w:iCs/>
              </w:rPr>
            </w:pPr>
            <w:r w:rsidRPr="004D0383">
              <w:rPr>
                <w:rFonts w:cs="Arial"/>
                <w:iCs/>
              </w:rPr>
              <w:t>2</w:t>
            </w:r>
          </w:p>
        </w:tc>
        <w:tc>
          <w:tcPr>
            <w:tcW w:w="8073" w:type="dxa"/>
            <w:vAlign w:val="center"/>
          </w:tcPr>
          <w:p w14:paraId="09141EF4" w14:textId="77777777" w:rsidR="00E61C26" w:rsidRDefault="00E61C26" w:rsidP="00050D38">
            <w:pPr>
              <w:keepNext/>
              <w:spacing w:before="160" w:after="80" w:line="288" w:lineRule="auto"/>
              <w:outlineLvl w:val="1"/>
              <w:rPr>
                <w:rFonts w:cs="Arial"/>
                <w:iCs/>
              </w:rPr>
            </w:pPr>
            <w:r>
              <w:rPr>
                <w:rFonts w:cs="Arial"/>
                <w:iCs/>
              </w:rPr>
              <w:t>Confidential</w:t>
            </w:r>
          </w:p>
        </w:tc>
      </w:tr>
      <w:tr w:rsidR="00E61C26" w:rsidRPr="00050D38" w14:paraId="7B3BE2AE" w14:textId="77777777" w:rsidTr="005722A6">
        <w:trPr>
          <w:tblHeader/>
        </w:trPr>
        <w:tc>
          <w:tcPr>
            <w:tcW w:w="988" w:type="dxa"/>
            <w:vAlign w:val="center"/>
          </w:tcPr>
          <w:p w14:paraId="2B05FB4B" w14:textId="77777777" w:rsidR="00E61C26" w:rsidRPr="004D0383" w:rsidRDefault="00E61C26" w:rsidP="00050D38">
            <w:pPr>
              <w:keepNext/>
              <w:spacing w:before="160" w:after="80" w:line="288" w:lineRule="auto"/>
              <w:jc w:val="center"/>
              <w:outlineLvl w:val="1"/>
              <w:rPr>
                <w:rFonts w:cs="Arial"/>
                <w:iCs/>
              </w:rPr>
            </w:pPr>
            <w:r w:rsidRPr="004D0383">
              <w:rPr>
                <w:rFonts w:cs="Arial"/>
                <w:iCs/>
              </w:rPr>
              <w:t>3</w:t>
            </w:r>
          </w:p>
        </w:tc>
        <w:tc>
          <w:tcPr>
            <w:tcW w:w="8073" w:type="dxa"/>
            <w:vAlign w:val="center"/>
          </w:tcPr>
          <w:p w14:paraId="1F8638C0" w14:textId="77777777" w:rsidR="00E61C26" w:rsidRDefault="00E61C26" w:rsidP="00050D38">
            <w:pPr>
              <w:keepNext/>
              <w:spacing w:before="160" w:after="80" w:line="288" w:lineRule="auto"/>
              <w:outlineLvl w:val="1"/>
              <w:rPr>
                <w:rFonts w:cs="Arial"/>
                <w:iCs/>
              </w:rPr>
            </w:pPr>
            <w:r w:rsidRPr="00050D38">
              <w:rPr>
                <w:rFonts w:cs="Arial"/>
                <w:iCs/>
              </w:rPr>
              <w:t>AIDS Action Council of the ACT</w:t>
            </w:r>
          </w:p>
        </w:tc>
      </w:tr>
      <w:tr w:rsidR="00E61C26" w:rsidRPr="00050D38" w14:paraId="251380DA" w14:textId="77777777" w:rsidTr="005722A6">
        <w:trPr>
          <w:tblHeader/>
        </w:trPr>
        <w:tc>
          <w:tcPr>
            <w:tcW w:w="988" w:type="dxa"/>
            <w:vAlign w:val="center"/>
          </w:tcPr>
          <w:p w14:paraId="4374319C" w14:textId="77777777" w:rsidR="00E61C26" w:rsidRPr="004D0383" w:rsidRDefault="00E61C26" w:rsidP="00050D38">
            <w:pPr>
              <w:keepNext/>
              <w:spacing w:before="160" w:after="80" w:line="288" w:lineRule="auto"/>
              <w:jc w:val="center"/>
              <w:outlineLvl w:val="1"/>
              <w:rPr>
                <w:rFonts w:cs="Arial"/>
                <w:iCs/>
              </w:rPr>
            </w:pPr>
            <w:r w:rsidRPr="004D0383">
              <w:rPr>
                <w:rFonts w:cs="Arial"/>
                <w:iCs/>
              </w:rPr>
              <w:t>4</w:t>
            </w:r>
          </w:p>
        </w:tc>
        <w:tc>
          <w:tcPr>
            <w:tcW w:w="8073" w:type="dxa"/>
            <w:vAlign w:val="center"/>
          </w:tcPr>
          <w:p w14:paraId="5BA00603" w14:textId="77777777" w:rsidR="00E61C26" w:rsidRDefault="00E61C26" w:rsidP="00050D38">
            <w:pPr>
              <w:keepNext/>
              <w:spacing w:before="160" w:after="80" w:line="288" w:lineRule="auto"/>
              <w:outlineLvl w:val="1"/>
              <w:rPr>
                <w:rFonts w:cs="Arial"/>
                <w:iCs/>
              </w:rPr>
            </w:pPr>
            <w:r w:rsidRPr="00050D38">
              <w:rPr>
                <w:rFonts w:cs="Arial"/>
                <w:iCs/>
              </w:rPr>
              <w:t xml:space="preserve">ACT Women’s Health Service </w:t>
            </w:r>
          </w:p>
        </w:tc>
      </w:tr>
      <w:tr w:rsidR="00E61C26" w:rsidRPr="00050D38" w14:paraId="464F5244" w14:textId="77777777" w:rsidTr="005722A6">
        <w:trPr>
          <w:tblHeader/>
        </w:trPr>
        <w:tc>
          <w:tcPr>
            <w:tcW w:w="988" w:type="dxa"/>
            <w:vAlign w:val="center"/>
          </w:tcPr>
          <w:p w14:paraId="7842E3EA" w14:textId="77777777" w:rsidR="00E61C26" w:rsidRPr="004D0383" w:rsidRDefault="00E61C26" w:rsidP="00050D38">
            <w:pPr>
              <w:keepNext/>
              <w:spacing w:before="160" w:after="80" w:line="288" w:lineRule="auto"/>
              <w:jc w:val="center"/>
              <w:outlineLvl w:val="1"/>
              <w:rPr>
                <w:rFonts w:cs="Arial"/>
                <w:iCs/>
              </w:rPr>
            </w:pPr>
            <w:r w:rsidRPr="004D0383">
              <w:rPr>
                <w:rFonts w:cs="Arial"/>
                <w:iCs/>
              </w:rPr>
              <w:t>5</w:t>
            </w:r>
          </w:p>
        </w:tc>
        <w:tc>
          <w:tcPr>
            <w:tcW w:w="8073" w:type="dxa"/>
            <w:vAlign w:val="center"/>
          </w:tcPr>
          <w:p w14:paraId="392E751B" w14:textId="77777777" w:rsidR="00E61C26" w:rsidRDefault="00E61C26" w:rsidP="00050D38">
            <w:pPr>
              <w:keepNext/>
              <w:spacing w:before="160" w:after="80" w:line="288" w:lineRule="auto"/>
              <w:outlineLvl w:val="1"/>
              <w:rPr>
                <w:rFonts w:cs="Arial"/>
                <w:iCs/>
              </w:rPr>
            </w:pPr>
            <w:r w:rsidRPr="00050D38">
              <w:rPr>
                <w:rFonts w:cs="Arial"/>
                <w:iCs/>
              </w:rPr>
              <w:t>Toora Women Inc.</w:t>
            </w:r>
          </w:p>
        </w:tc>
      </w:tr>
      <w:tr w:rsidR="00E61C26" w:rsidRPr="00050D38" w14:paraId="1FA8B5C4" w14:textId="77777777" w:rsidTr="005722A6">
        <w:trPr>
          <w:tblHeader/>
        </w:trPr>
        <w:tc>
          <w:tcPr>
            <w:tcW w:w="988" w:type="dxa"/>
            <w:vAlign w:val="center"/>
          </w:tcPr>
          <w:p w14:paraId="6C13E327" w14:textId="77777777" w:rsidR="00E61C26" w:rsidRPr="004D0383" w:rsidRDefault="00E61C26" w:rsidP="00050D38">
            <w:pPr>
              <w:keepNext/>
              <w:spacing w:before="160" w:after="80" w:line="288" w:lineRule="auto"/>
              <w:jc w:val="center"/>
              <w:outlineLvl w:val="1"/>
              <w:rPr>
                <w:rFonts w:cs="Arial"/>
                <w:iCs/>
              </w:rPr>
            </w:pPr>
            <w:r w:rsidRPr="004D0383">
              <w:rPr>
                <w:rFonts w:cs="Arial"/>
                <w:iCs/>
              </w:rPr>
              <w:t>6</w:t>
            </w:r>
          </w:p>
        </w:tc>
        <w:tc>
          <w:tcPr>
            <w:tcW w:w="8073" w:type="dxa"/>
            <w:vAlign w:val="center"/>
          </w:tcPr>
          <w:p w14:paraId="51FE30F3" w14:textId="77777777" w:rsidR="00E61C26" w:rsidRDefault="00E61C26" w:rsidP="00050D38">
            <w:pPr>
              <w:keepNext/>
              <w:spacing w:before="160" w:after="80" w:line="288" w:lineRule="auto"/>
              <w:outlineLvl w:val="1"/>
              <w:rPr>
                <w:rFonts w:cs="Arial"/>
                <w:iCs/>
              </w:rPr>
            </w:pPr>
            <w:r w:rsidRPr="00050D38">
              <w:rPr>
                <w:rFonts w:cs="Arial"/>
                <w:iCs/>
              </w:rPr>
              <w:t>Canberra Community Law</w:t>
            </w:r>
          </w:p>
        </w:tc>
      </w:tr>
      <w:tr w:rsidR="00E61C26" w:rsidRPr="00050D38" w14:paraId="667914A5" w14:textId="77777777" w:rsidTr="005722A6">
        <w:trPr>
          <w:tblHeader/>
        </w:trPr>
        <w:tc>
          <w:tcPr>
            <w:tcW w:w="988" w:type="dxa"/>
            <w:vAlign w:val="center"/>
          </w:tcPr>
          <w:p w14:paraId="2651F1BA" w14:textId="77777777" w:rsidR="00E61C26" w:rsidRPr="004D0383" w:rsidRDefault="00E61C26" w:rsidP="00050D38">
            <w:pPr>
              <w:keepNext/>
              <w:spacing w:before="160" w:after="80" w:line="288" w:lineRule="auto"/>
              <w:jc w:val="center"/>
              <w:outlineLvl w:val="1"/>
              <w:rPr>
                <w:rFonts w:cs="Arial"/>
                <w:iCs/>
              </w:rPr>
            </w:pPr>
            <w:r w:rsidRPr="004D0383">
              <w:rPr>
                <w:rFonts w:cs="Arial"/>
                <w:iCs/>
              </w:rPr>
              <w:t>7</w:t>
            </w:r>
          </w:p>
        </w:tc>
        <w:tc>
          <w:tcPr>
            <w:tcW w:w="8073" w:type="dxa"/>
            <w:vAlign w:val="center"/>
          </w:tcPr>
          <w:p w14:paraId="30B33806" w14:textId="77777777" w:rsidR="00E61C26" w:rsidRDefault="00E61C26" w:rsidP="00050D38">
            <w:pPr>
              <w:keepNext/>
              <w:spacing w:before="160" w:after="80" w:line="288" w:lineRule="auto"/>
              <w:outlineLvl w:val="1"/>
              <w:rPr>
                <w:rFonts w:cs="Arial"/>
                <w:iCs/>
              </w:rPr>
            </w:pPr>
            <w:r w:rsidRPr="00050D38">
              <w:rPr>
                <w:rFonts w:cs="Arial"/>
                <w:iCs/>
              </w:rPr>
              <w:t>Dr Joan Garvan</w:t>
            </w:r>
          </w:p>
        </w:tc>
      </w:tr>
      <w:tr w:rsidR="00E61C26" w:rsidRPr="00050D38" w14:paraId="65038292" w14:textId="77777777" w:rsidTr="005722A6">
        <w:trPr>
          <w:tblHeader/>
        </w:trPr>
        <w:tc>
          <w:tcPr>
            <w:tcW w:w="988" w:type="dxa"/>
            <w:vAlign w:val="center"/>
          </w:tcPr>
          <w:p w14:paraId="4E19EF4F" w14:textId="77777777" w:rsidR="00E61C26" w:rsidRPr="004D0383" w:rsidRDefault="00E61C26" w:rsidP="00050D38">
            <w:pPr>
              <w:keepNext/>
              <w:spacing w:before="160" w:after="80" w:line="288" w:lineRule="auto"/>
              <w:jc w:val="center"/>
              <w:outlineLvl w:val="1"/>
              <w:rPr>
                <w:rFonts w:cs="Arial"/>
                <w:iCs/>
              </w:rPr>
            </w:pPr>
            <w:r w:rsidRPr="004D0383">
              <w:rPr>
                <w:rFonts w:cs="Arial"/>
                <w:iCs/>
              </w:rPr>
              <w:t>8</w:t>
            </w:r>
          </w:p>
        </w:tc>
        <w:tc>
          <w:tcPr>
            <w:tcW w:w="8073" w:type="dxa"/>
            <w:vAlign w:val="center"/>
          </w:tcPr>
          <w:p w14:paraId="53FE7CB8" w14:textId="77777777" w:rsidR="00E61C26" w:rsidRDefault="00E61C26" w:rsidP="00050D38">
            <w:pPr>
              <w:keepNext/>
              <w:spacing w:before="160" w:after="80" w:line="288" w:lineRule="auto"/>
              <w:outlineLvl w:val="1"/>
              <w:rPr>
                <w:rFonts w:cs="Arial"/>
                <w:iCs/>
              </w:rPr>
            </w:pPr>
            <w:r w:rsidRPr="00050D38">
              <w:rPr>
                <w:rFonts w:cs="Arial"/>
                <w:iCs/>
              </w:rPr>
              <w:t>Advocacy for Inclusion</w:t>
            </w:r>
          </w:p>
        </w:tc>
      </w:tr>
      <w:tr w:rsidR="00E61C26" w:rsidRPr="00050D38" w14:paraId="651DA9C8" w14:textId="77777777" w:rsidTr="005722A6">
        <w:trPr>
          <w:tblHeader/>
        </w:trPr>
        <w:tc>
          <w:tcPr>
            <w:tcW w:w="988" w:type="dxa"/>
            <w:vAlign w:val="center"/>
          </w:tcPr>
          <w:p w14:paraId="52B5122D" w14:textId="77777777" w:rsidR="00E61C26" w:rsidRPr="004D0383" w:rsidRDefault="00E61C26" w:rsidP="00050D38">
            <w:pPr>
              <w:keepNext/>
              <w:spacing w:before="160" w:after="80" w:line="288" w:lineRule="auto"/>
              <w:jc w:val="center"/>
              <w:outlineLvl w:val="1"/>
              <w:rPr>
                <w:rFonts w:cs="Arial"/>
                <w:iCs/>
              </w:rPr>
            </w:pPr>
            <w:r w:rsidRPr="004D0383">
              <w:rPr>
                <w:rFonts w:cs="Arial"/>
                <w:iCs/>
              </w:rPr>
              <w:t>9</w:t>
            </w:r>
          </w:p>
        </w:tc>
        <w:tc>
          <w:tcPr>
            <w:tcW w:w="8073" w:type="dxa"/>
            <w:vAlign w:val="center"/>
          </w:tcPr>
          <w:p w14:paraId="07871AD9" w14:textId="77777777" w:rsidR="00E61C26" w:rsidRDefault="00E61C26" w:rsidP="00050D38">
            <w:pPr>
              <w:keepNext/>
              <w:spacing w:before="160" w:after="80" w:line="288" w:lineRule="auto"/>
              <w:outlineLvl w:val="1"/>
              <w:rPr>
                <w:rFonts w:cs="Arial"/>
                <w:iCs/>
              </w:rPr>
            </w:pPr>
            <w:r w:rsidRPr="00050D38">
              <w:rPr>
                <w:rFonts w:cs="Arial"/>
                <w:iCs/>
              </w:rPr>
              <w:t>Care Inc. Financial Counselling Service &amp; The Consumer Law Centre ACT</w:t>
            </w:r>
          </w:p>
        </w:tc>
      </w:tr>
      <w:tr w:rsidR="00E61C26" w:rsidRPr="00050D38" w14:paraId="78D615B8" w14:textId="77777777" w:rsidTr="005722A6">
        <w:trPr>
          <w:tblHeader/>
        </w:trPr>
        <w:tc>
          <w:tcPr>
            <w:tcW w:w="988" w:type="dxa"/>
            <w:vAlign w:val="center"/>
          </w:tcPr>
          <w:p w14:paraId="3E074B47" w14:textId="77777777" w:rsidR="00E61C26" w:rsidRPr="004D0383" w:rsidRDefault="00E61C26" w:rsidP="00050D38">
            <w:pPr>
              <w:keepNext/>
              <w:spacing w:before="160" w:after="80" w:line="288" w:lineRule="auto"/>
              <w:jc w:val="center"/>
              <w:outlineLvl w:val="1"/>
              <w:rPr>
                <w:rFonts w:cs="Arial"/>
                <w:iCs/>
              </w:rPr>
            </w:pPr>
            <w:r w:rsidRPr="004D0383">
              <w:rPr>
                <w:rFonts w:cs="Arial"/>
                <w:iCs/>
              </w:rPr>
              <w:t>10</w:t>
            </w:r>
          </w:p>
        </w:tc>
        <w:tc>
          <w:tcPr>
            <w:tcW w:w="8073" w:type="dxa"/>
            <w:vAlign w:val="center"/>
          </w:tcPr>
          <w:p w14:paraId="38DFB2AB" w14:textId="77777777" w:rsidR="00E61C26" w:rsidRDefault="00E61C26" w:rsidP="00050D38">
            <w:pPr>
              <w:keepNext/>
              <w:spacing w:before="160" w:after="80" w:line="288" w:lineRule="auto"/>
              <w:outlineLvl w:val="1"/>
              <w:rPr>
                <w:rFonts w:cs="Arial"/>
                <w:iCs/>
              </w:rPr>
            </w:pPr>
            <w:r w:rsidRPr="00050D38">
              <w:rPr>
                <w:rFonts w:cs="Arial"/>
                <w:iCs/>
              </w:rPr>
              <w:t>Dr Robyn Holder—Research Fellow—Griffith University</w:t>
            </w:r>
          </w:p>
        </w:tc>
      </w:tr>
      <w:tr w:rsidR="00E61C26" w:rsidRPr="00050D38" w14:paraId="379298E1" w14:textId="77777777" w:rsidTr="005722A6">
        <w:trPr>
          <w:tblHeader/>
        </w:trPr>
        <w:tc>
          <w:tcPr>
            <w:tcW w:w="988" w:type="dxa"/>
            <w:vAlign w:val="center"/>
          </w:tcPr>
          <w:p w14:paraId="480C3E9C" w14:textId="77777777" w:rsidR="00E61C26" w:rsidRPr="004D0383" w:rsidRDefault="00E61C26" w:rsidP="00050D38">
            <w:pPr>
              <w:keepNext/>
              <w:spacing w:before="160" w:after="80" w:line="288" w:lineRule="auto"/>
              <w:jc w:val="center"/>
              <w:outlineLvl w:val="1"/>
              <w:rPr>
                <w:rFonts w:cs="Arial"/>
                <w:iCs/>
              </w:rPr>
            </w:pPr>
            <w:r w:rsidRPr="004D0383">
              <w:rPr>
                <w:rFonts w:cs="Arial"/>
                <w:iCs/>
              </w:rPr>
              <w:t>11</w:t>
            </w:r>
          </w:p>
        </w:tc>
        <w:tc>
          <w:tcPr>
            <w:tcW w:w="8073" w:type="dxa"/>
            <w:vAlign w:val="center"/>
          </w:tcPr>
          <w:p w14:paraId="18CACFCD" w14:textId="77777777" w:rsidR="00E61C26" w:rsidRDefault="00E61C26" w:rsidP="00050D38">
            <w:pPr>
              <w:keepNext/>
              <w:spacing w:before="160" w:after="80" w:line="288" w:lineRule="auto"/>
              <w:outlineLvl w:val="1"/>
              <w:rPr>
                <w:rFonts w:cs="Arial"/>
                <w:iCs/>
              </w:rPr>
            </w:pPr>
            <w:r w:rsidRPr="00050D38">
              <w:rPr>
                <w:rFonts w:cs="Arial"/>
                <w:iCs/>
              </w:rPr>
              <w:t>Domestic Violence Crisis Service</w:t>
            </w:r>
          </w:p>
        </w:tc>
      </w:tr>
      <w:tr w:rsidR="00E61C26" w:rsidRPr="00050D38" w14:paraId="535BCDEC" w14:textId="77777777" w:rsidTr="005722A6">
        <w:trPr>
          <w:tblHeader/>
        </w:trPr>
        <w:tc>
          <w:tcPr>
            <w:tcW w:w="988" w:type="dxa"/>
            <w:vAlign w:val="center"/>
          </w:tcPr>
          <w:p w14:paraId="0DFFCC6E" w14:textId="77777777" w:rsidR="00E61C26" w:rsidRPr="004D0383" w:rsidRDefault="00E61C26" w:rsidP="00050D38">
            <w:pPr>
              <w:keepNext/>
              <w:spacing w:before="160" w:after="80" w:line="288" w:lineRule="auto"/>
              <w:jc w:val="center"/>
              <w:outlineLvl w:val="1"/>
              <w:rPr>
                <w:rFonts w:cs="Arial"/>
                <w:iCs/>
              </w:rPr>
            </w:pPr>
            <w:r w:rsidRPr="004D0383">
              <w:rPr>
                <w:rFonts w:cs="Arial"/>
                <w:iCs/>
              </w:rPr>
              <w:t>12</w:t>
            </w:r>
          </w:p>
        </w:tc>
        <w:tc>
          <w:tcPr>
            <w:tcW w:w="8073" w:type="dxa"/>
            <w:vAlign w:val="center"/>
          </w:tcPr>
          <w:p w14:paraId="29523F86" w14:textId="77777777" w:rsidR="00E61C26" w:rsidRDefault="00E61C26" w:rsidP="00050D38">
            <w:pPr>
              <w:keepNext/>
              <w:spacing w:before="160" w:after="80" w:line="288" w:lineRule="auto"/>
              <w:outlineLvl w:val="1"/>
              <w:rPr>
                <w:rFonts w:cs="Arial"/>
                <w:iCs/>
              </w:rPr>
            </w:pPr>
            <w:r w:rsidRPr="00050D38">
              <w:rPr>
                <w:rFonts w:cs="Arial"/>
                <w:iCs/>
              </w:rPr>
              <w:t>UnionsACT</w:t>
            </w:r>
          </w:p>
        </w:tc>
      </w:tr>
      <w:tr w:rsidR="00E61C26" w:rsidRPr="00050D38" w14:paraId="00F83178" w14:textId="77777777" w:rsidTr="005722A6">
        <w:trPr>
          <w:tblHeader/>
        </w:trPr>
        <w:tc>
          <w:tcPr>
            <w:tcW w:w="988" w:type="dxa"/>
            <w:vAlign w:val="center"/>
          </w:tcPr>
          <w:p w14:paraId="03F7B333" w14:textId="77777777" w:rsidR="00E61C26" w:rsidRPr="004D0383" w:rsidRDefault="00E61C26" w:rsidP="00050D38">
            <w:pPr>
              <w:keepNext/>
              <w:spacing w:before="160" w:after="80" w:line="288" w:lineRule="auto"/>
              <w:jc w:val="center"/>
              <w:outlineLvl w:val="1"/>
              <w:rPr>
                <w:rFonts w:cs="Arial"/>
                <w:iCs/>
              </w:rPr>
            </w:pPr>
            <w:r w:rsidRPr="004D0383">
              <w:rPr>
                <w:rFonts w:cs="Arial"/>
                <w:iCs/>
              </w:rPr>
              <w:t>13</w:t>
            </w:r>
          </w:p>
        </w:tc>
        <w:tc>
          <w:tcPr>
            <w:tcW w:w="8073" w:type="dxa"/>
            <w:vAlign w:val="center"/>
          </w:tcPr>
          <w:p w14:paraId="50A2648C" w14:textId="77777777" w:rsidR="00E61C26" w:rsidRDefault="00E61C26" w:rsidP="00050D38">
            <w:pPr>
              <w:keepNext/>
              <w:spacing w:before="160" w:after="80" w:line="288" w:lineRule="auto"/>
              <w:outlineLvl w:val="1"/>
              <w:rPr>
                <w:rFonts w:cs="Arial"/>
                <w:iCs/>
              </w:rPr>
            </w:pPr>
            <w:r w:rsidRPr="00050D38">
              <w:rPr>
                <w:rFonts w:cs="Arial"/>
                <w:iCs/>
              </w:rPr>
              <w:t>ACT Director of Public Prosecutions (DPP)</w:t>
            </w:r>
          </w:p>
        </w:tc>
      </w:tr>
      <w:tr w:rsidR="00E61C26" w:rsidRPr="00050D38" w14:paraId="2C3B9249" w14:textId="77777777" w:rsidTr="005722A6">
        <w:trPr>
          <w:tblHeader/>
        </w:trPr>
        <w:tc>
          <w:tcPr>
            <w:tcW w:w="988" w:type="dxa"/>
            <w:vAlign w:val="center"/>
          </w:tcPr>
          <w:p w14:paraId="4C8E7D91" w14:textId="77777777" w:rsidR="00E61C26" w:rsidRPr="004D0383" w:rsidRDefault="00E61C26" w:rsidP="00050D38">
            <w:pPr>
              <w:keepNext/>
              <w:spacing w:before="160" w:after="80" w:line="288" w:lineRule="auto"/>
              <w:jc w:val="center"/>
              <w:outlineLvl w:val="1"/>
              <w:rPr>
                <w:rFonts w:cs="Arial"/>
                <w:iCs/>
              </w:rPr>
            </w:pPr>
            <w:r w:rsidRPr="004D0383">
              <w:rPr>
                <w:rFonts w:cs="Arial"/>
                <w:iCs/>
              </w:rPr>
              <w:t>14</w:t>
            </w:r>
          </w:p>
        </w:tc>
        <w:tc>
          <w:tcPr>
            <w:tcW w:w="8073" w:type="dxa"/>
            <w:vAlign w:val="center"/>
          </w:tcPr>
          <w:p w14:paraId="11740DA1" w14:textId="77777777" w:rsidR="00E61C26" w:rsidRDefault="00E61C26" w:rsidP="00050D38">
            <w:pPr>
              <w:keepNext/>
              <w:spacing w:before="160" w:after="80" w:line="288" w:lineRule="auto"/>
              <w:outlineLvl w:val="1"/>
              <w:rPr>
                <w:rFonts w:cs="Arial"/>
                <w:iCs/>
              </w:rPr>
            </w:pPr>
            <w:r w:rsidRPr="00050D38">
              <w:rPr>
                <w:rFonts w:cs="Arial"/>
                <w:iCs/>
              </w:rPr>
              <w:t>ACT Bar Association</w:t>
            </w:r>
          </w:p>
        </w:tc>
      </w:tr>
      <w:tr w:rsidR="00E61C26" w:rsidRPr="00050D38" w14:paraId="673732D2" w14:textId="77777777" w:rsidTr="005722A6">
        <w:trPr>
          <w:tblHeader/>
        </w:trPr>
        <w:tc>
          <w:tcPr>
            <w:tcW w:w="988" w:type="dxa"/>
            <w:vAlign w:val="center"/>
          </w:tcPr>
          <w:p w14:paraId="0467C839" w14:textId="77777777" w:rsidR="00E61C26" w:rsidRPr="004D0383" w:rsidRDefault="00E61C26" w:rsidP="00050D38">
            <w:pPr>
              <w:keepNext/>
              <w:spacing w:before="160" w:after="80" w:line="288" w:lineRule="auto"/>
              <w:jc w:val="center"/>
              <w:outlineLvl w:val="1"/>
              <w:rPr>
                <w:rFonts w:cs="Arial"/>
                <w:iCs/>
              </w:rPr>
            </w:pPr>
            <w:r w:rsidRPr="004D0383">
              <w:rPr>
                <w:rFonts w:cs="Arial"/>
                <w:iCs/>
              </w:rPr>
              <w:t>15</w:t>
            </w:r>
          </w:p>
        </w:tc>
        <w:tc>
          <w:tcPr>
            <w:tcW w:w="8073" w:type="dxa"/>
            <w:vAlign w:val="center"/>
          </w:tcPr>
          <w:p w14:paraId="1C78F40C" w14:textId="77777777" w:rsidR="00E61C26" w:rsidRDefault="00E61C26" w:rsidP="00050D38">
            <w:pPr>
              <w:keepNext/>
              <w:spacing w:before="160" w:after="80" w:line="288" w:lineRule="auto"/>
              <w:outlineLvl w:val="1"/>
              <w:rPr>
                <w:rFonts w:cs="Arial"/>
                <w:iCs/>
              </w:rPr>
            </w:pPr>
            <w:r w:rsidRPr="00050D38">
              <w:rPr>
                <w:rFonts w:cs="Arial"/>
                <w:iCs/>
              </w:rPr>
              <w:t>Beryl Women Inc.</w:t>
            </w:r>
          </w:p>
        </w:tc>
      </w:tr>
      <w:tr w:rsidR="00E61C26" w:rsidRPr="00050D38" w14:paraId="1340C756" w14:textId="77777777" w:rsidTr="005722A6">
        <w:trPr>
          <w:tblHeader/>
        </w:trPr>
        <w:tc>
          <w:tcPr>
            <w:tcW w:w="988" w:type="dxa"/>
            <w:vAlign w:val="center"/>
          </w:tcPr>
          <w:p w14:paraId="4BA5808C" w14:textId="77777777" w:rsidR="00E61C26" w:rsidRPr="004D0383" w:rsidRDefault="00E61C26" w:rsidP="00050D38">
            <w:pPr>
              <w:keepNext/>
              <w:spacing w:before="160" w:after="80" w:line="288" w:lineRule="auto"/>
              <w:jc w:val="center"/>
              <w:outlineLvl w:val="1"/>
              <w:rPr>
                <w:rFonts w:cs="Arial"/>
                <w:iCs/>
              </w:rPr>
            </w:pPr>
            <w:r w:rsidRPr="004D0383">
              <w:rPr>
                <w:rFonts w:cs="Arial"/>
                <w:iCs/>
              </w:rPr>
              <w:t>16</w:t>
            </w:r>
          </w:p>
        </w:tc>
        <w:tc>
          <w:tcPr>
            <w:tcW w:w="8073" w:type="dxa"/>
            <w:vAlign w:val="center"/>
          </w:tcPr>
          <w:p w14:paraId="27416808" w14:textId="77777777" w:rsidR="00E61C26" w:rsidRDefault="00E61C26" w:rsidP="00050D38">
            <w:pPr>
              <w:keepNext/>
              <w:spacing w:before="160" w:after="80" w:line="288" w:lineRule="auto"/>
              <w:outlineLvl w:val="1"/>
              <w:rPr>
                <w:rFonts w:cs="Arial"/>
                <w:iCs/>
              </w:rPr>
            </w:pPr>
            <w:r w:rsidRPr="00517F48">
              <w:rPr>
                <w:rFonts w:cs="Arial"/>
                <w:iCs/>
              </w:rPr>
              <w:t>Domestic Violence Prevention Council</w:t>
            </w:r>
          </w:p>
        </w:tc>
      </w:tr>
      <w:tr w:rsidR="00E61C26" w:rsidRPr="00050D38" w14:paraId="5BB78709" w14:textId="77777777" w:rsidTr="005722A6">
        <w:trPr>
          <w:tblHeader/>
        </w:trPr>
        <w:tc>
          <w:tcPr>
            <w:tcW w:w="988" w:type="dxa"/>
            <w:vAlign w:val="center"/>
          </w:tcPr>
          <w:p w14:paraId="372BEC35" w14:textId="77777777" w:rsidR="00E61C26" w:rsidRPr="004D0383" w:rsidRDefault="00E61C26" w:rsidP="00050D38">
            <w:pPr>
              <w:keepNext/>
              <w:spacing w:before="160" w:after="80" w:line="288" w:lineRule="auto"/>
              <w:jc w:val="center"/>
              <w:outlineLvl w:val="1"/>
              <w:rPr>
                <w:rFonts w:cs="Arial"/>
                <w:iCs/>
              </w:rPr>
            </w:pPr>
            <w:r w:rsidRPr="004D0383">
              <w:rPr>
                <w:rFonts w:cs="Arial"/>
                <w:iCs/>
              </w:rPr>
              <w:t>16a</w:t>
            </w:r>
          </w:p>
        </w:tc>
        <w:tc>
          <w:tcPr>
            <w:tcW w:w="8073" w:type="dxa"/>
            <w:vAlign w:val="center"/>
          </w:tcPr>
          <w:p w14:paraId="2B118F69" w14:textId="77777777" w:rsidR="00E61C26" w:rsidRDefault="00E61C26" w:rsidP="00050D38">
            <w:pPr>
              <w:keepNext/>
              <w:spacing w:before="160" w:after="80" w:line="288" w:lineRule="auto"/>
              <w:outlineLvl w:val="1"/>
              <w:rPr>
                <w:rFonts w:cs="Arial"/>
                <w:iCs/>
              </w:rPr>
            </w:pPr>
            <w:r w:rsidRPr="00517F48">
              <w:rPr>
                <w:rFonts w:cs="Arial"/>
                <w:iCs/>
              </w:rPr>
              <w:t>Domestic Violence Prevention Council</w:t>
            </w:r>
          </w:p>
        </w:tc>
      </w:tr>
      <w:tr w:rsidR="00E61C26" w:rsidRPr="00050D38" w14:paraId="65BBA340" w14:textId="77777777" w:rsidTr="005722A6">
        <w:trPr>
          <w:tblHeader/>
        </w:trPr>
        <w:tc>
          <w:tcPr>
            <w:tcW w:w="988" w:type="dxa"/>
            <w:vAlign w:val="center"/>
          </w:tcPr>
          <w:p w14:paraId="2AC44095" w14:textId="77777777" w:rsidR="00E61C26" w:rsidRPr="004D0383" w:rsidRDefault="00E61C26" w:rsidP="00050D38">
            <w:pPr>
              <w:keepNext/>
              <w:spacing w:before="160" w:after="80" w:line="288" w:lineRule="auto"/>
              <w:jc w:val="center"/>
              <w:outlineLvl w:val="1"/>
              <w:rPr>
                <w:rFonts w:cs="Arial"/>
                <w:iCs/>
              </w:rPr>
            </w:pPr>
            <w:r w:rsidRPr="004D0383">
              <w:rPr>
                <w:rFonts w:cs="Arial"/>
                <w:iCs/>
              </w:rPr>
              <w:t>17</w:t>
            </w:r>
          </w:p>
        </w:tc>
        <w:tc>
          <w:tcPr>
            <w:tcW w:w="8073" w:type="dxa"/>
            <w:vAlign w:val="center"/>
          </w:tcPr>
          <w:p w14:paraId="45EE6593" w14:textId="77777777" w:rsidR="00E61C26" w:rsidRDefault="00E61C26" w:rsidP="00050D38">
            <w:pPr>
              <w:keepNext/>
              <w:spacing w:before="160" w:after="80" w:line="288" w:lineRule="auto"/>
              <w:outlineLvl w:val="1"/>
              <w:rPr>
                <w:rFonts w:cs="Arial"/>
                <w:iCs/>
              </w:rPr>
            </w:pPr>
            <w:r w:rsidRPr="00050D38">
              <w:rPr>
                <w:rFonts w:cs="Arial"/>
                <w:iCs/>
              </w:rPr>
              <w:t>ACT Women’s Services Network</w:t>
            </w:r>
          </w:p>
        </w:tc>
      </w:tr>
      <w:tr w:rsidR="00E61C26" w:rsidRPr="00050D38" w14:paraId="3ADCA4D7" w14:textId="77777777" w:rsidTr="005722A6">
        <w:trPr>
          <w:tblHeader/>
        </w:trPr>
        <w:tc>
          <w:tcPr>
            <w:tcW w:w="988" w:type="dxa"/>
            <w:vAlign w:val="center"/>
          </w:tcPr>
          <w:p w14:paraId="6A72A8D6" w14:textId="77777777" w:rsidR="00E61C26" w:rsidRPr="004D0383" w:rsidRDefault="00E61C26" w:rsidP="00050D38">
            <w:pPr>
              <w:keepNext/>
              <w:spacing w:before="160" w:after="80" w:line="288" w:lineRule="auto"/>
              <w:jc w:val="center"/>
              <w:outlineLvl w:val="1"/>
              <w:rPr>
                <w:rFonts w:cs="Arial"/>
                <w:iCs/>
              </w:rPr>
            </w:pPr>
            <w:r w:rsidRPr="004D0383">
              <w:rPr>
                <w:rFonts w:cs="Arial"/>
                <w:iCs/>
              </w:rPr>
              <w:t>18</w:t>
            </w:r>
          </w:p>
        </w:tc>
        <w:tc>
          <w:tcPr>
            <w:tcW w:w="8073" w:type="dxa"/>
            <w:vAlign w:val="center"/>
          </w:tcPr>
          <w:p w14:paraId="4BC40ABC" w14:textId="77777777" w:rsidR="00E61C26" w:rsidRDefault="00E61C26" w:rsidP="00050D38">
            <w:pPr>
              <w:keepNext/>
              <w:spacing w:before="160" w:after="80" w:line="288" w:lineRule="auto"/>
              <w:outlineLvl w:val="1"/>
              <w:rPr>
                <w:rFonts w:cs="Arial"/>
                <w:iCs/>
              </w:rPr>
            </w:pPr>
            <w:r>
              <w:rPr>
                <w:rFonts w:cs="Arial"/>
                <w:iCs/>
              </w:rPr>
              <w:t>Menslink</w:t>
            </w:r>
          </w:p>
        </w:tc>
      </w:tr>
      <w:tr w:rsidR="00E61C26" w:rsidRPr="00050D38" w14:paraId="0793135E" w14:textId="77777777" w:rsidTr="005722A6">
        <w:trPr>
          <w:tblHeader/>
        </w:trPr>
        <w:tc>
          <w:tcPr>
            <w:tcW w:w="988" w:type="dxa"/>
            <w:vAlign w:val="center"/>
          </w:tcPr>
          <w:p w14:paraId="3DAC9E14" w14:textId="77777777" w:rsidR="00E61C26" w:rsidRPr="004D0383" w:rsidRDefault="00E61C26" w:rsidP="00050D38">
            <w:pPr>
              <w:keepNext/>
              <w:spacing w:before="160" w:after="80" w:line="288" w:lineRule="auto"/>
              <w:jc w:val="center"/>
              <w:outlineLvl w:val="1"/>
              <w:rPr>
                <w:rFonts w:cs="Arial"/>
                <w:iCs/>
              </w:rPr>
            </w:pPr>
            <w:r w:rsidRPr="004D0383">
              <w:rPr>
                <w:rFonts w:cs="Arial"/>
                <w:iCs/>
              </w:rPr>
              <w:t>19</w:t>
            </w:r>
          </w:p>
        </w:tc>
        <w:tc>
          <w:tcPr>
            <w:tcW w:w="8073" w:type="dxa"/>
            <w:vAlign w:val="center"/>
          </w:tcPr>
          <w:p w14:paraId="2239342B" w14:textId="77777777" w:rsidR="00E61C26" w:rsidRDefault="00E61C26" w:rsidP="00050D38">
            <w:pPr>
              <w:keepNext/>
              <w:spacing w:before="160" w:after="80" w:line="288" w:lineRule="auto"/>
              <w:outlineLvl w:val="1"/>
              <w:rPr>
                <w:rFonts w:cs="Arial"/>
                <w:iCs/>
              </w:rPr>
            </w:pPr>
            <w:r w:rsidRPr="00050D38">
              <w:rPr>
                <w:rFonts w:cs="Arial"/>
                <w:iCs/>
              </w:rPr>
              <w:t>Women With Disabilities ACT Inc</w:t>
            </w:r>
          </w:p>
        </w:tc>
      </w:tr>
      <w:tr w:rsidR="00E61C26" w:rsidRPr="00050D38" w14:paraId="4A99DCDE" w14:textId="77777777" w:rsidTr="005722A6">
        <w:trPr>
          <w:tblHeader/>
        </w:trPr>
        <w:tc>
          <w:tcPr>
            <w:tcW w:w="988" w:type="dxa"/>
            <w:vAlign w:val="center"/>
          </w:tcPr>
          <w:p w14:paraId="305AA40A" w14:textId="77777777" w:rsidR="00E61C26" w:rsidRPr="004D0383" w:rsidRDefault="00E61C26" w:rsidP="00050D38">
            <w:pPr>
              <w:keepNext/>
              <w:spacing w:before="160" w:after="80" w:line="288" w:lineRule="auto"/>
              <w:jc w:val="center"/>
              <w:outlineLvl w:val="1"/>
              <w:rPr>
                <w:rFonts w:cs="Arial"/>
                <w:iCs/>
              </w:rPr>
            </w:pPr>
            <w:r w:rsidRPr="004D0383">
              <w:rPr>
                <w:rFonts w:cs="Arial"/>
                <w:iCs/>
              </w:rPr>
              <w:t>20</w:t>
            </w:r>
          </w:p>
        </w:tc>
        <w:tc>
          <w:tcPr>
            <w:tcW w:w="8073" w:type="dxa"/>
            <w:vAlign w:val="center"/>
          </w:tcPr>
          <w:p w14:paraId="2053D187" w14:textId="77777777" w:rsidR="00E61C26" w:rsidRDefault="00E61C26" w:rsidP="00050D38">
            <w:pPr>
              <w:keepNext/>
              <w:spacing w:before="160" w:after="80" w:line="288" w:lineRule="auto"/>
              <w:outlineLvl w:val="1"/>
              <w:rPr>
                <w:rFonts w:cs="Arial"/>
                <w:iCs/>
              </w:rPr>
            </w:pPr>
            <w:r w:rsidRPr="00050D38">
              <w:rPr>
                <w:rFonts w:cs="Arial"/>
                <w:iCs/>
              </w:rPr>
              <w:t>Foundation for Alcohol Research and Education</w:t>
            </w:r>
          </w:p>
        </w:tc>
      </w:tr>
      <w:tr w:rsidR="00E61C26" w:rsidRPr="00050D38" w14:paraId="64AB10D8" w14:textId="77777777" w:rsidTr="005722A6">
        <w:trPr>
          <w:tblHeader/>
        </w:trPr>
        <w:tc>
          <w:tcPr>
            <w:tcW w:w="988" w:type="dxa"/>
            <w:vAlign w:val="center"/>
          </w:tcPr>
          <w:p w14:paraId="0BBB0CAA" w14:textId="77777777" w:rsidR="00E61C26" w:rsidRPr="004D0383" w:rsidRDefault="00E61C26" w:rsidP="00050D38">
            <w:pPr>
              <w:keepNext/>
              <w:spacing w:before="160" w:after="80" w:line="288" w:lineRule="auto"/>
              <w:jc w:val="center"/>
              <w:outlineLvl w:val="1"/>
              <w:rPr>
                <w:rFonts w:cs="Arial"/>
                <w:iCs/>
              </w:rPr>
            </w:pPr>
            <w:r w:rsidRPr="004D0383">
              <w:rPr>
                <w:rFonts w:cs="Arial"/>
                <w:iCs/>
              </w:rPr>
              <w:t>21</w:t>
            </w:r>
          </w:p>
        </w:tc>
        <w:tc>
          <w:tcPr>
            <w:tcW w:w="8073" w:type="dxa"/>
            <w:vAlign w:val="center"/>
          </w:tcPr>
          <w:p w14:paraId="21E18B55" w14:textId="77777777" w:rsidR="00E61C26" w:rsidRDefault="00E61C26" w:rsidP="00050D38">
            <w:pPr>
              <w:keepNext/>
              <w:spacing w:before="160" w:after="80" w:line="288" w:lineRule="auto"/>
              <w:outlineLvl w:val="1"/>
              <w:rPr>
                <w:rFonts w:cs="Arial"/>
                <w:iCs/>
              </w:rPr>
            </w:pPr>
            <w:r w:rsidRPr="00050D38">
              <w:rPr>
                <w:rFonts w:cs="Arial"/>
                <w:iCs/>
              </w:rPr>
              <w:t>ACT Council of Social Service Inc. (ACTCOSS)</w:t>
            </w:r>
          </w:p>
        </w:tc>
      </w:tr>
      <w:tr w:rsidR="00E61C26" w:rsidRPr="00050D38" w14:paraId="26C40B04" w14:textId="77777777" w:rsidTr="005722A6">
        <w:trPr>
          <w:tblHeader/>
        </w:trPr>
        <w:tc>
          <w:tcPr>
            <w:tcW w:w="988" w:type="dxa"/>
            <w:vAlign w:val="center"/>
          </w:tcPr>
          <w:p w14:paraId="11B22DED" w14:textId="77777777" w:rsidR="00E61C26" w:rsidRPr="004D0383" w:rsidRDefault="00E61C26" w:rsidP="00050D38">
            <w:pPr>
              <w:keepNext/>
              <w:spacing w:before="160" w:after="80" w:line="288" w:lineRule="auto"/>
              <w:jc w:val="center"/>
              <w:outlineLvl w:val="1"/>
              <w:rPr>
                <w:rFonts w:cs="Arial"/>
                <w:iCs/>
              </w:rPr>
            </w:pPr>
            <w:r w:rsidRPr="004D0383">
              <w:rPr>
                <w:rFonts w:cs="Arial"/>
                <w:iCs/>
              </w:rPr>
              <w:t>22</w:t>
            </w:r>
          </w:p>
        </w:tc>
        <w:tc>
          <w:tcPr>
            <w:tcW w:w="8073" w:type="dxa"/>
            <w:vAlign w:val="center"/>
          </w:tcPr>
          <w:p w14:paraId="7B988F72" w14:textId="77777777" w:rsidR="00E61C26" w:rsidRDefault="00E61C26" w:rsidP="00050D38">
            <w:pPr>
              <w:keepNext/>
              <w:spacing w:before="160" w:after="80" w:line="288" w:lineRule="auto"/>
              <w:outlineLvl w:val="1"/>
              <w:rPr>
                <w:rFonts w:cs="Arial"/>
                <w:iCs/>
              </w:rPr>
            </w:pPr>
            <w:r>
              <w:rPr>
                <w:rFonts w:cs="Arial"/>
                <w:iCs/>
              </w:rPr>
              <w:t>ACT Government</w:t>
            </w:r>
          </w:p>
        </w:tc>
      </w:tr>
      <w:tr w:rsidR="00E61C26" w:rsidRPr="00050D38" w14:paraId="18C74711" w14:textId="77777777" w:rsidTr="005722A6">
        <w:trPr>
          <w:tblHeader/>
        </w:trPr>
        <w:tc>
          <w:tcPr>
            <w:tcW w:w="988" w:type="dxa"/>
            <w:vAlign w:val="center"/>
          </w:tcPr>
          <w:p w14:paraId="49E76302" w14:textId="77777777" w:rsidR="00E61C26" w:rsidRPr="004D0383" w:rsidRDefault="00E61C26" w:rsidP="00050D38">
            <w:pPr>
              <w:keepNext/>
              <w:spacing w:before="160" w:after="80" w:line="288" w:lineRule="auto"/>
              <w:jc w:val="center"/>
              <w:outlineLvl w:val="1"/>
              <w:rPr>
                <w:rFonts w:cs="Arial"/>
                <w:iCs/>
              </w:rPr>
            </w:pPr>
            <w:r w:rsidRPr="004D0383">
              <w:rPr>
                <w:rFonts w:cs="Arial"/>
                <w:iCs/>
              </w:rPr>
              <w:lastRenderedPageBreak/>
              <w:t>23</w:t>
            </w:r>
          </w:p>
        </w:tc>
        <w:tc>
          <w:tcPr>
            <w:tcW w:w="8073" w:type="dxa"/>
            <w:vAlign w:val="center"/>
          </w:tcPr>
          <w:p w14:paraId="4CCE134D" w14:textId="77777777" w:rsidR="00E61C26" w:rsidRDefault="00E61C26" w:rsidP="00050D38">
            <w:pPr>
              <w:keepNext/>
              <w:spacing w:before="160" w:after="80" w:line="288" w:lineRule="auto"/>
              <w:outlineLvl w:val="1"/>
              <w:rPr>
                <w:rFonts w:cs="Arial"/>
                <w:iCs/>
              </w:rPr>
            </w:pPr>
            <w:r w:rsidRPr="00050D38">
              <w:rPr>
                <w:rFonts w:cs="Arial"/>
                <w:iCs/>
              </w:rPr>
              <w:t>Our Watch</w:t>
            </w:r>
          </w:p>
        </w:tc>
      </w:tr>
      <w:tr w:rsidR="00E61C26" w:rsidRPr="00050D38" w14:paraId="490C8786" w14:textId="77777777" w:rsidTr="005722A6">
        <w:trPr>
          <w:tblHeader/>
        </w:trPr>
        <w:tc>
          <w:tcPr>
            <w:tcW w:w="988" w:type="dxa"/>
            <w:vAlign w:val="center"/>
          </w:tcPr>
          <w:p w14:paraId="2FFE25B4" w14:textId="77777777" w:rsidR="00E61C26" w:rsidRPr="004D0383" w:rsidRDefault="00E61C26" w:rsidP="00050D38">
            <w:pPr>
              <w:keepNext/>
              <w:spacing w:before="160" w:after="80" w:line="288" w:lineRule="auto"/>
              <w:jc w:val="center"/>
              <w:outlineLvl w:val="1"/>
              <w:rPr>
                <w:rFonts w:cs="Arial"/>
                <w:iCs/>
              </w:rPr>
            </w:pPr>
            <w:r w:rsidRPr="004D0383">
              <w:rPr>
                <w:rFonts w:cs="Arial"/>
                <w:iCs/>
              </w:rPr>
              <w:t>24</w:t>
            </w:r>
          </w:p>
        </w:tc>
        <w:tc>
          <w:tcPr>
            <w:tcW w:w="8073" w:type="dxa"/>
            <w:vAlign w:val="center"/>
          </w:tcPr>
          <w:p w14:paraId="43F92BA7" w14:textId="77777777" w:rsidR="00E61C26" w:rsidRDefault="00E61C26" w:rsidP="00050D38">
            <w:pPr>
              <w:keepNext/>
              <w:spacing w:before="160" w:after="80" w:line="288" w:lineRule="auto"/>
              <w:outlineLvl w:val="1"/>
              <w:rPr>
                <w:rFonts w:cs="Arial"/>
                <w:iCs/>
              </w:rPr>
            </w:pPr>
            <w:r w:rsidRPr="00050D38">
              <w:rPr>
                <w:rFonts w:cs="Arial"/>
                <w:iCs/>
              </w:rPr>
              <w:t>Women’s Electoral Lobby</w:t>
            </w:r>
          </w:p>
        </w:tc>
      </w:tr>
      <w:tr w:rsidR="00E61C26" w:rsidRPr="00050D38" w14:paraId="1814CED7" w14:textId="77777777" w:rsidTr="005722A6">
        <w:trPr>
          <w:tblHeader/>
        </w:trPr>
        <w:tc>
          <w:tcPr>
            <w:tcW w:w="988" w:type="dxa"/>
            <w:vAlign w:val="center"/>
          </w:tcPr>
          <w:p w14:paraId="00B80211" w14:textId="77777777" w:rsidR="00E61C26" w:rsidRPr="004D0383" w:rsidRDefault="00E61C26" w:rsidP="00050D38">
            <w:pPr>
              <w:keepNext/>
              <w:spacing w:before="160" w:after="80" w:line="288" w:lineRule="auto"/>
              <w:jc w:val="center"/>
              <w:outlineLvl w:val="1"/>
              <w:rPr>
                <w:rFonts w:cs="Arial"/>
                <w:iCs/>
              </w:rPr>
            </w:pPr>
            <w:r w:rsidRPr="004D0383">
              <w:rPr>
                <w:rFonts w:cs="Arial"/>
                <w:iCs/>
              </w:rPr>
              <w:t>25</w:t>
            </w:r>
          </w:p>
        </w:tc>
        <w:tc>
          <w:tcPr>
            <w:tcW w:w="8073" w:type="dxa"/>
            <w:vAlign w:val="center"/>
          </w:tcPr>
          <w:p w14:paraId="2E33E63F" w14:textId="77777777" w:rsidR="00E61C26" w:rsidRDefault="00E61C26" w:rsidP="00050D38">
            <w:pPr>
              <w:keepNext/>
              <w:spacing w:before="160" w:after="80" w:line="288" w:lineRule="auto"/>
              <w:outlineLvl w:val="1"/>
              <w:rPr>
                <w:rFonts w:cs="Arial"/>
                <w:iCs/>
              </w:rPr>
            </w:pPr>
            <w:r w:rsidRPr="00050D38">
              <w:rPr>
                <w:rFonts w:cs="Arial"/>
                <w:iCs/>
              </w:rPr>
              <w:t>ACT Ministerial Advisory Council on Ageing</w:t>
            </w:r>
          </w:p>
        </w:tc>
      </w:tr>
      <w:tr w:rsidR="00E61C26" w:rsidRPr="00050D38" w14:paraId="5D13EACC" w14:textId="77777777" w:rsidTr="005722A6">
        <w:trPr>
          <w:tblHeader/>
        </w:trPr>
        <w:tc>
          <w:tcPr>
            <w:tcW w:w="988" w:type="dxa"/>
            <w:vAlign w:val="center"/>
          </w:tcPr>
          <w:p w14:paraId="714FC5D0" w14:textId="77777777" w:rsidR="00E61C26" w:rsidRPr="004D0383" w:rsidRDefault="00E61C26" w:rsidP="00050D38">
            <w:pPr>
              <w:keepNext/>
              <w:spacing w:before="160" w:after="80" w:line="288" w:lineRule="auto"/>
              <w:jc w:val="center"/>
              <w:outlineLvl w:val="1"/>
              <w:rPr>
                <w:rFonts w:cs="Arial"/>
                <w:iCs/>
              </w:rPr>
            </w:pPr>
            <w:r w:rsidRPr="004D0383">
              <w:rPr>
                <w:rFonts w:cs="Arial"/>
                <w:iCs/>
              </w:rPr>
              <w:t>26</w:t>
            </w:r>
          </w:p>
        </w:tc>
        <w:tc>
          <w:tcPr>
            <w:tcW w:w="8073" w:type="dxa"/>
            <w:vAlign w:val="center"/>
          </w:tcPr>
          <w:p w14:paraId="1C64AB7F" w14:textId="77777777" w:rsidR="00E61C26" w:rsidRDefault="00E61C26" w:rsidP="00050D38">
            <w:pPr>
              <w:keepNext/>
              <w:spacing w:before="160" w:after="80" w:line="288" w:lineRule="auto"/>
              <w:outlineLvl w:val="1"/>
              <w:rPr>
                <w:rFonts w:cs="Arial"/>
                <w:iCs/>
              </w:rPr>
            </w:pPr>
            <w:r w:rsidRPr="00050D38">
              <w:rPr>
                <w:rFonts w:cs="Arial"/>
                <w:iCs/>
              </w:rPr>
              <w:t>Women's Centre for Health Matters</w:t>
            </w:r>
          </w:p>
        </w:tc>
      </w:tr>
      <w:tr w:rsidR="00E61C26" w:rsidRPr="00050D38" w14:paraId="7E25D476" w14:textId="77777777" w:rsidTr="005722A6">
        <w:trPr>
          <w:tblHeader/>
        </w:trPr>
        <w:tc>
          <w:tcPr>
            <w:tcW w:w="988" w:type="dxa"/>
            <w:vAlign w:val="center"/>
          </w:tcPr>
          <w:p w14:paraId="60236EC5" w14:textId="77777777" w:rsidR="00E61C26" w:rsidRPr="004D0383" w:rsidRDefault="00E61C26" w:rsidP="00050D38">
            <w:pPr>
              <w:keepNext/>
              <w:spacing w:before="160" w:after="80" w:line="288" w:lineRule="auto"/>
              <w:jc w:val="center"/>
              <w:outlineLvl w:val="1"/>
              <w:rPr>
                <w:rFonts w:cs="Arial"/>
                <w:iCs/>
              </w:rPr>
            </w:pPr>
            <w:r w:rsidRPr="004D0383">
              <w:rPr>
                <w:rFonts w:cs="Arial"/>
                <w:iCs/>
              </w:rPr>
              <w:t>27</w:t>
            </w:r>
          </w:p>
        </w:tc>
        <w:tc>
          <w:tcPr>
            <w:tcW w:w="8073" w:type="dxa"/>
            <w:vAlign w:val="center"/>
          </w:tcPr>
          <w:p w14:paraId="4A5D7387" w14:textId="77777777" w:rsidR="00E61C26" w:rsidRDefault="00E61C26" w:rsidP="00050D38">
            <w:pPr>
              <w:keepNext/>
              <w:spacing w:before="160" w:after="80" w:line="288" w:lineRule="auto"/>
              <w:outlineLvl w:val="1"/>
              <w:rPr>
                <w:rFonts w:cs="Arial"/>
                <w:iCs/>
              </w:rPr>
            </w:pPr>
            <w:r w:rsidRPr="00050D38">
              <w:rPr>
                <w:rFonts w:cs="Arial"/>
                <w:iCs/>
              </w:rPr>
              <w:t>ACT Human Rights Commission</w:t>
            </w:r>
          </w:p>
        </w:tc>
      </w:tr>
      <w:tr w:rsidR="00E61C26" w:rsidRPr="00050D38" w14:paraId="6D78F2CF" w14:textId="77777777" w:rsidTr="005722A6">
        <w:trPr>
          <w:tblHeader/>
        </w:trPr>
        <w:tc>
          <w:tcPr>
            <w:tcW w:w="988" w:type="dxa"/>
            <w:vAlign w:val="center"/>
          </w:tcPr>
          <w:p w14:paraId="0C54AB95" w14:textId="77777777" w:rsidR="00E61C26" w:rsidRPr="004D0383" w:rsidRDefault="00E61C26" w:rsidP="00050D38">
            <w:pPr>
              <w:keepNext/>
              <w:spacing w:before="160" w:after="80" w:line="288" w:lineRule="auto"/>
              <w:jc w:val="center"/>
              <w:outlineLvl w:val="1"/>
              <w:rPr>
                <w:rFonts w:cs="Arial"/>
                <w:iCs/>
              </w:rPr>
            </w:pPr>
            <w:r w:rsidRPr="004D0383">
              <w:rPr>
                <w:rFonts w:cs="Arial"/>
                <w:iCs/>
              </w:rPr>
              <w:t>28</w:t>
            </w:r>
          </w:p>
        </w:tc>
        <w:tc>
          <w:tcPr>
            <w:tcW w:w="8073" w:type="dxa"/>
            <w:vAlign w:val="center"/>
          </w:tcPr>
          <w:p w14:paraId="27471838" w14:textId="77777777" w:rsidR="00E61C26" w:rsidRDefault="00E61C26" w:rsidP="00050D38">
            <w:pPr>
              <w:keepNext/>
              <w:spacing w:before="160" w:after="80" w:line="288" w:lineRule="auto"/>
              <w:outlineLvl w:val="1"/>
              <w:rPr>
                <w:rFonts w:cs="Arial"/>
                <w:iCs/>
              </w:rPr>
            </w:pPr>
            <w:r w:rsidRPr="00050D38">
              <w:rPr>
                <w:rFonts w:cs="Arial"/>
                <w:iCs/>
              </w:rPr>
              <w:t>Women’s Legal Centre (ACT &amp; Region)</w:t>
            </w:r>
          </w:p>
        </w:tc>
      </w:tr>
      <w:tr w:rsidR="00E61C26" w:rsidRPr="00050D38" w14:paraId="02348945" w14:textId="77777777" w:rsidTr="005722A6">
        <w:trPr>
          <w:tblHeader/>
        </w:trPr>
        <w:tc>
          <w:tcPr>
            <w:tcW w:w="988" w:type="dxa"/>
            <w:vAlign w:val="center"/>
          </w:tcPr>
          <w:p w14:paraId="5407E091" w14:textId="77777777" w:rsidR="00E61C26" w:rsidRPr="004D0383" w:rsidRDefault="00E61C26" w:rsidP="00050D38">
            <w:pPr>
              <w:keepNext/>
              <w:spacing w:before="160" w:after="80" w:line="288" w:lineRule="auto"/>
              <w:jc w:val="center"/>
              <w:outlineLvl w:val="1"/>
              <w:rPr>
                <w:rFonts w:cs="Arial"/>
                <w:iCs/>
              </w:rPr>
            </w:pPr>
            <w:r w:rsidRPr="004D0383">
              <w:rPr>
                <w:rFonts w:cs="Arial"/>
                <w:iCs/>
              </w:rPr>
              <w:t>29</w:t>
            </w:r>
          </w:p>
        </w:tc>
        <w:tc>
          <w:tcPr>
            <w:tcW w:w="8073" w:type="dxa"/>
            <w:vAlign w:val="center"/>
          </w:tcPr>
          <w:p w14:paraId="4D3EEDC5" w14:textId="77777777" w:rsidR="00E61C26" w:rsidRDefault="00E61C26" w:rsidP="00050D38">
            <w:pPr>
              <w:keepNext/>
              <w:spacing w:before="160" w:after="80" w:line="288" w:lineRule="auto"/>
              <w:outlineLvl w:val="1"/>
              <w:rPr>
                <w:rFonts w:cs="Arial"/>
                <w:iCs/>
              </w:rPr>
            </w:pPr>
            <w:r w:rsidRPr="00050D38">
              <w:rPr>
                <w:rFonts w:cs="Arial"/>
                <w:iCs/>
              </w:rPr>
              <w:t>Legal Aid ACT</w:t>
            </w:r>
          </w:p>
        </w:tc>
      </w:tr>
      <w:tr w:rsidR="00E61C26" w:rsidRPr="00050D38" w14:paraId="630F6A41" w14:textId="77777777" w:rsidTr="005722A6">
        <w:trPr>
          <w:tblHeader/>
        </w:trPr>
        <w:tc>
          <w:tcPr>
            <w:tcW w:w="988" w:type="dxa"/>
            <w:vAlign w:val="center"/>
          </w:tcPr>
          <w:p w14:paraId="3482C25B" w14:textId="77777777" w:rsidR="00E61C26" w:rsidRPr="004D0383" w:rsidRDefault="00E61C26" w:rsidP="00050D38">
            <w:pPr>
              <w:keepNext/>
              <w:spacing w:before="160" w:after="80" w:line="288" w:lineRule="auto"/>
              <w:jc w:val="center"/>
              <w:outlineLvl w:val="1"/>
              <w:rPr>
                <w:rFonts w:cs="Arial"/>
                <w:iCs/>
              </w:rPr>
            </w:pPr>
            <w:r w:rsidRPr="004D0383">
              <w:rPr>
                <w:rFonts w:cs="Arial"/>
                <w:iCs/>
              </w:rPr>
              <w:t>30</w:t>
            </w:r>
          </w:p>
        </w:tc>
        <w:tc>
          <w:tcPr>
            <w:tcW w:w="8073" w:type="dxa"/>
            <w:vAlign w:val="center"/>
          </w:tcPr>
          <w:p w14:paraId="1766EFEF" w14:textId="77777777" w:rsidR="00E61C26" w:rsidRDefault="00E61C26" w:rsidP="00050D38">
            <w:pPr>
              <w:keepNext/>
              <w:spacing w:before="160" w:after="80" w:line="288" w:lineRule="auto"/>
              <w:outlineLvl w:val="1"/>
              <w:rPr>
                <w:rFonts w:cs="Arial"/>
                <w:iCs/>
              </w:rPr>
            </w:pPr>
            <w:r w:rsidRPr="00050D38">
              <w:rPr>
                <w:rFonts w:cs="Arial"/>
                <w:iCs/>
              </w:rPr>
              <w:t xml:space="preserve">White Ribbon Australia </w:t>
            </w:r>
          </w:p>
        </w:tc>
      </w:tr>
      <w:tr w:rsidR="00E61C26" w:rsidRPr="00050D38" w14:paraId="14905B68" w14:textId="77777777" w:rsidTr="005722A6">
        <w:trPr>
          <w:tblHeader/>
        </w:trPr>
        <w:tc>
          <w:tcPr>
            <w:tcW w:w="988" w:type="dxa"/>
            <w:vAlign w:val="center"/>
          </w:tcPr>
          <w:p w14:paraId="616C35EC" w14:textId="77777777" w:rsidR="00E61C26" w:rsidRPr="004D0383" w:rsidRDefault="00E61C26" w:rsidP="00050D38">
            <w:pPr>
              <w:keepNext/>
              <w:spacing w:before="160" w:after="80" w:line="288" w:lineRule="auto"/>
              <w:jc w:val="center"/>
              <w:outlineLvl w:val="1"/>
              <w:rPr>
                <w:rFonts w:cs="Arial"/>
                <w:iCs/>
              </w:rPr>
            </w:pPr>
            <w:r w:rsidRPr="004D0383">
              <w:rPr>
                <w:rFonts w:cs="Arial"/>
                <w:iCs/>
              </w:rPr>
              <w:t>31</w:t>
            </w:r>
          </w:p>
        </w:tc>
        <w:tc>
          <w:tcPr>
            <w:tcW w:w="8073" w:type="dxa"/>
            <w:vAlign w:val="center"/>
          </w:tcPr>
          <w:p w14:paraId="0F5D97AC" w14:textId="77777777" w:rsidR="00E61C26" w:rsidRDefault="00E61C26" w:rsidP="00050D38">
            <w:pPr>
              <w:keepNext/>
              <w:spacing w:before="160" w:after="80" w:line="288" w:lineRule="auto"/>
              <w:outlineLvl w:val="1"/>
              <w:rPr>
                <w:rFonts w:cs="Arial"/>
                <w:iCs/>
              </w:rPr>
            </w:pPr>
            <w:r w:rsidRPr="00050D38">
              <w:rPr>
                <w:rFonts w:cs="Arial"/>
                <w:iCs/>
              </w:rPr>
              <w:t>National Family Violence Prevention Legal Services Forum</w:t>
            </w:r>
          </w:p>
        </w:tc>
      </w:tr>
      <w:tr w:rsidR="00E61C26" w:rsidRPr="00050D38" w14:paraId="29C405D8" w14:textId="77777777" w:rsidTr="005722A6">
        <w:trPr>
          <w:tblHeader/>
        </w:trPr>
        <w:tc>
          <w:tcPr>
            <w:tcW w:w="988" w:type="dxa"/>
            <w:vAlign w:val="center"/>
          </w:tcPr>
          <w:p w14:paraId="010F67EC" w14:textId="77777777" w:rsidR="00E61C26" w:rsidRPr="004D0383" w:rsidRDefault="00E61C26" w:rsidP="00050D38">
            <w:pPr>
              <w:keepNext/>
              <w:spacing w:before="160" w:after="80" w:line="288" w:lineRule="auto"/>
              <w:jc w:val="center"/>
              <w:outlineLvl w:val="1"/>
              <w:rPr>
                <w:rFonts w:cs="Arial"/>
                <w:iCs/>
              </w:rPr>
            </w:pPr>
            <w:r w:rsidRPr="004D0383">
              <w:rPr>
                <w:rFonts w:cs="Arial"/>
                <w:iCs/>
              </w:rPr>
              <w:t>32</w:t>
            </w:r>
          </w:p>
        </w:tc>
        <w:tc>
          <w:tcPr>
            <w:tcW w:w="8073" w:type="dxa"/>
            <w:vAlign w:val="center"/>
          </w:tcPr>
          <w:p w14:paraId="4712729F" w14:textId="77777777" w:rsidR="00E61C26" w:rsidRDefault="00E61C26" w:rsidP="00050D38">
            <w:pPr>
              <w:keepNext/>
              <w:spacing w:before="160" w:after="80" w:line="288" w:lineRule="auto"/>
              <w:outlineLvl w:val="1"/>
              <w:rPr>
                <w:rFonts w:cs="Arial"/>
                <w:iCs/>
              </w:rPr>
            </w:pPr>
            <w:r>
              <w:rPr>
                <w:rFonts w:cs="Arial"/>
                <w:iCs/>
              </w:rPr>
              <w:t>ACT Policing</w:t>
            </w:r>
          </w:p>
        </w:tc>
      </w:tr>
    </w:tbl>
    <w:p w14:paraId="60210ABB" w14:textId="77777777" w:rsidR="00E61C26" w:rsidRPr="00BD748B" w:rsidRDefault="00E61C26" w:rsidP="00E61C26">
      <w:pPr>
        <w:keepNext/>
        <w:spacing w:before="160" w:after="80" w:line="288" w:lineRule="auto"/>
        <w:outlineLvl w:val="1"/>
        <w:rPr>
          <w:rFonts w:cs="Arial"/>
          <w:iCs/>
        </w:rPr>
      </w:pPr>
    </w:p>
    <w:p w14:paraId="2624A225" w14:textId="77777777" w:rsidR="003A1792" w:rsidRDefault="003A1792" w:rsidP="00E61C26">
      <w:pPr>
        <w:pStyle w:val="AppendixHeading1"/>
        <w:sectPr w:rsidR="003A1792" w:rsidSect="00FC6474">
          <w:type w:val="oddPage"/>
          <w:pgSz w:w="11906" w:h="16838"/>
          <w:pgMar w:top="1440" w:right="1440" w:bottom="1440" w:left="1440" w:header="708" w:footer="708" w:gutter="0"/>
          <w:cols w:space="708"/>
          <w:docGrid w:linePitch="360"/>
        </w:sectPr>
      </w:pPr>
      <w:bookmarkStart w:id="238" w:name="_Toc16764025"/>
    </w:p>
    <w:p w14:paraId="5FCF0AD2" w14:textId="1CAFFA5E" w:rsidR="00E61C26" w:rsidRPr="00BD748B" w:rsidRDefault="00E61C26" w:rsidP="00E61C26">
      <w:pPr>
        <w:pStyle w:val="AppendixHeading1"/>
      </w:pPr>
      <w:r w:rsidRPr="00BD748B">
        <w:lastRenderedPageBreak/>
        <w:t>Committee public hearings</w:t>
      </w:r>
      <w:bookmarkEnd w:id="236"/>
      <w:bookmarkEnd w:id="238"/>
    </w:p>
    <w:p w14:paraId="24DF15FF" w14:textId="77777777" w:rsidR="00E61C26" w:rsidRDefault="00E61C26" w:rsidP="00E61C26">
      <w:pPr>
        <w:keepNext/>
        <w:spacing w:before="160" w:after="80" w:line="288" w:lineRule="auto"/>
        <w:outlineLvl w:val="1"/>
        <w:rPr>
          <w:rFonts w:cs="Arial"/>
          <w:iCs/>
        </w:rPr>
      </w:pPr>
      <w:r w:rsidRPr="00BD748B">
        <w:rPr>
          <w:rFonts w:cs="Arial"/>
          <w:iCs/>
        </w:rPr>
        <w:t>Witnesses who appeared before the Committee at public hearings:</w:t>
      </w:r>
    </w:p>
    <w:p w14:paraId="41D0BAC5" w14:textId="77777777" w:rsidR="009B3643" w:rsidRPr="00603031" w:rsidRDefault="009B3643" w:rsidP="009B3643">
      <w:pPr>
        <w:pStyle w:val="Bodytextnonumbering"/>
        <w:rPr>
          <w:b/>
        </w:rPr>
      </w:pPr>
      <w:r w:rsidRPr="00603031">
        <w:rPr>
          <w:b/>
        </w:rPr>
        <w:t>Thursday 2</w:t>
      </w:r>
      <w:r>
        <w:rPr>
          <w:b/>
        </w:rPr>
        <w:t xml:space="preserve">3 November </w:t>
      </w:r>
      <w:r w:rsidRPr="00603031">
        <w:rPr>
          <w:b/>
        </w:rPr>
        <w:t>2017</w:t>
      </w:r>
    </w:p>
    <w:p w14:paraId="7F99EFD4" w14:textId="77777777" w:rsidR="009B3643" w:rsidRDefault="009B3643" w:rsidP="009B3643">
      <w:pPr>
        <w:pStyle w:val="ListBullet"/>
      </w:pPr>
      <w:r>
        <w:t>Dr John Boersig—Chief Executive, Legal Aid ACT</w:t>
      </w:r>
    </w:p>
    <w:p w14:paraId="4F92972B" w14:textId="77777777" w:rsidR="009B3643" w:rsidRDefault="009B3643" w:rsidP="009B3643">
      <w:pPr>
        <w:pStyle w:val="ListBullet"/>
      </w:pPr>
      <w:r>
        <w:t>Ms Heidi Yates—</w:t>
      </w:r>
      <w:r w:rsidRPr="00070915">
        <w:t>Head of Practice, General Practice,</w:t>
      </w:r>
      <w:r>
        <w:t xml:space="preserve"> </w:t>
      </w:r>
      <w:r w:rsidRPr="00070915">
        <w:t>Legal Aid ACT</w:t>
      </w:r>
    </w:p>
    <w:p w14:paraId="45BE2FE7" w14:textId="77777777" w:rsidR="009B3643" w:rsidRPr="00603031" w:rsidRDefault="009B3643" w:rsidP="009B3643">
      <w:pPr>
        <w:pStyle w:val="Bodytextnonumbering"/>
        <w:rPr>
          <w:b/>
        </w:rPr>
      </w:pPr>
      <w:r>
        <w:rPr>
          <w:b/>
        </w:rPr>
        <w:t xml:space="preserve">Thursday 8 February </w:t>
      </w:r>
      <w:r w:rsidRPr="00603031">
        <w:rPr>
          <w:b/>
        </w:rPr>
        <w:t>201</w:t>
      </w:r>
      <w:r>
        <w:rPr>
          <w:b/>
        </w:rPr>
        <w:t>8</w:t>
      </w:r>
    </w:p>
    <w:p w14:paraId="2C407E3F" w14:textId="77777777" w:rsidR="009B3643" w:rsidRDefault="009B3643" w:rsidP="009B3643">
      <w:pPr>
        <w:pStyle w:val="ListBullet"/>
      </w:pPr>
      <w:r>
        <w:t>Dr Judy Putt—Chairperson, Domestic Violence Crisis Service Board</w:t>
      </w:r>
    </w:p>
    <w:p w14:paraId="4137FBBF" w14:textId="77777777" w:rsidR="009B3643" w:rsidRDefault="009B3643" w:rsidP="009B3643">
      <w:pPr>
        <w:pStyle w:val="ListBullet"/>
      </w:pPr>
      <w:r>
        <w:t>Ms Mirjana Wilson—CEO, Domestic Violence Crisis Service</w:t>
      </w:r>
    </w:p>
    <w:p w14:paraId="1BC1A575" w14:textId="77777777" w:rsidR="009B3643" w:rsidRDefault="009B3643" w:rsidP="009B3643">
      <w:pPr>
        <w:pStyle w:val="ListBullet"/>
      </w:pPr>
      <w:r>
        <w:t>Ms Genevieve Bolton—Executive Director/Principal Solicitor, Canberra Community Law [by phone</w:t>
      </w:r>
    </w:p>
    <w:p w14:paraId="6EF52F86" w14:textId="77777777" w:rsidR="009B3643" w:rsidRDefault="009B3643" w:rsidP="009B3643">
      <w:pPr>
        <w:pStyle w:val="ListBullet"/>
        <w:rPr>
          <w:rFonts w:eastAsia="Calibri" w:cs="Calibri"/>
          <w:color w:val="000000"/>
          <w:lang w:eastAsia="en-AU"/>
        </w:rPr>
      </w:pPr>
      <w:r w:rsidRPr="009D56D8">
        <w:rPr>
          <w:rFonts w:eastAsia="Calibri" w:cs="Calibri"/>
          <w:color w:val="000000"/>
          <w:lang w:eastAsia="en-AU"/>
        </w:rPr>
        <w:t xml:space="preserve">Dr </w:t>
      </w:r>
      <w:r w:rsidRPr="00130B30">
        <w:rPr>
          <w:rFonts w:eastAsia="Calibri" w:cs="Calibri"/>
          <w:color w:val="000000"/>
          <w:lang w:eastAsia="en-AU"/>
        </w:rPr>
        <w:t>Juliet Behrens—Member</w:t>
      </w:r>
      <w:r>
        <w:rPr>
          <w:rFonts w:eastAsia="Calibri" w:cs="Calibri"/>
          <w:color w:val="000000"/>
          <w:lang w:eastAsia="en-AU"/>
        </w:rPr>
        <w:t>, ACT Bar Association</w:t>
      </w:r>
    </w:p>
    <w:p w14:paraId="4F2D2675" w14:textId="77777777" w:rsidR="009B3643" w:rsidRDefault="009B3643" w:rsidP="009B3643">
      <w:pPr>
        <w:pStyle w:val="ListBullet"/>
      </w:pPr>
      <w:r w:rsidRPr="00371B74">
        <w:t>Ms Marcia Williams—Chair, Domestic Violence Prevention Council</w:t>
      </w:r>
    </w:p>
    <w:p w14:paraId="12293D3C" w14:textId="77777777" w:rsidR="009B3643" w:rsidRDefault="009B3643" w:rsidP="009B3643">
      <w:pPr>
        <w:pStyle w:val="ListBullet"/>
      </w:pPr>
      <w:r w:rsidRPr="00371B74">
        <w:t>Ms Mirjana Wilson—Member, Domestic Violence Prevention Council</w:t>
      </w:r>
    </w:p>
    <w:p w14:paraId="531EDB65" w14:textId="77777777" w:rsidR="009B3643" w:rsidRPr="00603031" w:rsidRDefault="009B3643" w:rsidP="009B3643">
      <w:pPr>
        <w:pStyle w:val="Bodytextnonumbering"/>
        <w:rPr>
          <w:b/>
        </w:rPr>
      </w:pPr>
      <w:r>
        <w:rPr>
          <w:b/>
        </w:rPr>
        <w:t xml:space="preserve">Thursday 8 March </w:t>
      </w:r>
      <w:r w:rsidRPr="00603031">
        <w:rPr>
          <w:b/>
        </w:rPr>
        <w:t>201</w:t>
      </w:r>
      <w:r>
        <w:rPr>
          <w:b/>
        </w:rPr>
        <w:t>8</w:t>
      </w:r>
    </w:p>
    <w:p w14:paraId="61D39F29" w14:textId="77777777" w:rsidR="009B3643" w:rsidRDefault="009B3643" w:rsidP="009B3643">
      <w:pPr>
        <w:pStyle w:val="ListBullet"/>
      </w:pPr>
      <w:r>
        <w:t>Ms Elena Rosenman—Executive Director, Women’s Legal Centre (ACT &amp; Region)</w:t>
      </w:r>
    </w:p>
    <w:p w14:paraId="0E8DD033" w14:textId="77777777" w:rsidR="009B3643" w:rsidRDefault="009B3643" w:rsidP="009B3643">
      <w:pPr>
        <w:pStyle w:val="ListBullet"/>
      </w:pPr>
      <w:r>
        <w:t>Ms Claudia Maclean—Principal Solicitor, Women’s Legal Centre (ACT &amp; Region)</w:t>
      </w:r>
    </w:p>
    <w:p w14:paraId="7178E202" w14:textId="77777777" w:rsidR="009B3643" w:rsidRDefault="009B3643" w:rsidP="009B3643">
      <w:pPr>
        <w:pStyle w:val="ListBullet"/>
      </w:pPr>
      <w:r>
        <w:t>Ms Serena Williams—Program Manager, Aboriginal Women’s Program, Women’s Legal Centre (ACT &amp; Region)</w:t>
      </w:r>
    </w:p>
    <w:p w14:paraId="45834A62" w14:textId="77777777" w:rsidR="009B3643" w:rsidRDefault="009B3643" w:rsidP="009B3643">
      <w:pPr>
        <w:pStyle w:val="ListBullet"/>
      </w:pPr>
      <w:r>
        <w:t>Dr Helen Watchirs—President and A/g Victims of Crime Commissioner, ACT Human Rights Commission</w:t>
      </w:r>
    </w:p>
    <w:p w14:paraId="58C95B8E" w14:textId="77777777" w:rsidR="009B3643" w:rsidRDefault="009B3643" w:rsidP="009B3643">
      <w:pPr>
        <w:pStyle w:val="ListBullet"/>
      </w:pPr>
      <w:r>
        <w:t>Ms Patricia Mackey—Principle Advocate, ACT Human Rights Commission</w:t>
      </w:r>
    </w:p>
    <w:p w14:paraId="3FCA3B24" w14:textId="77777777" w:rsidR="009B3643" w:rsidRDefault="009B3643" w:rsidP="009B3643">
      <w:pPr>
        <w:pStyle w:val="ListBullet"/>
      </w:pPr>
      <w:r>
        <w:t>Ms Kylie Woodward—Executive Officer to the Victims of Crime Commissioner, ACT Human Rights Commission</w:t>
      </w:r>
    </w:p>
    <w:p w14:paraId="4C4BA4C7" w14:textId="77777777" w:rsidR="009B3643" w:rsidRPr="00603031" w:rsidRDefault="009B3643" w:rsidP="009B3643">
      <w:pPr>
        <w:pStyle w:val="Bodytextnonumbering"/>
        <w:rPr>
          <w:b/>
        </w:rPr>
      </w:pPr>
      <w:r>
        <w:rPr>
          <w:b/>
        </w:rPr>
        <w:t xml:space="preserve">Thursday 15 March </w:t>
      </w:r>
      <w:r w:rsidRPr="00603031">
        <w:rPr>
          <w:b/>
        </w:rPr>
        <w:t>201</w:t>
      </w:r>
      <w:r>
        <w:rPr>
          <w:b/>
        </w:rPr>
        <w:t>8</w:t>
      </w:r>
    </w:p>
    <w:p w14:paraId="0CFD31D3" w14:textId="77777777" w:rsidR="009B3643" w:rsidRDefault="009B3643" w:rsidP="009B3643">
      <w:pPr>
        <w:pStyle w:val="ListBullet"/>
      </w:pPr>
      <w:r>
        <w:t>Ms Susan Clarke-Lindfield—Executive Director, Toora Women Incorporated</w:t>
      </w:r>
    </w:p>
    <w:p w14:paraId="686D22B9" w14:textId="77777777" w:rsidR="009B3643" w:rsidRDefault="009B3643" w:rsidP="009B3643">
      <w:pPr>
        <w:pStyle w:val="ListBullet"/>
      </w:pPr>
      <w:r>
        <w:t>Ms Rebecca Wood—Director of AOD and Clinical Services, Toora Women Incorporated</w:t>
      </w:r>
    </w:p>
    <w:p w14:paraId="3DDA0074" w14:textId="77777777" w:rsidR="009B3643" w:rsidRDefault="009B3643" w:rsidP="009B3643">
      <w:pPr>
        <w:pStyle w:val="ListBullet"/>
      </w:pPr>
      <w:r>
        <w:t>Ms Dana Esperanza—Chairperson, Beryl Women Incorporated</w:t>
      </w:r>
    </w:p>
    <w:p w14:paraId="6F503589" w14:textId="77777777" w:rsidR="009B3643" w:rsidRDefault="009B3643" w:rsidP="009B3643">
      <w:pPr>
        <w:pStyle w:val="ListBullet"/>
      </w:pPr>
      <w:r>
        <w:t>Ms Lavanya Kala—Board member, Beryl Women Incorporated</w:t>
      </w:r>
    </w:p>
    <w:p w14:paraId="7322A8FA" w14:textId="77777777" w:rsidR="009B3643" w:rsidRPr="00603031" w:rsidRDefault="009B3643" w:rsidP="009B3643">
      <w:pPr>
        <w:pStyle w:val="Bodytextnonumbering"/>
        <w:rPr>
          <w:b/>
        </w:rPr>
      </w:pPr>
      <w:r>
        <w:rPr>
          <w:b/>
        </w:rPr>
        <w:t xml:space="preserve">Tuesday 27 March </w:t>
      </w:r>
      <w:r w:rsidRPr="00603031">
        <w:rPr>
          <w:b/>
        </w:rPr>
        <w:t>201</w:t>
      </w:r>
      <w:r>
        <w:rPr>
          <w:b/>
        </w:rPr>
        <w:t>8</w:t>
      </w:r>
    </w:p>
    <w:p w14:paraId="13B9615B" w14:textId="77777777" w:rsidR="009B3643" w:rsidRDefault="009B3643" w:rsidP="009B3643">
      <w:pPr>
        <w:pStyle w:val="ListBullet"/>
      </w:pPr>
      <w:r>
        <w:t xml:space="preserve">Ms Carmel Franklin—CEO, Care Inc. Financial Counselling Service &amp; the Consumer Law Centre ACT </w:t>
      </w:r>
    </w:p>
    <w:p w14:paraId="49D88E24" w14:textId="77777777" w:rsidR="009B3643" w:rsidRDefault="009B3643" w:rsidP="009B3643">
      <w:pPr>
        <w:pStyle w:val="ListBullet"/>
      </w:pPr>
      <w:r>
        <w:t>Ms Liz Samra—Principal Solicitor, Care Inc. Financial Counselling Service &amp; the Consumer Law Centre ACT</w:t>
      </w:r>
    </w:p>
    <w:p w14:paraId="13D1C9C1" w14:textId="77777777" w:rsidR="009B3643" w:rsidRDefault="009B3643" w:rsidP="009B3643">
      <w:pPr>
        <w:pStyle w:val="ListBullet"/>
      </w:pPr>
      <w:r>
        <w:lastRenderedPageBreak/>
        <w:t xml:space="preserve">Minister for Police and Emergency Services—Mr Mick Gentleman MLA </w:t>
      </w:r>
    </w:p>
    <w:p w14:paraId="7235C04F" w14:textId="77777777" w:rsidR="009B3643" w:rsidRDefault="009B3643" w:rsidP="009B3643">
      <w:pPr>
        <w:pStyle w:val="ListBullet"/>
      </w:pPr>
      <w:r>
        <w:t>Matt Craft—Acting Superintendent, ACT Policing</w:t>
      </w:r>
    </w:p>
    <w:p w14:paraId="131F96AE" w14:textId="77777777" w:rsidR="009B3643" w:rsidRDefault="009B3643" w:rsidP="009B3643">
      <w:pPr>
        <w:pStyle w:val="ListBullet"/>
      </w:pPr>
      <w:r>
        <w:t>Nicole Beauman—Acting Station Sergeant, ACT Policing</w:t>
      </w:r>
    </w:p>
    <w:p w14:paraId="3DE44DFA" w14:textId="77777777" w:rsidR="009B3643" w:rsidRDefault="009B3643" w:rsidP="009B3643">
      <w:pPr>
        <w:pStyle w:val="ListBullet"/>
      </w:pPr>
      <w:r>
        <w:t>Mick Calatzis—Detective Superintendent, ACT Policing</w:t>
      </w:r>
    </w:p>
    <w:p w14:paraId="7A905592" w14:textId="77777777" w:rsidR="009B3643" w:rsidRDefault="009B3643" w:rsidP="009B3643">
      <w:pPr>
        <w:pStyle w:val="ListBullet"/>
      </w:pPr>
      <w:r>
        <w:t xml:space="preserve">Ms Marcia Williams—CEO, </w:t>
      </w:r>
      <w:r w:rsidRPr="00637DB6">
        <w:t>Women’s Centre for Health Matters</w:t>
      </w:r>
    </w:p>
    <w:p w14:paraId="0E2FB582" w14:textId="77777777" w:rsidR="009B3643" w:rsidRPr="00603031" w:rsidRDefault="009B3643" w:rsidP="009B3643">
      <w:pPr>
        <w:pStyle w:val="Bodytextnonumbering"/>
        <w:rPr>
          <w:b/>
        </w:rPr>
      </w:pPr>
      <w:r>
        <w:rPr>
          <w:b/>
        </w:rPr>
        <w:t xml:space="preserve">Tuesday 3 April </w:t>
      </w:r>
      <w:r w:rsidRPr="00603031">
        <w:rPr>
          <w:b/>
        </w:rPr>
        <w:t>201</w:t>
      </w:r>
      <w:r>
        <w:rPr>
          <w:b/>
        </w:rPr>
        <w:t>8</w:t>
      </w:r>
    </w:p>
    <w:p w14:paraId="5752EC41" w14:textId="77777777" w:rsidR="009B3643" w:rsidRDefault="009B3643" w:rsidP="009B3643">
      <w:pPr>
        <w:pStyle w:val="ListBullet"/>
      </w:pPr>
      <w:r>
        <w:t>Minister for the Prevention of Domestic and Family Violence—Ms Yvette Berry MLA</w:t>
      </w:r>
    </w:p>
    <w:p w14:paraId="233E6403" w14:textId="77777777" w:rsidR="009B3643" w:rsidRDefault="009B3643" w:rsidP="009B3643">
      <w:pPr>
        <w:pStyle w:val="ListBullet"/>
      </w:pPr>
      <w:r>
        <w:t>Ms Jo Wood—Coordinator-General for Family Safety, Community Services Directorate (CSD)</w:t>
      </w:r>
    </w:p>
    <w:p w14:paraId="2B8F9E3C" w14:textId="77777777" w:rsidR="009B3643" w:rsidRDefault="009B3643" w:rsidP="009B3643">
      <w:pPr>
        <w:pStyle w:val="ListBullet"/>
      </w:pPr>
      <w:r>
        <w:t>Ms Louise Gilding—Executive Director, Housing ACT, CSD</w:t>
      </w:r>
    </w:p>
    <w:p w14:paraId="3FB620CA" w14:textId="77777777" w:rsidR="009B3643" w:rsidRPr="00603031" w:rsidRDefault="009B3643" w:rsidP="009B3643">
      <w:pPr>
        <w:pStyle w:val="Bodytextnonumbering"/>
        <w:rPr>
          <w:b/>
        </w:rPr>
      </w:pPr>
      <w:r>
        <w:rPr>
          <w:b/>
        </w:rPr>
        <w:t xml:space="preserve">Thursday 3 May </w:t>
      </w:r>
      <w:r w:rsidRPr="00603031">
        <w:rPr>
          <w:b/>
        </w:rPr>
        <w:t>201</w:t>
      </w:r>
      <w:r>
        <w:rPr>
          <w:b/>
        </w:rPr>
        <w:t>8</w:t>
      </w:r>
    </w:p>
    <w:p w14:paraId="4914B9AD" w14:textId="77777777" w:rsidR="009B3643" w:rsidRDefault="009B3643" w:rsidP="009B3643">
      <w:pPr>
        <w:pStyle w:val="ListBullet"/>
      </w:pPr>
      <w:r w:rsidRPr="00666ADA">
        <w:t>Ms Miriana Wilson</w:t>
      </w:r>
      <w:r>
        <w:t>—</w:t>
      </w:r>
      <w:r w:rsidRPr="00641643">
        <w:t>Chief Executive Officer, Domestic Violence Crisis Service</w:t>
      </w:r>
    </w:p>
    <w:p w14:paraId="3B2408F3" w14:textId="77777777" w:rsidR="009B3643" w:rsidRPr="001D6E59" w:rsidRDefault="009B3643" w:rsidP="009B3643">
      <w:pPr>
        <w:pStyle w:val="ListBullet"/>
      </w:pPr>
      <w:r w:rsidRPr="001D6E59">
        <w:t>Ms Frances Crimmins</w:t>
      </w:r>
      <w:r>
        <w:t>—</w:t>
      </w:r>
      <w:r w:rsidRPr="001D6E59">
        <w:t>Executive Director, YWCA Canberra</w:t>
      </w:r>
    </w:p>
    <w:p w14:paraId="707829B7" w14:textId="77777777" w:rsidR="009B3643" w:rsidRPr="001D6E59" w:rsidRDefault="009B3643" w:rsidP="009B3643">
      <w:pPr>
        <w:pStyle w:val="ListBullet"/>
      </w:pPr>
      <w:r w:rsidRPr="001D6E59">
        <w:t>Ms Marcia Williams</w:t>
      </w:r>
      <w:r>
        <w:t>—</w:t>
      </w:r>
      <w:r w:rsidRPr="001D6E59">
        <w:t>Chief Executive Officer, Women’s Centre for Health Matters</w:t>
      </w:r>
    </w:p>
    <w:p w14:paraId="4CE550B5" w14:textId="77777777" w:rsidR="009B3643" w:rsidRPr="001D6E59" w:rsidRDefault="009B3643" w:rsidP="009B3643">
      <w:pPr>
        <w:pStyle w:val="ListBullet"/>
      </w:pPr>
      <w:r w:rsidRPr="001D6E59">
        <w:t>Ms Susan Clarke-Lindield</w:t>
      </w:r>
      <w:r>
        <w:t>—</w:t>
      </w:r>
      <w:r w:rsidRPr="001D6E59">
        <w:t>Executive Director, Toora Women Inc</w:t>
      </w:r>
    </w:p>
    <w:p w14:paraId="14561A15" w14:textId="77777777" w:rsidR="009B3643" w:rsidRPr="001D6E59" w:rsidRDefault="009B3643" w:rsidP="009B3643">
      <w:pPr>
        <w:pStyle w:val="ListBullet"/>
      </w:pPr>
      <w:r w:rsidRPr="001D6E59">
        <w:t>Dr Christina Jarron</w:t>
      </w:r>
      <w:r>
        <w:t>—</w:t>
      </w:r>
      <w:r w:rsidRPr="001D6E59">
        <w:t>Executive Manager, Research and Policy, White Ribbon Australia</w:t>
      </w:r>
    </w:p>
    <w:p w14:paraId="46334170" w14:textId="77777777" w:rsidR="009B3643" w:rsidRPr="0000578D" w:rsidRDefault="009B3643" w:rsidP="009B3643">
      <w:pPr>
        <w:pStyle w:val="ListBullet"/>
      </w:pPr>
      <w:r w:rsidRPr="0000578D">
        <w:t>Ms Susan Helyar</w:t>
      </w:r>
      <w:r>
        <w:t>—</w:t>
      </w:r>
      <w:r w:rsidRPr="0000578D">
        <w:t>Director, ACT Council of Social Service Inc</w:t>
      </w:r>
    </w:p>
    <w:p w14:paraId="37624D2A" w14:textId="77777777" w:rsidR="009B3643" w:rsidRPr="0000578D" w:rsidRDefault="009B3643" w:rsidP="009B3643">
      <w:pPr>
        <w:pStyle w:val="ListBullet"/>
      </w:pPr>
      <w:r w:rsidRPr="0000578D">
        <w:t>Ms Eliza Moloney</w:t>
      </w:r>
      <w:r>
        <w:t>—</w:t>
      </w:r>
      <w:r w:rsidRPr="0000578D">
        <w:t>Policy Officer, ACT Council of Social Service Inc</w:t>
      </w:r>
    </w:p>
    <w:p w14:paraId="5137182D" w14:textId="77777777" w:rsidR="009B3643" w:rsidRPr="001D6E59" w:rsidRDefault="009B3643" w:rsidP="009B3643">
      <w:pPr>
        <w:pStyle w:val="ListBullet"/>
      </w:pPr>
      <w:r w:rsidRPr="001D6E59">
        <w:t>Ms Codie Bell</w:t>
      </w:r>
      <w:r>
        <w:t>—</w:t>
      </w:r>
      <w:r w:rsidRPr="001D6E59">
        <w:t>Restorative ANU</w:t>
      </w:r>
    </w:p>
    <w:p w14:paraId="49A760F8" w14:textId="77777777" w:rsidR="009B3643" w:rsidRPr="001D6E59" w:rsidRDefault="009B3643" w:rsidP="009B3643">
      <w:pPr>
        <w:pStyle w:val="ListBullet"/>
      </w:pPr>
      <w:r w:rsidRPr="001D6E59">
        <w:t>Ms Anahita Surya</w:t>
      </w:r>
      <w:r>
        <w:t>—</w:t>
      </w:r>
      <w:r w:rsidRPr="001D6E59">
        <w:t>Restorative ANU</w:t>
      </w:r>
    </w:p>
    <w:p w14:paraId="353FF624" w14:textId="77777777" w:rsidR="009B3643" w:rsidRDefault="009B3643" w:rsidP="009B3643">
      <w:pPr>
        <w:pStyle w:val="ListBullet"/>
      </w:pPr>
      <w:r w:rsidRPr="001D6E59">
        <w:t>Ms Laura Perkov</w:t>
      </w:r>
      <w:r>
        <w:t>—</w:t>
      </w:r>
      <w:r w:rsidRPr="001D6E59">
        <w:t>Restorative ANU</w:t>
      </w:r>
    </w:p>
    <w:p w14:paraId="71D29A11" w14:textId="77777777" w:rsidR="009B3643" w:rsidRDefault="009B3643" w:rsidP="009B3643">
      <w:pPr>
        <w:spacing w:line="360" w:lineRule="auto"/>
        <w:rPr>
          <w:b/>
        </w:rPr>
      </w:pPr>
      <w:r w:rsidRPr="00263C74">
        <w:rPr>
          <w:b/>
        </w:rPr>
        <w:t>Tuesday, 15 May 2018</w:t>
      </w:r>
    </w:p>
    <w:p w14:paraId="376D79F5" w14:textId="77777777" w:rsidR="009B3643" w:rsidRPr="00263C74" w:rsidRDefault="009B3643" w:rsidP="009B3643">
      <w:pPr>
        <w:spacing w:line="360" w:lineRule="auto"/>
        <w:ind w:left="851" w:hanging="284"/>
        <w:rPr>
          <w:lang w:val="en-GB"/>
        </w:rPr>
      </w:pPr>
      <w:r w:rsidRPr="00263C74">
        <w:rPr>
          <w:lang w:val="en-GB"/>
        </w:rPr>
        <w:t>Mr Michael Thorn</w:t>
      </w:r>
      <w:r>
        <w:rPr>
          <w:lang w:val="en-GB"/>
        </w:rPr>
        <w:t>—</w:t>
      </w:r>
      <w:r w:rsidRPr="00263C74">
        <w:rPr>
          <w:lang w:val="en-GB"/>
        </w:rPr>
        <w:t>Chief Executive, Foundation for Alcohol Research and Education</w:t>
      </w:r>
    </w:p>
    <w:p w14:paraId="7DEC8889" w14:textId="77777777" w:rsidR="009B3643" w:rsidRPr="00EB59E1" w:rsidRDefault="009B3643" w:rsidP="009B3643">
      <w:pPr>
        <w:pStyle w:val="ListBullet"/>
      </w:pPr>
      <w:r w:rsidRPr="00EB59E1">
        <w:t>Ms Sarah Ward—Acting Director, Policy and Research, Foundation for Alcohol Research and Education</w:t>
      </w:r>
    </w:p>
    <w:p w14:paraId="05620CF1" w14:textId="77777777" w:rsidR="00D6167B" w:rsidRDefault="00D6167B"/>
    <w:sectPr w:rsidR="00D6167B" w:rsidSect="003A1792">
      <w:type w:val="oddPag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924E5" w14:textId="77777777" w:rsidR="0070304B" w:rsidRDefault="0070304B" w:rsidP="00E61C26">
      <w:r>
        <w:separator/>
      </w:r>
    </w:p>
  </w:endnote>
  <w:endnote w:type="continuationSeparator" w:id="0">
    <w:p w14:paraId="2B5EF956" w14:textId="77777777" w:rsidR="0070304B" w:rsidRDefault="0070304B" w:rsidP="00E61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Univers LT Std 45 Light">
    <w:panose1 w:val="00000000000000000000"/>
    <w:charset w:val="00"/>
    <w:family w:val="swiss"/>
    <w:notTrueType/>
    <w:pitch w:val="variable"/>
    <w:sig w:usb0="800000AF" w:usb1="4000204A" w:usb2="00000000" w:usb3="00000000" w:csb0="00000001" w:csb1="00000000"/>
  </w:font>
  <w:font w:name="Univers LT Std 55">
    <w:altName w:val="Trebuchet MS"/>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 w:name="Source Sans Pro Light">
    <w:panose1 w:val="020B0403030403020204"/>
    <w:charset w:val="00"/>
    <w:family w:val="swiss"/>
    <w:pitch w:val="variable"/>
    <w:sig w:usb0="600002F7" w:usb1="02000001" w:usb2="00000000" w:usb3="00000000" w:csb0="0000019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0D5FD" w14:textId="77777777" w:rsidR="0070304B" w:rsidRDefault="0070304B" w:rsidP="005722A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iii</w:t>
    </w:r>
    <w:r>
      <w:rPr>
        <w:rStyle w:val="PageNumber"/>
      </w:rPr>
      <w:fldChar w:fldCharType="end"/>
    </w:r>
  </w:p>
  <w:p w14:paraId="3E1E2161" w14:textId="77777777" w:rsidR="0070304B" w:rsidRDefault="0070304B" w:rsidP="005722A6">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CF4BE" w14:textId="77777777" w:rsidR="0070304B" w:rsidRDefault="0070304B">
    <w:pPr>
      <w:pStyle w:val="Footer"/>
    </w:pPr>
    <w:r>
      <w:fldChar w:fldCharType="begin"/>
    </w:r>
    <w:r>
      <w:instrText xml:space="preserve"> PAGE   \* MERGEFORMAT </w:instrText>
    </w:r>
    <w:r>
      <w:fldChar w:fldCharType="separate"/>
    </w:r>
    <w:r>
      <w:rPr>
        <w:noProof/>
      </w:rPr>
      <w:t>xiv</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3EAB6" w14:textId="77777777" w:rsidR="0070304B" w:rsidRDefault="0070304B" w:rsidP="005722A6">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vi</w:t>
    </w:r>
    <w:r>
      <w:rPr>
        <w:rStyle w:val="PageNumber"/>
      </w:rPr>
      <w:fldChar w:fldCharType="end"/>
    </w:r>
  </w:p>
  <w:p w14:paraId="60BFF97E" w14:textId="77777777" w:rsidR="0070304B" w:rsidRDefault="0070304B" w:rsidP="005722A6">
    <w:pPr>
      <w:pStyle w:val="Footer"/>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F1CAD" w14:textId="77777777" w:rsidR="0070304B" w:rsidRDefault="0070304B" w:rsidP="005722A6">
    <w:pPr>
      <w:pStyle w:val="Footer"/>
      <w:jc w:val="right"/>
    </w:pPr>
    <w:r>
      <w:fldChar w:fldCharType="begin"/>
    </w:r>
    <w:r>
      <w:instrText xml:space="preserve"> PAGE   \* MERGEFORMAT </w:instrText>
    </w:r>
    <w:r>
      <w:fldChar w:fldCharType="separate"/>
    </w:r>
    <w:r>
      <w:rPr>
        <w:noProof/>
      </w:rPr>
      <w:t>xv</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7A096" w14:textId="47BB8BE3" w:rsidR="0070304B" w:rsidRDefault="0070304B">
    <w:pPr>
      <w:pStyle w:val="Footer"/>
    </w:pP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FD9EC" w14:textId="74E9DA23" w:rsidR="0070304B" w:rsidRDefault="0070304B" w:rsidP="005722A6">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462DA" w14:textId="0A0D4182" w:rsidR="0070304B" w:rsidRDefault="0070304B">
    <w:pPr>
      <w:pStyle w:val="Footer"/>
    </w:pPr>
    <w:r>
      <w:fldChar w:fldCharType="begin"/>
    </w:r>
    <w:r>
      <w:instrText xml:space="preserve"> PAGE   \* MERGEFORMAT </w:instrText>
    </w:r>
    <w:r>
      <w:fldChar w:fldCharType="separate"/>
    </w:r>
    <w:r>
      <w:rPr>
        <w:noProof/>
      </w:rPr>
      <w:t>1</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452DF" w14:textId="2CF4D19B" w:rsidR="0070304B" w:rsidRDefault="0070304B" w:rsidP="005722A6">
    <w:pPr>
      <w:pStyle w:val="Footer"/>
      <w:jc w:val="right"/>
    </w:pPr>
    <w:r>
      <w:fldChar w:fldCharType="begin"/>
    </w:r>
    <w:r>
      <w:instrText xml:space="preserve"> PAGE   \* MERGEFORMAT </w:instrText>
    </w:r>
    <w:r>
      <w:fldChar w:fldCharType="separate"/>
    </w:r>
    <w:r>
      <w:rPr>
        <w:noProof/>
      </w:rPr>
      <w:t>1</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AECF9" w14:textId="77777777" w:rsidR="0070304B" w:rsidRDefault="007030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DACEF7" w14:textId="77777777" w:rsidR="0070304B" w:rsidRDefault="0070304B" w:rsidP="00E61C26">
      <w:r>
        <w:separator/>
      </w:r>
    </w:p>
  </w:footnote>
  <w:footnote w:type="continuationSeparator" w:id="0">
    <w:p w14:paraId="79247C71" w14:textId="77777777" w:rsidR="0070304B" w:rsidRDefault="0070304B" w:rsidP="00E61C26">
      <w:r>
        <w:continuationSeparator/>
      </w:r>
    </w:p>
  </w:footnote>
  <w:footnote w:id="1">
    <w:p w14:paraId="7E886604" w14:textId="77777777" w:rsidR="0070304B" w:rsidRDefault="0070304B" w:rsidP="00E61C26">
      <w:pPr>
        <w:pStyle w:val="FootnoteText"/>
      </w:pPr>
      <w:r>
        <w:rPr>
          <w:rStyle w:val="FootnoteReference"/>
          <w:rFonts w:eastAsiaTheme="majorEastAsia"/>
        </w:rPr>
        <w:footnoteRef/>
      </w:r>
      <w:r>
        <w:t xml:space="preserve"> ACT Legislative Assembly, </w:t>
      </w:r>
      <w:r w:rsidRPr="007E1CED">
        <w:rPr>
          <w:i/>
        </w:rPr>
        <w:t>Minutes of Proceedings</w:t>
      </w:r>
      <w:r>
        <w:t xml:space="preserve">, No. 51, 21 March 2018, pp. 738; </w:t>
      </w:r>
      <w:r w:rsidRPr="00E3464B">
        <w:rPr>
          <w:i/>
        </w:rPr>
        <w:t>Hansard</w:t>
      </w:r>
      <w:r>
        <w:t>, 21 March 2018, p. 839.</w:t>
      </w:r>
    </w:p>
  </w:footnote>
  <w:footnote w:id="2">
    <w:p w14:paraId="51BEB1B2" w14:textId="77777777" w:rsidR="0070304B" w:rsidRDefault="0070304B" w:rsidP="00E61C26">
      <w:pPr>
        <w:pStyle w:val="FootnoteText"/>
      </w:pPr>
      <w:r>
        <w:rPr>
          <w:rStyle w:val="FootnoteReference"/>
        </w:rPr>
        <w:footnoteRef/>
      </w:r>
      <w:r>
        <w:t xml:space="preserve"> </w:t>
      </w:r>
      <w:r w:rsidRPr="0092798A">
        <w:rPr>
          <w:szCs w:val="18"/>
        </w:rPr>
        <w:t xml:space="preserve">ACT Legislative Assembly, </w:t>
      </w:r>
      <w:r w:rsidRPr="0092798A">
        <w:rPr>
          <w:i/>
          <w:szCs w:val="18"/>
        </w:rPr>
        <w:t>Minutes of Proceedings</w:t>
      </w:r>
      <w:r w:rsidRPr="0092798A">
        <w:rPr>
          <w:szCs w:val="18"/>
        </w:rPr>
        <w:t>, No. 2, 13 December 2016, pp. 13–16.</w:t>
      </w:r>
    </w:p>
  </w:footnote>
  <w:footnote w:id="3">
    <w:p w14:paraId="1BB3D873" w14:textId="77777777" w:rsidR="0070304B" w:rsidRDefault="0070304B" w:rsidP="00E61C26">
      <w:pPr>
        <w:pStyle w:val="FootnoteText"/>
      </w:pPr>
      <w:r>
        <w:rPr>
          <w:rStyle w:val="FootnoteReference"/>
        </w:rPr>
        <w:footnoteRef/>
      </w:r>
      <w:r>
        <w:t xml:space="preserve"> </w:t>
      </w:r>
      <w:r w:rsidRPr="0092798A">
        <w:rPr>
          <w:szCs w:val="18"/>
        </w:rPr>
        <w:t xml:space="preserve">ACT Legislative Assembly, </w:t>
      </w:r>
      <w:r w:rsidRPr="0092798A">
        <w:rPr>
          <w:i/>
          <w:szCs w:val="18"/>
        </w:rPr>
        <w:t>Minutes of Proceedings</w:t>
      </w:r>
      <w:r>
        <w:rPr>
          <w:szCs w:val="18"/>
        </w:rPr>
        <w:t>, No. 73</w:t>
      </w:r>
      <w:r w:rsidRPr="0092798A">
        <w:rPr>
          <w:szCs w:val="18"/>
        </w:rPr>
        <w:t xml:space="preserve">, </w:t>
      </w:r>
      <w:r>
        <w:rPr>
          <w:szCs w:val="18"/>
        </w:rPr>
        <w:t>20 September 2018, p. 1028.</w:t>
      </w:r>
    </w:p>
  </w:footnote>
  <w:footnote w:id="4">
    <w:p w14:paraId="5D838500" w14:textId="77777777" w:rsidR="0070304B" w:rsidRPr="00E3464B" w:rsidRDefault="0070304B" w:rsidP="00E61C26">
      <w:pPr>
        <w:pStyle w:val="FootnoteText"/>
      </w:pPr>
      <w:r w:rsidRPr="00E3464B">
        <w:rPr>
          <w:rStyle w:val="FootnoteReference"/>
        </w:rPr>
        <w:footnoteRef/>
      </w:r>
      <w:r w:rsidRPr="00E3464B">
        <w:t xml:space="preserve"> SO 216—In the ACT, the Standing </w:t>
      </w:r>
      <w:smartTag w:uri="urn:schemas-microsoft-com:office:smarttags" w:element="PersonName">
        <w:r w:rsidRPr="00E3464B">
          <w:t>Committees</w:t>
        </w:r>
      </w:smartTag>
      <w:r w:rsidRPr="00E3464B">
        <w:t xml:space="preserve"> are established by Assembly resolution and governed by standing orders.</w:t>
      </w:r>
    </w:p>
  </w:footnote>
  <w:footnote w:id="5">
    <w:p w14:paraId="199226F2" w14:textId="77777777" w:rsidR="0070304B" w:rsidRDefault="0070304B" w:rsidP="00E61C26">
      <w:pPr>
        <w:pStyle w:val="FootnoteText"/>
      </w:pPr>
      <w:r>
        <w:rPr>
          <w:rStyle w:val="FootnoteReference"/>
        </w:rPr>
        <w:footnoteRef/>
      </w:r>
      <w:r>
        <w:t xml:space="preserve"> </w:t>
      </w:r>
      <w:r w:rsidRPr="00495973">
        <w:t xml:space="preserve">ACT Legislative Assembly, </w:t>
      </w:r>
      <w:r w:rsidRPr="004A470F">
        <w:rPr>
          <w:i/>
        </w:rPr>
        <w:t>Minutes of Proceedings</w:t>
      </w:r>
      <w:r w:rsidRPr="00495973">
        <w:t xml:space="preserve">, No. </w:t>
      </w:r>
      <w:r>
        <w:t>13</w:t>
      </w:r>
      <w:r w:rsidRPr="00495973">
        <w:t xml:space="preserve">, </w:t>
      </w:r>
      <w:r>
        <w:t xml:space="preserve">30 March </w:t>
      </w:r>
      <w:r w:rsidRPr="00495973">
        <w:t xml:space="preserve">2017, p. </w:t>
      </w:r>
      <w:r>
        <w:t xml:space="preserve">149; </w:t>
      </w:r>
      <w:r w:rsidRPr="00495973">
        <w:t xml:space="preserve">ACT Legislative Assembly, </w:t>
      </w:r>
      <w:r w:rsidRPr="00253FD3">
        <w:rPr>
          <w:i/>
        </w:rPr>
        <w:t>Hansard</w:t>
      </w:r>
      <w:r>
        <w:t xml:space="preserve">, 30 March 2017, p. 1301. </w:t>
      </w:r>
    </w:p>
  </w:footnote>
  <w:footnote w:id="6">
    <w:p w14:paraId="16ECD281" w14:textId="77777777" w:rsidR="0070304B" w:rsidRDefault="0070304B" w:rsidP="00E61C26">
      <w:pPr>
        <w:pStyle w:val="FootnoteText"/>
      </w:pPr>
      <w:r>
        <w:rPr>
          <w:rStyle w:val="FootnoteReference"/>
        </w:rPr>
        <w:footnoteRef/>
      </w:r>
      <w:r>
        <w:t xml:space="preserve"> </w:t>
      </w:r>
      <w:r w:rsidRPr="00F81DEB">
        <w:t xml:space="preserve">Via </w:t>
      </w:r>
      <w:r>
        <w:t xml:space="preserve">announcement of inquiry and </w:t>
      </w:r>
      <w:r w:rsidRPr="00F81DEB">
        <w:t xml:space="preserve">call for submissions from </w:t>
      </w:r>
      <w:r>
        <w:t>Committee i</w:t>
      </w:r>
      <w:r w:rsidRPr="00F81DEB">
        <w:t>nquiry homepage</w:t>
      </w:r>
      <w:r>
        <w:t>; and direct invites—8 May 2017 and 15 June 2017 respectively.</w:t>
      </w:r>
    </w:p>
  </w:footnote>
  <w:footnote w:id="7">
    <w:p w14:paraId="1654685F" w14:textId="77777777" w:rsidR="0070304B" w:rsidRDefault="0070304B" w:rsidP="00E61C26">
      <w:pPr>
        <w:pStyle w:val="FootnoteText"/>
      </w:pPr>
      <w:r>
        <w:rPr>
          <w:rStyle w:val="FootnoteReference"/>
        </w:rPr>
        <w:footnoteRef/>
      </w:r>
      <w:r>
        <w:t xml:space="preserve"> </w:t>
      </w:r>
      <w:hyperlink r:id="rId1" w:history="1">
        <w:r w:rsidRPr="00065263">
          <w:t>https://www.parliament.act.gov.au/in-committees/standing-committees-current-assembly/standing-committee-on-justice-and-community-safety/inquiry-into-domestic-and-family-violencepolicy-approaches-and-responses</w:t>
        </w:r>
      </w:hyperlink>
    </w:p>
  </w:footnote>
  <w:footnote w:id="8">
    <w:p w14:paraId="3F34BF42" w14:textId="77777777" w:rsidR="0070304B" w:rsidRDefault="0070304B" w:rsidP="00E61C26">
      <w:pPr>
        <w:pStyle w:val="FootnoteText"/>
      </w:pPr>
      <w:r>
        <w:rPr>
          <w:rStyle w:val="FootnoteReference"/>
        </w:rPr>
        <w:footnoteRef/>
      </w:r>
      <w:r>
        <w:t xml:space="preserve"> 26 July 2017.</w:t>
      </w:r>
    </w:p>
  </w:footnote>
  <w:footnote w:id="9">
    <w:p w14:paraId="659A0A09" w14:textId="77777777" w:rsidR="0070304B" w:rsidRDefault="0070304B" w:rsidP="00E61C26">
      <w:pPr>
        <w:pStyle w:val="FootnoteText"/>
      </w:pPr>
      <w:r>
        <w:rPr>
          <w:rStyle w:val="FootnoteReference"/>
        </w:rPr>
        <w:footnoteRef/>
      </w:r>
      <w:r>
        <w:t xml:space="preserve"> Australian Bureau of Statistics. (2009) (revised 2013) Conceptual Framework for Family and Domestic Violence.</w:t>
      </w:r>
    </w:p>
  </w:footnote>
  <w:footnote w:id="10">
    <w:p w14:paraId="617FEAE9" w14:textId="77777777" w:rsidR="0070304B" w:rsidRDefault="0070304B" w:rsidP="00E61C26">
      <w:pPr>
        <w:pStyle w:val="FootnoteText"/>
      </w:pPr>
      <w:r>
        <w:rPr>
          <w:rStyle w:val="FootnoteReference"/>
        </w:rPr>
        <w:footnoteRef/>
      </w:r>
      <w:r>
        <w:t xml:space="preserve"> </w:t>
      </w:r>
      <w:r w:rsidRPr="00403605">
        <w:t>Murray</w:t>
      </w:r>
      <w:r>
        <w:t>, S. and</w:t>
      </w:r>
      <w:r w:rsidRPr="00403605">
        <w:t xml:space="preserve"> </w:t>
      </w:r>
      <w:r>
        <w:t>P</w:t>
      </w:r>
      <w:r w:rsidRPr="00403605">
        <w:t>owell</w:t>
      </w:r>
      <w:r>
        <w:t>, A.</w:t>
      </w:r>
      <w:r w:rsidRPr="00403605">
        <w:t xml:space="preserve"> (2011) </w:t>
      </w:r>
      <w:r w:rsidRPr="00AD212E">
        <w:rPr>
          <w:i/>
        </w:rPr>
        <w:t>Domestic Violence—Australian Public Policy</w:t>
      </w:r>
      <w:r w:rsidRPr="00403605">
        <w:t>, Australian Scholarly</w:t>
      </w:r>
      <w:r>
        <w:t xml:space="preserve"> Publishing</w:t>
      </w:r>
      <w:r w:rsidRPr="00403605">
        <w:t>, North Melbourne.</w:t>
      </w:r>
    </w:p>
  </w:footnote>
  <w:footnote w:id="11">
    <w:p w14:paraId="0363DF37" w14:textId="77777777" w:rsidR="0070304B" w:rsidRDefault="0070304B" w:rsidP="00E61C26">
      <w:pPr>
        <w:pStyle w:val="FootnoteText"/>
      </w:pPr>
      <w:r>
        <w:rPr>
          <w:rStyle w:val="FootnoteReference"/>
        </w:rPr>
        <w:footnoteRef/>
      </w:r>
      <w:r>
        <w:t xml:space="preserve"> Murray, S. and Powell, A. (2011</w:t>
      </w:r>
      <w:r w:rsidRPr="00403605">
        <w:rPr>
          <w:i/>
        </w:rPr>
        <w:t>) Domestic Violence—Australian Public Policy</w:t>
      </w:r>
      <w:r>
        <w:t xml:space="preserve">, Australian Scholarly, North Melbourne.   </w:t>
      </w:r>
    </w:p>
  </w:footnote>
  <w:footnote w:id="12">
    <w:p w14:paraId="2976EA0B" w14:textId="77777777" w:rsidR="0070304B" w:rsidRDefault="0070304B" w:rsidP="00E61C26">
      <w:pPr>
        <w:pStyle w:val="FootnoteText"/>
      </w:pPr>
      <w:r>
        <w:rPr>
          <w:rStyle w:val="FootnoteReference"/>
        </w:rPr>
        <w:footnoteRef/>
      </w:r>
      <w:r>
        <w:t xml:space="preserve"> Council of Australian Government, </w:t>
      </w:r>
      <w:r w:rsidRPr="00005613">
        <w:rPr>
          <w:i/>
        </w:rPr>
        <w:t>National Plan to Reduce Violence Against Women and their Children</w:t>
      </w:r>
      <w:r>
        <w:rPr>
          <w:i/>
        </w:rPr>
        <w:t xml:space="preserve">, </w:t>
      </w:r>
      <w:r w:rsidRPr="00D41ED2">
        <w:t>p. 2</w:t>
      </w:r>
      <w:r>
        <w:rPr>
          <w:i/>
        </w:rPr>
        <w:t xml:space="preserve">, </w:t>
      </w:r>
      <w:r w:rsidRPr="0080014B">
        <w:rPr>
          <w:i/>
        </w:rPr>
        <w:t>https://www.dss.gov.au/sites/default/files/documents/08_2014/national_plan1.pdf</w:t>
      </w:r>
      <w:r>
        <w:rPr>
          <w:i/>
        </w:rPr>
        <w:t xml:space="preserve">. </w:t>
      </w:r>
      <w:r w:rsidRPr="000419BA">
        <w:t>[a</w:t>
      </w:r>
      <w:r w:rsidRPr="00D41ED2">
        <w:t>ccessed 10 March 2017</w:t>
      </w:r>
      <w:r>
        <w:t>]</w:t>
      </w:r>
      <w:r w:rsidRPr="00D41ED2">
        <w:t>.</w:t>
      </w:r>
      <w:r>
        <w:t xml:space="preserve"> </w:t>
      </w:r>
    </w:p>
    <w:p w14:paraId="51FD7027" w14:textId="77777777" w:rsidR="0070304B" w:rsidRDefault="0070304B" w:rsidP="00E61C26">
      <w:pPr>
        <w:pStyle w:val="FootnoteText"/>
      </w:pPr>
      <w:r>
        <w:t xml:space="preserve">And see: Family, domestic and sexual violence definitions and examples’, </w:t>
      </w:r>
      <w:r>
        <w:rPr>
          <w:i/>
        </w:rPr>
        <w:t xml:space="preserve">Family, domestic and sexual violence in Australia: continuing the national story, </w:t>
      </w:r>
      <w:r>
        <w:t>Australian Institute of Health and Welfare, June 2019.</w:t>
      </w:r>
      <w:r w:rsidRPr="00B50F0E">
        <w:t xml:space="preserve"> </w:t>
      </w:r>
      <w:hyperlink r:id="rId2" w:history="1">
        <w:r w:rsidRPr="00A305DC">
          <w:rPr>
            <w:rStyle w:val="Hyperlink"/>
          </w:rPr>
          <w:t>https://www.aihw.gov.au/getmedia/b0037b2d-a651-4abf-9f7b-00a85e3de528/aihw-fdv3-FDSV-in-Australia-2019.pdf.aspx?inline=true</w:t>
        </w:r>
      </w:hyperlink>
    </w:p>
    <w:p w14:paraId="02C45EF0" w14:textId="77777777" w:rsidR="0070304B" w:rsidRPr="00B50F0E" w:rsidRDefault="0070304B" w:rsidP="00E61C26">
      <w:pPr>
        <w:pStyle w:val="FootnoteText"/>
      </w:pPr>
    </w:p>
  </w:footnote>
  <w:footnote w:id="13">
    <w:p w14:paraId="427ADDB3" w14:textId="77777777" w:rsidR="0070304B" w:rsidRDefault="0070304B" w:rsidP="00E61C26">
      <w:pPr>
        <w:pStyle w:val="FootnoteText"/>
      </w:pPr>
      <w:r>
        <w:rPr>
          <w:rStyle w:val="FootnoteReference"/>
        </w:rPr>
        <w:footnoteRef/>
      </w:r>
      <w:r>
        <w:t xml:space="preserve"> Federal Senate Committee on Finance and Public Administration, Inquiry into Domestic Violence in Australia (2015)—Department of Social Services, </w:t>
      </w:r>
      <w:r>
        <w:rPr>
          <w:rStyle w:val="Emphasis"/>
        </w:rPr>
        <w:t>Submission 57</w:t>
      </w:r>
      <w:r>
        <w:t>, Attachment 1 (National Plan), p. 40.</w:t>
      </w:r>
    </w:p>
  </w:footnote>
  <w:footnote w:id="14">
    <w:p w14:paraId="7E9804ED" w14:textId="77777777" w:rsidR="0070304B" w:rsidRDefault="0070304B" w:rsidP="00E61C26">
      <w:pPr>
        <w:pStyle w:val="FootnoteText"/>
      </w:pPr>
      <w:r>
        <w:rPr>
          <w:rStyle w:val="FootnoteReference"/>
        </w:rPr>
        <w:footnoteRef/>
      </w:r>
      <w:r>
        <w:t xml:space="preserve"> </w:t>
      </w:r>
      <w:r w:rsidRPr="00036BC7">
        <w:t xml:space="preserve">US National Library of Medicine. (2015) ‘Domestic Violence in the 70s’, </w:t>
      </w:r>
      <w:r w:rsidRPr="00036BC7">
        <w:rPr>
          <w:i/>
        </w:rPr>
        <w:t>Archives &amp; Manuscripts, Collections, Confronting Violence, Exhibitions, Guests, Series</w:t>
      </w:r>
      <w:r w:rsidRPr="00036BC7">
        <w:t>, 15 October</w:t>
      </w:r>
      <w:r>
        <w:t>—</w:t>
      </w:r>
      <w:r w:rsidRPr="00F7441E">
        <w:t>https://circulatingnow.nlm.nih.gov/2015/10/15/domestic-violence-in-the-1970s/</w:t>
      </w:r>
      <w:r>
        <w:t>[accessed July 2017].</w:t>
      </w:r>
    </w:p>
  </w:footnote>
  <w:footnote w:id="15">
    <w:p w14:paraId="2901F455" w14:textId="77777777" w:rsidR="0070304B" w:rsidRDefault="0070304B" w:rsidP="00E61C26">
      <w:pPr>
        <w:pStyle w:val="FootnoteText"/>
      </w:pPr>
      <w:r>
        <w:rPr>
          <w:rStyle w:val="FootnoteReference"/>
        </w:rPr>
        <w:footnoteRef/>
      </w:r>
      <w:r>
        <w:t xml:space="preserve"> </w:t>
      </w:r>
      <w:r w:rsidRPr="0061293C">
        <w:t>Mugford</w:t>
      </w:r>
      <w:r>
        <w:t>, J</w:t>
      </w:r>
      <w:r w:rsidRPr="0061293C">
        <w:t>. (1997) ‘Family violence: Research for policy’, Australian Institute of Criminology, National Conference on Domestic Violence proceedings</w:t>
      </w:r>
      <w:r>
        <w:t>,</w:t>
      </w:r>
      <w:hyperlink r:id="rId3" w:history="1"/>
      <w:r>
        <w:t xml:space="preserve"> p. 2—</w:t>
      </w:r>
      <w:r w:rsidRPr="0061293C">
        <w:t>http://www.aic.gov.au/media_library/conferences/outlook97/mug_fam.pdf</w:t>
      </w:r>
      <w:r>
        <w:t xml:space="preserve"> [accessed July 2017].</w:t>
      </w:r>
    </w:p>
  </w:footnote>
  <w:footnote w:id="16">
    <w:p w14:paraId="4B071AA6" w14:textId="77777777" w:rsidR="0070304B" w:rsidRDefault="0070304B" w:rsidP="00E61C26">
      <w:pPr>
        <w:pStyle w:val="FootnoteText"/>
      </w:pPr>
      <w:r>
        <w:rPr>
          <w:rStyle w:val="FootnoteReference"/>
        </w:rPr>
        <w:footnoteRef/>
      </w:r>
      <w:r>
        <w:t xml:space="preserve"> </w:t>
      </w:r>
      <w:r w:rsidRPr="0061293C">
        <w:t>Mugford</w:t>
      </w:r>
      <w:r>
        <w:t>, J</w:t>
      </w:r>
      <w:r w:rsidRPr="0061293C">
        <w:t>. (1997) ‘Family violence: Research for policy’, Australian Institute of Criminology, National Conference on Domestic Violence</w:t>
      </w:r>
      <w:r>
        <w:t xml:space="preserve">, </w:t>
      </w:r>
      <w:r w:rsidRPr="0061293C">
        <w:t xml:space="preserve">p. </w:t>
      </w:r>
      <w:r>
        <w:t>3</w:t>
      </w:r>
      <w:r w:rsidRPr="0061293C">
        <w:t xml:space="preserve">—http://www.aic.gov.au/media_library/conferences/outlook97/mug_fam.pdf [accessed </w:t>
      </w:r>
      <w:r>
        <w:t>July </w:t>
      </w:r>
      <w:r w:rsidRPr="0061293C">
        <w:t>2017].</w:t>
      </w:r>
    </w:p>
  </w:footnote>
  <w:footnote w:id="17">
    <w:p w14:paraId="6A962DDD" w14:textId="77777777" w:rsidR="0070304B" w:rsidRDefault="0070304B" w:rsidP="00E61C26">
      <w:pPr>
        <w:pStyle w:val="FootnoteText"/>
      </w:pPr>
      <w:r>
        <w:rPr>
          <w:rStyle w:val="FootnoteReference"/>
        </w:rPr>
        <w:footnoteRef/>
      </w:r>
      <w:r>
        <w:t xml:space="preserve"> </w:t>
      </w:r>
      <w:r w:rsidRPr="0061293C">
        <w:t>Stubbs</w:t>
      </w:r>
      <w:r>
        <w:t>, J.</w:t>
      </w:r>
      <w:r w:rsidRPr="0061293C">
        <w:t xml:space="preserve"> (1997) ‘Violence against women: The challenge of diversity for law, policy and practice’, National Conference on Domestic Violence</w:t>
      </w:r>
      <w:r>
        <w:t>, pp. 1–9—</w:t>
      </w:r>
      <w:r w:rsidRPr="001B141D">
        <w:t>http://www.aic.gov.au/media_library/conferences/outlook97/stubbs.pdf</w:t>
      </w:r>
      <w:r>
        <w:t xml:space="preserve"> </w:t>
      </w:r>
      <w:r w:rsidRPr="0061293C">
        <w:t>[accessed July</w:t>
      </w:r>
      <w:r>
        <w:t> </w:t>
      </w:r>
      <w:r w:rsidRPr="0061293C">
        <w:t>2017].</w:t>
      </w:r>
    </w:p>
  </w:footnote>
  <w:footnote w:id="18">
    <w:p w14:paraId="1E6A7624" w14:textId="77777777" w:rsidR="0070304B" w:rsidRDefault="0070304B" w:rsidP="00E61C26">
      <w:pPr>
        <w:pStyle w:val="FootnoteText"/>
      </w:pPr>
      <w:r>
        <w:rPr>
          <w:rStyle w:val="FootnoteReference"/>
        </w:rPr>
        <w:footnoteRef/>
      </w:r>
      <w:r>
        <w:t xml:space="preserve"> Submissions authorised for publication.</w:t>
      </w:r>
    </w:p>
  </w:footnote>
  <w:footnote w:id="19">
    <w:p w14:paraId="75430A68" w14:textId="77777777" w:rsidR="0070304B" w:rsidRDefault="0070304B" w:rsidP="00E61C26">
      <w:pPr>
        <w:pStyle w:val="FootnoteText"/>
      </w:pPr>
      <w:r>
        <w:rPr>
          <w:rStyle w:val="FootnoteReference"/>
        </w:rPr>
        <w:footnoteRef/>
      </w:r>
      <w:r>
        <w:t xml:space="preserve"> </w:t>
      </w:r>
      <w:r w:rsidRPr="003D6A4B">
        <w:t>ACT Director of Public Prosecutions</w:t>
      </w:r>
      <w:r>
        <w:t xml:space="preserve">, Mr Jon White SC, </w:t>
      </w:r>
      <w:r w:rsidRPr="004F02C8">
        <w:rPr>
          <w:i/>
        </w:rPr>
        <w:t>Transcript of evidence</w:t>
      </w:r>
      <w:r>
        <w:t>, 8 March 2018, p. 127.</w:t>
      </w:r>
    </w:p>
  </w:footnote>
  <w:footnote w:id="20">
    <w:p w14:paraId="27F334FD" w14:textId="77777777" w:rsidR="0070304B" w:rsidRDefault="0070304B" w:rsidP="00E61C26">
      <w:pPr>
        <w:pStyle w:val="FootnoteText"/>
      </w:pPr>
      <w:r>
        <w:rPr>
          <w:rStyle w:val="FootnoteReference"/>
        </w:rPr>
        <w:footnoteRef/>
      </w:r>
      <w:r>
        <w:t xml:space="preserve"> The UK Confidential Enquiry into Maternal and Child Health (CEMACH), for example, found that 30 per cent of domestic abuse begins during pregnancy, with pregnant women more likely to have multiple sites of injury, indicating that the foetus and the woman herself are the focus of the perpetrator’s abuse.</w:t>
      </w:r>
    </w:p>
  </w:footnote>
  <w:footnote w:id="21">
    <w:p w14:paraId="38449578" w14:textId="77777777" w:rsidR="0070304B" w:rsidRDefault="0070304B" w:rsidP="00E61C26">
      <w:pPr>
        <w:pStyle w:val="FootnoteText"/>
      </w:pPr>
      <w:r>
        <w:rPr>
          <w:rStyle w:val="FootnoteReference"/>
        </w:rPr>
        <w:footnoteRef/>
      </w:r>
      <w:r>
        <w:t xml:space="preserve"> Disabled people are also at a greater risk of abuse. Research published in 2013 reported that the odds of being a victim of violence were two-fold higher for those with a physical disability, and three-fold higher for those with a mental-illness related disability, when compared to those without disability.</w:t>
      </w:r>
    </w:p>
  </w:footnote>
  <w:footnote w:id="22">
    <w:p w14:paraId="3A26E1FA" w14:textId="77777777" w:rsidR="0070304B" w:rsidRDefault="0070304B" w:rsidP="00E61C26">
      <w:pPr>
        <w:pStyle w:val="FootnoteText"/>
      </w:pPr>
      <w:r>
        <w:rPr>
          <w:rStyle w:val="FootnoteReference"/>
        </w:rPr>
        <w:footnoteRef/>
      </w:r>
      <w:r>
        <w:t xml:space="preserve"> Federal Senate Committee on Finance and Public Administration, Inquiry into Domestic Violence in Australia (2015)—Department of Social Services, </w:t>
      </w:r>
      <w:r>
        <w:rPr>
          <w:rStyle w:val="Emphasis"/>
        </w:rPr>
        <w:t>Submission 57</w:t>
      </w:r>
      <w:r>
        <w:t>, Attachment 1 (National Plan), p. 40.</w:t>
      </w:r>
    </w:p>
  </w:footnote>
  <w:footnote w:id="23">
    <w:p w14:paraId="00B8154E" w14:textId="77777777" w:rsidR="0070304B" w:rsidRDefault="0070304B" w:rsidP="00E61C26">
      <w:pPr>
        <w:pStyle w:val="FootnoteText"/>
      </w:pPr>
      <w:r>
        <w:rPr>
          <w:rStyle w:val="FootnoteReference"/>
        </w:rPr>
        <w:footnoteRef/>
      </w:r>
      <w:r>
        <w:t xml:space="preserve"> </w:t>
      </w:r>
    </w:p>
  </w:footnote>
  <w:footnote w:id="24">
    <w:p w14:paraId="311610E0" w14:textId="77777777" w:rsidR="0070304B" w:rsidRDefault="0070304B" w:rsidP="00E61C26">
      <w:pPr>
        <w:pStyle w:val="FootnoteText"/>
      </w:pPr>
      <w:r>
        <w:rPr>
          <w:rStyle w:val="FootnoteReference"/>
        </w:rPr>
        <w:footnoteRef/>
      </w:r>
      <w:r>
        <w:t xml:space="preserve"> Victorian Domestic Violence &amp; Incest Resource Centre. (2004) </w:t>
      </w:r>
      <w:r w:rsidRPr="00636EFE">
        <w:rPr>
          <w:i/>
        </w:rPr>
        <w:t>Developing an Integrated Response to Family Violence in Victoria—Issues and Directions</w:t>
      </w:r>
      <w:r>
        <w:t>, January.</w:t>
      </w:r>
    </w:p>
  </w:footnote>
  <w:footnote w:id="25">
    <w:p w14:paraId="36923C6A" w14:textId="77777777" w:rsidR="0070304B" w:rsidRDefault="0070304B" w:rsidP="00E61C26">
      <w:pPr>
        <w:pStyle w:val="FootnoteText"/>
      </w:pPr>
      <w:r>
        <w:rPr>
          <w:rStyle w:val="FootnoteReference"/>
        </w:rPr>
        <w:footnoteRef/>
      </w:r>
      <w:r>
        <w:t xml:space="preserve"> For example, in the UK—th</w:t>
      </w:r>
      <w:r w:rsidRPr="00145666">
        <w:t xml:space="preserve">e </w:t>
      </w:r>
      <w:r>
        <w:t xml:space="preserve">UK </w:t>
      </w:r>
      <w:r w:rsidRPr="00145666">
        <w:t>Women and Equality Unit report</w:t>
      </w:r>
      <w:r>
        <w:t>—</w:t>
      </w:r>
      <w:r w:rsidRPr="006B67CC">
        <w:rPr>
          <w:i/>
        </w:rPr>
        <w:t>The cost of domestic violence</w:t>
      </w:r>
      <w:r w:rsidRPr="00145666">
        <w:t>, written by Walby and colleagues in 2004</w:t>
      </w:r>
      <w:r>
        <w:t xml:space="preserve"> estimated the total </w:t>
      </w:r>
      <w:r w:rsidRPr="00145666">
        <w:t xml:space="preserve">cost of domestic abuse to services in England and Wales (criminal justice system, health, social services, housing, civil legal) </w:t>
      </w:r>
      <w:r>
        <w:t xml:space="preserve">as </w:t>
      </w:r>
      <w:r w:rsidRPr="00145666">
        <w:t>amount</w:t>
      </w:r>
      <w:r>
        <w:t>ing</w:t>
      </w:r>
      <w:r w:rsidRPr="00145666">
        <w:t xml:space="preserve"> to £3.1bn, and a loss to the economy of £2.7bn per annum. </w:t>
      </w:r>
      <w:r>
        <w:t xml:space="preserve"> </w:t>
      </w:r>
      <w:r w:rsidRPr="00145666">
        <w:t xml:space="preserve">The criminal justice system spends around £1bn a year on domestic abuse cases, which is equal to nearly one quarter of </w:t>
      </w:r>
      <w:r>
        <w:t xml:space="preserve">its </w:t>
      </w:r>
      <w:r w:rsidRPr="00145666">
        <w:t xml:space="preserve">budget for violent crime. </w:t>
      </w:r>
      <w:r>
        <w:t xml:space="preserve"> </w:t>
      </w:r>
      <w:r w:rsidRPr="00145666">
        <w:t>The cost to the NHS of physical injuries from domestic abuse is around £1.2bn, and for mental healthcare it equals £176m. This adds to a total tangible cost of £5.8bn.</w:t>
      </w:r>
    </w:p>
  </w:footnote>
  <w:footnote w:id="26">
    <w:p w14:paraId="23248816" w14:textId="77777777" w:rsidR="0070304B" w:rsidRDefault="0070304B" w:rsidP="00E61C26">
      <w:pPr>
        <w:pStyle w:val="FootnoteText"/>
      </w:pPr>
      <w:r>
        <w:rPr>
          <w:rStyle w:val="FootnoteReference"/>
        </w:rPr>
        <w:footnoteRef/>
      </w:r>
      <w:r>
        <w:t xml:space="preserve"> For example, in the UK—th</w:t>
      </w:r>
      <w:r w:rsidRPr="00145666">
        <w:t xml:space="preserve">e </w:t>
      </w:r>
      <w:r>
        <w:t xml:space="preserve">UK </w:t>
      </w:r>
      <w:r w:rsidRPr="00145666">
        <w:t>Women and Equality Unit report</w:t>
      </w:r>
      <w:r>
        <w:t>—</w:t>
      </w:r>
      <w:r w:rsidRPr="006B67CC">
        <w:rPr>
          <w:i/>
        </w:rPr>
        <w:t>The cost of domestic violence</w:t>
      </w:r>
      <w:r w:rsidRPr="00145666">
        <w:t>, written by Walby and colleagues in 2004</w:t>
      </w:r>
      <w:r>
        <w:t xml:space="preserve"> estimated the social costs at a further </w:t>
      </w:r>
      <w:r w:rsidRPr="00145666">
        <w:t>£17bn</w:t>
      </w:r>
      <w:r>
        <w:t>.</w:t>
      </w:r>
    </w:p>
  </w:footnote>
  <w:footnote w:id="27">
    <w:p w14:paraId="4B85806B" w14:textId="77777777" w:rsidR="0070304B" w:rsidRDefault="0070304B" w:rsidP="00E61C26">
      <w:pPr>
        <w:pStyle w:val="FootnoteText"/>
      </w:pPr>
      <w:r>
        <w:rPr>
          <w:rStyle w:val="FootnoteReference"/>
        </w:rPr>
        <w:footnoteRef/>
      </w:r>
      <w:r>
        <w:t xml:space="preserve"> P</w:t>
      </w:r>
      <w:r w:rsidRPr="007B2F6F">
        <w:t>olicy approaches</w:t>
      </w:r>
      <w:r>
        <w:t xml:space="preserve"> can include: primary prevention and community attitude campaigns; integrated intervention programs; mass-screening programs; programs for violence perpetrators; programs for women who have been subject to domestic violence; legislative approaches; and criminal justice approaches.</w:t>
      </w:r>
    </w:p>
  </w:footnote>
  <w:footnote w:id="28">
    <w:p w14:paraId="5B9C6D33" w14:textId="77777777" w:rsidR="0070304B" w:rsidRDefault="0070304B" w:rsidP="00E61C26">
      <w:pPr>
        <w:pStyle w:val="FootnoteText"/>
      </w:pPr>
      <w:r>
        <w:rPr>
          <w:rStyle w:val="FootnoteReference"/>
        </w:rPr>
        <w:footnoteRef/>
      </w:r>
      <w:r>
        <w:t xml:space="preserve"> </w:t>
      </w:r>
      <w:r w:rsidRPr="003462AE">
        <w:t xml:space="preserve">Phillips, J., Dunkley, A., Muller, D. and Lorimer, C. (2015) ‘Domestic violence: issues and policy challenges’, Australian Parliamentary Library, </w:t>
      </w:r>
      <w:r w:rsidRPr="003462AE">
        <w:rPr>
          <w:i/>
        </w:rPr>
        <w:t>Research Paper Series 2015–16</w:t>
      </w:r>
      <w:r w:rsidRPr="003462AE">
        <w:t>, 24 November, p. 28.</w:t>
      </w:r>
    </w:p>
  </w:footnote>
  <w:footnote w:id="29">
    <w:p w14:paraId="1B161FB0" w14:textId="77777777" w:rsidR="0070304B" w:rsidRDefault="0070304B" w:rsidP="00E61C26">
      <w:pPr>
        <w:pStyle w:val="FootnoteText"/>
      </w:pPr>
      <w:r>
        <w:rPr>
          <w:rStyle w:val="FootnoteReference"/>
        </w:rPr>
        <w:footnoteRef/>
      </w:r>
      <w:r>
        <w:t xml:space="preserve"> </w:t>
      </w:r>
      <w:r w:rsidRPr="002A4113">
        <w:t xml:space="preserve">Murray, S. and Powell, A. (2011) </w:t>
      </w:r>
      <w:r w:rsidRPr="00E84A08">
        <w:rPr>
          <w:i/>
        </w:rPr>
        <w:t>Domestic Violence—Australian Public Policy</w:t>
      </w:r>
      <w:r w:rsidRPr="002A4113">
        <w:t>, Australian Scholarly</w:t>
      </w:r>
      <w:r>
        <w:t xml:space="preserve"> Publishing</w:t>
      </w:r>
      <w:r w:rsidRPr="002A4113">
        <w:t>, North Melbourne</w:t>
      </w:r>
      <w:r>
        <w:t>, p. 3</w:t>
      </w:r>
      <w:r w:rsidRPr="002A4113">
        <w:t>.</w:t>
      </w:r>
    </w:p>
  </w:footnote>
  <w:footnote w:id="30">
    <w:p w14:paraId="3ACA5477" w14:textId="77777777" w:rsidR="0070304B" w:rsidRDefault="0070304B" w:rsidP="00E61C26">
      <w:pPr>
        <w:pStyle w:val="FootnoteText"/>
      </w:pPr>
      <w:r>
        <w:rPr>
          <w:rStyle w:val="FootnoteReference"/>
        </w:rPr>
        <w:footnoteRef/>
      </w:r>
      <w:r>
        <w:t xml:space="preserve"> </w:t>
      </w:r>
      <w:r w:rsidRPr="001A199E">
        <w:t xml:space="preserve">Australian Government. (2011) </w:t>
      </w:r>
      <w:r w:rsidRPr="0080014B">
        <w:rPr>
          <w:i/>
        </w:rPr>
        <w:t>National Plan to Reduce Violence Against Women and their Children</w:t>
      </w:r>
      <w:r w:rsidRPr="001A199E">
        <w:t>;</w:t>
      </w:r>
      <w:r>
        <w:t xml:space="preserve"> </w:t>
      </w:r>
      <w:r w:rsidRPr="00B177BF">
        <w:t>Phillips,</w:t>
      </w:r>
      <w:r>
        <w:t xml:space="preserve"> J.,</w:t>
      </w:r>
      <w:r w:rsidRPr="00B177BF">
        <w:t xml:space="preserve"> Dunkley,</w:t>
      </w:r>
      <w:r>
        <w:t xml:space="preserve"> A., </w:t>
      </w:r>
      <w:r w:rsidRPr="00B177BF">
        <w:t>Muller,</w:t>
      </w:r>
      <w:r>
        <w:t xml:space="preserve"> D.</w:t>
      </w:r>
      <w:r w:rsidRPr="00B177BF">
        <w:t xml:space="preserve"> and Lorimer</w:t>
      </w:r>
      <w:r>
        <w:t>, C</w:t>
      </w:r>
      <w:r w:rsidRPr="00B177BF">
        <w:t xml:space="preserve">. (2015) </w:t>
      </w:r>
      <w:r>
        <w:t>‘</w:t>
      </w:r>
      <w:r w:rsidRPr="00B177BF">
        <w:t>Domestic violence: issues and policy challenges</w:t>
      </w:r>
      <w:r>
        <w:t>’</w:t>
      </w:r>
      <w:r w:rsidRPr="00B177BF">
        <w:t xml:space="preserve">, Australian Parliamentary Library, </w:t>
      </w:r>
      <w:r w:rsidRPr="00E84A08">
        <w:rPr>
          <w:i/>
        </w:rPr>
        <w:t>Research Paper Series 2015–16</w:t>
      </w:r>
      <w:r w:rsidRPr="00B177BF">
        <w:t>, 24 November</w:t>
      </w:r>
      <w:r w:rsidRPr="001A199E">
        <w:t>.</w:t>
      </w:r>
    </w:p>
  </w:footnote>
  <w:footnote w:id="31">
    <w:p w14:paraId="7F17358A" w14:textId="77777777" w:rsidR="0070304B" w:rsidRDefault="0070304B" w:rsidP="00E61C26">
      <w:pPr>
        <w:pStyle w:val="FootnoteText"/>
      </w:pPr>
      <w:r>
        <w:rPr>
          <w:rStyle w:val="FootnoteReference"/>
        </w:rPr>
        <w:footnoteRef/>
      </w:r>
      <w:r>
        <w:t xml:space="preserve"> </w:t>
      </w:r>
      <w:r w:rsidRPr="001A199E">
        <w:t xml:space="preserve">Australian Government. (2011) </w:t>
      </w:r>
      <w:r w:rsidRPr="0080014B">
        <w:rPr>
          <w:i/>
        </w:rPr>
        <w:t>National Plan to Reduce Violence Against Women and their Children</w:t>
      </w:r>
      <w:r w:rsidRPr="001A199E">
        <w:t>;</w:t>
      </w:r>
      <w:r>
        <w:t xml:space="preserve"> </w:t>
      </w:r>
      <w:r w:rsidRPr="00B177BF">
        <w:t>Phillips,</w:t>
      </w:r>
      <w:r>
        <w:t xml:space="preserve"> J.,</w:t>
      </w:r>
      <w:r w:rsidRPr="00B177BF">
        <w:t xml:space="preserve"> Dunkley,</w:t>
      </w:r>
      <w:r>
        <w:t xml:space="preserve"> A., </w:t>
      </w:r>
      <w:r w:rsidRPr="00B177BF">
        <w:t>Muller,</w:t>
      </w:r>
      <w:r>
        <w:t xml:space="preserve"> D.</w:t>
      </w:r>
      <w:r w:rsidRPr="00B177BF">
        <w:t xml:space="preserve"> and Lorimer</w:t>
      </w:r>
      <w:r>
        <w:t>, C</w:t>
      </w:r>
      <w:r w:rsidRPr="00B177BF">
        <w:t xml:space="preserve">. (2015) </w:t>
      </w:r>
      <w:r>
        <w:t>‘</w:t>
      </w:r>
      <w:r w:rsidRPr="00B177BF">
        <w:t>Domestic violence: issues and policy challenges</w:t>
      </w:r>
      <w:r>
        <w:t>’</w:t>
      </w:r>
      <w:r w:rsidRPr="00B177BF">
        <w:t xml:space="preserve">, Australian Parliamentary Library, </w:t>
      </w:r>
      <w:r w:rsidRPr="00E84A08">
        <w:rPr>
          <w:i/>
        </w:rPr>
        <w:t>Research Paper Series 2015–16</w:t>
      </w:r>
      <w:r w:rsidRPr="00B177BF">
        <w:t>, 24 November</w:t>
      </w:r>
      <w:r w:rsidRPr="001A199E">
        <w:t>.</w:t>
      </w:r>
    </w:p>
  </w:footnote>
  <w:footnote w:id="32">
    <w:p w14:paraId="386DE6F2" w14:textId="77777777" w:rsidR="0070304B" w:rsidRDefault="0070304B" w:rsidP="00E61C26">
      <w:pPr>
        <w:pStyle w:val="FootnoteText"/>
      </w:pPr>
      <w:r>
        <w:rPr>
          <w:rStyle w:val="FootnoteReference"/>
        </w:rPr>
        <w:footnoteRef/>
      </w:r>
      <w:r>
        <w:t xml:space="preserve"> </w:t>
      </w:r>
      <w:r w:rsidRPr="00B177BF">
        <w:t>Phillips,</w:t>
      </w:r>
      <w:r>
        <w:t xml:space="preserve"> J.,</w:t>
      </w:r>
      <w:r w:rsidRPr="00B177BF">
        <w:t xml:space="preserve"> Dunkley, </w:t>
      </w:r>
      <w:r>
        <w:t xml:space="preserve">A., </w:t>
      </w:r>
      <w:r w:rsidRPr="00B177BF">
        <w:t>Muller,</w:t>
      </w:r>
      <w:r>
        <w:t xml:space="preserve"> D.</w:t>
      </w:r>
      <w:r w:rsidRPr="00B177BF">
        <w:t xml:space="preserve"> and Lorimer</w:t>
      </w:r>
      <w:r>
        <w:t>, C</w:t>
      </w:r>
      <w:r w:rsidRPr="00B177BF">
        <w:t xml:space="preserve">. (2015) </w:t>
      </w:r>
      <w:r>
        <w:t>‘</w:t>
      </w:r>
      <w:r w:rsidRPr="00B177BF">
        <w:t>Domestic violence: issues and policy challenges</w:t>
      </w:r>
      <w:r>
        <w:t>’</w:t>
      </w:r>
      <w:r w:rsidRPr="00B177BF">
        <w:t xml:space="preserve">, Australian Parliamentary Library, </w:t>
      </w:r>
      <w:r w:rsidRPr="00E84A08">
        <w:rPr>
          <w:i/>
        </w:rPr>
        <w:t>Research Paper Series 2015–16</w:t>
      </w:r>
      <w:r w:rsidRPr="00B177BF">
        <w:t>, 24 November</w:t>
      </w:r>
      <w:r w:rsidRPr="00333028">
        <w:t xml:space="preserve">, p. </w:t>
      </w:r>
      <w:r>
        <w:t>1</w:t>
      </w:r>
      <w:r w:rsidRPr="00333028">
        <w:t>.</w:t>
      </w:r>
    </w:p>
  </w:footnote>
  <w:footnote w:id="33">
    <w:p w14:paraId="6B419679" w14:textId="77777777" w:rsidR="0070304B" w:rsidRDefault="0070304B" w:rsidP="00E61C26">
      <w:pPr>
        <w:pStyle w:val="FootnoteText"/>
      </w:pPr>
      <w:r>
        <w:rPr>
          <w:rStyle w:val="FootnoteReference"/>
        </w:rPr>
        <w:footnoteRef/>
      </w:r>
      <w:r>
        <w:t xml:space="preserve"> </w:t>
      </w:r>
      <w:r w:rsidRPr="00DC2C1E">
        <w:t>Babcock,</w:t>
      </w:r>
      <w:r>
        <w:t xml:space="preserve"> J.C, </w:t>
      </w:r>
      <w:r w:rsidRPr="00DC2C1E">
        <w:t>Green</w:t>
      </w:r>
      <w:r>
        <w:t>, C.E.,</w:t>
      </w:r>
      <w:r w:rsidRPr="00DC2C1E">
        <w:t xml:space="preserve"> and Robie,</w:t>
      </w:r>
      <w:r>
        <w:t xml:space="preserve"> C. (2004)</w:t>
      </w:r>
      <w:r w:rsidRPr="00DC2C1E">
        <w:t xml:space="preserve"> ‘Does batterers’ treatment work? A meta-analytic review of domestic violence treatment’, </w:t>
      </w:r>
      <w:r w:rsidRPr="00DC2C1E">
        <w:rPr>
          <w:i/>
          <w:iCs/>
        </w:rPr>
        <w:t>Clinical Psychology Review</w:t>
      </w:r>
      <w:r w:rsidRPr="00DC2C1E">
        <w:t>, 23, pp. 1023–1053</w:t>
      </w:r>
      <w:r>
        <w:t xml:space="preserve">; </w:t>
      </w:r>
      <w:r w:rsidRPr="00DC2C1E">
        <w:t>Day</w:t>
      </w:r>
      <w:r>
        <w:t>, A.</w:t>
      </w:r>
      <w:r w:rsidRPr="00DC2C1E">
        <w:t xml:space="preserve"> et. al.</w:t>
      </w:r>
      <w:r>
        <w:t xml:space="preserve"> (2010)</w:t>
      </w:r>
      <w:r w:rsidRPr="00DC2C1E">
        <w:t xml:space="preserve"> </w:t>
      </w:r>
      <w:r w:rsidRPr="00DC2C1E">
        <w:rPr>
          <w:i/>
          <w:iCs/>
        </w:rPr>
        <w:t>Integrated responses to domestic violence: legally mandated intervention programs for male perpetrators</w:t>
      </w:r>
      <w:r w:rsidRPr="00DC2C1E">
        <w:t xml:space="preserve">, Trends and issues in crime and criminal justice </w:t>
      </w:r>
      <w:r>
        <w:t>N</w:t>
      </w:r>
      <w:r w:rsidRPr="00DC2C1E">
        <w:t>o. 404, Australian Institute of Criminology (AIC), Canberra, December</w:t>
      </w:r>
      <w:r>
        <w:t xml:space="preserve">; </w:t>
      </w:r>
      <w:r w:rsidRPr="00DC2C1E">
        <w:t xml:space="preserve">Whitaker, </w:t>
      </w:r>
      <w:r>
        <w:t xml:space="preserve">D.J, </w:t>
      </w:r>
      <w:r w:rsidRPr="00DC2C1E">
        <w:t>Morrison,</w:t>
      </w:r>
      <w:r>
        <w:t xml:space="preserve"> S., </w:t>
      </w:r>
      <w:r w:rsidRPr="00DC2C1E">
        <w:t>Lindquist,</w:t>
      </w:r>
      <w:r>
        <w:t xml:space="preserve"> C.,</w:t>
      </w:r>
      <w:r w:rsidRPr="00DC2C1E">
        <w:t xml:space="preserve"> Hawkins,</w:t>
      </w:r>
      <w:r>
        <w:t xml:space="preserve"> S.R.,</w:t>
      </w:r>
      <w:r w:rsidRPr="00DC2C1E">
        <w:t xml:space="preserve"> O’Neil,</w:t>
      </w:r>
      <w:r>
        <w:t xml:space="preserve"> J.A.,</w:t>
      </w:r>
      <w:r w:rsidRPr="00DC2C1E">
        <w:t xml:space="preserve"> Nesius,</w:t>
      </w:r>
      <w:r>
        <w:t xml:space="preserve"> A.M., </w:t>
      </w:r>
      <w:r w:rsidRPr="00DC2C1E">
        <w:t>Matthew</w:t>
      </w:r>
      <w:r>
        <w:t>, A.</w:t>
      </w:r>
      <w:r w:rsidRPr="00DC2C1E">
        <w:t xml:space="preserve"> and Reese,</w:t>
      </w:r>
      <w:r>
        <w:t xml:space="preserve"> L. (2006)</w:t>
      </w:r>
      <w:r w:rsidRPr="00DC2C1E">
        <w:t xml:space="preserve"> ‘A critical review of interventions for the primary prevention of perpetration of partner violence, </w:t>
      </w:r>
      <w:r w:rsidRPr="00DC2C1E">
        <w:rPr>
          <w:i/>
          <w:iCs/>
        </w:rPr>
        <w:t>Aggression and Violent Behaviour</w:t>
      </w:r>
      <w:r w:rsidRPr="00DC2C1E">
        <w:t>, 11, pp. 151–166</w:t>
      </w:r>
      <w:r>
        <w:t xml:space="preserve">; </w:t>
      </w:r>
      <w:r w:rsidRPr="00DC2C1E">
        <w:t>Corvo,</w:t>
      </w:r>
      <w:r>
        <w:t xml:space="preserve"> K.,</w:t>
      </w:r>
      <w:r w:rsidRPr="00DC2C1E">
        <w:t xml:space="preserve"> Dutton</w:t>
      </w:r>
      <w:r>
        <w:t>, D.,</w:t>
      </w:r>
      <w:r w:rsidRPr="00DC2C1E">
        <w:t xml:space="preserve"> and Chen,</w:t>
      </w:r>
      <w:r>
        <w:t xml:space="preserve"> W. (2009)</w:t>
      </w:r>
      <w:r w:rsidRPr="00DC2C1E">
        <w:t xml:space="preserve"> ‘Do Duluth Model interventions with perpetrators of domestic violence violate mental health professional ethics?’, </w:t>
      </w:r>
      <w:r w:rsidRPr="00DC2C1E">
        <w:rPr>
          <w:i/>
          <w:iCs/>
        </w:rPr>
        <w:t>Ethics and Behaviour</w:t>
      </w:r>
      <w:r w:rsidRPr="00DC2C1E">
        <w:t xml:space="preserve">; Labriola, </w:t>
      </w:r>
      <w:r>
        <w:t>M., R</w:t>
      </w:r>
      <w:r w:rsidRPr="00DC2C1E">
        <w:t>empel</w:t>
      </w:r>
      <w:r>
        <w:t>, M.</w:t>
      </w:r>
      <w:r w:rsidRPr="00DC2C1E">
        <w:t xml:space="preserve"> and Davis, </w:t>
      </w:r>
      <w:r>
        <w:t xml:space="preserve">R. (2005) </w:t>
      </w:r>
      <w:r w:rsidRPr="00DC2C1E">
        <w:rPr>
          <w:i/>
          <w:iCs/>
        </w:rPr>
        <w:t>Testing the effectiveness of Batterer Programs and Judicial Monitoring</w:t>
      </w:r>
      <w:r w:rsidRPr="00DC2C1E">
        <w:t>, Final report submitted to the National Institute of Justice, November; Cluss</w:t>
      </w:r>
      <w:r>
        <w:t>, P.</w:t>
      </w:r>
      <w:r w:rsidRPr="00DC2C1E">
        <w:t xml:space="preserve"> and Boadea,</w:t>
      </w:r>
      <w:r>
        <w:t xml:space="preserve"> A. (2011)</w:t>
      </w:r>
      <w:r w:rsidRPr="00DC2C1E">
        <w:t xml:space="preserve"> </w:t>
      </w:r>
      <w:r w:rsidRPr="00527852">
        <w:rPr>
          <w:i/>
        </w:rPr>
        <w:t>The effectiveness of batter intervention programs: A literature review and recommendations for next steps</w:t>
      </w:r>
      <w:r w:rsidRPr="00DC2C1E">
        <w:t>, University of Pittsburgh.</w:t>
      </w:r>
    </w:p>
  </w:footnote>
  <w:footnote w:id="34">
    <w:p w14:paraId="4E368183" w14:textId="77777777" w:rsidR="0070304B" w:rsidRDefault="0070304B" w:rsidP="00E61C26">
      <w:pPr>
        <w:pStyle w:val="FootnoteText"/>
      </w:pPr>
      <w:r>
        <w:rPr>
          <w:rStyle w:val="FootnoteReference"/>
        </w:rPr>
        <w:footnoteRef/>
      </w:r>
      <w:r>
        <w:t xml:space="preserve"> </w:t>
      </w:r>
      <w:r w:rsidRPr="00E725E4">
        <w:t>Arango</w:t>
      </w:r>
      <w:r>
        <w:t xml:space="preserve">, D.J., </w:t>
      </w:r>
      <w:r w:rsidRPr="00E725E4">
        <w:t>Morton,</w:t>
      </w:r>
      <w:r>
        <w:t xml:space="preserve"> M., </w:t>
      </w:r>
      <w:r w:rsidRPr="00E725E4">
        <w:t>Gennari,</w:t>
      </w:r>
      <w:r>
        <w:t xml:space="preserve"> F.,</w:t>
      </w:r>
      <w:r w:rsidRPr="00E725E4">
        <w:t xml:space="preserve"> Kiplesund,</w:t>
      </w:r>
      <w:r>
        <w:t xml:space="preserve"> S. and </w:t>
      </w:r>
      <w:r w:rsidRPr="00E725E4">
        <w:t>Ellsberg</w:t>
      </w:r>
      <w:r>
        <w:t>, M. (2014) ‘</w:t>
      </w:r>
      <w:r w:rsidRPr="00E725E4">
        <w:t xml:space="preserve">Interventions to prevent or reduce violence </w:t>
      </w:r>
      <w:r>
        <w:t>a</w:t>
      </w:r>
      <w:r w:rsidRPr="00E725E4">
        <w:t>gainst women and girls: A systematic review if reviews</w:t>
      </w:r>
      <w:r>
        <w:t xml:space="preserve">’, </w:t>
      </w:r>
      <w:r w:rsidRPr="00E725E4">
        <w:rPr>
          <w:i/>
          <w:iCs/>
        </w:rPr>
        <w:t xml:space="preserve">Women’s Voice and Agency Research Series, </w:t>
      </w:r>
      <w:r w:rsidRPr="00527852">
        <w:rPr>
          <w:iCs/>
        </w:rPr>
        <w:t>No. 10</w:t>
      </w:r>
      <w:r>
        <w:rPr>
          <w:i/>
          <w:iCs/>
        </w:rPr>
        <w:t xml:space="preserve">, </w:t>
      </w:r>
      <w:r>
        <w:t>p. 8; 30; 34 [</w:t>
      </w:r>
      <w:r w:rsidRPr="00E725E4">
        <w:t xml:space="preserve">paper was commissioned by the World Bank Group to help inform the report Voice &amp; Agency: Empowering Women and Girls for Shared Prosperity. </w:t>
      </w:r>
      <w:r>
        <w:t xml:space="preserve"> </w:t>
      </w:r>
      <w:r w:rsidRPr="00E725E4">
        <w:t>It does not necessarily reflect the views and research of the World Bank Group</w:t>
      </w:r>
      <w:r>
        <w:t>].</w:t>
      </w:r>
    </w:p>
  </w:footnote>
  <w:footnote w:id="35">
    <w:p w14:paraId="1C136B9D" w14:textId="77777777" w:rsidR="0070304B" w:rsidRDefault="0070304B" w:rsidP="00E61C26">
      <w:pPr>
        <w:pStyle w:val="FootnoteText"/>
      </w:pPr>
      <w:r>
        <w:rPr>
          <w:rStyle w:val="FootnoteReference"/>
        </w:rPr>
        <w:footnoteRef/>
      </w:r>
      <w:r>
        <w:t xml:space="preserve"> </w:t>
      </w:r>
      <w:r w:rsidRPr="00117C79">
        <w:t xml:space="preserve">Council of Australian Government, </w:t>
      </w:r>
      <w:r w:rsidRPr="00117C79">
        <w:rPr>
          <w:i/>
        </w:rPr>
        <w:t xml:space="preserve">National Plan to Reduce Violence Against Women and their Children, </w:t>
      </w:r>
      <w:r w:rsidRPr="00117C79">
        <w:t>p. 2</w:t>
      </w:r>
      <w:r w:rsidRPr="00117C79">
        <w:rPr>
          <w:i/>
        </w:rPr>
        <w:t xml:space="preserve">, </w:t>
      </w:r>
      <w:r w:rsidRPr="000419BA">
        <w:rPr>
          <w:i/>
        </w:rPr>
        <w:t>https://www.dss.gov.au/sites/default/files/documents/08_2014/national_plan1.pdf</w:t>
      </w:r>
      <w:r w:rsidRPr="00117C79">
        <w:rPr>
          <w:i/>
        </w:rPr>
        <w:t xml:space="preserve"> </w:t>
      </w:r>
      <w:r>
        <w:t xml:space="preserve">, p. 34 </w:t>
      </w:r>
      <w:r w:rsidRPr="000419BA">
        <w:t>[accessed 10 March 2017</w:t>
      </w:r>
      <w:r>
        <w:t>].</w:t>
      </w:r>
    </w:p>
  </w:footnote>
  <w:footnote w:id="36">
    <w:p w14:paraId="30142487" w14:textId="77777777" w:rsidR="0070304B" w:rsidRDefault="0070304B" w:rsidP="00E61C26">
      <w:pPr>
        <w:pStyle w:val="FootnoteText"/>
      </w:pPr>
      <w:r>
        <w:rPr>
          <w:rStyle w:val="FootnoteReference"/>
        </w:rPr>
        <w:footnoteRef/>
      </w:r>
      <w:r>
        <w:t xml:space="preserve"> </w:t>
      </w:r>
      <w:r w:rsidRPr="00E30369">
        <w:t>Federal Senate Committee on Finance and Public Administration inquiry into Domestic Violence in Australia (2015)—Department of Social Services, Submission 57, Attachment 1 (National Plan), p. 40.</w:t>
      </w:r>
    </w:p>
  </w:footnote>
  <w:footnote w:id="37">
    <w:p w14:paraId="0FCA1541" w14:textId="77777777" w:rsidR="0070304B" w:rsidRDefault="0070304B" w:rsidP="00E61C26">
      <w:pPr>
        <w:pStyle w:val="FootnoteText"/>
      </w:pPr>
      <w:r>
        <w:rPr>
          <w:rStyle w:val="FootnoteReference"/>
        </w:rPr>
        <w:footnoteRef/>
      </w:r>
      <w:r>
        <w:t xml:space="preserve"> Federal Senate Committee on Finance and Public Administration inquiry into Domestic Violence in Australia (2015)—Department of Social Services, </w:t>
      </w:r>
      <w:r>
        <w:rPr>
          <w:rStyle w:val="Emphasis"/>
        </w:rPr>
        <w:t>Submission 57</w:t>
      </w:r>
      <w:r>
        <w:t>, Attachment 1 (National Plan), p. 40.</w:t>
      </w:r>
    </w:p>
  </w:footnote>
  <w:footnote w:id="38">
    <w:p w14:paraId="569E19A8" w14:textId="77777777" w:rsidR="0070304B" w:rsidRDefault="0070304B" w:rsidP="00E61C26">
      <w:pPr>
        <w:pStyle w:val="FootnoteText"/>
      </w:pPr>
      <w:r>
        <w:rPr>
          <w:rStyle w:val="FootnoteReference"/>
        </w:rPr>
        <w:footnoteRef/>
      </w:r>
      <w:r>
        <w:t xml:space="preserve"> See; </w:t>
      </w:r>
      <w:r w:rsidRPr="0082768A">
        <w:rPr>
          <w:i/>
        </w:rPr>
        <w:t>JACS Committee Issues Paper on DFV</w:t>
      </w:r>
      <w:r>
        <w:t>, July 2017, paras 5.12 to 5.16., pp. 23-24.</w:t>
      </w:r>
    </w:p>
  </w:footnote>
  <w:footnote w:id="39">
    <w:p w14:paraId="0A4B20F8" w14:textId="77777777" w:rsidR="0070304B" w:rsidRDefault="0070304B" w:rsidP="00E61C26">
      <w:pPr>
        <w:pStyle w:val="FootnoteText"/>
      </w:pPr>
      <w:r>
        <w:rPr>
          <w:rStyle w:val="FootnoteReference"/>
        </w:rPr>
        <w:footnoteRef/>
      </w:r>
      <w:r>
        <w:t xml:space="preserve"> See </w:t>
      </w:r>
      <w:r w:rsidRPr="00490BB7">
        <w:rPr>
          <w:i/>
        </w:rPr>
        <w:t>Chapter 7</w:t>
      </w:r>
      <w:r>
        <w:t xml:space="preserve"> of this report.</w:t>
      </w:r>
    </w:p>
  </w:footnote>
  <w:footnote w:id="40">
    <w:p w14:paraId="7F3C82E3" w14:textId="77777777" w:rsidR="0070304B" w:rsidRDefault="0070304B" w:rsidP="00E61C26">
      <w:pPr>
        <w:pStyle w:val="FootnoteText"/>
      </w:pPr>
      <w:r>
        <w:rPr>
          <w:rStyle w:val="FootnoteReference"/>
        </w:rPr>
        <w:footnoteRef/>
      </w:r>
      <w:r>
        <w:t xml:space="preserve">  ACT Government, </w:t>
      </w:r>
      <w:r w:rsidRPr="009B17A8">
        <w:rPr>
          <w:i/>
        </w:rPr>
        <w:t>Submission 22</w:t>
      </w:r>
      <w:r>
        <w:t>, p. 8.</w:t>
      </w:r>
    </w:p>
  </w:footnote>
  <w:footnote w:id="41">
    <w:p w14:paraId="4F763287" w14:textId="77777777" w:rsidR="0070304B" w:rsidRDefault="0070304B" w:rsidP="00E61C26">
      <w:pPr>
        <w:pStyle w:val="FootnoteText"/>
      </w:pPr>
      <w:r>
        <w:rPr>
          <w:rStyle w:val="FootnoteReference"/>
        </w:rPr>
        <w:footnoteRef/>
      </w:r>
      <w:r>
        <w:t xml:space="preserve"> ACT Government, </w:t>
      </w:r>
      <w:r w:rsidRPr="009B17A8">
        <w:rPr>
          <w:i/>
        </w:rPr>
        <w:t>Submission 22</w:t>
      </w:r>
      <w:r>
        <w:t>, p. 6.</w:t>
      </w:r>
    </w:p>
  </w:footnote>
  <w:footnote w:id="42">
    <w:p w14:paraId="047D4CD3" w14:textId="77777777" w:rsidR="0070304B" w:rsidRDefault="0070304B" w:rsidP="00E61C26">
      <w:pPr>
        <w:pStyle w:val="FootnoteText"/>
      </w:pPr>
      <w:r>
        <w:rPr>
          <w:rStyle w:val="FootnoteReference"/>
        </w:rPr>
        <w:footnoteRef/>
      </w:r>
      <w:r>
        <w:t xml:space="preserve"> ACT Government, </w:t>
      </w:r>
      <w:r w:rsidRPr="009B17A8">
        <w:rPr>
          <w:i/>
        </w:rPr>
        <w:t>Submission 22</w:t>
      </w:r>
      <w:r>
        <w:t>, pp. 6-7.</w:t>
      </w:r>
    </w:p>
  </w:footnote>
  <w:footnote w:id="43">
    <w:p w14:paraId="55F8DDB8" w14:textId="77777777" w:rsidR="0070304B" w:rsidRDefault="0070304B" w:rsidP="00E61C26">
      <w:pPr>
        <w:pStyle w:val="FootnoteText"/>
      </w:pPr>
      <w:r>
        <w:rPr>
          <w:rStyle w:val="FootnoteReference"/>
        </w:rPr>
        <w:footnoteRef/>
      </w:r>
      <w:r>
        <w:t xml:space="preserve"> ACT Government, </w:t>
      </w:r>
      <w:r w:rsidRPr="009B17A8">
        <w:rPr>
          <w:i/>
        </w:rPr>
        <w:t>Submission 22</w:t>
      </w:r>
      <w:r>
        <w:t>, p.9.</w:t>
      </w:r>
    </w:p>
  </w:footnote>
  <w:footnote w:id="44">
    <w:p w14:paraId="475EB5FB" w14:textId="77777777" w:rsidR="0070304B" w:rsidRDefault="0070304B" w:rsidP="00E61C26">
      <w:pPr>
        <w:pStyle w:val="FootnoteText"/>
      </w:pPr>
      <w:r>
        <w:rPr>
          <w:rStyle w:val="FootnoteReference"/>
        </w:rPr>
        <w:footnoteRef/>
      </w:r>
      <w:r>
        <w:t xml:space="preserve"> ACT Government, </w:t>
      </w:r>
      <w:r w:rsidRPr="009B17A8">
        <w:rPr>
          <w:i/>
        </w:rPr>
        <w:t>Submission 22</w:t>
      </w:r>
      <w:r>
        <w:t>, p. 9.</w:t>
      </w:r>
    </w:p>
  </w:footnote>
  <w:footnote w:id="45">
    <w:p w14:paraId="17784BBB" w14:textId="77777777" w:rsidR="0070304B" w:rsidRDefault="0070304B" w:rsidP="00E61C26">
      <w:pPr>
        <w:pStyle w:val="FootnoteText"/>
      </w:pPr>
      <w:r>
        <w:rPr>
          <w:rStyle w:val="FootnoteReference"/>
        </w:rPr>
        <w:footnoteRef/>
      </w:r>
      <w:r>
        <w:t xml:space="preserve"> ACT Government, </w:t>
      </w:r>
      <w:r w:rsidRPr="000B45B6">
        <w:rPr>
          <w:i/>
        </w:rPr>
        <w:t>Submis</w:t>
      </w:r>
      <w:r>
        <w:rPr>
          <w:i/>
        </w:rPr>
        <w:t>s</w:t>
      </w:r>
      <w:r w:rsidRPr="000B45B6">
        <w:rPr>
          <w:i/>
        </w:rPr>
        <w:t>ion 22</w:t>
      </w:r>
      <w:r>
        <w:t>, pp. 9-10.</w:t>
      </w:r>
    </w:p>
  </w:footnote>
  <w:footnote w:id="46">
    <w:p w14:paraId="7CFE0DD6" w14:textId="77777777" w:rsidR="0070304B" w:rsidRDefault="0070304B" w:rsidP="00E61C26">
      <w:pPr>
        <w:pStyle w:val="FootnoteText"/>
      </w:pPr>
      <w:r>
        <w:rPr>
          <w:rStyle w:val="FootnoteReference"/>
        </w:rPr>
        <w:footnoteRef/>
      </w:r>
      <w:r>
        <w:t xml:space="preserve"> ACT Government, </w:t>
      </w:r>
      <w:r w:rsidRPr="000B45B6">
        <w:rPr>
          <w:i/>
        </w:rPr>
        <w:t>Submis</w:t>
      </w:r>
      <w:r>
        <w:rPr>
          <w:i/>
        </w:rPr>
        <w:t>s</w:t>
      </w:r>
      <w:r w:rsidRPr="000B45B6">
        <w:rPr>
          <w:i/>
        </w:rPr>
        <w:t>ion 22</w:t>
      </w:r>
      <w:r>
        <w:t>, p. 10.</w:t>
      </w:r>
    </w:p>
  </w:footnote>
  <w:footnote w:id="47">
    <w:p w14:paraId="3965C0D4" w14:textId="77777777" w:rsidR="0070304B" w:rsidRDefault="0070304B" w:rsidP="00E61C26">
      <w:pPr>
        <w:pStyle w:val="FootnoteText"/>
      </w:pPr>
      <w:r>
        <w:rPr>
          <w:rStyle w:val="FootnoteReference"/>
        </w:rPr>
        <w:footnoteRef/>
      </w:r>
      <w:r>
        <w:t xml:space="preserve"> ACT Government, </w:t>
      </w:r>
      <w:r w:rsidRPr="000B45B6">
        <w:rPr>
          <w:i/>
        </w:rPr>
        <w:t>Submis</w:t>
      </w:r>
      <w:r>
        <w:rPr>
          <w:i/>
        </w:rPr>
        <w:t>s</w:t>
      </w:r>
      <w:r w:rsidRPr="000B45B6">
        <w:rPr>
          <w:i/>
        </w:rPr>
        <w:t>ion 22</w:t>
      </w:r>
      <w:r>
        <w:t>, p. 11.</w:t>
      </w:r>
    </w:p>
  </w:footnote>
  <w:footnote w:id="48">
    <w:p w14:paraId="0FA3690C" w14:textId="77777777" w:rsidR="0070304B" w:rsidRPr="003D11E7" w:rsidRDefault="0070304B" w:rsidP="00E61C26">
      <w:pPr>
        <w:pStyle w:val="FootnoteText"/>
        <w:rPr>
          <w:i/>
        </w:rPr>
      </w:pPr>
      <w:r>
        <w:rPr>
          <w:rStyle w:val="FootnoteReference"/>
        </w:rPr>
        <w:footnoteRef/>
      </w:r>
      <w:r>
        <w:t xml:space="preserve"> Our Watch, </w:t>
      </w:r>
      <w:r w:rsidRPr="003D11E7">
        <w:rPr>
          <w:i/>
        </w:rPr>
        <w:t>Submission 23</w:t>
      </w:r>
      <w:r>
        <w:t>, p. 5.See also: ‘</w:t>
      </w:r>
      <w:r w:rsidRPr="00473EB6">
        <w:t>Change the Story; a sh</w:t>
      </w:r>
      <w:r>
        <w:t>ared</w:t>
      </w:r>
      <w:r w:rsidRPr="00473EB6">
        <w:t xml:space="preserve"> framework for the p</w:t>
      </w:r>
      <w:r>
        <w:t>rimary p</w:t>
      </w:r>
      <w:r w:rsidRPr="00473EB6">
        <w:t>revention of vi</w:t>
      </w:r>
      <w:r>
        <w:t>o</w:t>
      </w:r>
      <w:r w:rsidRPr="00473EB6">
        <w:t>lence ag</w:t>
      </w:r>
      <w:r>
        <w:t>a</w:t>
      </w:r>
      <w:r w:rsidRPr="00473EB6">
        <w:t>inst women</w:t>
      </w:r>
      <w:r>
        <w:t>’</w:t>
      </w:r>
      <w:r w:rsidRPr="00473EB6">
        <w:t>;</w:t>
      </w:r>
      <w:r>
        <w:rPr>
          <w:i/>
        </w:rPr>
        <w:t xml:space="preserve"> </w:t>
      </w:r>
      <w:hyperlink r:id="rId4" w:history="1">
        <w:r w:rsidRPr="0038799A">
          <w:rPr>
            <w:rStyle w:val="Hyperlink"/>
            <w:rFonts w:eastAsiaTheme="majorEastAsia"/>
            <w:i/>
          </w:rPr>
          <w:t>https://www.ourwatch.org.au/getmedia/0aa0109b-6b03-43f2-85fe-a9f5ec92ae4e/Change-the-story-framework-prevent-violence-women-children-AA-new.pdf.aspx</w:t>
        </w:r>
      </w:hyperlink>
    </w:p>
  </w:footnote>
  <w:footnote w:id="49">
    <w:p w14:paraId="0B01B7A5" w14:textId="77777777" w:rsidR="0070304B" w:rsidRDefault="0070304B" w:rsidP="00E61C26">
      <w:pPr>
        <w:pStyle w:val="FootnoteText"/>
      </w:pPr>
      <w:r>
        <w:rPr>
          <w:rStyle w:val="FootnoteReference"/>
        </w:rPr>
        <w:footnoteRef/>
      </w:r>
      <w:r>
        <w:t xml:space="preserve"> ACT Government, </w:t>
      </w:r>
      <w:r w:rsidRPr="000B45B6">
        <w:rPr>
          <w:i/>
        </w:rPr>
        <w:t>Submis</w:t>
      </w:r>
      <w:r>
        <w:rPr>
          <w:i/>
        </w:rPr>
        <w:t>s</w:t>
      </w:r>
      <w:r w:rsidRPr="000B45B6">
        <w:rPr>
          <w:i/>
        </w:rPr>
        <w:t>ion 22</w:t>
      </w:r>
      <w:r>
        <w:t xml:space="preserve">, p. 11. </w:t>
      </w:r>
      <w:hyperlink r:id="rId5" w:history="1">
        <w:r w:rsidRPr="0038799A">
          <w:rPr>
            <w:rStyle w:val="Hyperlink"/>
            <w:rFonts w:eastAsiaTheme="majorEastAsia"/>
          </w:rPr>
          <w:t>https://www.act.gov.au/our-canberra/latest-news/2017/november-2017/16-days-of-activism-against-gender-based-violence</w:t>
        </w:r>
      </w:hyperlink>
    </w:p>
    <w:p w14:paraId="5BEEF6F4" w14:textId="77777777" w:rsidR="0070304B" w:rsidRDefault="0070304B" w:rsidP="00E61C26">
      <w:pPr>
        <w:pStyle w:val="FootnoteText"/>
      </w:pPr>
    </w:p>
  </w:footnote>
  <w:footnote w:id="50">
    <w:p w14:paraId="7984C973" w14:textId="77777777" w:rsidR="0070304B" w:rsidRDefault="0070304B" w:rsidP="00E61C26">
      <w:pPr>
        <w:pStyle w:val="FootnoteText"/>
      </w:pPr>
      <w:r>
        <w:rPr>
          <w:rStyle w:val="FootnoteReference"/>
        </w:rPr>
        <w:footnoteRef/>
      </w:r>
      <w:r>
        <w:t xml:space="preserve"> ACT Government, </w:t>
      </w:r>
      <w:r w:rsidRPr="000B45B6">
        <w:rPr>
          <w:i/>
        </w:rPr>
        <w:t>Submis</w:t>
      </w:r>
      <w:r>
        <w:rPr>
          <w:i/>
        </w:rPr>
        <w:t>s</w:t>
      </w:r>
      <w:r w:rsidRPr="000B45B6">
        <w:rPr>
          <w:i/>
        </w:rPr>
        <w:t>ion 22</w:t>
      </w:r>
      <w:r>
        <w:t>, p. 11.</w:t>
      </w:r>
    </w:p>
  </w:footnote>
  <w:footnote w:id="51">
    <w:p w14:paraId="763146AC" w14:textId="77777777" w:rsidR="0070304B" w:rsidRDefault="0070304B" w:rsidP="00E61C26">
      <w:pPr>
        <w:pStyle w:val="FootnoteText"/>
      </w:pPr>
      <w:r>
        <w:rPr>
          <w:rStyle w:val="FootnoteReference"/>
        </w:rPr>
        <w:footnoteRef/>
      </w:r>
      <w:r>
        <w:t xml:space="preserve"> ACT Government, </w:t>
      </w:r>
      <w:r w:rsidRPr="000B45B6">
        <w:rPr>
          <w:i/>
        </w:rPr>
        <w:t>Submis</w:t>
      </w:r>
      <w:r>
        <w:rPr>
          <w:i/>
        </w:rPr>
        <w:t>s</w:t>
      </w:r>
      <w:r w:rsidRPr="000B45B6">
        <w:rPr>
          <w:i/>
        </w:rPr>
        <w:t>ion 22</w:t>
      </w:r>
      <w:r>
        <w:t>, pp. 11-12.</w:t>
      </w:r>
    </w:p>
  </w:footnote>
  <w:footnote w:id="52">
    <w:p w14:paraId="5B71251A" w14:textId="77777777" w:rsidR="0070304B" w:rsidRPr="00054B1E" w:rsidRDefault="0070304B" w:rsidP="00E61C26">
      <w:pPr>
        <w:pStyle w:val="FootnoteText"/>
      </w:pPr>
      <w:r>
        <w:rPr>
          <w:rStyle w:val="FootnoteReference"/>
        </w:rPr>
        <w:footnoteRef/>
      </w:r>
      <w:r>
        <w:t xml:space="preserve"> Our Watch, </w:t>
      </w:r>
      <w:r>
        <w:rPr>
          <w:i/>
        </w:rPr>
        <w:t xml:space="preserve">Submission 23, </w:t>
      </w:r>
      <w:r>
        <w:t>pp. 20-21.</w:t>
      </w:r>
    </w:p>
  </w:footnote>
  <w:footnote w:id="53">
    <w:p w14:paraId="1EA93096" w14:textId="77777777" w:rsidR="0070304B" w:rsidRDefault="0070304B" w:rsidP="00E61C26">
      <w:pPr>
        <w:pStyle w:val="FootnoteText"/>
      </w:pPr>
      <w:r>
        <w:rPr>
          <w:rStyle w:val="FootnoteReference"/>
        </w:rPr>
        <w:footnoteRef/>
      </w:r>
      <w:r>
        <w:t xml:space="preserve"> Our Watch, </w:t>
      </w:r>
      <w:r>
        <w:rPr>
          <w:i/>
        </w:rPr>
        <w:t xml:space="preserve">Submission 23, </w:t>
      </w:r>
      <w:r>
        <w:t>pp. 22-23.</w:t>
      </w:r>
    </w:p>
  </w:footnote>
  <w:footnote w:id="54">
    <w:p w14:paraId="5BB9B1AC" w14:textId="77777777" w:rsidR="0070304B" w:rsidRDefault="0070304B" w:rsidP="00E61C26">
      <w:pPr>
        <w:pStyle w:val="FootnoteText"/>
      </w:pPr>
      <w:r>
        <w:rPr>
          <w:rStyle w:val="FootnoteReference"/>
        </w:rPr>
        <w:footnoteRef/>
      </w:r>
      <w:r>
        <w:t xml:space="preserve"> See: Dr Joan Garvan, </w:t>
      </w:r>
      <w:r w:rsidRPr="00A93C15">
        <w:rPr>
          <w:i/>
        </w:rPr>
        <w:t>Submission 7</w:t>
      </w:r>
      <w:r>
        <w:t xml:space="preserve">, pp, 3-4; and </w:t>
      </w:r>
      <w:r w:rsidRPr="00222CB2">
        <w:rPr>
          <w:i/>
        </w:rPr>
        <w:t>National Plan to Reduce Violence Against Women and Children</w:t>
      </w:r>
      <w:r>
        <w:t xml:space="preserve">, </w:t>
      </w:r>
      <w:hyperlink r:id="rId6" w:history="1">
        <w:r w:rsidRPr="0000155A">
          <w:rPr>
            <w:rStyle w:val="Hyperlink"/>
            <w:rFonts w:eastAsiaTheme="majorEastAsia"/>
          </w:rPr>
          <w:t>https://www.dss.gov.au/women/programs-services/reducing-violence/the-national-plan-to-reduce-violence-against-women-and-their-children-2010-2022</w:t>
        </w:r>
      </w:hyperlink>
      <w:r>
        <w:t>, p.1</w:t>
      </w:r>
    </w:p>
  </w:footnote>
  <w:footnote w:id="55">
    <w:p w14:paraId="7DE202C0" w14:textId="77777777" w:rsidR="0070304B" w:rsidRDefault="0070304B" w:rsidP="00E61C26">
      <w:pPr>
        <w:pStyle w:val="FootnoteText"/>
      </w:pPr>
      <w:r>
        <w:rPr>
          <w:rStyle w:val="FootnoteReference"/>
        </w:rPr>
        <w:footnoteRef/>
      </w:r>
      <w:r>
        <w:t xml:space="preserve"> </w:t>
      </w:r>
    </w:p>
  </w:footnote>
  <w:footnote w:id="56">
    <w:p w14:paraId="629075D6" w14:textId="77777777" w:rsidR="0070304B" w:rsidRDefault="0070304B" w:rsidP="00E61C26">
      <w:pPr>
        <w:pStyle w:val="FootnoteText"/>
      </w:pPr>
      <w:r>
        <w:rPr>
          <w:rStyle w:val="FootnoteReference"/>
        </w:rPr>
        <w:footnoteRef/>
      </w:r>
      <w:r>
        <w:t xml:space="preserve"> ACT Government, </w:t>
      </w:r>
      <w:r>
        <w:rPr>
          <w:i/>
        </w:rPr>
        <w:t>s</w:t>
      </w:r>
      <w:r w:rsidRPr="00DC40E4">
        <w:rPr>
          <w:i/>
        </w:rPr>
        <w:t>ubmission 22</w:t>
      </w:r>
      <w:r>
        <w:t>, pp, 11-12.</w:t>
      </w:r>
    </w:p>
  </w:footnote>
  <w:footnote w:id="57">
    <w:p w14:paraId="5B0576C5" w14:textId="77777777" w:rsidR="0070304B" w:rsidRDefault="0070304B" w:rsidP="00E61C26">
      <w:pPr>
        <w:pStyle w:val="FootnoteText"/>
      </w:pPr>
      <w:r>
        <w:rPr>
          <w:rStyle w:val="FootnoteReference"/>
        </w:rPr>
        <w:footnoteRef/>
      </w:r>
      <w:r>
        <w:t xml:space="preserve"> ACT Government, </w:t>
      </w:r>
      <w:r w:rsidRPr="001D6297">
        <w:rPr>
          <w:i/>
        </w:rPr>
        <w:t>submission 22</w:t>
      </w:r>
      <w:r>
        <w:t>, pp. 12-13.</w:t>
      </w:r>
    </w:p>
  </w:footnote>
  <w:footnote w:id="58">
    <w:p w14:paraId="7BAA5036" w14:textId="77777777" w:rsidR="0070304B" w:rsidRDefault="0070304B" w:rsidP="00E61C26">
      <w:pPr>
        <w:pStyle w:val="FootnoteText"/>
      </w:pPr>
      <w:r>
        <w:rPr>
          <w:rStyle w:val="FootnoteReference"/>
        </w:rPr>
        <w:footnoteRef/>
      </w:r>
      <w:r>
        <w:t xml:space="preserve"> ACT Government, </w:t>
      </w:r>
      <w:r w:rsidRPr="001D6297">
        <w:rPr>
          <w:i/>
        </w:rPr>
        <w:t>submission 22</w:t>
      </w:r>
      <w:r>
        <w:t>, p. 12.</w:t>
      </w:r>
    </w:p>
  </w:footnote>
  <w:footnote w:id="59">
    <w:p w14:paraId="4FD40FFE" w14:textId="77777777" w:rsidR="0070304B" w:rsidRDefault="0070304B" w:rsidP="00E61C26">
      <w:pPr>
        <w:pStyle w:val="FootnoteText"/>
      </w:pPr>
      <w:r>
        <w:rPr>
          <w:rStyle w:val="FootnoteReference"/>
        </w:rPr>
        <w:footnoteRef/>
      </w:r>
      <w:r>
        <w:t xml:space="preserve"> ACT Government, </w:t>
      </w:r>
      <w:r w:rsidRPr="001D6297">
        <w:rPr>
          <w:i/>
        </w:rPr>
        <w:t>submission 22</w:t>
      </w:r>
      <w:r>
        <w:t>, p. 14.</w:t>
      </w:r>
    </w:p>
  </w:footnote>
  <w:footnote w:id="60">
    <w:p w14:paraId="15765E2A" w14:textId="11F8DF3F" w:rsidR="0070304B" w:rsidRDefault="0070304B" w:rsidP="00E61C26">
      <w:pPr>
        <w:pStyle w:val="FootnoteText"/>
      </w:pPr>
      <w:r>
        <w:rPr>
          <w:rStyle w:val="FootnoteReference"/>
        </w:rPr>
        <w:footnoteRef/>
      </w:r>
      <w:r>
        <w:t xml:space="preserve"> Domestic Violence Prevention Council, </w:t>
      </w:r>
      <w:r w:rsidRPr="002D1535">
        <w:rPr>
          <w:i/>
        </w:rPr>
        <w:t>submission 16</w:t>
      </w:r>
      <w:r>
        <w:t>, p. 4</w:t>
      </w:r>
      <w:r w:rsidR="00093B6D">
        <w:t>.</w:t>
      </w:r>
    </w:p>
  </w:footnote>
  <w:footnote w:id="61">
    <w:p w14:paraId="79073165" w14:textId="77777777" w:rsidR="0070304B" w:rsidRDefault="0070304B" w:rsidP="00E61C26">
      <w:pPr>
        <w:pStyle w:val="FootnoteText"/>
      </w:pPr>
      <w:r>
        <w:rPr>
          <w:rStyle w:val="FootnoteReference"/>
        </w:rPr>
        <w:footnoteRef/>
      </w:r>
      <w:r>
        <w:t xml:space="preserve"> Menslink, </w:t>
      </w:r>
      <w:r w:rsidRPr="007B47B4">
        <w:rPr>
          <w:i/>
        </w:rPr>
        <w:t>submission 18</w:t>
      </w:r>
      <w:r>
        <w:t>, p. 1.</w:t>
      </w:r>
    </w:p>
  </w:footnote>
  <w:footnote w:id="62">
    <w:p w14:paraId="23FEDC1D" w14:textId="77777777" w:rsidR="0070304B" w:rsidRDefault="0070304B" w:rsidP="00E61C26">
      <w:pPr>
        <w:pStyle w:val="FootnoteText"/>
      </w:pPr>
      <w:r>
        <w:rPr>
          <w:rStyle w:val="FootnoteReference"/>
        </w:rPr>
        <w:footnoteRef/>
      </w:r>
      <w:r>
        <w:t xml:space="preserve"> ACT Government, </w:t>
      </w:r>
      <w:r w:rsidRPr="00C94A56">
        <w:rPr>
          <w:i/>
        </w:rPr>
        <w:t>submission 22</w:t>
      </w:r>
      <w:r>
        <w:t>, p.13.</w:t>
      </w:r>
    </w:p>
  </w:footnote>
  <w:footnote w:id="63">
    <w:p w14:paraId="034F1816" w14:textId="77777777" w:rsidR="0070304B" w:rsidRDefault="0070304B" w:rsidP="00E61C26">
      <w:pPr>
        <w:pStyle w:val="FootnoteText"/>
      </w:pPr>
      <w:r>
        <w:rPr>
          <w:rStyle w:val="FootnoteReference"/>
        </w:rPr>
        <w:footnoteRef/>
      </w:r>
      <w:r>
        <w:t xml:space="preserve"> DVCS, </w:t>
      </w:r>
      <w:r w:rsidRPr="003A73BD">
        <w:rPr>
          <w:i/>
        </w:rPr>
        <w:t>submission 11</w:t>
      </w:r>
      <w:r>
        <w:t>, p. 5.</w:t>
      </w:r>
    </w:p>
  </w:footnote>
  <w:footnote w:id="64">
    <w:p w14:paraId="0C5BA56A" w14:textId="77777777" w:rsidR="0070304B" w:rsidRDefault="0070304B" w:rsidP="00E61C26">
      <w:pPr>
        <w:pStyle w:val="FootnoteText"/>
      </w:pPr>
      <w:r>
        <w:rPr>
          <w:rStyle w:val="FootnoteReference"/>
        </w:rPr>
        <w:footnoteRef/>
      </w:r>
      <w:r>
        <w:t xml:space="preserve"> </w:t>
      </w:r>
      <w:r w:rsidRPr="00C95916">
        <w:rPr>
          <w:i/>
        </w:rPr>
        <w:t>Transcript of Evidence</w:t>
      </w:r>
      <w:r>
        <w:t>, 8 February 2018, pp. 26-27.</w:t>
      </w:r>
    </w:p>
  </w:footnote>
  <w:footnote w:id="65">
    <w:p w14:paraId="32E58770" w14:textId="77777777" w:rsidR="0070304B" w:rsidRDefault="0070304B" w:rsidP="00E61C26">
      <w:pPr>
        <w:pStyle w:val="FootnoteText"/>
      </w:pPr>
      <w:r>
        <w:rPr>
          <w:rStyle w:val="FootnoteReference"/>
        </w:rPr>
        <w:footnoteRef/>
      </w:r>
      <w:r>
        <w:t xml:space="preserve"> ACT Government, </w:t>
      </w:r>
      <w:r w:rsidRPr="005A06D1">
        <w:rPr>
          <w:i/>
        </w:rPr>
        <w:t>submission 22</w:t>
      </w:r>
      <w:r>
        <w:t xml:space="preserve">, p.13.; see also DVCS, </w:t>
      </w:r>
      <w:r w:rsidRPr="005A06D1">
        <w:rPr>
          <w:i/>
        </w:rPr>
        <w:t xml:space="preserve">Transcript of Evidence, </w:t>
      </w:r>
      <w:r w:rsidRPr="005A06D1">
        <w:t>8 February 2018</w:t>
      </w:r>
      <w:r>
        <w:t>, p. 27.</w:t>
      </w:r>
    </w:p>
  </w:footnote>
  <w:footnote w:id="66">
    <w:p w14:paraId="2A899970" w14:textId="77777777" w:rsidR="0070304B" w:rsidRDefault="0070304B" w:rsidP="00E61C26">
      <w:pPr>
        <w:pStyle w:val="FootnoteText"/>
      </w:pPr>
      <w:r>
        <w:rPr>
          <w:rStyle w:val="FootnoteReference"/>
        </w:rPr>
        <w:footnoteRef/>
      </w:r>
      <w:r>
        <w:t xml:space="preserve"> ACT Government, </w:t>
      </w:r>
      <w:r w:rsidRPr="005A06D1">
        <w:rPr>
          <w:i/>
        </w:rPr>
        <w:t>submission 22</w:t>
      </w:r>
      <w:r>
        <w:t xml:space="preserve">, p.13; see also Minister for Justice, </w:t>
      </w:r>
      <w:r w:rsidRPr="001965D2">
        <w:rPr>
          <w:i/>
        </w:rPr>
        <w:t>Transcript of Evidence</w:t>
      </w:r>
      <w:r>
        <w:t>, 18 March 2018, p. 189</w:t>
      </w:r>
    </w:p>
  </w:footnote>
  <w:footnote w:id="67">
    <w:p w14:paraId="7BD02C65" w14:textId="77777777" w:rsidR="0070304B" w:rsidRDefault="0070304B" w:rsidP="00E61C26">
      <w:pPr>
        <w:pStyle w:val="FootnoteText"/>
      </w:pPr>
      <w:r>
        <w:rPr>
          <w:rStyle w:val="FootnoteReference"/>
        </w:rPr>
        <w:footnoteRef/>
      </w:r>
      <w:r>
        <w:t xml:space="preserve"> ACT Government, </w:t>
      </w:r>
      <w:r w:rsidRPr="00A73489">
        <w:rPr>
          <w:i/>
        </w:rPr>
        <w:t>submission 22</w:t>
      </w:r>
      <w:r>
        <w:t>, p. 14.</w:t>
      </w:r>
    </w:p>
  </w:footnote>
  <w:footnote w:id="68">
    <w:p w14:paraId="7C442AEB" w14:textId="77777777" w:rsidR="0070304B" w:rsidRDefault="0070304B" w:rsidP="00E61C26">
      <w:pPr>
        <w:pStyle w:val="FootnoteText"/>
      </w:pPr>
      <w:r>
        <w:rPr>
          <w:rStyle w:val="FootnoteReference"/>
        </w:rPr>
        <w:footnoteRef/>
      </w:r>
      <w:r>
        <w:t xml:space="preserve"> ACT Government, </w:t>
      </w:r>
      <w:r w:rsidRPr="00A73489">
        <w:rPr>
          <w:i/>
        </w:rPr>
        <w:t>submission 22</w:t>
      </w:r>
      <w:r>
        <w:t>, p. 14.</w:t>
      </w:r>
    </w:p>
  </w:footnote>
  <w:footnote w:id="69">
    <w:p w14:paraId="5E2F6424" w14:textId="77777777" w:rsidR="0070304B" w:rsidRDefault="0070304B" w:rsidP="00E61C26">
      <w:pPr>
        <w:pStyle w:val="FootnoteText"/>
      </w:pPr>
      <w:r>
        <w:rPr>
          <w:rStyle w:val="FootnoteReference"/>
        </w:rPr>
        <w:footnoteRef/>
      </w:r>
      <w:r>
        <w:t xml:space="preserve"> DVCS, </w:t>
      </w:r>
      <w:r w:rsidRPr="00F5725E">
        <w:rPr>
          <w:i/>
        </w:rPr>
        <w:t>submission</w:t>
      </w:r>
      <w:r>
        <w:t>, p. 4.</w:t>
      </w:r>
    </w:p>
  </w:footnote>
  <w:footnote w:id="70">
    <w:p w14:paraId="5B21B323" w14:textId="77777777" w:rsidR="0070304B" w:rsidRDefault="0070304B" w:rsidP="00E61C26">
      <w:pPr>
        <w:pStyle w:val="FootnoteText"/>
      </w:pPr>
      <w:r>
        <w:rPr>
          <w:rStyle w:val="FootnoteReference"/>
        </w:rPr>
        <w:footnoteRef/>
      </w:r>
      <w:r>
        <w:t xml:space="preserve">  ACT DPVC, </w:t>
      </w:r>
      <w:r w:rsidRPr="0092073B">
        <w:rPr>
          <w:i/>
        </w:rPr>
        <w:t>submission</w:t>
      </w:r>
      <w:r>
        <w:t>, p. 4</w:t>
      </w:r>
    </w:p>
  </w:footnote>
  <w:footnote w:id="71">
    <w:p w14:paraId="36E21B6F" w14:textId="77777777" w:rsidR="0070304B" w:rsidRDefault="0070304B" w:rsidP="00E61C26">
      <w:pPr>
        <w:pStyle w:val="FootnoteText"/>
      </w:pPr>
      <w:r>
        <w:rPr>
          <w:rStyle w:val="FootnoteReference"/>
        </w:rPr>
        <w:footnoteRef/>
      </w:r>
      <w:r>
        <w:t xml:space="preserve"> ACT Government, </w:t>
      </w:r>
      <w:r w:rsidRPr="00DF58B9">
        <w:rPr>
          <w:i/>
        </w:rPr>
        <w:t>Submission 22</w:t>
      </w:r>
      <w:r>
        <w:t>, p. 6.</w:t>
      </w:r>
    </w:p>
  </w:footnote>
  <w:footnote w:id="72">
    <w:p w14:paraId="1B434360" w14:textId="77777777" w:rsidR="0070304B" w:rsidRDefault="0070304B" w:rsidP="00E61C26">
      <w:pPr>
        <w:pStyle w:val="FootnoteText"/>
      </w:pPr>
      <w:r>
        <w:rPr>
          <w:rStyle w:val="FootnoteReference"/>
        </w:rPr>
        <w:footnoteRef/>
      </w:r>
      <w:r>
        <w:t xml:space="preserve"> Ms Jo Wood, Coordinator-General for Family Safety, </w:t>
      </w:r>
      <w:r w:rsidRPr="00A059BD">
        <w:rPr>
          <w:i/>
        </w:rPr>
        <w:t>Transcript of Evidence,</w:t>
      </w:r>
      <w:r>
        <w:t xml:space="preserve"> 3 April 2018, p. 224.</w:t>
      </w:r>
    </w:p>
  </w:footnote>
  <w:footnote w:id="73">
    <w:p w14:paraId="7E7C6960" w14:textId="77777777" w:rsidR="0070304B" w:rsidRDefault="0070304B" w:rsidP="00E61C26">
      <w:pPr>
        <w:pStyle w:val="FootnoteText"/>
      </w:pPr>
      <w:r>
        <w:rPr>
          <w:rStyle w:val="FootnoteReference"/>
        </w:rPr>
        <w:footnoteRef/>
      </w:r>
      <w:r>
        <w:t xml:space="preserve"> ACT Government, </w:t>
      </w:r>
      <w:r w:rsidRPr="00DF58B9">
        <w:rPr>
          <w:i/>
        </w:rPr>
        <w:t>Submission 22</w:t>
      </w:r>
      <w:r>
        <w:t>, pp. 15-16.</w:t>
      </w:r>
    </w:p>
  </w:footnote>
  <w:footnote w:id="74">
    <w:p w14:paraId="05E38E3A" w14:textId="77777777" w:rsidR="0070304B" w:rsidRDefault="0070304B" w:rsidP="00E61C26">
      <w:pPr>
        <w:pStyle w:val="FootnoteText"/>
      </w:pPr>
      <w:r>
        <w:rPr>
          <w:rStyle w:val="FootnoteReference"/>
        </w:rPr>
        <w:footnoteRef/>
      </w:r>
      <w:r>
        <w:t xml:space="preserve"> ACT Government, </w:t>
      </w:r>
      <w:r w:rsidRPr="00DF58B9">
        <w:rPr>
          <w:i/>
        </w:rPr>
        <w:t>Submission 22</w:t>
      </w:r>
      <w:r>
        <w:t>, p. 16.</w:t>
      </w:r>
    </w:p>
  </w:footnote>
  <w:footnote w:id="75">
    <w:p w14:paraId="05D3EE69" w14:textId="77777777" w:rsidR="0070304B" w:rsidRDefault="0070304B" w:rsidP="00E61C26">
      <w:pPr>
        <w:pStyle w:val="FootnoteText"/>
      </w:pPr>
      <w:r>
        <w:rPr>
          <w:rStyle w:val="FootnoteReference"/>
        </w:rPr>
        <w:footnoteRef/>
      </w:r>
      <w:r>
        <w:t xml:space="preserve"> ACT Government, </w:t>
      </w:r>
      <w:r w:rsidRPr="00DF58B9">
        <w:rPr>
          <w:i/>
        </w:rPr>
        <w:t>Submission 22</w:t>
      </w:r>
      <w:r>
        <w:t>, p. 16.</w:t>
      </w:r>
    </w:p>
  </w:footnote>
  <w:footnote w:id="76">
    <w:p w14:paraId="2E6DF37C" w14:textId="77777777" w:rsidR="0070304B" w:rsidRDefault="0070304B" w:rsidP="00E61C26">
      <w:pPr>
        <w:pStyle w:val="FootnoteText"/>
      </w:pPr>
      <w:r>
        <w:rPr>
          <w:rStyle w:val="FootnoteReference"/>
        </w:rPr>
        <w:footnoteRef/>
      </w:r>
      <w:r>
        <w:t xml:space="preserve"> ACT Government, </w:t>
      </w:r>
      <w:r w:rsidRPr="00DF58B9">
        <w:rPr>
          <w:i/>
        </w:rPr>
        <w:t>Submission 22</w:t>
      </w:r>
      <w:r>
        <w:t>, p. 16.</w:t>
      </w:r>
    </w:p>
  </w:footnote>
  <w:footnote w:id="77">
    <w:p w14:paraId="4B229E82" w14:textId="77777777" w:rsidR="0070304B" w:rsidRDefault="0070304B" w:rsidP="00E61C26">
      <w:pPr>
        <w:pStyle w:val="FootnoteText"/>
      </w:pPr>
      <w:r>
        <w:rPr>
          <w:rStyle w:val="FootnoteReference"/>
        </w:rPr>
        <w:footnoteRef/>
      </w:r>
      <w:r>
        <w:t xml:space="preserve"> ACT Government, </w:t>
      </w:r>
      <w:r w:rsidRPr="00DF58B9">
        <w:rPr>
          <w:i/>
        </w:rPr>
        <w:t>Submission 22</w:t>
      </w:r>
      <w:r>
        <w:t>, p. 16.</w:t>
      </w:r>
    </w:p>
  </w:footnote>
  <w:footnote w:id="78">
    <w:p w14:paraId="0A27BF7D" w14:textId="77777777" w:rsidR="0070304B" w:rsidRDefault="0070304B" w:rsidP="00E61C26">
      <w:pPr>
        <w:pStyle w:val="FootnoteText"/>
      </w:pPr>
      <w:r>
        <w:rPr>
          <w:rStyle w:val="FootnoteReference"/>
        </w:rPr>
        <w:footnoteRef/>
      </w:r>
      <w:r>
        <w:t xml:space="preserve"> Ms Jo Wood, Coordinator-General for Family Safety, </w:t>
      </w:r>
      <w:r w:rsidRPr="00A059BD">
        <w:rPr>
          <w:i/>
        </w:rPr>
        <w:t>Transcript of Evidence,</w:t>
      </w:r>
      <w:r>
        <w:t xml:space="preserve"> 3 April 2018, p. 228.</w:t>
      </w:r>
    </w:p>
  </w:footnote>
  <w:footnote w:id="79">
    <w:p w14:paraId="31E9E538" w14:textId="77777777" w:rsidR="0070304B" w:rsidRDefault="0070304B" w:rsidP="00E61C26">
      <w:pPr>
        <w:pStyle w:val="FootnoteText"/>
      </w:pPr>
      <w:r>
        <w:rPr>
          <w:rStyle w:val="FootnoteReference"/>
        </w:rPr>
        <w:footnoteRef/>
      </w:r>
      <w:r>
        <w:t xml:space="preserve"> ACT Government, </w:t>
      </w:r>
      <w:r w:rsidRPr="00DF58B9">
        <w:rPr>
          <w:i/>
        </w:rPr>
        <w:t>Submission 22</w:t>
      </w:r>
      <w:r>
        <w:t>, p. 16.</w:t>
      </w:r>
    </w:p>
  </w:footnote>
  <w:footnote w:id="80">
    <w:p w14:paraId="750B61C5" w14:textId="77777777" w:rsidR="0070304B" w:rsidRDefault="0070304B" w:rsidP="00E61C26">
      <w:pPr>
        <w:pStyle w:val="FootnoteText"/>
      </w:pPr>
      <w:r>
        <w:rPr>
          <w:rStyle w:val="FootnoteReference"/>
        </w:rPr>
        <w:footnoteRef/>
      </w:r>
      <w:r>
        <w:t xml:space="preserve"> ACT Government, </w:t>
      </w:r>
      <w:r w:rsidRPr="00DF58B9">
        <w:rPr>
          <w:i/>
        </w:rPr>
        <w:t>Submission 22</w:t>
      </w:r>
      <w:r>
        <w:t>, p. 16.</w:t>
      </w:r>
    </w:p>
  </w:footnote>
  <w:footnote w:id="81">
    <w:p w14:paraId="50B2A6E5" w14:textId="77777777" w:rsidR="0070304B" w:rsidRDefault="0070304B" w:rsidP="00E61C26">
      <w:pPr>
        <w:pStyle w:val="FootnoteText"/>
      </w:pPr>
      <w:r>
        <w:rPr>
          <w:rStyle w:val="FootnoteReference"/>
        </w:rPr>
        <w:footnoteRef/>
      </w:r>
      <w:r>
        <w:t xml:space="preserve"> ACT Government, </w:t>
      </w:r>
      <w:r w:rsidRPr="00DF58B9">
        <w:rPr>
          <w:i/>
        </w:rPr>
        <w:t>Submission 22</w:t>
      </w:r>
      <w:r>
        <w:t>, pp. 16-17.</w:t>
      </w:r>
    </w:p>
  </w:footnote>
  <w:footnote w:id="82">
    <w:p w14:paraId="70B9816B" w14:textId="77777777" w:rsidR="0070304B" w:rsidRDefault="0070304B" w:rsidP="00E61C26">
      <w:pPr>
        <w:pStyle w:val="FootnoteText"/>
      </w:pPr>
      <w:r>
        <w:rPr>
          <w:rStyle w:val="FootnoteReference"/>
        </w:rPr>
        <w:footnoteRef/>
      </w:r>
      <w:r>
        <w:t xml:space="preserve"> ACT Government, </w:t>
      </w:r>
      <w:r w:rsidRPr="00DF58B9">
        <w:rPr>
          <w:i/>
        </w:rPr>
        <w:t>Submission 22</w:t>
      </w:r>
      <w:r>
        <w:t>, p. 17.</w:t>
      </w:r>
    </w:p>
  </w:footnote>
  <w:footnote w:id="83">
    <w:p w14:paraId="17A6EB19" w14:textId="77777777" w:rsidR="0070304B" w:rsidRDefault="0070304B" w:rsidP="00E61C26">
      <w:pPr>
        <w:pStyle w:val="FootnoteText"/>
      </w:pPr>
      <w:r>
        <w:rPr>
          <w:rStyle w:val="FootnoteReference"/>
        </w:rPr>
        <w:footnoteRef/>
      </w:r>
      <w:r>
        <w:t xml:space="preserve"> Alcohol, Tobacco and Other Drug Association ACT, ‘ACT Alcohol and Other Drug Safer Families Program 2017-2021: Design, Model, Implementation Plan and Evaluation Framework’, December 2017, p. viii. Available at: </w:t>
      </w:r>
      <w:hyperlink r:id="rId7" w:history="1">
        <w:r w:rsidRPr="00714F2B">
          <w:rPr>
            <w:rStyle w:val="Hyperlink"/>
            <w:rFonts w:eastAsiaTheme="majorEastAsia"/>
          </w:rPr>
          <w:t>http://www.atoda.org.au/wp-content/uploads/2018/10/ACT-AOD-Safer-Families-Program-2017-2021-FINAL-REPORT.pdf</w:t>
        </w:r>
      </w:hyperlink>
      <w:r>
        <w:t>, viewed 4 April 2019.</w:t>
      </w:r>
    </w:p>
  </w:footnote>
  <w:footnote w:id="84">
    <w:p w14:paraId="7995D00E" w14:textId="77777777" w:rsidR="0070304B" w:rsidRPr="00CB6D77" w:rsidRDefault="0070304B" w:rsidP="006D6979">
      <w:pPr>
        <w:spacing w:after="160" w:line="252" w:lineRule="auto"/>
        <w:rPr>
          <w:bCs/>
          <w:i/>
          <w:iCs/>
          <w:sz w:val="18"/>
          <w:szCs w:val="18"/>
        </w:rPr>
      </w:pPr>
      <w:r>
        <w:rPr>
          <w:rStyle w:val="FootnoteReference"/>
        </w:rPr>
        <w:footnoteRef/>
      </w:r>
      <w:r>
        <w:t xml:space="preserve">  </w:t>
      </w:r>
      <w:r w:rsidRPr="00093B6D">
        <w:rPr>
          <w:i/>
          <w:sz w:val="18"/>
          <w:szCs w:val="18"/>
        </w:rPr>
        <w:t>- See:</w:t>
      </w:r>
      <w:r w:rsidRPr="00093B6D">
        <w:rPr>
          <w:bCs/>
          <w:i/>
          <w:iCs/>
          <w:sz w:val="18"/>
          <w:szCs w:val="18"/>
        </w:rPr>
        <w:t xml:space="preserve"> In relation to the recommendation to remove responsibility for family violence orders from the victim and hand it over to the police, Susan Clarke-Lindfield advised after the hearing by email (6 April 18) that she had consulted with her colleague—Mirsada Draskovic—Director of Domestic Violence and Homelessness Services—who agreed that this is a very good idea as it is a high risk time for women and children.</w:t>
      </w:r>
    </w:p>
    <w:p w14:paraId="035BAF36" w14:textId="77777777" w:rsidR="0070304B" w:rsidRPr="00F15F52" w:rsidRDefault="0070304B" w:rsidP="00E61C26">
      <w:pPr>
        <w:pStyle w:val="FootnoteText"/>
        <w:ind w:left="0"/>
        <w:rPr>
          <w:b/>
        </w:rPr>
      </w:pPr>
    </w:p>
  </w:footnote>
  <w:footnote w:id="85">
    <w:p w14:paraId="6F5D637C" w14:textId="77777777" w:rsidR="0070304B" w:rsidRDefault="0070304B" w:rsidP="00E61C26">
      <w:pPr>
        <w:pStyle w:val="FootnoteText"/>
      </w:pPr>
      <w:r>
        <w:rPr>
          <w:rStyle w:val="FootnoteReference"/>
        </w:rPr>
        <w:footnoteRef/>
      </w:r>
      <w:r>
        <w:t xml:space="preserve"> </w:t>
      </w:r>
      <w:r w:rsidRPr="00DC2C1E">
        <w:t>Australian Government</w:t>
      </w:r>
      <w:r>
        <w:t>. (2011)</w:t>
      </w:r>
      <w:r w:rsidRPr="00DC2C1E">
        <w:t xml:space="preserve"> </w:t>
      </w:r>
      <w:r w:rsidRPr="00DC2C1E">
        <w:rPr>
          <w:i/>
          <w:iCs/>
        </w:rPr>
        <w:t xml:space="preserve">National Plan to Reduce Violence </w:t>
      </w:r>
      <w:r>
        <w:rPr>
          <w:i/>
          <w:iCs/>
        </w:rPr>
        <w:t>A</w:t>
      </w:r>
      <w:r w:rsidRPr="00DC2C1E">
        <w:rPr>
          <w:i/>
          <w:iCs/>
        </w:rPr>
        <w:t>gainst Women and their Children</w:t>
      </w:r>
      <w:r w:rsidRPr="00DC2C1E">
        <w:t xml:space="preserve">.  </w:t>
      </w:r>
    </w:p>
  </w:footnote>
  <w:footnote w:id="86">
    <w:p w14:paraId="6CBE8714" w14:textId="77777777" w:rsidR="0070304B" w:rsidRDefault="0070304B" w:rsidP="00E61C26">
      <w:pPr>
        <w:pStyle w:val="FootnoteText"/>
      </w:pPr>
      <w:r>
        <w:rPr>
          <w:rStyle w:val="FootnoteReference"/>
        </w:rPr>
        <w:footnoteRef/>
      </w:r>
      <w:r>
        <w:t xml:space="preserve"> </w:t>
      </w:r>
      <w:r w:rsidRPr="00B177BF">
        <w:t>Australian Government</w:t>
      </w:r>
      <w:r>
        <w:t>. (2011)</w:t>
      </w:r>
      <w:r w:rsidRPr="00B177BF">
        <w:t xml:space="preserve"> </w:t>
      </w:r>
      <w:r w:rsidRPr="0080014B">
        <w:rPr>
          <w:i/>
        </w:rPr>
        <w:t>National Plan to Reduce Violence Against Women and their Children</w:t>
      </w:r>
      <w:r w:rsidRPr="00B177BF">
        <w:t xml:space="preserve">; </w:t>
      </w:r>
      <w:r w:rsidRPr="004A470F">
        <w:t xml:space="preserve">Phillips, J., Dunkley, A., Muller, D. and Lorimer, C. (2015) ‘Domestic violence: issues and policy challenges’, Australian Parliamentary Library, </w:t>
      </w:r>
      <w:r w:rsidRPr="004A470F">
        <w:rPr>
          <w:i/>
        </w:rPr>
        <w:t>Research Paper Series 2015–16</w:t>
      </w:r>
      <w:r w:rsidRPr="004A470F">
        <w:t>, 24 November</w:t>
      </w:r>
      <w:r>
        <w:t>.</w:t>
      </w:r>
    </w:p>
  </w:footnote>
  <w:footnote w:id="87">
    <w:p w14:paraId="6450EDFE" w14:textId="77777777" w:rsidR="0070304B" w:rsidRDefault="0070304B" w:rsidP="00E61C26">
      <w:pPr>
        <w:pStyle w:val="FootnoteText"/>
      </w:pPr>
      <w:r>
        <w:rPr>
          <w:rStyle w:val="FootnoteReference"/>
        </w:rPr>
        <w:footnoteRef/>
      </w:r>
      <w:r>
        <w:t xml:space="preserve"> </w:t>
      </w:r>
      <w:r w:rsidRPr="00B177BF">
        <w:t>Australian Government</w:t>
      </w:r>
      <w:r>
        <w:t>. (2011)</w:t>
      </w:r>
      <w:r w:rsidRPr="00B177BF">
        <w:t xml:space="preserve"> </w:t>
      </w:r>
      <w:r w:rsidRPr="0080014B">
        <w:rPr>
          <w:i/>
        </w:rPr>
        <w:t>National Plan to Reduce Violence Against Women and their Children</w:t>
      </w:r>
      <w:r w:rsidRPr="00B177BF">
        <w:t xml:space="preserve">; </w:t>
      </w:r>
      <w:r w:rsidRPr="004A470F">
        <w:t xml:space="preserve">Phillips, J., Dunkley, A., Muller, D. and Lorimer, C. (2015) ‘Domestic violence: issues and policy challenges’, Australian Parliamentary Library, </w:t>
      </w:r>
      <w:r w:rsidRPr="004A470F">
        <w:rPr>
          <w:i/>
        </w:rPr>
        <w:t>Research Paper Series 2015–16</w:t>
      </w:r>
      <w:r w:rsidRPr="004A470F">
        <w:t>, 24 November</w:t>
      </w:r>
      <w:r>
        <w:t>.</w:t>
      </w:r>
    </w:p>
  </w:footnote>
  <w:footnote w:id="88">
    <w:p w14:paraId="0FC7207D" w14:textId="77777777" w:rsidR="0070304B" w:rsidRDefault="0070304B" w:rsidP="00E61C26">
      <w:pPr>
        <w:pStyle w:val="FootnoteText"/>
      </w:pPr>
      <w:r>
        <w:rPr>
          <w:rStyle w:val="FootnoteReference"/>
        </w:rPr>
        <w:footnoteRef/>
      </w:r>
      <w:r>
        <w:t xml:space="preserve"> </w:t>
      </w:r>
      <w:r w:rsidRPr="001A199E">
        <w:t xml:space="preserve">Australian Government. (2011) </w:t>
      </w:r>
      <w:r w:rsidRPr="0080014B">
        <w:rPr>
          <w:i/>
        </w:rPr>
        <w:t>National Plan to Reduce Violence Against Women and their Children</w:t>
      </w:r>
      <w:r w:rsidRPr="001A199E">
        <w:t>;</w:t>
      </w:r>
      <w:r w:rsidRPr="00527852">
        <w:t xml:space="preserve"> Phillips, J., Dunkley, A., Muller, D. and Lorimer, C. (2015) ‘Domestic violence: issues and policy challenges’, Australian Parliamentary Library, Research Paper Series 2015–16, 24 November</w:t>
      </w:r>
      <w:r w:rsidRPr="001A199E">
        <w:t>.</w:t>
      </w:r>
    </w:p>
  </w:footnote>
  <w:footnote w:id="89">
    <w:p w14:paraId="65360E82" w14:textId="77777777" w:rsidR="0070304B" w:rsidRDefault="0070304B" w:rsidP="00E61C26">
      <w:pPr>
        <w:pStyle w:val="FootnoteText"/>
      </w:pPr>
      <w:r>
        <w:rPr>
          <w:rStyle w:val="FootnoteReference"/>
        </w:rPr>
        <w:footnoteRef/>
      </w:r>
      <w:r>
        <w:t xml:space="preserve"> </w:t>
      </w:r>
      <w:r w:rsidRPr="001A199E">
        <w:t xml:space="preserve">Australian Government. (2011) </w:t>
      </w:r>
      <w:r w:rsidRPr="0080014B">
        <w:rPr>
          <w:i/>
        </w:rPr>
        <w:t>National Plan to Reduce Violence Against Women and their Children</w:t>
      </w:r>
      <w:r w:rsidRPr="001A199E">
        <w:t>.</w:t>
      </w:r>
    </w:p>
  </w:footnote>
  <w:footnote w:id="90">
    <w:p w14:paraId="65D78CC8" w14:textId="77777777" w:rsidR="0070304B" w:rsidRPr="00496698" w:rsidRDefault="0070304B" w:rsidP="00E61C26">
      <w:pPr>
        <w:pStyle w:val="FootnoteText"/>
      </w:pPr>
      <w:r>
        <w:rPr>
          <w:rStyle w:val="FootnoteReference"/>
        </w:rPr>
        <w:footnoteRef/>
      </w:r>
      <w:r>
        <w:t xml:space="preserve"> ACT Government, </w:t>
      </w:r>
      <w:r>
        <w:rPr>
          <w:i/>
        </w:rPr>
        <w:t>Submission 22</w:t>
      </w:r>
      <w:r>
        <w:t>, p. 31.</w:t>
      </w:r>
    </w:p>
  </w:footnote>
  <w:footnote w:id="91">
    <w:p w14:paraId="1940C2A7" w14:textId="77777777" w:rsidR="0070304B" w:rsidRPr="00E87CBD" w:rsidRDefault="0070304B" w:rsidP="00E61C26">
      <w:pPr>
        <w:pStyle w:val="FootnoteText"/>
      </w:pPr>
      <w:r>
        <w:rPr>
          <w:rStyle w:val="FootnoteReference"/>
        </w:rPr>
        <w:footnoteRef/>
      </w:r>
      <w:r>
        <w:t xml:space="preserve"> ACT Women’s Services Network, </w:t>
      </w:r>
      <w:r>
        <w:rPr>
          <w:i/>
        </w:rPr>
        <w:t>Submission 17</w:t>
      </w:r>
      <w:r>
        <w:t>, p. 7.</w:t>
      </w:r>
    </w:p>
  </w:footnote>
  <w:footnote w:id="92">
    <w:p w14:paraId="64784D05" w14:textId="77777777" w:rsidR="0070304B" w:rsidRDefault="0070304B" w:rsidP="00E61C26">
      <w:pPr>
        <w:pStyle w:val="FootnoteText"/>
      </w:pPr>
      <w:r>
        <w:rPr>
          <w:rStyle w:val="FootnoteReference"/>
        </w:rPr>
        <w:footnoteRef/>
      </w:r>
      <w:r>
        <w:t xml:space="preserve"> ACT Women’s Services Network, </w:t>
      </w:r>
      <w:r>
        <w:rPr>
          <w:i/>
        </w:rPr>
        <w:t>Submission 17</w:t>
      </w:r>
      <w:r>
        <w:t>, p. 7.</w:t>
      </w:r>
    </w:p>
  </w:footnote>
  <w:footnote w:id="93">
    <w:p w14:paraId="762F962D" w14:textId="77777777" w:rsidR="0070304B" w:rsidRPr="00444A5C" w:rsidRDefault="0070304B" w:rsidP="00E61C26">
      <w:pPr>
        <w:pStyle w:val="FootnoteText"/>
      </w:pPr>
      <w:r>
        <w:rPr>
          <w:rStyle w:val="FootnoteReference"/>
        </w:rPr>
        <w:footnoteRef/>
      </w:r>
      <w:r>
        <w:t xml:space="preserve"> Women’s Legal Centre (ACT &amp; Region), </w:t>
      </w:r>
      <w:r>
        <w:rPr>
          <w:i/>
        </w:rPr>
        <w:t>Submission 28</w:t>
      </w:r>
      <w:r>
        <w:t>, p. 14.</w:t>
      </w:r>
    </w:p>
  </w:footnote>
  <w:footnote w:id="94">
    <w:p w14:paraId="1AA122A1" w14:textId="77777777" w:rsidR="0070304B" w:rsidRDefault="0070304B" w:rsidP="00E61C26">
      <w:pPr>
        <w:pStyle w:val="FootnoteText"/>
      </w:pPr>
      <w:r>
        <w:rPr>
          <w:rStyle w:val="FootnoteReference"/>
        </w:rPr>
        <w:footnoteRef/>
      </w:r>
      <w:r>
        <w:t xml:space="preserve"> ACT Government, </w:t>
      </w:r>
      <w:r>
        <w:rPr>
          <w:i/>
        </w:rPr>
        <w:t>Submission 22</w:t>
      </w:r>
      <w:r>
        <w:t>, p. 32.</w:t>
      </w:r>
    </w:p>
  </w:footnote>
  <w:footnote w:id="95">
    <w:p w14:paraId="32BA2BB8" w14:textId="77777777" w:rsidR="0070304B" w:rsidRPr="00D71C7A" w:rsidRDefault="0070304B" w:rsidP="00E61C26">
      <w:pPr>
        <w:pStyle w:val="FootnoteText"/>
      </w:pPr>
      <w:r>
        <w:rPr>
          <w:rStyle w:val="FootnoteReference"/>
        </w:rPr>
        <w:footnoteRef/>
      </w:r>
      <w:r>
        <w:t xml:space="preserve"> Domestic Violence Crisis Service, </w:t>
      </w:r>
      <w:r>
        <w:rPr>
          <w:i/>
        </w:rPr>
        <w:t>Submission 11</w:t>
      </w:r>
      <w:r>
        <w:t xml:space="preserve">, p. [4]. Also see: Women’s Centre for Health Matters, </w:t>
      </w:r>
      <w:r>
        <w:rPr>
          <w:i/>
        </w:rPr>
        <w:t>Submission 26</w:t>
      </w:r>
      <w:r>
        <w:t>, p. 12.</w:t>
      </w:r>
    </w:p>
  </w:footnote>
  <w:footnote w:id="96">
    <w:p w14:paraId="2B2BF249" w14:textId="77777777" w:rsidR="0070304B" w:rsidRPr="000A3DA9" w:rsidRDefault="0070304B" w:rsidP="00E61C26">
      <w:pPr>
        <w:pStyle w:val="FootnoteText"/>
      </w:pPr>
      <w:r>
        <w:rPr>
          <w:rStyle w:val="FootnoteReference"/>
        </w:rPr>
        <w:footnoteRef/>
      </w:r>
      <w:r>
        <w:t xml:space="preserve"> ACT Domestic Violence Prevention Council, </w:t>
      </w:r>
      <w:r>
        <w:rPr>
          <w:i/>
        </w:rPr>
        <w:t>Submission 16</w:t>
      </w:r>
      <w:r>
        <w:t>, p. 7.</w:t>
      </w:r>
    </w:p>
  </w:footnote>
  <w:footnote w:id="97">
    <w:p w14:paraId="4FFA9616" w14:textId="77777777" w:rsidR="0070304B" w:rsidRPr="00D71C7A" w:rsidRDefault="0070304B" w:rsidP="00E61C26">
      <w:pPr>
        <w:pStyle w:val="FootnoteText"/>
      </w:pPr>
      <w:r>
        <w:rPr>
          <w:rStyle w:val="FootnoteReference"/>
        </w:rPr>
        <w:footnoteRef/>
      </w:r>
      <w:r>
        <w:t xml:space="preserve"> ACT Women’s Services Network, </w:t>
      </w:r>
      <w:r>
        <w:rPr>
          <w:i/>
        </w:rPr>
        <w:t>Submission 17</w:t>
      </w:r>
      <w:r>
        <w:t>, p. 7.</w:t>
      </w:r>
    </w:p>
  </w:footnote>
  <w:footnote w:id="98">
    <w:p w14:paraId="5B5CB357" w14:textId="77777777" w:rsidR="0070304B" w:rsidRDefault="0070304B" w:rsidP="00E61C26">
      <w:pPr>
        <w:pStyle w:val="FootnoteText"/>
      </w:pPr>
      <w:r>
        <w:rPr>
          <w:rStyle w:val="FootnoteReference"/>
        </w:rPr>
        <w:footnoteRef/>
      </w:r>
      <w:r>
        <w:t xml:space="preserve"> ACT Women’s Services Network, </w:t>
      </w:r>
      <w:r>
        <w:rPr>
          <w:i/>
        </w:rPr>
        <w:t>Submission 17</w:t>
      </w:r>
      <w:r>
        <w:t>, p. 7.</w:t>
      </w:r>
    </w:p>
  </w:footnote>
  <w:footnote w:id="99">
    <w:p w14:paraId="0E58F949" w14:textId="77777777" w:rsidR="0070304B" w:rsidRPr="00A825A8" w:rsidRDefault="0070304B" w:rsidP="00E61C26">
      <w:pPr>
        <w:pStyle w:val="FootnoteText"/>
      </w:pPr>
      <w:r>
        <w:rPr>
          <w:rStyle w:val="FootnoteReference"/>
        </w:rPr>
        <w:footnoteRef/>
      </w:r>
      <w:r>
        <w:t xml:space="preserve"> ACTCOSS, </w:t>
      </w:r>
      <w:r>
        <w:rPr>
          <w:i/>
        </w:rPr>
        <w:t>Submission 21</w:t>
      </w:r>
      <w:r>
        <w:t>, p. 7.</w:t>
      </w:r>
    </w:p>
  </w:footnote>
  <w:footnote w:id="100">
    <w:p w14:paraId="06600F7C" w14:textId="77777777" w:rsidR="0070304B" w:rsidRDefault="0070304B" w:rsidP="00E61C26">
      <w:pPr>
        <w:pStyle w:val="FootnoteText"/>
      </w:pPr>
      <w:r>
        <w:rPr>
          <w:rStyle w:val="FootnoteReference"/>
        </w:rPr>
        <w:footnoteRef/>
      </w:r>
      <w:r>
        <w:t xml:space="preserve"> ACT Government, </w:t>
      </w:r>
      <w:r>
        <w:rPr>
          <w:i/>
        </w:rPr>
        <w:t>Submission 22</w:t>
      </w:r>
      <w:r>
        <w:t>, p. 31.</w:t>
      </w:r>
    </w:p>
  </w:footnote>
  <w:footnote w:id="101">
    <w:p w14:paraId="2E3EB0BC" w14:textId="77777777" w:rsidR="0070304B" w:rsidRPr="00745864" w:rsidRDefault="0070304B" w:rsidP="00E61C26">
      <w:pPr>
        <w:pStyle w:val="FootnoteText"/>
      </w:pPr>
      <w:r>
        <w:rPr>
          <w:rStyle w:val="FootnoteReference"/>
        </w:rPr>
        <w:footnoteRef/>
      </w:r>
      <w:r>
        <w:t xml:space="preserve"> Our Watch, </w:t>
      </w:r>
      <w:r>
        <w:rPr>
          <w:i/>
        </w:rPr>
        <w:t>Submission 23</w:t>
      </w:r>
      <w:r>
        <w:t>, p. 9.</w:t>
      </w:r>
    </w:p>
  </w:footnote>
  <w:footnote w:id="102">
    <w:p w14:paraId="360EE7FA" w14:textId="77777777" w:rsidR="0070304B" w:rsidRPr="00F305AB" w:rsidRDefault="0070304B" w:rsidP="00E61C26">
      <w:pPr>
        <w:pStyle w:val="FootnoteText"/>
      </w:pPr>
      <w:r>
        <w:rPr>
          <w:rStyle w:val="FootnoteReference"/>
        </w:rPr>
        <w:footnoteRef/>
      </w:r>
      <w:r>
        <w:t xml:space="preserve"> ACTCOSS, </w:t>
      </w:r>
      <w:r>
        <w:rPr>
          <w:i/>
        </w:rPr>
        <w:t>Submission 21</w:t>
      </w:r>
      <w:r>
        <w:t>, p. 7.</w:t>
      </w:r>
    </w:p>
  </w:footnote>
  <w:footnote w:id="103">
    <w:p w14:paraId="74E626D4" w14:textId="77777777" w:rsidR="0070304B" w:rsidRPr="00F305AB" w:rsidRDefault="0070304B" w:rsidP="00E61C26">
      <w:pPr>
        <w:pStyle w:val="FootnoteText"/>
      </w:pPr>
      <w:r>
        <w:rPr>
          <w:rStyle w:val="FootnoteReference"/>
        </w:rPr>
        <w:footnoteRef/>
      </w:r>
      <w:r>
        <w:t xml:space="preserve"> ACTCOSS, </w:t>
      </w:r>
      <w:r>
        <w:rPr>
          <w:i/>
        </w:rPr>
        <w:t>Submission 21</w:t>
      </w:r>
      <w:r>
        <w:t>, p. 7.</w:t>
      </w:r>
    </w:p>
  </w:footnote>
  <w:footnote w:id="104">
    <w:p w14:paraId="3C6C7805" w14:textId="77777777" w:rsidR="0070304B" w:rsidRPr="006A2B14" w:rsidRDefault="0070304B" w:rsidP="00E61C26">
      <w:pPr>
        <w:pStyle w:val="FootnoteText"/>
      </w:pPr>
      <w:r>
        <w:rPr>
          <w:rStyle w:val="FootnoteReference"/>
        </w:rPr>
        <w:footnoteRef/>
      </w:r>
      <w:r>
        <w:t xml:space="preserve"> Foundation for Alcohol Research and Education, </w:t>
      </w:r>
      <w:r>
        <w:rPr>
          <w:i/>
        </w:rPr>
        <w:t>Submission 20</w:t>
      </w:r>
      <w:r>
        <w:t>, p. 9.</w:t>
      </w:r>
    </w:p>
  </w:footnote>
  <w:footnote w:id="105">
    <w:p w14:paraId="28452BF6" w14:textId="77777777" w:rsidR="0070304B" w:rsidRDefault="0070304B" w:rsidP="00E61C26">
      <w:pPr>
        <w:pStyle w:val="FootnoteText"/>
      </w:pPr>
      <w:r>
        <w:rPr>
          <w:rStyle w:val="FootnoteReference"/>
        </w:rPr>
        <w:footnoteRef/>
      </w:r>
      <w:r>
        <w:t xml:space="preserve"> Ministerial Statement, ‘Safer Families 2018’, p. 6.</w:t>
      </w:r>
    </w:p>
  </w:footnote>
  <w:footnote w:id="106">
    <w:p w14:paraId="00B45589" w14:textId="77777777" w:rsidR="0070304B" w:rsidRDefault="0070304B" w:rsidP="00E61C26">
      <w:pPr>
        <w:pStyle w:val="FootnoteText"/>
      </w:pPr>
      <w:r>
        <w:rPr>
          <w:rStyle w:val="FootnoteReference"/>
        </w:rPr>
        <w:footnoteRef/>
      </w:r>
      <w:r>
        <w:t xml:space="preserve"> Ministerial Statement, ‘Safer Families 2018’, p. 6.</w:t>
      </w:r>
    </w:p>
  </w:footnote>
  <w:footnote w:id="107">
    <w:p w14:paraId="21422218" w14:textId="77777777" w:rsidR="0070304B" w:rsidRDefault="0070304B" w:rsidP="00E61C26">
      <w:pPr>
        <w:pStyle w:val="FootnoteText"/>
      </w:pPr>
      <w:r>
        <w:rPr>
          <w:rStyle w:val="FootnoteReference"/>
        </w:rPr>
        <w:footnoteRef/>
      </w:r>
      <w:r>
        <w:t xml:space="preserve"> ACT Government, </w:t>
      </w:r>
      <w:r w:rsidRPr="005346EC">
        <w:rPr>
          <w:i/>
        </w:rPr>
        <w:t>Submission 22</w:t>
      </w:r>
      <w:r>
        <w:t>, p. 31</w:t>
      </w:r>
    </w:p>
  </w:footnote>
  <w:footnote w:id="108">
    <w:p w14:paraId="0122A47A" w14:textId="77777777" w:rsidR="0070304B" w:rsidRDefault="0070304B" w:rsidP="00E61C26">
      <w:pPr>
        <w:pStyle w:val="FootnoteText"/>
      </w:pPr>
      <w:r>
        <w:rPr>
          <w:rStyle w:val="FootnoteReference"/>
        </w:rPr>
        <w:footnoteRef/>
      </w:r>
      <w:r>
        <w:t xml:space="preserve"> </w:t>
      </w:r>
      <w:r w:rsidRPr="00D94C8E">
        <w:t xml:space="preserve">ACT Government. (2016) </w:t>
      </w:r>
      <w:r w:rsidRPr="00D94C8E">
        <w:rPr>
          <w:i/>
        </w:rPr>
        <w:t>Response to Family Violence</w:t>
      </w:r>
      <w:r w:rsidRPr="00D94C8E">
        <w:t>.</w:t>
      </w:r>
    </w:p>
  </w:footnote>
  <w:footnote w:id="109">
    <w:p w14:paraId="290C8C50" w14:textId="77777777" w:rsidR="0070304B" w:rsidRDefault="0070304B" w:rsidP="00E61C26">
      <w:pPr>
        <w:pStyle w:val="FootnoteText"/>
      </w:pPr>
      <w:r>
        <w:rPr>
          <w:rStyle w:val="FootnoteReference"/>
        </w:rPr>
        <w:footnoteRef/>
      </w:r>
      <w:r>
        <w:t xml:space="preserve"> ACT Government. (2016) </w:t>
      </w:r>
      <w:r w:rsidRPr="00D94C8E">
        <w:rPr>
          <w:i/>
        </w:rPr>
        <w:t>Response to Family Violence</w:t>
      </w:r>
      <w:r>
        <w:t>, p. 3.</w:t>
      </w:r>
    </w:p>
  </w:footnote>
  <w:footnote w:id="110">
    <w:p w14:paraId="616FACCB" w14:textId="77777777" w:rsidR="0070304B" w:rsidRDefault="0070304B" w:rsidP="00E61C26">
      <w:pPr>
        <w:pStyle w:val="FootnoteText"/>
      </w:pPr>
      <w:r>
        <w:rPr>
          <w:rStyle w:val="FootnoteReference"/>
        </w:rPr>
        <w:footnoteRef/>
      </w:r>
      <w:r>
        <w:t xml:space="preserve"> </w:t>
      </w:r>
      <w:r w:rsidRPr="00AA6D0A">
        <w:t xml:space="preserve">ACT Government. (2016) </w:t>
      </w:r>
      <w:r w:rsidRPr="00AA6D0A">
        <w:rPr>
          <w:i/>
        </w:rPr>
        <w:t>Response to Family Violence</w:t>
      </w:r>
      <w:r w:rsidRPr="00AA6D0A">
        <w:t xml:space="preserve">, p. </w:t>
      </w:r>
      <w:r>
        <w:t>2</w:t>
      </w:r>
      <w:r w:rsidRPr="00AA6D0A">
        <w:t>.</w:t>
      </w:r>
    </w:p>
  </w:footnote>
  <w:footnote w:id="111">
    <w:p w14:paraId="1444DFA2" w14:textId="77777777" w:rsidR="0070304B" w:rsidRDefault="0070304B" w:rsidP="00E61C26">
      <w:pPr>
        <w:pStyle w:val="FootnoteText"/>
      </w:pPr>
      <w:r>
        <w:rPr>
          <w:rStyle w:val="FootnoteReference"/>
        </w:rPr>
        <w:footnoteRef/>
      </w:r>
      <w:r>
        <w:t xml:space="preserve"> </w:t>
      </w:r>
      <w:r w:rsidRPr="00B86F1C">
        <w:t>The funding commitment was for 2016–17 and across the Budget outyears.</w:t>
      </w:r>
    </w:p>
  </w:footnote>
  <w:footnote w:id="112">
    <w:p w14:paraId="3144154E" w14:textId="77777777" w:rsidR="0070304B" w:rsidRDefault="0070304B" w:rsidP="00E61C26">
      <w:pPr>
        <w:pStyle w:val="FootnoteText"/>
      </w:pPr>
      <w:r>
        <w:rPr>
          <w:rStyle w:val="FootnoteReference"/>
        </w:rPr>
        <w:footnoteRef/>
      </w:r>
      <w:r>
        <w:t xml:space="preserve"> </w:t>
      </w:r>
      <w:r w:rsidRPr="004D3784">
        <w:t>2016–17 Budget Statement—Safer Families initiative</w:t>
      </w:r>
      <w:r>
        <w:t>.</w:t>
      </w:r>
    </w:p>
  </w:footnote>
  <w:footnote w:id="113">
    <w:p w14:paraId="1BF227CE" w14:textId="77777777" w:rsidR="0070304B" w:rsidRDefault="0070304B" w:rsidP="00E61C26">
      <w:pPr>
        <w:pStyle w:val="FootnoteText"/>
      </w:pPr>
      <w:r>
        <w:rPr>
          <w:rStyle w:val="FootnoteReference"/>
        </w:rPr>
        <w:footnoteRef/>
      </w:r>
      <w:r>
        <w:t xml:space="preserve"> 2016–17 Budget Statement—Safer Families initiative. </w:t>
      </w:r>
    </w:p>
  </w:footnote>
  <w:footnote w:id="114">
    <w:p w14:paraId="33EDD4D7" w14:textId="77777777" w:rsidR="0070304B" w:rsidRDefault="0070304B" w:rsidP="00E61C26">
      <w:pPr>
        <w:pStyle w:val="FootnoteText"/>
      </w:pPr>
      <w:r>
        <w:rPr>
          <w:rStyle w:val="FootnoteReference"/>
        </w:rPr>
        <w:footnoteRef/>
      </w:r>
      <w:r>
        <w:t xml:space="preserve"> ACT Standing Committee on Justice and Community Safety. (2017) Inquiry into 2015–16 Annual and Financial reports, </w:t>
      </w:r>
      <w:r w:rsidRPr="00B86F1C">
        <w:rPr>
          <w:i/>
        </w:rPr>
        <w:t>Transcript of evidence</w:t>
      </w:r>
      <w:r>
        <w:t>, 8 March 2017, p. 210.</w:t>
      </w:r>
    </w:p>
  </w:footnote>
  <w:footnote w:id="115">
    <w:p w14:paraId="460B0F20" w14:textId="77777777" w:rsidR="0070304B" w:rsidRDefault="0070304B" w:rsidP="00E61C26">
      <w:pPr>
        <w:pStyle w:val="FootnoteText"/>
      </w:pPr>
      <w:r>
        <w:rPr>
          <w:rStyle w:val="FootnoteReference"/>
        </w:rPr>
        <w:footnoteRef/>
      </w:r>
      <w:r>
        <w:t xml:space="preserve"> </w:t>
      </w:r>
      <w:r w:rsidRPr="00A940C2">
        <w:t xml:space="preserve">ACT Government. (2016) </w:t>
      </w:r>
      <w:r w:rsidRPr="00133869">
        <w:rPr>
          <w:i/>
        </w:rPr>
        <w:t>Response to Family Violence</w:t>
      </w:r>
      <w:r>
        <w:rPr>
          <w:i/>
        </w:rPr>
        <w:t>.</w:t>
      </w:r>
    </w:p>
  </w:footnote>
  <w:footnote w:id="116">
    <w:p w14:paraId="3150225B" w14:textId="77777777" w:rsidR="0070304B" w:rsidRDefault="0070304B" w:rsidP="00E61C26">
      <w:pPr>
        <w:pStyle w:val="FootnoteText"/>
      </w:pPr>
      <w:r>
        <w:rPr>
          <w:rStyle w:val="FootnoteReference"/>
        </w:rPr>
        <w:footnoteRef/>
      </w:r>
      <w:r>
        <w:t xml:space="preserve"> ACT Government, </w:t>
      </w:r>
      <w:r w:rsidRPr="00276B83">
        <w:rPr>
          <w:i/>
        </w:rPr>
        <w:t>Submission 22</w:t>
      </w:r>
      <w:r>
        <w:t>, p. 23</w:t>
      </w:r>
    </w:p>
  </w:footnote>
  <w:footnote w:id="117">
    <w:p w14:paraId="6A42CDD4" w14:textId="77777777" w:rsidR="0070304B" w:rsidRDefault="0070304B" w:rsidP="00E61C26">
      <w:pPr>
        <w:pStyle w:val="FootnoteText"/>
      </w:pPr>
      <w:r>
        <w:rPr>
          <w:rStyle w:val="FootnoteReference"/>
        </w:rPr>
        <w:footnoteRef/>
      </w:r>
      <w:r>
        <w:t xml:space="preserve"> ACT Government, </w:t>
      </w:r>
      <w:r w:rsidRPr="00415E05">
        <w:rPr>
          <w:i/>
        </w:rPr>
        <w:t>Submission 22</w:t>
      </w:r>
      <w:r>
        <w:t>, p. 23</w:t>
      </w:r>
    </w:p>
  </w:footnote>
  <w:footnote w:id="118">
    <w:p w14:paraId="1FDF36E1" w14:textId="77777777" w:rsidR="0070304B" w:rsidRDefault="0070304B" w:rsidP="00E61C26">
      <w:pPr>
        <w:pStyle w:val="FootnoteText"/>
      </w:pPr>
      <w:r>
        <w:rPr>
          <w:rStyle w:val="FootnoteReference"/>
        </w:rPr>
        <w:footnoteRef/>
      </w:r>
      <w:r>
        <w:t xml:space="preserve"> ACT Government, </w:t>
      </w:r>
      <w:r w:rsidRPr="00415E05">
        <w:rPr>
          <w:i/>
        </w:rPr>
        <w:t>Submission 22</w:t>
      </w:r>
      <w:r>
        <w:t>, pp. 23-24.</w:t>
      </w:r>
    </w:p>
  </w:footnote>
  <w:footnote w:id="119">
    <w:p w14:paraId="514908B0" w14:textId="77777777" w:rsidR="0070304B" w:rsidRDefault="0070304B" w:rsidP="00E61C26">
      <w:pPr>
        <w:pStyle w:val="FootnoteText"/>
      </w:pPr>
      <w:r>
        <w:rPr>
          <w:rStyle w:val="FootnoteReference"/>
        </w:rPr>
        <w:footnoteRef/>
      </w:r>
      <w:r>
        <w:t xml:space="preserve"> See: ‘Safer Families Statement, 2017-18 Budget’, ACT Government, , </w:t>
      </w:r>
      <w:hyperlink r:id="rId8" w:history="1">
        <w:r w:rsidRPr="0038799A">
          <w:rPr>
            <w:rStyle w:val="Hyperlink"/>
            <w:rFonts w:eastAsiaTheme="majorEastAsia"/>
          </w:rPr>
          <w:t>https://apps.treasury.act.gov.au/budget/budget-2017-2018/better-support-when-it-matters/safer-families</w:t>
        </w:r>
      </w:hyperlink>
    </w:p>
  </w:footnote>
  <w:footnote w:id="120">
    <w:p w14:paraId="79DF358E" w14:textId="77777777" w:rsidR="0070304B" w:rsidRDefault="0070304B" w:rsidP="00E61C26">
      <w:pPr>
        <w:pStyle w:val="FootnoteText"/>
      </w:pPr>
      <w:r>
        <w:rPr>
          <w:rStyle w:val="FootnoteReference"/>
        </w:rPr>
        <w:footnoteRef/>
      </w:r>
      <w:r>
        <w:t xml:space="preserve"> See: </w:t>
      </w:r>
      <w:r w:rsidRPr="001A3908">
        <w:rPr>
          <w:i/>
        </w:rPr>
        <w:t>Safer Families Sta</w:t>
      </w:r>
      <w:r>
        <w:rPr>
          <w:i/>
        </w:rPr>
        <w:t>t</w:t>
      </w:r>
      <w:r w:rsidRPr="001A3908">
        <w:rPr>
          <w:i/>
        </w:rPr>
        <w:t>ement, June 05 2018</w:t>
      </w:r>
      <w:r>
        <w:t xml:space="preserve">, Yvette Berry MLA, </w:t>
      </w:r>
      <w:hyperlink r:id="rId9" w:history="1">
        <w:r w:rsidRPr="005D7766">
          <w:rPr>
            <w:rStyle w:val="Hyperlink"/>
            <w:rFonts w:eastAsiaTheme="majorEastAsia"/>
          </w:rPr>
          <w:t>https://www.yvetteberry.com.au/news/latest-news/safer-families-statement/</w:t>
        </w:r>
      </w:hyperlink>
    </w:p>
  </w:footnote>
  <w:footnote w:id="121">
    <w:p w14:paraId="03167ED4" w14:textId="77777777" w:rsidR="0070304B" w:rsidRDefault="0070304B" w:rsidP="00E61C26">
      <w:pPr>
        <w:pStyle w:val="FootnoteText"/>
      </w:pPr>
      <w:r>
        <w:rPr>
          <w:rStyle w:val="FootnoteReference"/>
        </w:rPr>
        <w:footnoteRef/>
      </w:r>
      <w:r>
        <w:t xml:space="preserve"> See: </w:t>
      </w:r>
      <w:r w:rsidRPr="001A3908">
        <w:rPr>
          <w:i/>
        </w:rPr>
        <w:t>Safer Families Sta</w:t>
      </w:r>
      <w:r>
        <w:rPr>
          <w:i/>
        </w:rPr>
        <w:t>t</w:t>
      </w:r>
      <w:r w:rsidRPr="001A3908">
        <w:rPr>
          <w:i/>
        </w:rPr>
        <w:t>ement, June 05 2018</w:t>
      </w:r>
      <w:r>
        <w:t xml:space="preserve">, Yvette Berry MLA, </w:t>
      </w:r>
      <w:hyperlink r:id="rId10" w:history="1">
        <w:r w:rsidRPr="005D7766">
          <w:rPr>
            <w:rStyle w:val="Hyperlink"/>
            <w:rFonts w:eastAsiaTheme="majorEastAsia"/>
          </w:rPr>
          <w:t>https://www.yvetteberry.com.au/news/latest-news/safer-families-statement/</w:t>
        </w:r>
      </w:hyperlink>
      <w:r>
        <w:t>, pp 2-3.</w:t>
      </w:r>
    </w:p>
  </w:footnote>
  <w:footnote w:id="122">
    <w:p w14:paraId="110C3068" w14:textId="77777777" w:rsidR="0070304B" w:rsidRDefault="0070304B" w:rsidP="00E61C26">
      <w:pPr>
        <w:pStyle w:val="FootnoteText"/>
      </w:pPr>
      <w:r>
        <w:rPr>
          <w:rStyle w:val="FootnoteReference"/>
        </w:rPr>
        <w:footnoteRef/>
      </w:r>
      <w:r>
        <w:t xml:space="preserve"> See: </w:t>
      </w:r>
      <w:r w:rsidRPr="001A3908">
        <w:rPr>
          <w:i/>
        </w:rPr>
        <w:t>Safer Families Sta</w:t>
      </w:r>
      <w:r>
        <w:rPr>
          <w:i/>
        </w:rPr>
        <w:t>t</w:t>
      </w:r>
      <w:r w:rsidRPr="001A3908">
        <w:rPr>
          <w:i/>
        </w:rPr>
        <w:t>ement, June 05 2018</w:t>
      </w:r>
      <w:r>
        <w:t xml:space="preserve">, Yvette Berry MLA, </w:t>
      </w:r>
      <w:hyperlink r:id="rId11" w:history="1">
        <w:r w:rsidRPr="005D7766">
          <w:rPr>
            <w:rStyle w:val="Hyperlink"/>
            <w:rFonts w:eastAsiaTheme="majorEastAsia"/>
          </w:rPr>
          <w:t>https://www.yvetteberry.com.au/news/latest-news/safer-families-statement/</w:t>
        </w:r>
      </w:hyperlink>
      <w:r>
        <w:t>, p. 5.</w:t>
      </w:r>
    </w:p>
  </w:footnote>
  <w:footnote w:id="123">
    <w:p w14:paraId="1BA9D1C3" w14:textId="77777777" w:rsidR="0070304B" w:rsidRDefault="0070304B" w:rsidP="00E61C26">
      <w:pPr>
        <w:pStyle w:val="FootnoteText"/>
      </w:pPr>
      <w:r>
        <w:rPr>
          <w:rStyle w:val="FootnoteReference"/>
        </w:rPr>
        <w:footnoteRef/>
      </w:r>
      <w:r>
        <w:t xml:space="preserve"> </w:t>
      </w:r>
      <w:r>
        <w:rPr>
          <w:rStyle w:val="FootnoteReference"/>
        </w:rPr>
        <w:footnoteRef/>
      </w:r>
      <w:r>
        <w:t xml:space="preserve"> See: </w:t>
      </w:r>
      <w:r w:rsidRPr="001A3908">
        <w:rPr>
          <w:i/>
        </w:rPr>
        <w:t>Safer Families Sta</w:t>
      </w:r>
      <w:r>
        <w:rPr>
          <w:i/>
        </w:rPr>
        <w:t>t</w:t>
      </w:r>
      <w:r w:rsidRPr="001A3908">
        <w:rPr>
          <w:i/>
        </w:rPr>
        <w:t>ement, June 05 2018</w:t>
      </w:r>
      <w:r>
        <w:t xml:space="preserve">, Yvette Berry MLA, </w:t>
      </w:r>
      <w:hyperlink r:id="rId12" w:history="1">
        <w:r w:rsidRPr="005D7766">
          <w:rPr>
            <w:rStyle w:val="Hyperlink"/>
            <w:rFonts w:eastAsiaTheme="majorEastAsia"/>
          </w:rPr>
          <w:t>https://www.yvetteberry.com.au/news/latest-news/safer-families-statement/</w:t>
        </w:r>
      </w:hyperlink>
      <w:r>
        <w:t>, pp. 5-6.</w:t>
      </w:r>
    </w:p>
  </w:footnote>
  <w:footnote w:id="124">
    <w:p w14:paraId="5CE0F75C" w14:textId="77777777" w:rsidR="0070304B" w:rsidRDefault="0070304B" w:rsidP="00E61C26">
      <w:pPr>
        <w:pStyle w:val="FootnoteText"/>
      </w:pPr>
      <w:r>
        <w:rPr>
          <w:rStyle w:val="FootnoteReference"/>
        </w:rPr>
        <w:footnoteRef/>
      </w:r>
      <w:r>
        <w:t xml:space="preserve"> Ibid., p. 6.</w:t>
      </w:r>
    </w:p>
  </w:footnote>
  <w:footnote w:id="125">
    <w:p w14:paraId="3D7E763D" w14:textId="77777777" w:rsidR="0070304B" w:rsidRDefault="0070304B" w:rsidP="00E61C26">
      <w:pPr>
        <w:pStyle w:val="FootnoteText"/>
      </w:pPr>
      <w:r>
        <w:rPr>
          <w:rStyle w:val="FootnoteReference"/>
        </w:rPr>
        <w:footnoteRef/>
      </w:r>
      <w:r>
        <w:t xml:space="preserve"> See: </w:t>
      </w:r>
      <w:r w:rsidRPr="001A3908">
        <w:rPr>
          <w:i/>
        </w:rPr>
        <w:t>Safer Families Sta</w:t>
      </w:r>
      <w:r>
        <w:rPr>
          <w:i/>
        </w:rPr>
        <w:t>t</w:t>
      </w:r>
      <w:r w:rsidRPr="001A3908">
        <w:rPr>
          <w:i/>
        </w:rPr>
        <w:t>ement, June 05 2018</w:t>
      </w:r>
      <w:r>
        <w:t xml:space="preserve">, Yvette Berry MLA, </w:t>
      </w:r>
      <w:hyperlink r:id="rId13" w:history="1">
        <w:r w:rsidRPr="005D7766">
          <w:rPr>
            <w:rStyle w:val="Hyperlink"/>
            <w:rFonts w:eastAsiaTheme="majorEastAsia"/>
          </w:rPr>
          <w:t>https://www.yvetteberry.com.au/news/latest-news/safer-families-statement/</w:t>
        </w:r>
      </w:hyperlink>
      <w:r>
        <w:t>, pp. 6-7.</w:t>
      </w:r>
    </w:p>
  </w:footnote>
  <w:footnote w:id="126">
    <w:p w14:paraId="378AD8A1" w14:textId="379C4AAE" w:rsidR="0070304B" w:rsidRDefault="0070304B" w:rsidP="00E61C26">
      <w:pPr>
        <w:pStyle w:val="FootnoteText"/>
      </w:pPr>
      <w:r>
        <w:rPr>
          <w:rStyle w:val="FootnoteReference"/>
        </w:rPr>
        <w:footnoteRef/>
      </w:r>
      <w:r>
        <w:t xml:space="preserve"> See ACT Government , </w:t>
      </w:r>
      <w:r w:rsidRPr="00F37F43">
        <w:rPr>
          <w:i/>
        </w:rPr>
        <w:t>Submission 22</w:t>
      </w:r>
      <w:r>
        <w:t>, pp. 24-25</w:t>
      </w:r>
      <w:r w:rsidR="00FC6474">
        <w:t>.</w:t>
      </w:r>
    </w:p>
  </w:footnote>
  <w:footnote w:id="127">
    <w:p w14:paraId="64A5637D" w14:textId="57E9C2F3" w:rsidR="0070304B" w:rsidRDefault="0070304B" w:rsidP="00E61C26">
      <w:pPr>
        <w:pStyle w:val="FootnoteText"/>
      </w:pPr>
      <w:r>
        <w:rPr>
          <w:rStyle w:val="FootnoteReference"/>
        </w:rPr>
        <w:footnoteRef/>
      </w:r>
      <w:r>
        <w:t xml:space="preserve"> ACT Government, </w:t>
      </w:r>
      <w:r w:rsidRPr="00F37F43">
        <w:rPr>
          <w:i/>
        </w:rPr>
        <w:t>Submission 22</w:t>
      </w:r>
      <w:r>
        <w:t>, p. 24</w:t>
      </w:r>
      <w:r w:rsidR="00FC6474">
        <w:t>.</w:t>
      </w:r>
    </w:p>
  </w:footnote>
  <w:footnote w:id="128">
    <w:p w14:paraId="37E6ABCB" w14:textId="16BA74C5" w:rsidR="0070304B" w:rsidRDefault="0070304B" w:rsidP="00E61C26">
      <w:pPr>
        <w:pStyle w:val="FootnoteText"/>
      </w:pPr>
      <w:r>
        <w:rPr>
          <w:rStyle w:val="FootnoteReference"/>
        </w:rPr>
        <w:footnoteRef/>
      </w:r>
      <w:r>
        <w:t xml:space="preserve"> ACT Government, </w:t>
      </w:r>
      <w:r w:rsidRPr="00F37F43">
        <w:rPr>
          <w:i/>
        </w:rPr>
        <w:t>Submission 22</w:t>
      </w:r>
      <w:r>
        <w:t>, p. 24</w:t>
      </w:r>
      <w:r w:rsidR="00FC6474">
        <w:t>.</w:t>
      </w:r>
    </w:p>
  </w:footnote>
  <w:footnote w:id="129">
    <w:p w14:paraId="27596E7A" w14:textId="2DBFEC6C" w:rsidR="0070304B" w:rsidRDefault="0070304B" w:rsidP="00E61C26">
      <w:pPr>
        <w:pStyle w:val="FootnoteText"/>
      </w:pPr>
      <w:r>
        <w:rPr>
          <w:rStyle w:val="FootnoteReference"/>
        </w:rPr>
        <w:footnoteRef/>
      </w:r>
      <w:r>
        <w:t xml:space="preserve"> </w:t>
      </w:r>
      <w:r w:rsidRPr="00A059BD">
        <w:rPr>
          <w:i/>
        </w:rPr>
        <w:t>Transcript of Evidence,</w:t>
      </w:r>
      <w:r>
        <w:t xml:space="preserve"> 3 April 2018, p. 218</w:t>
      </w:r>
      <w:r w:rsidR="00FC6474">
        <w:t>.</w:t>
      </w:r>
    </w:p>
  </w:footnote>
  <w:footnote w:id="130">
    <w:p w14:paraId="2CF00F18" w14:textId="7542E183" w:rsidR="0070304B" w:rsidRDefault="0070304B" w:rsidP="00E61C26">
      <w:pPr>
        <w:pStyle w:val="FootnoteText"/>
      </w:pPr>
      <w:r>
        <w:rPr>
          <w:rStyle w:val="FootnoteReference"/>
        </w:rPr>
        <w:footnoteRef/>
      </w:r>
      <w:r>
        <w:t xml:space="preserve"> </w:t>
      </w:r>
      <w:r w:rsidRPr="00A059BD">
        <w:rPr>
          <w:i/>
        </w:rPr>
        <w:t>Transcript of Evidence,</w:t>
      </w:r>
      <w:r>
        <w:t xml:space="preserve"> 3 April 2018, p. 218</w:t>
      </w:r>
      <w:r w:rsidR="00FC6474">
        <w:t>.</w:t>
      </w:r>
    </w:p>
  </w:footnote>
  <w:footnote w:id="131">
    <w:p w14:paraId="107FDE38" w14:textId="6CE40FC3" w:rsidR="0070304B" w:rsidRDefault="0070304B" w:rsidP="00E61C26">
      <w:pPr>
        <w:pStyle w:val="FootnoteText"/>
      </w:pPr>
      <w:r>
        <w:rPr>
          <w:rStyle w:val="FootnoteReference"/>
        </w:rPr>
        <w:footnoteRef/>
      </w:r>
      <w:r>
        <w:t xml:space="preserve"> </w:t>
      </w:r>
      <w:r w:rsidRPr="00A059BD">
        <w:rPr>
          <w:i/>
        </w:rPr>
        <w:t>Transcript of Evidence</w:t>
      </w:r>
      <w:r>
        <w:t>, 3 April 2018, pp. 218-19</w:t>
      </w:r>
      <w:r w:rsidR="00FC6474">
        <w:t>.</w:t>
      </w:r>
    </w:p>
  </w:footnote>
  <w:footnote w:id="132">
    <w:p w14:paraId="147CBD4C" w14:textId="452C7CCC" w:rsidR="0070304B" w:rsidRDefault="0070304B" w:rsidP="00E61C26">
      <w:pPr>
        <w:pStyle w:val="FootnoteText"/>
      </w:pPr>
      <w:r>
        <w:rPr>
          <w:rStyle w:val="FootnoteReference"/>
        </w:rPr>
        <w:footnoteRef/>
      </w:r>
      <w:r>
        <w:t xml:space="preserve"> </w:t>
      </w:r>
      <w:r w:rsidRPr="00A059BD">
        <w:rPr>
          <w:i/>
        </w:rPr>
        <w:t>Transcript of Evidence</w:t>
      </w:r>
      <w:r>
        <w:t>, 3 April 2018, p. 236.</w:t>
      </w:r>
    </w:p>
  </w:footnote>
  <w:footnote w:id="133">
    <w:p w14:paraId="1076D3DF" w14:textId="5200000D" w:rsidR="0070304B" w:rsidRDefault="0070304B" w:rsidP="00E61C26">
      <w:pPr>
        <w:pStyle w:val="FootnoteText"/>
      </w:pPr>
      <w:r>
        <w:rPr>
          <w:rStyle w:val="FootnoteReference"/>
        </w:rPr>
        <w:footnoteRef/>
      </w:r>
      <w:r>
        <w:t xml:space="preserve"> </w:t>
      </w:r>
      <w:r w:rsidRPr="00ED65AF">
        <w:rPr>
          <w:i/>
        </w:rPr>
        <w:t>Transcript of Evidence</w:t>
      </w:r>
      <w:r>
        <w:t>, 3 April 2018, pp. 236-37</w:t>
      </w:r>
      <w:r w:rsidR="00FC6474">
        <w:t>.</w:t>
      </w:r>
    </w:p>
  </w:footnote>
  <w:footnote w:id="134">
    <w:p w14:paraId="39AABB86" w14:textId="77777777" w:rsidR="0070304B" w:rsidRDefault="0070304B" w:rsidP="00E61C26">
      <w:pPr>
        <w:pStyle w:val="FootnoteText"/>
      </w:pPr>
      <w:r>
        <w:rPr>
          <w:rStyle w:val="FootnoteReference"/>
        </w:rPr>
        <w:footnoteRef/>
      </w:r>
      <w:r>
        <w:t xml:space="preserve"> ACT Government Media Release, </w:t>
      </w:r>
      <w:r>
        <w:rPr>
          <w:i/>
        </w:rPr>
        <w:t>Yvette Berry MLA, Minist</w:t>
      </w:r>
      <w:r w:rsidRPr="003A7ECE">
        <w:rPr>
          <w:i/>
        </w:rPr>
        <w:t>er for Prevention of Domestic and Family Violence</w:t>
      </w:r>
      <w:r>
        <w:t xml:space="preserve">, ‘ Family Safety Hub launched with First Big Challenge, p, 1, </w:t>
      </w:r>
      <w:hyperlink r:id="rId14" w:history="1">
        <w:r w:rsidRPr="00603FB2">
          <w:rPr>
            <w:rStyle w:val="Hyperlink"/>
            <w:rFonts w:eastAsiaTheme="majorEastAsia"/>
          </w:rPr>
          <w:t>https://www.cmtedd.act.gov.au/open_government/inform/act_government_media_releases/yvette-berry-mla-media-releases/2018/family-safety-hub-launched-with-first-big-challenge</w:t>
        </w:r>
      </w:hyperlink>
    </w:p>
  </w:footnote>
  <w:footnote w:id="135">
    <w:p w14:paraId="65E8CF48" w14:textId="77777777" w:rsidR="0070304B" w:rsidRDefault="0070304B" w:rsidP="00E61C26">
      <w:pPr>
        <w:pStyle w:val="FootnoteText"/>
      </w:pPr>
      <w:r>
        <w:rPr>
          <w:rStyle w:val="FootnoteReference"/>
        </w:rPr>
        <w:footnoteRef/>
      </w:r>
      <w:r>
        <w:t xml:space="preserve"> Media Release, ibid., p.1</w:t>
      </w:r>
    </w:p>
  </w:footnote>
  <w:footnote w:id="136">
    <w:p w14:paraId="2F64E190" w14:textId="77777777" w:rsidR="0070304B" w:rsidRDefault="0070304B" w:rsidP="00E61C26">
      <w:pPr>
        <w:pStyle w:val="FootnoteText"/>
      </w:pPr>
      <w:r>
        <w:rPr>
          <w:rStyle w:val="FootnoteReference"/>
        </w:rPr>
        <w:footnoteRef/>
      </w:r>
      <w:r>
        <w:t xml:space="preserve"> ACT Government Media Release, </w:t>
      </w:r>
      <w:r>
        <w:rPr>
          <w:i/>
        </w:rPr>
        <w:t>Yvette Berry MLA, Minist</w:t>
      </w:r>
      <w:r w:rsidRPr="003A7ECE">
        <w:rPr>
          <w:i/>
        </w:rPr>
        <w:t>er for Prevention of Domestic and Family Violence</w:t>
      </w:r>
      <w:r>
        <w:t xml:space="preserve">, ‘ Family Safety Hub launched with First Big Challenge, p, 1, </w:t>
      </w:r>
      <w:hyperlink r:id="rId15" w:history="1">
        <w:r w:rsidRPr="00603FB2">
          <w:rPr>
            <w:rStyle w:val="Hyperlink"/>
            <w:rFonts w:eastAsiaTheme="majorEastAsia"/>
          </w:rPr>
          <w:t>https://www.cmtedd.act.gov.au/open_government/inform/act_government_media_releases/yvette-berry-mla-media-releases/2018/family-safety-hub-launched-with-first-big-challenge</w:t>
        </w:r>
      </w:hyperlink>
    </w:p>
  </w:footnote>
  <w:footnote w:id="137">
    <w:p w14:paraId="4C2E1413" w14:textId="77777777" w:rsidR="0070304B" w:rsidRDefault="0070304B" w:rsidP="00E61C26">
      <w:pPr>
        <w:pStyle w:val="FootnoteText"/>
      </w:pPr>
      <w:r>
        <w:rPr>
          <w:rStyle w:val="FootnoteReference"/>
        </w:rPr>
        <w:footnoteRef/>
      </w:r>
      <w:r>
        <w:t xml:space="preserve"> Media Release, ibid,. p.1.</w:t>
      </w:r>
    </w:p>
  </w:footnote>
  <w:footnote w:id="138">
    <w:p w14:paraId="1EC4F0AD" w14:textId="77777777" w:rsidR="0070304B" w:rsidRDefault="0070304B" w:rsidP="00E61C26">
      <w:pPr>
        <w:pStyle w:val="FootnoteText"/>
      </w:pPr>
      <w:r>
        <w:rPr>
          <w:rStyle w:val="FootnoteReference"/>
        </w:rPr>
        <w:footnoteRef/>
      </w:r>
      <w:r>
        <w:t xml:space="preserve"> ACT Government Media Release, </w:t>
      </w:r>
      <w:r>
        <w:rPr>
          <w:i/>
        </w:rPr>
        <w:t>Yvette Berry MLA, Minist</w:t>
      </w:r>
      <w:r w:rsidRPr="003A7ECE">
        <w:rPr>
          <w:i/>
        </w:rPr>
        <w:t>er for Prevention of Domestic and Family Violence</w:t>
      </w:r>
      <w:r>
        <w:t xml:space="preserve">, ‘ Family Safety Hub launched with First Big Challenge, p, 1, </w:t>
      </w:r>
      <w:hyperlink r:id="rId16" w:history="1">
        <w:r w:rsidRPr="00603FB2">
          <w:rPr>
            <w:rStyle w:val="Hyperlink"/>
            <w:rFonts w:eastAsiaTheme="majorEastAsia"/>
          </w:rPr>
          <w:t>https://www.cmtedd.act.gov.au/open_government/inform/act_government_media_releases/yvette-berry-mla-media-releases/2018/family-safety-hub-launched-with-first-big-challenge</w:t>
        </w:r>
      </w:hyperlink>
    </w:p>
  </w:footnote>
  <w:footnote w:id="139">
    <w:p w14:paraId="0451D32D" w14:textId="77777777" w:rsidR="0070304B" w:rsidRDefault="0070304B" w:rsidP="00E61C26">
      <w:pPr>
        <w:pStyle w:val="FootnoteText"/>
      </w:pPr>
      <w:r>
        <w:rPr>
          <w:rStyle w:val="FootnoteReference"/>
        </w:rPr>
        <w:footnoteRef/>
      </w:r>
      <w:r>
        <w:t xml:space="preserve"> ACT Government Media Release, </w:t>
      </w:r>
      <w:r>
        <w:rPr>
          <w:i/>
        </w:rPr>
        <w:t>Yvette Berry MLA, Minist</w:t>
      </w:r>
      <w:r w:rsidRPr="003A7ECE">
        <w:rPr>
          <w:i/>
        </w:rPr>
        <w:t>er for Prevention of Domestic and Family Violence</w:t>
      </w:r>
      <w:r>
        <w:t xml:space="preserve">, ‘ Family Safety Hub launched with First Big Challenge, p, 1, </w:t>
      </w:r>
      <w:hyperlink r:id="rId17" w:history="1">
        <w:r w:rsidRPr="00603FB2">
          <w:rPr>
            <w:rStyle w:val="Hyperlink"/>
            <w:rFonts w:eastAsiaTheme="majorEastAsia"/>
          </w:rPr>
          <w:t>https://www.cmtedd.act.gov.au/open_government/inform/act_government_media_releases/yvette-berry-mla-media-releases/2018/family-safety-hub-launched-with-first-big-challenge</w:t>
        </w:r>
      </w:hyperlink>
    </w:p>
  </w:footnote>
  <w:footnote w:id="140">
    <w:p w14:paraId="521F0CE9" w14:textId="77777777" w:rsidR="0070304B" w:rsidRDefault="0070304B" w:rsidP="00E61C26">
      <w:pPr>
        <w:pStyle w:val="FootnoteText"/>
      </w:pPr>
      <w:r>
        <w:rPr>
          <w:rStyle w:val="FootnoteReference"/>
        </w:rPr>
        <w:footnoteRef/>
      </w:r>
      <w:r>
        <w:t xml:space="preserve"> Select Committee on Estimates 2018-19 (CSD), </w:t>
      </w:r>
      <w:r w:rsidRPr="00336662">
        <w:rPr>
          <w:i/>
        </w:rPr>
        <w:t>Transcript of Evidence</w:t>
      </w:r>
      <w:r>
        <w:t>, 27 June 2018, p. 897.</w:t>
      </w:r>
    </w:p>
  </w:footnote>
  <w:footnote w:id="141">
    <w:p w14:paraId="0C3F1CE4" w14:textId="77777777" w:rsidR="0070304B" w:rsidRDefault="0070304B" w:rsidP="00E61C26">
      <w:pPr>
        <w:pStyle w:val="FootnoteText"/>
      </w:pPr>
      <w:r>
        <w:rPr>
          <w:rStyle w:val="FootnoteReference"/>
        </w:rPr>
        <w:footnoteRef/>
      </w:r>
      <w:r>
        <w:t xml:space="preserve"> Select Committee on Estimates 2018-19 (CSD), </w:t>
      </w:r>
      <w:r w:rsidRPr="00336662">
        <w:rPr>
          <w:i/>
        </w:rPr>
        <w:t>Transcript of Evidence</w:t>
      </w:r>
      <w:r>
        <w:t>, 27 June 2018, p. 897.</w:t>
      </w:r>
    </w:p>
  </w:footnote>
  <w:footnote w:id="142">
    <w:p w14:paraId="6C440CED" w14:textId="77777777" w:rsidR="0070304B" w:rsidRDefault="0070304B" w:rsidP="00E61C26">
      <w:pPr>
        <w:pStyle w:val="FootnoteText"/>
      </w:pPr>
      <w:r>
        <w:rPr>
          <w:rStyle w:val="FootnoteReference"/>
        </w:rPr>
        <w:footnoteRef/>
      </w:r>
      <w:r>
        <w:t xml:space="preserve"> Select Committee on Estimates 2018-19 (CSD), </w:t>
      </w:r>
      <w:r w:rsidRPr="00336662">
        <w:rPr>
          <w:i/>
        </w:rPr>
        <w:t>Transcript of Evidence</w:t>
      </w:r>
      <w:r>
        <w:t>, 27 June 2018, p. 897.</w:t>
      </w:r>
    </w:p>
  </w:footnote>
  <w:footnote w:id="143">
    <w:p w14:paraId="09B0BF7C" w14:textId="77777777" w:rsidR="0070304B" w:rsidRDefault="0070304B" w:rsidP="00E61C26">
      <w:pPr>
        <w:pStyle w:val="FootnoteText"/>
      </w:pPr>
      <w:r>
        <w:rPr>
          <w:rStyle w:val="FootnoteReference"/>
        </w:rPr>
        <w:footnoteRef/>
      </w:r>
      <w:r>
        <w:t xml:space="preserve"> Select Committee on Estimates 2018-19 (CSD), </w:t>
      </w:r>
      <w:r w:rsidRPr="00336662">
        <w:rPr>
          <w:i/>
        </w:rPr>
        <w:t>Transcript of Evidence</w:t>
      </w:r>
      <w:r>
        <w:t>, 27 June 2018, p. 897.</w:t>
      </w:r>
    </w:p>
  </w:footnote>
  <w:footnote w:id="144">
    <w:p w14:paraId="5CAEB45D" w14:textId="77777777" w:rsidR="0070304B" w:rsidRDefault="0070304B" w:rsidP="00E61C26">
      <w:pPr>
        <w:pStyle w:val="FootnoteText"/>
      </w:pPr>
      <w:r>
        <w:rPr>
          <w:rStyle w:val="FootnoteReference"/>
        </w:rPr>
        <w:footnoteRef/>
      </w:r>
      <w:r>
        <w:t xml:space="preserve"> Select Committee on Estimates 2018-19 (CSD), </w:t>
      </w:r>
      <w:r w:rsidRPr="00336662">
        <w:rPr>
          <w:i/>
        </w:rPr>
        <w:t>Transcript of Evidence</w:t>
      </w:r>
      <w:r>
        <w:t>, 27 June 2018, p. 898.</w:t>
      </w:r>
    </w:p>
  </w:footnote>
  <w:footnote w:id="145">
    <w:p w14:paraId="354A3618" w14:textId="77777777" w:rsidR="0070304B" w:rsidRDefault="0070304B" w:rsidP="00E61C26">
      <w:pPr>
        <w:pStyle w:val="FootnoteText"/>
      </w:pPr>
      <w:r>
        <w:rPr>
          <w:rStyle w:val="FootnoteReference"/>
        </w:rPr>
        <w:footnoteRef/>
      </w:r>
      <w:r>
        <w:t xml:space="preserve"> Select Committee on Estimates 2018-19 (CSD), </w:t>
      </w:r>
      <w:r w:rsidRPr="00336662">
        <w:rPr>
          <w:i/>
        </w:rPr>
        <w:t>Transcript of Evidence</w:t>
      </w:r>
      <w:r>
        <w:t>, 27 June 2018, p. 899.</w:t>
      </w:r>
    </w:p>
  </w:footnote>
  <w:footnote w:id="146">
    <w:p w14:paraId="7B09F62E" w14:textId="77777777" w:rsidR="0070304B" w:rsidRDefault="0070304B" w:rsidP="00E61C26">
      <w:pPr>
        <w:pStyle w:val="FootnoteText"/>
      </w:pPr>
      <w:r>
        <w:rPr>
          <w:rStyle w:val="FootnoteReference"/>
        </w:rPr>
        <w:footnoteRef/>
      </w:r>
      <w:r>
        <w:t xml:space="preserve"> Select Committee on Estimates 2018-19 (CSD), </w:t>
      </w:r>
      <w:r w:rsidRPr="00336662">
        <w:rPr>
          <w:i/>
        </w:rPr>
        <w:t>Transcript of Evidence</w:t>
      </w:r>
      <w:r>
        <w:t>, 27 June 2018, pp. 899-900.</w:t>
      </w:r>
    </w:p>
  </w:footnote>
  <w:footnote w:id="147">
    <w:p w14:paraId="48363D25" w14:textId="77777777" w:rsidR="0070304B" w:rsidRDefault="0070304B" w:rsidP="00E61C26">
      <w:pPr>
        <w:pStyle w:val="FootnoteText"/>
      </w:pPr>
      <w:r>
        <w:rPr>
          <w:rStyle w:val="FootnoteReference"/>
        </w:rPr>
        <w:footnoteRef/>
      </w:r>
      <w:r>
        <w:t xml:space="preserve"> Select Committee on Estimates 2018-19 (CSD), </w:t>
      </w:r>
      <w:r w:rsidRPr="00336662">
        <w:rPr>
          <w:i/>
        </w:rPr>
        <w:t>Transcript of Evidence</w:t>
      </w:r>
      <w:r>
        <w:t>, 27 June 2018, p. 905.</w:t>
      </w:r>
    </w:p>
  </w:footnote>
  <w:footnote w:id="148">
    <w:p w14:paraId="63D486C9" w14:textId="7502C45B" w:rsidR="0070304B" w:rsidRDefault="0070304B" w:rsidP="00E61C26">
      <w:pPr>
        <w:pStyle w:val="FootnoteText"/>
      </w:pPr>
      <w:r>
        <w:rPr>
          <w:rStyle w:val="FootnoteReference"/>
        </w:rPr>
        <w:footnoteRef/>
      </w:r>
      <w:r>
        <w:t xml:space="preserve"> Standing Committee on HACS, Annual Reports and Financial Statements for 2017-18, </w:t>
      </w:r>
      <w:r w:rsidRPr="008C5980">
        <w:rPr>
          <w:i/>
        </w:rPr>
        <w:t>Transcript of Evidemce</w:t>
      </w:r>
      <w:r>
        <w:t>, 8 November 2018, pp. 22-23.</w:t>
      </w:r>
    </w:p>
  </w:footnote>
  <w:footnote w:id="149">
    <w:p w14:paraId="6B43BEC2" w14:textId="639FC2FB" w:rsidR="0070304B" w:rsidRDefault="0070304B" w:rsidP="00E61C26">
      <w:pPr>
        <w:pStyle w:val="FootnoteText"/>
      </w:pPr>
      <w:r>
        <w:rPr>
          <w:rStyle w:val="FootnoteReference"/>
        </w:rPr>
        <w:footnoteRef/>
      </w:r>
      <w:r>
        <w:t xml:space="preserve"> Ibid., p. 23</w:t>
      </w:r>
      <w:r w:rsidR="00FC6474">
        <w:t>.</w:t>
      </w:r>
    </w:p>
  </w:footnote>
  <w:footnote w:id="150">
    <w:p w14:paraId="20FA0E57" w14:textId="7B577DC7" w:rsidR="0070304B" w:rsidRDefault="0070304B" w:rsidP="00E61C26">
      <w:pPr>
        <w:pStyle w:val="FootnoteText"/>
      </w:pPr>
      <w:r>
        <w:rPr>
          <w:rStyle w:val="FootnoteReference"/>
        </w:rPr>
        <w:footnoteRef/>
      </w:r>
      <w:r>
        <w:t xml:space="preserve"> Standing Committee on HACS, Annual Reports and Financial Statements for 2017-18, </w:t>
      </w:r>
      <w:r w:rsidRPr="008C5980">
        <w:rPr>
          <w:i/>
        </w:rPr>
        <w:t>Transcript of Evidence</w:t>
      </w:r>
      <w:r>
        <w:t>, 8 November 2018, pp. 23-24</w:t>
      </w:r>
      <w:r w:rsidR="00FC6474">
        <w:t>.</w:t>
      </w:r>
    </w:p>
  </w:footnote>
  <w:footnote w:id="151">
    <w:p w14:paraId="3404EECE" w14:textId="73F51576" w:rsidR="0070304B" w:rsidRDefault="0070304B" w:rsidP="00E61C26">
      <w:pPr>
        <w:pStyle w:val="FootnoteText"/>
      </w:pPr>
      <w:r>
        <w:rPr>
          <w:rStyle w:val="FootnoteReference"/>
        </w:rPr>
        <w:footnoteRef/>
      </w:r>
      <w:r>
        <w:t xml:space="preserve"> Standing Committee on HACS, Annual Reports and Financial Statements for 2017-18, </w:t>
      </w:r>
      <w:r w:rsidRPr="008C5980">
        <w:rPr>
          <w:i/>
        </w:rPr>
        <w:t>Transcript of Evidence</w:t>
      </w:r>
      <w:r>
        <w:t>, 8 November 2018, p-24</w:t>
      </w:r>
      <w:r w:rsidR="00FC6474">
        <w:t>.</w:t>
      </w:r>
    </w:p>
  </w:footnote>
  <w:footnote w:id="152">
    <w:p w14:paraId="3C4A2E73" w14:textId="77777777" w:rsidR="0070304B" w:rsidRDefault="0070304B" w:rsidP="00E61C26">
      <w:pPr>
        <w:pStyle w:val="FootnoteText"/>
      </w:pPr>
      <w:r>
        <w:rPr>
          <w:rStyle w:val="FootnoteReference"/>
        </w:rPr>
        <w:footnoteRef/>
      </w:r>
      <w:r>
        <w:t xml:space="preserve"> See; ACT Human Rights Commission, </w:t>
      </w:r>
      <w:r w:rsidRPr="00031C96">
        <w:rPr>
          <w:i/>
        </w:rPr>
        <w:t>Submission 27</w:t>
      </w:r>
      <w:r>
        <w:rPr>
          <w:i/>
        </w:rPr>
        <w:t xml:space="preserve">, </w:t>
      </w:r>
      <w:r>
        <w:t xml:space="preserve">p. 4; Domestic Violence Crisis Service, </w:t>
      </w:r>
      <w:r w:rsidRPr="00031C96">
        <w:rPr>
          <w:i/>
        </w:rPr>
        <w:t>submission 11</w:t>
      </w:r>
      <w:r>
        <w:t xml:space="preserve">, p.5; Domestic Violence, Prevention Council, </w:t>
      </w:r>
      <w:r w:rsidRPr="00031C96">
        <w:rPr>
          <w:i/>
        </w:rPr>
        <w:t>submission 16</w:t>
      </w:r>
      <w:r>
        <w:t>, p. 8.</w:t>
      </w:r>
    </w:p>
  </w:footnote>
  <w:footnote w:id="153">
    <w:p w14:paraId="04E4D4E9" w14:textId="77777777" w:rsidR="0070304B" w:rsidRDefault="0070304B" w:rsidP="00E61C26">
      <w:pPr>
        <w:pStyle w:val="FootnoteText"/>
      </w:pPr>
      <w:r>
        <w:rPr>
          <w:rStyle w:val="FootnoteReference"/>
        </w:rPr>
        <w:footnoteRef/>
      </w:r>
      <w:r>
        <w:t xml:space="preserve"> ACT Government, </w:t>
      </w:r>
      <w:r w:rsidRPr="00C01FED">
        <w:rPr>
          <w:i/>
        </w:rPr>
        <w:t>Submission 22</w:t>
      </w:r>
      <w:r>
        <w:t>, p.27.</w:t>
      </w:r>
    </w:p>
  </w:footnote>
  <w:footnote w:id="154">
    <w:p w14:paraId="59C8AE08" w14:textId="77777777" w:rsidR="0070304B" w:rsidRDefault="0070304B" w:rsidP="00E61C26">
      <w:pPr>
        <w:pStyle w:val="FootnoteText"/>
      </w:pPr>
      <w:r>
        <w:rPr>
          <w:rStyle w:val="FootnoteReference"/>
        </w:rPr>
        <w:footnoteRef/>
      </w:r>
      <w:r>
        <w:t xml:space="preserve"> ACT Government, </w:t>
      </w:r>
      <w:r w:rsidRPr="004A02FB">
        <w:rPr>
          <w:i/>
        </w:rPr>
        <w:t>Submission 22</w:t>
      </w:r>
      <w:r>
        <w:t>, pp. 28-29.</w:t>
      </w:r>
    </w:p>
  </w:footnote>
  <w:footnote w:id="155">
    <w:p w14:paraId="02C95C60" w14:textId="77777777" w:rsidR="0070304B" w:rsidRDefault="0070304B" w:rsidP="00E61C26">
      <w:pPr>
        <w:pStyle w:val="FootnoteText"/>
      </w:pPr>
      <w:r>
        <w:rPr>
          <w:rStyle w:val="FootnoteReference"/>
        </w:rPr>
        <w:footnoteRef/>
      </w:r>
      <w:r>
        <w:t xml:space="preserve"> ACT Government, </w:t>
      </w:r>
      <w:r w:rsidRPr="004A02FB">
        <w:rPr>
          <w:i/>
        </w:rPr>
        <w:t>Submission 22</w:t>
      </w:r>
      <w:r>
        <w:t>, p.-29.</w:t>
      </w:r>
    </w:p>
  </w:footnote>
  <w:footnote w:id="156">
    <w:p w14:paraId="01E97ED5" w14:textId="599F5516" w:rsidR="0070304B" w:rsidRDefault="0070304B" w:rsidP="00E61C26">
      <w:pPr>
        <w:pStyle w:val="FootnoteText"/>
      </w:pPr>
      <w:r>
        <w:rPr>
          <w:rStyle w:val="FootnoteReference"/>
        </w:rPr>
        <w:footnoteRef/>
      </w:r>
      <w:r>
        <w:t xml:space="preserve"> ACT Government, Submission 22, p. 29.</w:t>
      </w:r>
    </w:p>
  </w:footnote>
  <w:footnote w:id="157">
    <w:p w14:paraId="75B36E72" w14:textId="77777777" w:rsidR="0070304B" w:rsidRDefault="0070304B" w:rsidP="00E61C26">
      <w:pPr>
        <w:pStyle w:val="FootnoteText"/>
      </w:pPr>
      <w:r>
        <w:rPr>
          <w:rStyle w:val="FootnoteReference"/>
        </w:rPr>
        <w:footnoteRef/>
      </w:r>
      <w:r>
        <w:t xml:space="preserve"> Select Committee on Estimates, Budget 2018-19, </w:t>
      </w:r>
      <w:r w:rsidRPr="004A02FB">
        <w:rPr>
          <w:i/>
        </w:rPr>
        <w:t>Transcript of Evidence</w:t>
      </w:r>
      <w:r>
        <w:t>, 27 June 2018, p. 899.</w:t>
      </w:r>
    </w:p>
  </w:footnote>
  <w:footnote w:id="158">
    <w:p w14:paraId="7FA0FDAC" w14:textId="77777777" w:rsidR="0070304B" w:rsidRPr="006001DA" w:rsidRDefault="0070304B" w:rsidP="00E61C26">
      <w:pPr>
        <w:pStyle w:val="FootnoteText"/>
      </w:pPr>
      <w:r>
        <w:rPr>
          <w:rStyle w:val="FootnoteReference"/>
        </w:rPr>
        <w:footnoteRef/>
      </w:r>
      <w:r>
        <w:t xml:space="preserve"> Our Watch, </w:t>
      </w:r>
      <w:r>
        <w:rPr>
          <w:i/>
        </w:rPr>
        <w:t>Submission 23</w:t>
      </w:r>
      <w:r>
        <w:t>, p. 5.</w:t>
      </w:r>
    </w:p>
  </w:footnote>
  <w:footnote w:id="159">
    <w:p w14:paraId="5E30A831" w14:textId="77777777" w:rsidR="0070304B" w:rsidRPr="0088176B" w:rsidRDefault="0070304B" w:rsidP="00E61C26">
      <w:pPr>
        <w:pStyle w:val="FootnoteText"/>
      </w:pPr>
      <w:r>
        <w:rPr>
          <w:rStyle w:val="FootnoteReference"/>
        </w:rPr>
        <w:footnoteRef/>
      </w:r>
      <w:r>
        <w:t xml:space="preserve"> White Ribbon Australia, </w:t>
      </w:r>
      <w:r>
        <w:rPr>
          <w:i/>
        </w:rPr>
        <w:t>Submission 30</w:t>
      </w:r>
      <w:r>
        <w:t>, p. 2;</w:t>
      </w:r>
      <w:r>
        <w:rPr>
          <w:i/>
        </w:rPr>
        <w:t xml:space="preserve"> </w:t>
      </w:r>
      <w:r>
        <w:t xml:space="preserve">ACTCOSS, </w:t>
      </w:r>
      <w:r>
        <w:rPr>
          <w:i/>
        </w:rPr>
        <w:t>Submission 21</w:t>
      </w:r>
      <w:r>
        <w:t>, p. 6.</w:t>
      </w:r>
    </w:p>
  </w:footnote>
  <w:footnote w:id="160">
    <w:p w14:paraId="0BB1519F" w14:textId="77777777" w:rsidR="0070304B" w:rsidRPr="002B2C87" w:rsidRDefault="0070304B" w:rsidP="00E61C26">
      <w:pPr>
        <w:pStyle w:val="FootnoteText"/>
      </w:pPr>
      <w:r>
        <w:rPr>
          <w:rStyle w:val="FootnoteReference"/>
        </w:rPr>
        <w:footnoteRef/>
      </w:r>
      <w:r>
        <w:t xml:space="preserve"> Toora Women Inc., </w:t>
      </w:r>
      <w:r>
        <w:rPr>
          <w:i/>
        </w:rPr>
        <w:t>Submission 5</w:t>
      </w:r>
      <w:r>
        <w:t>, p. [3].</w:t>
      </w:r>
    </w:p>
  </w:footnote>
  <w:footnote w:id="161">
    <w:p w14:paraId="2C94F0DE" w14:textId="77777777" w:rsidR="0070304B" w:rsidRPr="003166B3" w:rsidRDefault="0070304B" w:rsidP="00E61C26">
      <w:pPr>
        <w:pStyle w:val="FootnoteText"/>
      </w:pPr>
      <w:r>
        <w:rPr>
          <w:rStyle w:val="FootnoteReference"/>
        </w:rPr>
        <w:footnoteRef/>
      </w:r>
      <w:r>
        <w:t xml:space="preserve"> ACT Policing, </w:t>
      </w:r>
      <w:r>
        <w:rPr>
          <w:i/>
        </w:rPr>
        <w:t>Submission 32</w:t>
      </w:r>
      <w:r>
        <w:t>, pp. 15-16.</w:t>
      </w:r>
    </w:p>
  </w:footnote>
  <w:footnote w:id="162">
    <w:p w14:paraId="68E93FA6" w14:textId="77777777" w:rsidR="0070304B" w:rsidRDefault="0070304B" w:rsidP="00E61C26">
      <w:pPr>
        <w:pStyle w:val="FootnoteText"/>
      </w:pPr>
      <w:r>
        <w:rPr>
          <w:rStyle w:val="FootnoteReference"/>
        </w:rPr>
        <w:footnoteRef/>
      </w:r>
      <w:r>
        <w:t xml:space="preserve"> ACT Policing,</w:t>
      </w:r>
      <w:r w:rsidRPr="0013520C">
        <w:rPr>
          <w:i/>
        </w:rPr>
        <w:t xml:space="preserve"> </w:t>
      </w:r>
      <w:r>
        <w:rPr>
          <w:i/>
        </w:rPr>
        <w:t>Submission 32</w:t>
      </w:r>
      <w:r>
        <w:t>, p. 14.</w:t>
      </w:r>
    </w:p>
  </w:footnote>
  <w:footnote w:id="163">
    <w:p w14:paraId="573BBCB0" w14:textId="77777777" w:rsidR="0070304B" w:rsidRDefault="0070304B" w:rsidP="00E61C26">
      <w:pPr>
        <w:pStyle w:val="FootnoteText"/>
      </w:pPr>
      <w:r>
        <w:rPr>
          <w:rStyle w:val="FootnoteReference"/>
        </w:rPr>
        <w:footnoteRef/>
      </w:r>
      <w:r>
        <w:t xml:space="preserve"> ACT Policing,</w:t>
      </w:r>
      <w:r w:rsidRPr="0013520C">
        <w:rPr>
          <w:i/>
        </w:rPr>
        <w:t xml:space="preserve"> </w:t>
      </w:r>
      <w:r>
        <w:rPr>
          <w:i/>
        </w:rPr>
        <w:t>Submission 32</w:t>
      </w:r>
      <w:r>
        <w:t>, p. 14.</w:t>
      </w:r>
    </w:p>
  </w:footnote>
  <w:footnote w:id="164">
    <w:p w14:paraId="29C28FAB" w14:textId="77777777" w:rsidR="0070304B" w:rsidRDefault="0070304B" w:rsidP="00E61C26">
      <w:pPr>
        <w:pStyle w:val="FootnoteText"/>
      </w:pPr>
      <w:r>
        <w:rPr>
          <w:rStyle w:val="FootnoteReference"/>
        </w:rPr>
        <w:footnoteRef/>
      </w:r>
      <w:r>
        <w:t xml:space="preserve"> ACT Policing,</w:t>
      </w:r>
      <w:r w:rsidRPr="0013520C">
        <w:rPr>
          <w:i/>
        </w:rPr>
        <w:t xml:space="preserve"> </w:t>
      </w:r>
      <w:r>
        <w:rPr>
          <w:i/>
        </w:rPr>
        <w:t>Submission 32</w:t>
      </w:r>
      <w:r>
        <w:t>, p. 15.</w:t>
      </w:r>
    </w:p>
  </w:footnote>
  <w:footnote w:id="165">
    <w:p w14:paraId="280E63E5" w14:textId="77777777" w:rsidR="0070304B" w:rsidRPr="00820ED4" w:rsidRDefault="0070304B" w:rsidP="00E61C26">
      <w:pPr>
        <w:pStyle w:val="FootnoteText"/>
      </w:pPr>
      <w:r>
        <w:rPr>
          <w:rStyle w:val="FootnoteReference"/>
        </w:rPr>
        <w:footnoteRef/>
      </w:r>
      <w:r>
        <w:t xml:space="preserve"> ACT Human Rights Commission, </w:t>
      </w:r>
      <w:r>
        <w:rPr>
          <w:i/>
        </w:rPr>
        <w:t>Submission 27</w:t>
      </w:r>
      <w:r>
        <w:t xml:space="preserve">, p. 7. </w:t>
      </w:r>
    </w:p>
  </w:footnote>
  <w:footnote w:id="166">
    <w:p w14:paraId="4B1B1AB0" w14:textId="77777777" w:rsidR="0070304B" w:rsidRPr="008E120E" w:rsidRDefault="0070304B" w:rsidP="00E61C26">
      <w:pPr>
        <w:pStyle w:val="FootnoteText"/>
      </w:pPr>
      <w:r>
        <w:rPr>
          <w:rStyle w:val="FootnoteReference"/>
        </w:rPr>
        <w:footnoteRef/>
      </w:r>
      <w:r>
        <w:t xml:space="preserve"> ACT Human Rights Commission, </w:t>
      </w:r>
      <w:r>
        <w:rPr>
          <w:i/>
        </w:rPr>
        <w:t>Submission 27</w:t>
      </w:r>
      <w:r>
        <w:t>, p. 8.</w:t>
      </w:r>
    </w:p>
  </w:footnote>
  <w:footnote w:id="167">
    <w:p w14:paraId="69DBAB40" w14:textId="77777777" w:rsidR="0070304B" w:rsidRPr="002B3C1D" w:rsidRDefault="0070304B" w:rsidP="00E61C26">
      <w:pPr>
        <w:pStyle w:val="FootnoteText"/>
      </w:pPr>
      <w:r>
        <w:rPr>
          <w:rStyle w:val="FootnoteReference"/>
        </w:rPr>
        <w:footnoteRef/>
      </w:r>
      <w:r>
        <w:t xml:space="preserve"> Foundation for Alcohol Research and Education, </w:t>
      </w:r>
      <w:r>
        <w:rPr>
          <w:i/>
        </w:rPr>
        <w:t>Submission 20</w:t>
      </w:r>
      <w:r>
        <w:t>, p. 16.</w:t>
      </w:r>
    </w:p>
  </w:footnote>
  <w:footnote w:id="168">
    <w:p w14:paraId="2B45A3DF" w14:textId="77777777" w:rsidR="0070304B" w:rsidRDefault="0070304B" w:rsidP="00E61C26">
      <w:pPr>
        <w:pStyle w:val="FootnoteText"/>
      </w:pPr>
      <w:r>
        <w:rPr>
          <w:rStyle w:val="FootnoteReference"/>
        </w:rPr>
        <w:footnoteRef/>
      </w:r>
      <w:r>
        <w:t xml:space="preserve"> Foundation for Alcohol Research and Education, </w:t>
      </w:r>
      <w:r>
        <w:rPr>
          <w:i/>
        </w:rPr>
        <w:t>Submission 20</w:t>
      </w:r>
      <w:r>
        <w:t>, p. 17.</w:t>
      </w:r>
    </w:p>
  </w:footnote>
  <w:footnote w:id="169">
    <w:p w14:paraId="29AC71E3" w14:textId="77777777" w:rsidR="0070304B" w:rsidRPr="00586433" w:rsidRDefault="0070304B" w:rsidP="00E61C26">
      <w:pPr>
        <w:pStyle w:val="FootnoteText"/>
      </w:pPr>
      <w:r>
        <w:rPr>
          <w:rStyle w:val="FootnoteReference"/>
        </w:rPr>
        <w:footnoteRef/>
      </w:r>
      <w:r>
        <w:t xml:space="preserve"> Domestic Violence Crisis Service, </w:t>
      </w:r>
      <w:r>
        <w:rPr>
          <w:i/>
        </w:rPr>
        <w:t>Submission 11</w:t>
      </w:r>
      <w:r>
        <w:t>, p. [3].</w:t>
      </w:r>
    </w:p>
  </w:footnote>
  <w:footnote w:id="170">
    <w:p w14:paraId="5799DD11" w14:textId="77777777" w:rsidR="0070304B" w:rsidRDefault="0070304B" w:rsidP="00E61C26">
      <w:pPr>
        <w:pStyle w:val="FootnoteText"/>
      </w:pPr>
      <w:r>
        <w:rPr>
          <w:rStyle w:val="FootnoteReference"/>
        </w:rPr>
        <w:footnoteRef/>
      </w:r>
      <w:r>
        <w:t xml:space="preserve"> Domestic Violence Crisis Service, </w:t>
      </w:r>
      <w:r>
        <w:rPr>
          <w:i/>
        </w:rPr>
        <w:t>Submission 11</w:t>
      </w:r>
      <w:r>
        <w:t>, p.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B416E" w14:textId="02B689A3" w:rsidR="0070304B" w:rsidRDefault="0070304B" w:rsidP="005722A6">
    <w:pPr>
      <w:pStyle w:val="Header"/>
      <w:ind w:right="357" w:firstLine="6"/>
    </w:pPr>
    <w:r>
      <w:rPr>
        <w:noProof/>
        <w:lang w:eastAsia="en-AU"/>
      </w:rPr>
      <mc:AlternateContent>
        <mc:Choice Requires="wps">
          <w:drawing>
            <wp:anchor distT="0" distB="0" distL="114300" distR="114300" simplePos="0" relativeHeight="251661312" behindDoc="1" locked="0" layoutInCell="0" allowOverlap="1" wp14:anchorId="4BDF9A8F" wp14:editId="5C394626">
              <wp:simplePos x="0" y="0"/>
              <wp:positionH relativeFrom="margin">
                <wp:align>center</wp:align>
              </wp:positionH>
              <wp:positionV relativeFrom="margin">
                <wp:align>center</wp:align>
              </wp:positionV>
              <wp:extent cx="6903085" cy="1217930"/>
              <wp:effectExtent l="0" t="2085975" r="0" b="191579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3085" cy="1217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564BE3" w14:textId="77777777" w:rsidR="0070304B" w:rsidRDefault="0070304B" w:rsidP="005722A6">
                          <w:pPr>
                            <w:pStyle w:val="NormalWeb"/>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Chair's Draft - Feb 019</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F9A8F" id="_x0000_t202" coordsize="21600,21600" o:spt="202" path="m,l,21600r21600,l21600,xe">
              <v:stroke joinstyle="miter"/>
              <v:path gradientshapeok="t" o:connecttype="rect"/>
            </v:shapetype>
            <v:shape id="Text Box 81" o:spid="_x0000_s1049" type="#_x0000_t202" style="position:absolute;left:0;text-align:left;margin-left:0;margin-top:0;width:543.55pt;height:95.9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" o:allowincell="f" filled="f" stroked="f">
              <v:stroke joinstyle="round"/>
              <o:lock v:ext="edit" shapetype="t"/>
              <v:textbox style="mso-fit-shape-to-text:t">
                <w:txbxContent>
                  <w:p w14:paraId="7D564BE3" w14:textId="77777777" w:rsidR="0070304B" w:rsidRDefault="0070304B" w:rsidP="005722A6">
                    <w:pPr>
                      <w:pStyle w:val="NormalWeb"/>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Chair's Draft - Feb 019</w:t>
                    </w:r>
                  </w:p>
                </w:txbxContent>
              </v:textbox>
              <w10:wrap anchorx="margin" anchory="margin"/>
            </v:shape>
          </w:pict>
        </mc:Fallback>
      </mc:AlternateContent>
    </w:r>
  </w:p>
  <w:p w14:paraId="7169F68B" w14:textId="77777777" w:rsidR="0070304B" w:rsidRDefault="0070304B"/>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3A9C6" w14:textId="271DDEFE" w:rsidR="0070304B" w:rsidRDefault="0070304B">
    <w:pPr>
      <w:pStyle w:val="Header"/>
    </w:pPr>
    <w:r>
      <w:rPr>
        <w:noProof/>
        <w:lang w:eastAsia="en-AU"/>
      </w:rPr>
      <mc:AlternateContent>
        <mc:Choice Requires="wps">
          <w:drawing>
            <wp:anchor distT="0" distB="0" distL="114300" distR="114300" simplePos="0" relativeHeight="251668480" behindDoc="1" locked="0" layoutInCell="0" allowOverlap="1" wp14:anchorId="6BA55B30" wp14:editId="41A8364D">
              <wp:simplePos x="0" y="0"/>
              <wp:positionH relativeFrom="margin">
                <wp:align>center</wp:align>
              </wp:positionH>
              <wp:positionV relativeFrom="margin">
                <wp:align>center</wp:align>
              </wp:positionV>
              <wp:extent cx="6903085" cy="1217930"/>
              <wp:effectExtent l="0" t="2085975" r="0" b="1915795"/>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3085" cy="1217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67AD07" w14:textId="77777777" w:rsidR="0070304B" w:rsidRDefault="0070304B" w:rsidP="005722A6">
                          <w:pPr>
                            <w:pStyle w:val="NormalWeb"/>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Chair's Draft - Feb 019</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BA55B30" id="_x0000_t202" coordsize="21600,21600" o:spt="202" path="m,l,21600r21600,l21600,xe">
              <v:stroke joinstyle="miter"/>
              <v:path gradientshapeok="t" o:connecttype="rect"/>
            </v:shapetype>
            <v:shape id="Text Box 71" o:spid="_x0000_s1056" type="#_x0000_t202" style="position:absolute;margin-left:0;margin-top:0;width:543.55pt;height:95.9pt;rotation:-45;z-index:-2516480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" o:allowincell="f" filled="f" stroked="f">
              <v:stroke joinstyle="round"/>
              <o:lock v:ext="edit" shapetype="t"/>
              <v:textbox style="mso-fit-shape-to-text:t">
                <w:txbxContent>
                  <w:p w14:paraId="0C67AD07" w14:textId="77777777" w:rsidR="0070304B" w:rsidRDefault="0070304B" w:rsidP="005722A6">
                    <w:pPr>
                      <w:pStyle w:val="NormalWeb"/>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Chair's Draft - Feb 019</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59264" behindDoc="1" locked="0" layoutInCell="0" allowOverlap="1" wp14:anchorId="6D37F72B" wp14:editId="17122C9A">
              <wp:simplePos x="0" y="0"/>
              <wp:positionH relativeFrom="margin">
                <wp:align>center</wp:align>
              </wp:positionH>
              <wp:positionV relativeFrom="margin">
                <wp:align>center</wp:align>
              </wp:positionV>
              <wp:extent cx="6694170" cy="1426210"/>
              <wp:effectExtent l="0" t="1895475" r="0" b="1755140"/>
              <wp:wrapNone/>
              <wp:docPr id="2" name="WordArt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94170" cy="14262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3F9EE81" w14:textId="77777777" w:rsidR="0070304B" w:rsidRDefault="0070304B" w:rsidP="005722A6">
                          <w:pPr>
                            <w:pStyle w:val="NormalWeb"/>
                            <w:jc w:val="center"/>
                          </w:pPr>
                          <w:r>
                            <w:rPr>
                              <w:rFonts w:ascii="Calibri" w:hAnsi="Calibri"/>
                              <w:color w:val="C0C0C0"/>
                              <w:sz w:val="2"/>
                              <w:szCs w:val="2"/>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D37F72B" id="WordArt 40" o:spid="_x0000_s1057" type="#_x0000_t202" style="position:absolute;margin-left:0;margin-top:0;width:527.1pt;height:112.3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" o:allowincell="f" filled="f" stroked="f">
              <v:stroke joinstyle="round"/>
              <o:lock v:ext="edit" shapetype="t"/>
              <v:textbox style="mso-fit-shape-to-text:t">
                <w:txbxContent>
                  <w:p w14:paraId="53F9EE81" w14:textId="77777777" w:rsidR="0070304B" w:rsidRDefault="0070304B" w:rsidP="005722A6">
                    <w:pPr>
                      <w:pStyle w:val="NormalWeb"/>
                      <w:jc w:val="center"/>
                    </w:pPr>
                    <w:r>
                      <w:rPr>
                        <w:rFonts w:ascii="Calibri" w:hAnsi="Calibri"/>
                        <w:color w:val="C0C0C0"/>
                        <w:sz w:val="2"/>
                        <w:szCs w:val="2"/>
                      </w:rPr>
                      <w:t>Confidential draft</w:t>
                    </w:r>
                  </w:p>
                </w:txbxContent>
              </v:textbox>
              <w10:wrap anchorx="margin" anchory="margin"/>
            </v:shape>
          </w:pict>
        </mc:Fallback>
      </mc:AlternateContent>
    </w:r>
  </w:p>
  <w:p w14:paraId="4194F8DB" w14:textId="77777777" w:rsidR="0070304B" w:rsidRDefault="0070304B"/>
  <w:p w14:paraId="0B1BC0EE" w14:textId="77777777" w:rsidR="0070304B" w:rsidRDefault="0070304B"/>
  <w:p w14:paraId="45FDF3A2" w14:textId="77777777" w:rsidR="0070304B" w:rsidRDefault="0070304B"/>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1C88C" w14:textId="6097CD92" w:rsidR="0070304B" w:rsidRDefault="0070304B">
    <w:pPr>
      <w:pStyle w:val="Header"/>
    </w:pPr>
    <w:r>
      <w:rPr>
        <w:noProof/>
        <w:lang w:eastAsia="en-AU"/>
      </w:rPr>
      <mc:AlternateContent>
        <mc:Choice Requires="wps">
          <w:drawing>
            <wp:anchor distT="0" distB="0" distL="114300" distR="114300" simplePos="0" relativeHeight="251671552" behindDoc="1" locked="0" layoutInCell="0" allowOverlap="1" wp14:anchorId="2F45CCB7" wp14:editId="23CB47DF">
              <wp:simplePos x="0" y="0"/>
              <wp:positionH relativeFrom="margin">
                <wp:align>center</wp:align>
              </wp:positionH>
              <wp:positionV relativeFrom="margin">
                <wp:align>center</wp:align>
              </wp:positionV>
              <wp:extent cx="6903085" cy="1217930"/>
              <wp:effectExtent l="0" t="2085975" r="0" b="1915795"/>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3085" cy="1217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58C283" w14:textId="77777777" w:rsidR="0070304B" w:rsidRDefault="0070304B" w:rsidP="005722A6">
                          <w:pPr>
                            <w:pStyle w:val="NormalWeb"/>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Chair's Draft - Feb 019</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F45CCB7" id="_x0000_t202" coordsize="21600,21600" o:spt="202" path="m,l,21600r21600,l21600,xe">
              <v:stroke joinstyle="miter"/>
              <v:path gradientshapeok="t" o:connecttype="rect"/>
            </v:shapetype>
            <v:shape id="Text Box 70" o:spid="_x0000_s1058" type="#_x0000_t202" style="position:absolute;margin-left:0;margin-top:0;width:543.55pt;height:95.9pt;rotation:-45;z-index:-251644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" o:allowincell="f" filled="f" stroked="f">
              <v:stroke joinstyle="round"/>
              <o:lock v:ext="edit" shapetype="t"/>
              <v:textbox style="mso-fit-shape-to-text:t">
                <w:txbxContent>
                  <w:p w14:paraId="4658C283" w14:textId="77777777" w:rsidR="0070304B" w:rsidRDefault="0070304B" w:rsidP="005722A6">
                    <w:pPr>
                      <w:pStyle w:val="NormalWeb"/>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Chair's Draft - Feb 019</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60288" behindDoc="1" locked="0" layoutInCell="0" allowOverlap="1" wp14:anchorId="4891031D" wp14:editId="7E3145D9">
              <wp:simplePos x="0" y="0"/>
              <wp:positionH relativeFrom="margin">
                <wp:align>center</wp:align>
              </wp:positionH>
              <wp:positionV relativeFrom="margin">
                <wp:align>center</wp:align>
              </wp:positionV>
              <wp:extent cx="6694170" cy="1426210"/>
              <wp:effectExtent l="0" t="1895475" r="0" b="1755140"/>
              <wp:wrapNone/>
              <wp:docPr id="1" name="WordArt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694170" cy="14262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3B8171" w14:textId="77777777" w:rsidR="0070304B" w:rsidRDefault="0070304B" w:rsidP="005722A6">
                          <w:pPr>
                            <w:pStyle w:val="NormalWeb"/>
                            <w:jc w:val="center"/>
                          </w:pPr>
                          <w:r>
                            <w:rPr>
                              <w:rFonts w:ascii="Calibri" w:hAnsi="Calibri"/>
                              <w:color w:val="C0C0C0"/>
                              <w:sz w:val="2"/>
                              <w:szCs w:val="2"/>
                            </w:rPr>
                            <w:t>Confidential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91031D" id="WordArt 54" o:spid="_x0000_s1059" type="#_x0000_t202" style="position:absolute;margin-left:0;margin-top:0;width:527.1pt;height:112.3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" o:allowincell="f" filled="f" stroked="f">
              <v:stroke joinstyle="round"/>
              <o:lock v:ext="edit" shapetype="t"/>
              <v:textbox style="mso-fit-shape-to-text:t">
                <w:txbxContent>
                  <w:p w14:paraId="4A3B8171" w14:textId="77777777" w:rsidR="0070304B" w:rsidRDefault="0070304B" w:rsidP="005722A6">
                    <w:pPr>
                      <w:pStyle w:val="NormalWeb"/>
                      <w:jc w:val="center"/>
                    </w:pPr>
                    <w:r>
                      <w:rPr>
                        <w:rFonts w:ascii="Calibri" w:hAnsi="Calibri"/>
                        <w:color w:val="C0C0C0"/>
                        <w:sz w:val="2"/>
                        <w:szCs w:val="2"/>
                      </w:rPr>
                      <w:t>Confidential draft</w:t>
                    </w:r>
                  </w:p>
                </w:txbxContent>
              </v:textbox>
              <w10:wrap anchorx="margin" anchory="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C8C5A" w14:textId="3AB64603" w:rsidR="0070304B" w:rsidRDefault="0070304B">
    <w:pPr>
      <w:pStyle w:val="Header"/>
    </w:pPr>
    <w:r>
      <w:rPr>
        <w:noProof/>
        <w:lang w:eastAsia="en-AU"/>
      </w:rPr>
      <mc:AlternateContent>
        <mc:Choice Requires="wps">
          <w:drawing>
            <wp:anchor distT="0" distB="0" distL="114300" distR="114300" simplePos="0" relativeHeight="251672576" behindDoc="1" locked="0" layoutInCell="0" allowOverlap="1" wp14:anchorId="43519FA0" wp14:editId="2D659877">
              <wp:simplePos x="0" y="0"/>
              <wp:positionH relativeFrom="margin">
                <wp:align>center</wp:align>
              </wp:positionH>
              <wp:positionV relativeFrom="margin">
                <wp:align>center</wp:align>
              </wp:positionV>
              <wp:extent cx="6903085" cy="1217930"/>
              <wp:effectExtent l="0" t="2085975" r="0" b="1915795"/>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3085" cy="1217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D3EB6E" w14:textId="77777777" w:rsidR="0070304B" w:rsidRDefault="0070304B" w:rsidP="005722A6">
                          <w:pPr>
                            <w:pStyle w:val="NormalWeb"/>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Chair's Draft - Feb 019</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3519FA0" id="_x0000_t202" coordsize="21600,21600" o:spt="202" path="m,l,21600r21600,l21600,xe">
              <v:stroke joinstyle="miter"/>
              <v:path gradientshapeok="t" o:connecttype="rect"/>
            </v:shapetype>
            <v:shape id="Text Box 69" o:spid="_x0000_s1060" type="#_x0000_t202" style="position:absolute;margin-left:0;margin-top:0;width:543.55pt;height:95.9pt;rotation:-45;z-index:-251643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" o:allowincell="f" filled="f" stroked="f">
              <v:stroke joinstyle="round"/>
              <o:lock v:ext="edit" shapetype="t"/>
              <v:textbox style="mso-fit-shape-to-text:t">
                <w:txbxContent>
                  <w:p w14:paraId="56D3EB6E" w14:textId="77777777" w:rsidR="0070304B" w:rsidRDefault="0070304B" w:rsidP="005722A6">
                    <w:pPr>
                      <w:pStyle w:val="NormalWeb"/>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Chair's Draft - Feb 019</w:t>
                    </w:r>
                  </w:p>
                </w:txbxContent>
              </v:textbox>
              <w10:wrap anchorx="margin" anchory="margin"/>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9E2B3" w14:textId="40DAD824" w:rsidR="0070304B" w:rsidRDefault="0070304B">
    <w:pPr>
      <w:pStyle w:val="Header"/>
    </w:pPr>
    <w:r>
      <w:rPr>
        <w:noProof/>
        <w:lang w:eastAsia="en-AU"/>
      </w:rPr>
      <mc:AlternateContent>
        <mc:Choice Requires="wps">
          <w:drawing>
            <wp:anchor distT="0" distB="0" distL="114300" distR="114300" simplePos="0" relativeHeight="251673600" behindDoc="1" locked="0" layoutInCell="0" allowOverlap="1" wp14:anchorId="2D96D0D1" wp14:editId="0DD5B5A0">
              <wp:simplePos x="0" y="0"/>
              <wp:positionH relativeFrom="margin">
                <wp:align>center</wp:align>
              </wp:positionH>
              <wp:positionV relativeFrom="margin">
                <wp:align>center</wp:align>
              </wp:positionV>
              <wp:extent cx="6903085" cy="1217930"/>
              <wp:effectExtent l="0" t="2085975" r="0" b="1915795"/>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3085" cy="1217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E09C4C" w14:textId="77777777" w:rsidR="0070304B" w:rsidRDefault="0070304B" w:rsidP="005722A6">
                          <w:pPr>
                            <w:pStyle w:val="NormalWeb"/>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Chair's Draft - Feb 019</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D96D0D1" id="_x0000_t202" coordsize="21600,21600" o:spt="202" path="m,l,21600r21600,l21600,xe">
              <v:stroke joinstyle="miter"/>
              <v:path gradientshapeok="t" o:connecttype="rect"/>
            </v:shapetype>
            <v:shape id="Text Box 68" o:spid="_x0000_s1061" type="#_x0000_t202" style="position:absolute;margin-left:0;margin-top:0;width:543.55pt;height:95.9pt;rotation:-45;z-index:-25164288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" o:allowincell="f" filled="f" stroked="f">
              <v:stroke joinstyle="round"/>
              <o:lock v:ext="edit" shapetype="t"/>
              <v:textbox style="mso-fit-shape-to-text:t">
                <w:txbxContent>
                  <w:p w14:paraId="46E09C4C" w14:textId="77777777" w:rsidR="0070304B" w:rsidRDefault="0070304B" w:rsidP="005722A6">
                    <w:pPr>
                      <w:pStyle w:val="NormalWeb"/>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Chair's Draft - Feb 019</w:t>
                    </w:r>
                  </w:p>
                </w:txbxContent>
              </v:textbox>
              <w10:wrap anchorx="margin"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9957F" w14:textId="03C1DD1D" w:rsidR="0070304B" w:rsidRPr="00B54FC0" w:rsidRDefault="0070304B" w:rsidP="003265F2">
    <w:pPr>
      <w:pStyle w:val="Header"/>
      <w:tabs>
        <w:tab w:val="clear" w:pos="4513"/>
        <w:tab w:val="clear" w:pos="9026"/>
        <w:tab w:val="right" w:pos="8640"/>
      </w:tabs>
      <w:ind w:right="-19"/>
      <w:jc w:val="right"/>
      <w:rPr>
        <w:caps/>
        <w:noProof/>
        <w:spacing w:val="40"/>
        <w:sz w:val="20"/>
        <w:szCs w:val="14"/>
      </w:rPr>
    </w:pPr>
    <w:r w:rsidRPr="00B54FC0">
      <w:rPr>
        <w:caps/>
        <w:noProof/>
        <w:spacing w:val="40"/>
        <w:sz w:val="20"/>
        <w:szCs w:val="14"/>
      </w:rPr>
      <w:fldChar w:fldCharType="begin"/>
    </w:r>
    <w:r w:rsidRPr="00B54FC0">
      <w:rPr>
        <w:caps/>
        <w:noProof/>
        <w:spacing w:val="40"/>
        <w:sz w:val="20"/>
        <w:szCs w:val="14"/>
      </w:rPr>
      <w:instrText xml:space="preserve"> STYLEREF "Committee name"</w:instrText>
    </w:r>
    <w:r w:rsidRPr="00B54FC0">
      <w:rPr>
        <w:caps/>
        <w:noProof/>
        <w:spacing w:val="40"/>
        <w:sz w:val="20"/>
        <w:szCs w:val="14"/>
      </w:rPr>
      <w:fldChar w:fldCharType="separate"/>
    </w:r>
    <w:r w:rsidR="0099654F">
      <w:rPr>
        <w:caps/>
        <w:noProof/>
        <w:spacing w:val="40"/>
        <w:sz w:val="20"/>
        <w:szCs w:val="14"/>
      </w:rPr>
      <w:t>Standing Committee on Justice and Community Safety</w:t>
    </w:r>
    <w:r w:rsidRPr="00B54FC0">
      <w:rPr>
        <w:caps/>
        <w:noProof/>
        <w:spacing w:val="40"/>
        <w:sz w:val="20"/>
        <w:szCs w:val="14"/>
      </w:rPr>
      <w:fldChar w:fldCharType="end"/>
    </w:r>
  </w:p>
  <w:p w14:paraId="4E9919AE" w14:textId="77777777" w:rsidR="0070304B" w:rsidRDefault="00833958" w:rsidP="003265F2">
    <w:r>
      <w:pict w14:anchorId="66E76063">
        <v:rect id="_x0000_i1027" style="width:0;height:1.5pt" o:hralign="center" o:hrstd="t" o:hr="t" fillcolor="gray" stroked="f"/>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3471C" w14:textId="0E93DECE" w:rsidR="0070304B" w:rsidRDefault="0070304B">
    <w:pPr>
      <w:pStyle w:val="Header"/>
    </w:pPr>
    <w:r>
      <w:rPr>
        <w:noProof/>
        <w:lang w:eastAsia="en-AU"/>
      </w:rPr>
      <mc:AlternateContent>
        <mc:Choice Requires="wps">
          <w:drawing>
            <wp:anchor distT="0" distB="0" distL="114300" distR="114300" simplePos="0" relativeHeight="251674624" behindDoc="1" locked="0" layoutInCell="0" allowOverlap="1" wp14:anchorId="1AAB16AF" wp14:editId="3091EF8C">
              <wp:simplePos x="0" y="0"/>
              <wp:positionH relativeFrom="margin">
                <wp:align>center</wp:align>
              </wp:positionH>
              <wp:positionV relativeFrom="margin">
                <wp:align>center</wp:align>
              </wp:positionV>
              <wp:extent cx="6903085" cy="1217930"/>
              <wp:effectExtent l="0" t="2085975" r="0" b="191579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3085" cy="1217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F547C9C" w14:textId="77777777" w:rsidR="0070304B" w:rsidRDefault="0070304B" w:rsidP="005722A6">
                          <w:pPr>
                            <w:pStyle w:val="NormalWeb"/>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Chair's Draft - Feb 019</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AAB16AF" id="_x0000_t202" coordsize="21600,21600" o:spt="202" path="m,l,21600r21600,l21600,xe">
              <v:stroke joinstyle="miter"/>
              <v:path gradientshapeok="t" o:connecttype="rect"/>
            </v:shapetype>
            <v:shape id="Text Box 65" o:spid="_x0000_s1062" type="#_x0000_t202" style="position:absolute;margin-left:0;margin-top:0;width:543.55pt;height:95.9pt;rotation:-45;z-index:-2516418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" o:allowincell="f" filled="f" stroked="f">
              <v:stroke joinstyle="round"/>
              <o:lock v:ext="edit" shapetype="t"/>
              <v:textbox style="mso-fit-shape-to-text:t">
                <w:txbxContent>
                  <w:p w14:paraId="6F547C9C" w14:textId="77777777" w:rsidR="0070304B" w:rsidRDefault="0070304B" w:rsidP="005722A6">
                    <w:pPr>
                      <w:pStyle w:val="NormalWeb"/>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Chair's Draft - Feb 019</w:t>
                    </w:r>
                  </w:p>
                </w:txbxContent>
              </v:textbox>
              <w10:wrap anchorx="margin" anchory="margin"/>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24C8A" w14:textId="62CEF587" w:rsidR="0070304B" w:rsidRDefault="007030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9375D" w14:textId="20B9827D" w:rsidR="0070304B" w:rsidRDefault="0070304B">
    <w:pPr>
      <w:pStyle w:val="Header"/>
      <w:jc w:val="right"/>
    </w:pPr>
    <w:r>
      <w:rPr>
        <w:noProof/>
        <w:lang w:eastAsia="en-AU"/>
      </w:rPr>
      <mc:AlternateContent>
        <mc:Choice Requires="wps">
          <w:drawing>
            <wp:anchor distT="0" distB="0" distL="114300" distR="114300" simplePos="0" relativeHeight="251662336" behindDoc="1" locked="0" layoutInCell="0" allowOverlap="1" wp14:anchorId="1C4516B8" wp14:editId="21854E70">
              <wp:simplePos x="0" y="0"/>
              <wp:positionH relativeFrom="margin">
                <wp:align>center</wp:align>
              </wp:positionH>
              <wp:positionV relativeFrom="margin">
                <wp:align>center</wp:align>
              </wp:positionV>
              <wp:extent cx="6903085" cy="1217930"/>
              <wp:effectExtent l="0" t="2085975" r="0" b="1915795"/>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3085" cy="1217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09F36C" w14:textId="77777777" w:rsidR="0070304B" w:rsidRDefault="0070304B" w:rsidP="005722A6">
                          <w:pPr>
                            <w:pStyle w:val="NormalWeb"/>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Chair's Draft - Feb 019</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C4516B8" id="_x0000_t202" coordsize="21600,21600" o:spt="202" path="m,l,21600r21600,l21600,xe">
              <v:stroke joinstyle="miter"/>
              <v:path gradientshapeok="t" o:connecttype="rect"/>
            </v:shapetype>
            <v:shape id="Text Box 80" o:spid="_x0000_s1050" type="#_x0000_t202" style="position:absolute;left:0;text-align:left;margin-left:0;margin-top:0;width:543.55pt;height:95.9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" o:allowincell="f" filled="f" stroked="f">
              <v:stroke joinstyle="round"/>
              <o:lock v:ext="edit" shapetype="t"/>
              <v:textbox style="mso-fit-shape-to-text:t">
                <w:txbxContent>
                  <w:p w14:paraId="0809F36C" w14:textId="77777777" w:rsidR="0070304B" w:rsidRDefault="0070304B" w:rsidP="005722A6">
                    <w:pPr>
                      <w:pStyle w:val="NormalWeb"/>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Chair's Draft - Feb 019</w:t>
                    </w:r>
                  </w:p>
                </w:txbxContent>
              </v:textbox>
              <w10:wrap anchorx="margin" anchory="margin"/>
            </v:shape>
          </w:pict>
        </mc:Fallback>
      </mc:AlternateContent>
    </w:r>
    <w:r>
      <w:rPr>
        <w:noProof/>
      </w:rPr>
      <w:fldChar w:fldCharType="begin"/>
    </w:r>
    <w:r>
      <w:rPr>
        <w:noProof/>
      </w:rPr>
      <w:instrText xml:space="preserve"> STYLEREF  "Report title" </w:instrText>
    </w:r>
    <w:r>
      <w:rPr>
        <w:noProof/>
      </w:rPr>
      <w:fldChar w:fldCharType="separate"/>
    </w:r>
    <w:r w:rsidR="00CB6D77">
      <w:rPr>
        <w:noProof/>
      </w:rPr>
      <w:t>Report on inquiry into domestic and family violence—policy approaches and responses</w:t>
    </w:r>
    <w:r>
      <w:rPr>
        <w:noProof/>
      </w:rPr>
      <w:fldChar w:fldCharType="end"/>
    </w:r>
    <w:r>
      <w:rPr>
        <w:rStyle w:val="PageNumbe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474DB" w14:textId="203FEC22" w:rsidR="0070304B" w:rsidRPr="00B54FC0" w:rsidRDefault="0070304B" w:rsidP="00B54FC0">
    <w:pPr>
      <w:pStyle w:val="Header"/>
      <w:tabs>
        <w:tab w:val="clear" w:pos="4513"/>
        <w:tab w:val="clear" w:pos="9026"/>
        <w:tab w:val="right" w:pos="8640"/>
      </w:tabs>
      <w:ind w:right="-19"/>
      <w:jc w:val="right"/>
      <w:rPr>
        <w:caps/>
        <w:noProof/>
        <w:spacing w:val="40"/>
        <w:sz w:val="20"/>
        <w:szCs w:val="14"/>
      </w:rPr>
    </w:pPr>
    <w:r w:rsidRPr="00B54FC0">
      <w:rPr>
        <w:caps/>
        <w:noProof/>
        <w:spacing w:val="40"/>
        <w:sz w:val="20"/>
        <w:szCs w:val="14"/>
      </w:rPr>
      <w:fldChar w:fldCharType="begin"/>
    </w:r>
    <w:r w:rsidRPr="00B54FC0">
      <w:rPr>
        <w:caps/>
        <w:noProof/>
        <w:spacing w:val="40"/>
        <w:sz w:val="20"/>
        <w:szCs w:val="14"/>
      </w:rPr>
      <w:instrText xml:space="preserve"> STYLEREF "Committee name"</w:instrText>
    </w:r>
    <w:r w:rsidRPr="00B54FC0">
      <w:rPr>
        <w:caps/>
        <w:noProof/>
        <w:spacing w:val="40"/>
        <w:sz w:val="20"/>
        <w:szCs w:val="14"/>
      </w:rPr>
      <w:fldChar w:fldCharType="separate"/>
    </w:r>
    <w:r w:rsidR="00833958">
      <w:rPr>
        <w:caps/>
        <w:noProof/>
        <w:spacing w:val="40"/>
        <w:sz w:val="20"/>
        <w:szCs w:val="14"/>
      </w:rPr>
      <w:t>Standing Committee on Justice and Community Safety</w:t>
    </w:r>
    <w:r w:rsidRPr="00B54FC0">
      <w:rPr>
        <w:caps/>
        <w:noProof/>
        <w:spacing w:val="40"/>
        <w:sz w:val="20"/>
        <w:szCs w:val="14"/>
      </w:rPr>
      <w:fldChar w:fldCharType="end"/>
    </w:r>
  </w:p>
  <w:p w14:paraId="4AD3BF4A" w14:textId="77777777" w:rsidR="0070304B" w:rsidRDefault="00833958" w:rsidP="00B54FC0">
    <w:r>
      <w:pict w14:anchorId="63400BE0">
        <v:rect id="_x0000_i1025" style="width:0;height:1.5pt" o:hralign="center" o:hrstd="t" o:hr="t" fillcolor="gray" stroked="f"/>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2750F" w14:textId="45051E97" w:rsidR="0070304B" w:rsidRPr="00B54FC0" w:rsidRDefault="0070304B" w:rsidP="00B54FC0">
    <w:pPr>
      <w:pStyle w:val="Header"/>
      <w:tabs>
        <w:tab w:val="clear" w:pos="4513"/>
        <w:tab w:val="clear" w:pos="9026"/>
        <w:tab w:val="right" w:pos="8640"/>
      </w:tabs>
      <w:ind w:right="-19"/>
      <w:jc w:val="right"/>
      <w:rPr>
        <w:caps/>
        <w:noProof/>
        <w:spacing w:val="40"/>
        <w:szCs w:val="14"/>
      </w:rPr>
    </w:pPr>
    <w:r w:rsidRPr="00B54FC0">
      <w:rPr>
        <w:caps/>
        <w:noProof/>
        <w:spacing w:val="40"/>
        <w:sz w:val="20"/>
        <w:szCs w:val="14"/>
      </w:rPr>
      <w:fldChar w:fldCharType="begin"/>
    </w:r>
    <w:r w:rsidRPr="00B54FC0">
      <w:rPr>
        <w:caps/>
        <w:noProof/>
        <w:spacing w:val="40"/>
        <w:sz w:val="20"/>
        <w:szCs w:val="14"/>
      </w:rPr>
      <w:instrText xml:space="preserve"> STYLEREF  "Report title" </w:instrText>
    </w:r>
    <w:r w:rsidRPr="00B54FC0">
      <w:rPr>
        <w:caps/>
        <w:noProof/>
        <w:spacing w:val="40"/>
        <w:sz w:val="20"/>
        <w:szCs w:val="14"/>
      </w:rPr>
      <w:fldChar w:fldCharType="separate"/>
    </w:r>
    <w:r w:rsidR="00833958">
      <w:rPr>
        <w:caps/>
        <w:noProof/>
        <w:spacing w:val="40"/>
        <w:sz w:val="20"/>
        <w:szCs w:val="14"/>
      </w:rPr>
      <w:t>Report on inquiry into domestic and family violence—policy approaches and responses</w:t>
    </w:r>
    <w:r w:rsidRPr="00B54FC0">
      <w:rPr>
        <w:caps/>
        <w:noProof/>
        <w:spacing w:val="40"/>
        <w:sz w:val="20"/>
        <w:szCs w:val="14"/>
      </w:rPr>
      <w:fldChar w:fldCharType="end"/>
    </w:r>
  </w:p>
  <w:p w14:paraId="64717F50" w14:textId="77777777" w:rsidR="0070304B" w:rsidRDefault="00833958" w:rsidP="00B54FC0">
    <w:pPr>
      <w:pStyle w:val="Header"/>
      <w:jc w:val="right"/>
    </w:pPr>
    <w:r>
      <w:pict w14:anchorId="6245AA48">
        <v:rect id="_x0000_i1026" style="width:0;height:1.5pt" o:hralign="center" o:hrstd="t" o:hr="t" fillcolor="gray" stroked="f"/>
      </w:pict>
    </w:r>
  </w:p>
  <w:p w14:paraId="2C6D9347" w14:textId="78C8D175" w:rsidR="0070304B" w:rsidRDefault="0070304B" w:rsidP="005722A6">
    <w:pPr>
      <w:pStyle w:val="Header"/>
      <w:jc w:val="right"/>
    </w:pPr>
  </w:p>
  <w:p w14:paraId="4068BD7F" w14:textId="77777777" w:rsidR="0070304B" w:rsidRDefault="0070304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4BA48" w14:textId="1578CD60" w:rsidR="0070304B" w:rsidRDefault="0070304B">
    <w:pPr>
      <w:pStyle w:val="Header"/>
    </w:pPr>
    <w:r>
      <w:rPr>
        <w:noProof/>
        <w:lang w:eastAsia="en-AU"/>
      </w:rPr>
      <mc:AlternateContent>
        <mc:Choice Requires="wps">
          <w:drawing>
            <wp:anchor distT="0" distB="0" distL="114300" distR="114300" simplePos="0" relativeHeight="251663360" behindDoc="1" locked="0" layoutInCell="0" allowOverlap="1" wp14:anchorId="121EDE01" wp14:editId="4537927F">
              <wp:simplePos x="0" y="0"/>
              <wp:positionH relativeFrom="margin">
                <wp:align>center</wp:align>
              </wp:positionH>
              <wp:positionV relativeFrom="margin">
                <wp:align>center</wp:align>
              </wp:positionV>
              <wp:extent cx="6903085" cy="1217930"/>
              <wp:effectExtent l="0" t="2085975" r="0" b="1915795"/>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3085" cy="1217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B9792B" w14:textId="77777777" w:rsidR="0070304B" w:rsidRDefault="0070304B" w:rsidP="005722A6">
                          <w:pPr>
                            <w:pStyle w:val="NormalWeb"/>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Chair's Draft - Feb 019</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21EDE01" id="_x0000_t202" coordsize="21600,21600" o:spt="202" path="m,l,21600r21600,l21600,xe">
              <v:stroke joinstyle="miter"/>
              <v:path gradientshapeok="t" o:connecttype="rect"/>
            </v:shapetype>
            <v:shape id="Text Box 79" o:spid="_x0000_s1051" type="#_x0000_t202" style="position:absolute;margin-left:0;margin-top:0;width:543.55pt;height:95.9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" o:allowincell="f" filled="f" stroked="f">
              <v:stroke joinstyle="round"/>
              <o:lock v:ext="edit" shapetype="t"/>
              <v:textbox style="mso-fit-shape-to-text:t">
                <w:txbxContent>
                  <w:p w14:paraId="33B9792B" w14:textId="77777777" w:rsidR="0070304B" w:rsidRDefault="0070304B" w:rsidP="005722A6">
                    <w:pPr>
                      <w:pStyle w:val="NormalWeb"/>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Chair's Draft - Feb 019</w:t>
                    </w:r>
                  </w:p>
                </w:txbxContent>
              </v:textbox>
              <w10:wrap anchorx="margin" anchory="margin"/>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7E7F5" w14:textId="4B186D17" w:rsidR="0070304B" w:rsidRDefault="0070304B">
    <w:pPr>
      <w:pStyle w:val="Header"/>
    </w:pPr>
    <w:r>
      <w:rPr>
        <w:noProof/>
        <w:lang w:eastAsia="en-AU"/>
      </w:rPr>
      <mc:AlternateContent>
        <mc:Choice Requires="wps">
          <w:drawing>
            <wp:anchor distT="0" distB="0" distL="114300" distR="114300" simplePos="0" relativeHeight="251664384" behindDoc="1" locked="0" layoutInCell="0" allowOverlap="1" wp14:anchorId="7FFBEC92" wp14:editId="7EAFA674">
              <wp:simplePos x="0" y="0"/>
              <wp:positionH relativeFrom="margin">
                <wp:align>center</wp:align>
              </wp:positionH>
              <wp:positionV relativeFrom="margin">
                <wp:align>center</wp:align>
              </wp:positionV>
              <wp:extent cx="6903085" cy="1217930"/>
              <wp:effectExtent l="0" t="2085975" r="0" b="1915795"/>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3085" cy="1217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01B0D56" w14:textId="77777777" w:rsidR="0070304B" w:rsidRDefault="0070304B" w:rsidP="005722A6">
                          <w:pPr>
                            <w:pStyle w:val="NormalWeb"/>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Chair's Draft - Feb 019</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FFBEC92" id="_x0000_t202" coordsize="21600,21600" o:spt="202" path="m,l,21600r21600,l21600,xe">
              <v:stroke joinstyle="miter"/>
              <v:path gradientshapeok="t" o:connecttype="rect"/>
            </v:shapetype>
            <v:shape id="Text Box 78" o:spid="_x0000_s1052" type="#_x0000_t202" style="position:absolute;margin-left:0;margin-top:0;width:543.55pt;height:95.9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" o:allowincell="f" filled="f" stroked="f">
              <v:stroke joinstyle="round"/>
              <o:lock v:ext="edit" shapetype="t"/>
              <v:textbox style="mso-fit-shape-to-text:t">
                <w:txbxContent>
                  <w:p w14:paraId="201B0D56" w14:textId="77777777" w:rsidR="0070304B" w:rsidRDefault="0070304B" w:rsidP="005722A6">
                    <w:pPr>
                      <w:pStyle w:val="NormalWeb"/>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Chair's Draft - Feb 019</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B0DB3" w14:textId="031DE14D" w:rsidR="0070304B" w:rsidRDefault="0070304B">
    <w:pPr>
      <w:pStyle w:val="Header"/>
    </w:pPr>
    <w:r>
      <w:rPr>
        <w:noProof/>
        <w:lang w:eastAsia="en-AU"/>
      </w:rPr>
      <mc:AlternateContent>
        <mc:Choice Requires="wps">
          <w:drawing>
            <wp:anchor distT="0" distB="0" distL="114300" distR="114300" simplePos="0" relativeHeight="251665408" behindDoc="1" locked="0" layoutInCell="0" allowOverlap="1" wp14:anchorId="3391B570" wp14:editId="77EA68EB">
              <wp:simplePos x="0" y="0"/>
              <wp:positionH relativeFrom="margin">
                <wp:align>center</wp:align>
              </wp:positionH>
              <wp:positionV relativeFrom="margin">
                <wp:align>center</wp:align>
              </wp:positionV>
              <wp:extent cx="6903085" cy="1217930"/>
              <wp:effectExtent l="0" t="2085975" r="0" b="1915795"/>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3085" cy="1217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1D7A08" w14:textId="77777777" w:rsidR="0070304B" w:rsidRDefault="0070304B" w:rsidP="005722A6">
                          <w:pPr>
                            <w:pStyle w:val="NormalWeb"/>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Chair's Draft - Feb 019</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91B570" id="_x0000_t202" coordsize="21600,21600" o:spt="202" path="m,l,21600r21600,l21600,xe">
              <v:stroke joinstyle="miter"/>
              <v:path gradientshapeok="t" o:connecttype="rect"/>
            </v:shapetype>
            <v:shape id="Text Box 77" o:spid="_x0000_s1053" type="#_x0000_t202" style="position:absolute;margin-left:0;margin-top:0;width:543.55pt;height:95.9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" o:allowincell="f" filled="f" stroked="f">
              <v:stroke joinstyle="round"/>
              <o:lock v:ext="edit" shapetype="t"/>
              <v:textbox style="mso-fit-shape-to-text:t">
                <w:txbxContent>
                  <w:p w14:paraId="231D7A08" w14:textId="77777777" w:rsidR="0070304B" w:rsidRDefault="0070304B" w:rsidP="005722A6">
                    <w:pPr>
                      <w:pStyle w:val="NormalWeb"/>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Chair's Draft - Feb 019</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CF2D5A" w14:textId="2C590790" w:rsidR="0070304B" w:rsidRDefault="0070304B">
    <w:pPr>
      <w:pStyle w:val="Header"/>
    </w:pPr>
    <w:r>
      <w:rPr>
        <w:noProof/>
        <w:lang w:eastAsia="en-AU"/>
      </w:rPr>
      <mc:AlternateContent>
        <mc:Choice Requires="wps">
          <w:drawing>
            <wp:anchor distT="0" distB="0" distL="114300" distR="114300" simplePos="0" relativeHeight="251666432" behindDoc="1" locked="0" layoutInCell="0" allowOverlap="1" wp14:anchorId="76C7FA66" wp14:editId="70DE2525">
              <wp:simplePos x="0" y="0"/>
              <wp:positionH relativeFrom="margin">
                <wp:align>center</wp:align>
              </wp:positionH>
              <wp:positionV relativeFrom="margin">
                <wp:align>center</wp:align>
              </wp:positionV>
              <wp:extent cx="6903085" cy="1217930"/>
              <wp:effectExtent l="0" t="2085975" r="0" b="1915795"/>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3085" cy="1217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D5CF86C" w14:textId="77777777" w:rsidR="0070304B" w:rsidRDefault="0070304B" w:rsidP="005722A6">
                          <w:pPr>
                            <w:pStyle w:val="NormalWeb"/>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Chair's Draft - Feb 019</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6C7FA66" id="_x0000_t202" coordsize="21600,21600" o:spt="202" path="m,l,21600r21600,l21600,xe">
              <v:stroke joinstyle="miter"/>
              <v:path gradientshapeok="t" o:connecttype="rect"/>
            </v:shapetype>
            <v:shape id="Text Box 76" o:spid="_x0000_s1054" type="#_x0000_t202" style="position:absolute;margin-left:0;margin-top:0;width:543.55pt;height:95.9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" o:allowincell="f" filled="f" stroked="f">
              <v:stroke joinstyle="round"/>
              <o:lock v:ext="edit" shapetype="t"/>
              <v:textbox style="mso-fit-shape-to-text:t">
                <w:txbxContent>
                  <w:p w14:paraId="5D5CF86C" w14:textId="77777777" w:rsidR="0070304B" w:rsidRDefault="0070304B" w:rsidP="005722A6">
                    <w:pPr>
                      <w:pStyle w:val="NormalWeb"/>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Chair's Draft - Feb 019</w:t>
                    </w:r>
                  </w:p>
                </w:txbxContent>
              </v:textbox>
              <w10:wrap anchorx="margin" anchory="margin"/>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158C0" w14:textId="4CFA43B4" w:rsidR="0070304B" w:rsidRDefault="0070304B">
    <w:pPr>
      <w:pStyle w:val="Header"/>
    </w:pPr>
    <w:r>
      <w:rPr>
        <w:noProof/>
        <w:lang w:eastAsia="en-AU"/>
      </w:rPr>
      <mc:AlternateContent>
        <mc:Choice Requires="wps">
          <w:drawing>
            <wp:anchor distT="0" distB="0" distL="114300" distR="114300" simplePos="0" relativeHeight="251667456" behindDoc="1" locked="0" layoutInCell="0" allowOverlap="1" wp14:anchorId="1543F3A8" wp14:editId="6AE72734">
              <wp:simplePos x="0" y="0"/>
              <wp:positionH relativeFrom="margin">
                <wp:align>center</wp:align>
              </wp:positionH>
              <wp:positionV relativeFrom="margin">
                <wp:align>center</wp:align>
              </wp:positionV>
              <wp:extent cx="6903085" cy="1217930"/>
              <wp:effectExtent l="0" t="2085975" r="0" b="1915795"/>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903085" cy="1217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137904" w14:textId="77777777" w:rsidR="0070304B" w:rsidRDefault="0070304B" w:rsidP="005722A6">
                          <w:pPr>
                            <w:pStyle w:val="NormalWeb"/>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Chair's Draft - Feb 019</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543F3A8" id="_x0000_t202" coordsize="21600,21600" o:spt="202" path="m,l,21600r21600,l21600,xe">
              <v:stroke joinstyle="miter"/>
              <v:path gradientshapeok="t" o:connecttype="rect"/>
            </v:shapetype>
            <v:shape id="Text Box 75" o:spid="_x0000_s1055" type="#_x0000_t202" style="position:absolute;margin-left:0;margin-top:0;width:543.55pt;height:95.9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" o:allowincell="f" filled="f" stroked="f">
              <v:stroke joinstyle="round"/>
              <o:lock v:ext="edit" shapetype="t"/>
              <v:textbox style="mso-fit-shape-to-text:t">
                <w:txbxContent>
                  <w:p w14:paraId="41137904" w14:textId="77777777" w:rsidR="0070304B" w:rsidRDefault="0070304B" w:rsidP="005722A6">
                    <w:pPr>
                      <w:pStyle w:val="NormalWeb"/>
                      <w:jc w:val="center"/>
                    </w:pPr>
                    <w:r>
                      <w:rPr>
                        <w:rFonts w:ascii="Calibri" w:hAnsi="Calibri"/>
                        <w:color w:val="F4B083" w:themeColor="accent2" w:themeTint="99"/>
                        <w:sz w:val="2"/>
                        <w:szCs w:val="2"/>
                        <w14:textFill>
                          <w14:solidFill>
                            <w14:schemeClr w14:val="accent2">
                              <w14:alpha w14:val="50000"/>
                              <w14:lumMod w14:val="60000"/>
                              <w14:lumOff w14:val="40000"/>
                            </w14:schemeClr>
                          </w14:solidFill>
                        </w14:textFill>
                      </w:rPr>
                      <w:t>Chair's Draft - Feb 019</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C92B05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8A2E482"/>
    <w:lvl w:ilvl="0">
      <w:start w:val="1"/>
      <w:numFmt w:val="decimal"/>
      <w:pStyle w:val="ListNumber4"/>
      <w:lvlText w:val="%1."/>
      <w:lvlJc w:val="left"/>
      <w:pPr>
        <w:tabs>
          <w:tab w:val="num" w:pos="1209"/>
        </w:tabs>
        <w:ind w:left="1209" w:hanging="360"/>
      </w:pPr>
    </w:lvl>
  </w:abstractNum>
  <w:abstractNum w:abstractNumId="2" w15:restartNumberingAfterBreak="0">
    <w:nsid w:val="FFFFFF7F"/>
    <w:multiLevelType w:val="singleLevel"/>
    <w:tmpl w:val="44A2722E"/>
    <w:lvl w:ilvl="0">
      <w:start w:val="1"/>
      <w:numFmt w:val="decimal"/>
      <w:pStyle w:val="ListNumber2"/>
      <w:lvlText w:val="%1."/>
      <w:lvlJc w:val="left"/>
      <w:pPr>
        <w:tabs>
          <w:tab w:val="num" w:pos="643"/>
        </w:tabs>
        <w:ind w:left="643" w:hanging="360"/>
      </w:pPr>
    </w:lvl>
  </w:abstractNum>
  <w:abstractNum w:abstractNumId="3" w15:restartNumberingAfterBreak="0">
    <w:nsid w:val="FFFFFF80"/>
    <w:multiLevelType w:val="singleLevel"/>
    <w:tmpl w:val="72A24F68"/>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EFE95EC"/>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52F86222"/>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1948434C"/>
    <w:lvl w:ilvl="0">
      <w:start w:val="1"/>
      <w:numFmt w:val="bullet"/>
      <w:pStyle w:val="ListBullet2"/>
      <w:lvlText w:val=""/>
      <w:lvlJc w:val="left"/>
      <w:pPr>
        <w:tabs>
          <w:tab w:val="num" w:pos="1247"/>
        </w:tabs>
        <w:ind w:left="1247" w:hanging="283"/>
      </w:pPr>
      <w:rPr>
        <w:rFonts w:ascii="Symbol" w:hAnsi="Symbol" w:hint="default"/>
        <w:color w:val="999999"/>
        <w:sz w:val="20"/>
        <w:szCs w:val="20"/>
      </w:rPr>
    </w:lvl>
  </w:abstractNum>
  <w:abstractNum w:abstractNumId="7" w15:restartNumberingAfterBreak="0">
    <w:nsid w:val="FFFFFF88"/>
    <w:multiLevelType w:val="singleLevel"/>
    <w:tmpl w:val="707E1514"/>
    <w:lvl w:ilvl="0">
      <w:start w:val="1"/>
      <w:numFmt w:val="decimal"/>
      <w:pStyle w:val="ListNumber"/>
      <w:lvlText w:val="%1."/>
      <w:lvlJc w:val="left"/>
      <w:pPr>
        <w:tabs>
          <w:tab w:val="num" w:pos="360"/>
        </w:tabs>
        <w:ind w:left="360" w:hanging="360"/>
      </w:pPr>
    </w:lvl>
  </w:abstractNum>
  <w:abstractNum w:abstractNumId="8" w15:restartNumberingAfterBreak="0">
    <w:nsid w:val="032E3329"/>
    <w:multiLevelType w:val="hybridMultilevel"/>
    <w:tmpl w:val="F39C6AD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9" w15:restartNumberingAfterBreak="0">
    <w:nsid w:val="03B9022B"/>
    <w:multiLevelType w:val="hybridMultilevel"/>
    <w:tmpl w:val="A7260B5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15:restartNumberingAfterBreak="0">
    <w:nsid w:val="064532E7"/>
    <w:multiLevelType w:val="hybridMultilevel"/>
    <w:tmpl w:val="65CCB02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17B11FB6"/>
    <w:multiLevelType w:val="multilevel"/>
    <w:tmpl w:val="0F7A07D0"/>
    <w:styleLink w:val="test1"/>
    <w:lvl w:ilvl="0">
      <w:start w:val="1"/>
      <w:numFmt w:val="decimal"/>
      <w:pStyle w:val="Heading1"/>
      <w:lvlText w:val="%1"/>
      <w:lvlJc w:val="left"/>
      <w:pPr>
        <w:tabs>
          <w:tab w:val="num" w:pos="680"/>
        </w:tabs>
        <w:ind w:left="567" w:hanging="567"/>
      </w:pPr>
      <w:rPr>
        <w:rFonts w:ascii="Arial Narrow" w:hAnsi="Arial Narrow" w:hint="default"/>
        <w:b/>
        <w:i w:val="0"/>
        <w:sz w:val="44"/>
      </w:rPr>
    </w:lvl>
    <w:lvl w:ilvl="1">
      <w:start w:val="1"/>
      <w:numFmt w:val="none"/>
      <w:lvlRestart w:val="0"/>
      <w:pStyle w:val="Headinglevel2"/>
      <w:lvlText w:val=""/>
      <w:lvlJc w:val="left"/>
      <w:pPr>
        <w:tabs>
          <w:tab w:val="num" w:pos="680"/>
        </w:tabs>
        <w:ind w:left="454" w:hanging="454"/>
      </w:pPr>
      <w:rPr>
        <w:rFonts w:ascii="Palatino Linotype" w:hAnsi="Palatino Linotype" w:hint="default"/>
        <w:b w:val="0"/>
        <w:i w:val="0"/>
        <w:caps w:val="0"/>
        <w:vanish w:val="0"/>
        <w:w w:val="95"/>
        <w:sz w:val="22"/>
        <w:szCs w:val="22"/>
      </w:rPr>
    </w:lvl>
    <w:lvl w:ilvl="2">
      <w:start w:val="1"/>
      <w:numFmt w:val="none"/>
      <w:lvlRestart w:val="0"/>
      <w:pStyle w:val="Headinglevel3"/>
      <w:lvlText w:val=""/>
      <w:lvlJc w:val="left"/>
      <w:pPr>
        <w:tabs>
          <w:tab w:val="num" w:pos="720"/>
        </w:tabs>
        <w:ind w:left="454" w:hanging="454"/>
      </w:pPr>
      <w:rPr>
        <w:rFonts w:hint="default"/>
      </w:rPr>
    </w:lvl>
    <w:lvl w:ilvl="3">
      <w:start w:val="1"/>
      <w:numFmt w:val="none"/>
      <w:lvlRestart w:val="0"/>
      <w:pStyle w:val="Headinglevel4"/>
      <w:lvlText w:val=""/>
      <w:lvlJc w:val="left"/>
      <w:pPr>
        <w:tabs>
          <w:tab w:val="num" w:pos="864"/>
        </w:tabs>
        <w:ind w:left="340" w:hanging="340"/>
      </w:pPr>
      <w:rPr>
        <w:rFonts w:hint="default"/>
      </w:rPr>
    </w:lvl>
    <w:lvl w:ilvl="4">
      <w:start w:val="1"/>
      <w:numFmt w:val="none"/>
      <w:lvlRestart w:val="0"/>
      <w:pStyle w:val="Headinglevel5"/>
      <w:lvlText w:val=""/>
      <w:lvlJc w:val="left"/>
      <w:pPr>
        <w:tabs>
          <w:tab w:val="num" w:pos="1008"/>
        </w:tabs>
        <w:ind w:left="340" w:hanging="340"/>
      </w:pPr>
      <w:rPr>
        <w:rFonts w:hint="default"/>
      </w:rPr>
    </w:lvl>
    <w:lvl w:ilvl="5">
      <w:start w:val="1"/>
      <w:numFmt w:val="decimal"/>
      <w:lvlRestart w:val="1"/>
      <w:pStyle w:val="BodyText1"/>
      <w:lvlText w:val="%1.%6"/>
      <w:lvlJc w:val="left"/>
      <w:pPr>
        <w:ind w:left="567" w:hanging="567"/>
      </w:pPr>
      <w:rPr>
        <w:rFonts w:ascii="Calibri" w:hAnsi="Calibri" w:hint="default"/>
        <w:sz w:val="22"/>
      </w:rPr>
    </w:lvl>
    <w:lvl w:ilvl="6">
      <w:start w:val="1"/>
      <w:numFmt w:val="decimal"/>
      <w:lvlRestart w:val="0"/>
      <w:pStyle w:val="Recommendation"/>
      <w:lvlText w:val="Recommendation %7"/>
      <w:lvlJc w:val="left"/>
      <w:pPr>
        <w:ind w:left="142" w:firstLine="0"/>
      </w:pPr>
      <w:rPr>
        <w:rFonts w:ascii="Arial Narrow" w:hAnsi="Arial Narrow" w:hint="default"/>
        <w:b/>
        <w:i w:val="0"/>
        <w:sz w:val="28"/>
      </w:rPr>
    </w:lvl>
    <w:lvl w:ilvl="7">
      <w:start w:val="1"/>
      <w:numFmt w:val="upperLetter"/>
      <w:pStyle w:val="AppendixHeading1"/>
      <w:lvlText w:val="Appendix %8"/>
      <w:lvlJc w:val="left"/>
      <w:pPr>
        <w:tabs>
          <w:tab w:val="num" w:pos="1440"/>
        </w:tabs>
        <w:ind w:left="1440" w:hanging="1440"/>
      </w:pPr>
      <w:rPr>
        <w:rFonts w:ascii="Arial Narrow" w:hAnsi="Arial Narrow" w:hint="default"/>
        <w:caps w:val="0"/>
        <w:sz w:val="36"/>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1A446405"/>
    <w:multiLevelType w:val="hybridMultilevel"/>
    <w:tmpl w:val="A91C025E"/>
    <w:lvl w:ilvl="0" w:tplc="0C090017">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3" w15:restartNumberingAfterBreak="0">
    <w:nsid w:val="1E222A15"/>
    <w:multiLevelType w:val="hybridMultilevel"/>
    <w:tmpl w:val="620A783C"/>
    <w:lvl w:ilvl="0" w:tplc="FC3C580E">
      <w:start w:val="1"/>
      <w:numFmt w:val="bullet"/>
      <w:pStyle w:val="BulletedTextKM"/>
      <w:lvlText w:val="•"/>
      <w:lvlJc w:val="left"/>
      <w:pPr>
        <w:tabs>
          <w:tab w:val="num" w:pos="1247"/>
        </w:tabs>
        <w:ind w:left="1247" w:hanging="567"/>
      </w:pPr>
      <w:rPr>
        <w:rFonts w:ascii="Arial" w:hAnsi="Arial" w:hint="default"/>
        <w:color w:val="000000"/>
        <w:sz w:val="28"/>
        <w:szCs w:val="28"/>
      </w:rPr>
    </w:lvl>
    <w:lvl w:ilvl="1" w:tplc="04090003" w:tentative="1">
      <w:start w:val="1"/>
      <w:numFmt w:val="bullet"/>
      <w:lvlText w:val="o"/>
      <w:lvlJc w:val="left"/>
      <w:pPr>
        <w:tabs>
          <w:tab w:val="num" w:pos="2120"/>
        </w:tabs>
        <w:ind w:left="2120" w:hanging="360"/>
      </w:pPr>
      <w:rPr>
        <w:rFonts w:ascii="Courier New" w:hAnsi="Courier New" w:cs="Courier New" w:hint="default"/>
      </w:rPr>
    </w:lvl>
    <w:lvl w:ilvl="2" w:tplc="04090005" w:tentative="1">
      <w:start w:val="1"/>
      <w:numFmt w:val="bullet"/>
      <w:lvlText w:val=""/>
      <w:lvlJc w:val="left"/>
      <w:pPr>
        <w:tabs>
          <w:tab w:val="num" w:pos="2840"/>
        </w:tabs>
        <w:ind w:left="2840" w:hanging="360"/>
      </w:pPr>
      <w:rPr>
        <w:rFonts w:ascii="Wingdings" w:hAnsi="Wingdings" w:hint="default"/>
      </w:rPr>
    </w:lvl>
    <w:lvl w:ilvl="3" w:tplc="04090001" w:tentative="1">
      <w:start w:val="1"/>
      <w:numFmt w:val="bullet"/>
      <w:lvlText w:val=""/>
      <w:lvlJc w:val="left"/>
      <w:pPr>
        <w:tabs>
          <w:tab w:val="num" w:pos="3560"/>
        </w:tabs>
        <w:ind w:left="3560" w:hanging="360"/>
      </w:pPr>
      <w:rPr>
        <w:rFonts w:ascii="Symbol" w:hAnsi="Symbol" w:hint="default"/>
      </w:rPr>
    </w:lvl>
    <w:lvl w:ilvl="4" w:tplc="04090003" w:tentative="1">
      <w:start w:val="1"/>
      <w:numFmt w:val="bullet"/>
      <w:lvlText w:val="o"/>
      <w:lvlJc w:val="left"/>
      <w:pPr>
        <w:tabs>
          <w:tab w:val="num" w:pos="4280"/>
        </w:tabs>
        <w:ind w:left="4280" w:hanging="360"/>
      </w:pPr>
      <w:rPr>
        <w:rFonts w:ascii="Courier New" w:hAnsi="Courier New" w:cs="Courier New" w:hint="default"/>
      </w:rPr>
    </w:lvl>
    <w:lvl w:ilvl="5" w:tplc="04090005" w:tentative="1">
      <w:start w:val="1"/>
      <w:numFmt w:val="bullet"/>
      <w:lvlText w:val=""/>
      <w:lvlJc w:val="left"/>
      <w:pPr>
        <w:tabs>
          <w:tab w:val="num" w:pos="5000"/>
        </w:tabs>
        <w:ind w:left="5000" w:hanging="360"/>
      </w:pPr>
      <w:rPr>
        <w:rFonts w:ascii="Wingdings" w:hAnsi="Wingdings" w:hint="default"/>
      </w:rPr>
    </w:lvl>
    <w:lvl w:ilvl="6" w:tplc="04090001" w:tentative="1">
      <w:start w:val="1"/>
      <w:numFmt w:val="bullet"/>
      <w:lvlText w:val=""/>
      <w:lvlJc w:val="left"/>
      <w:pPr>
        <w:tabs>
          <w:tab w:val="num" w:pos="5720"/>
        </w:tabs>
        <w:ind w:left="5720" w:hanging="360"/>
      </w:pPr>
      <w:rPr>
        <w:rFonts w:ascii="Symbol" w:hAnsi="Symbol" w:hint="default"/>
      </w:rPr>
    </w:lvl>
    <w:lvl w:ilvl="7" w:tplc="04090003" w:tentative="1">
      <w:start w:val="1"/>
      <w:numFmt w:val="bullet"/>
      <w:lvlText w:val="o"/>
      <w:lvlJc w:val="left"/>
      <w:pPr>
        <w:tabs>
          <w:tab w:val="num" w:pos="6440"/>
        </w:tabs>
        <w:ind w:left="6440" w:hanging="360"/>
      </w:pPr>
      <w:rPr>
        <w:rFonts w:ascii="Courier New" w:hAnsi="Courier New" w:cs="Courier New" w:hint="default"/>
      </w:rPr>
    </w:lvl>
    <w:lvl w:ilvl="8" w:tplc="04090005" w:tentative="1">
      <w:start w:val="1"/>
      <w:numFmt w:val="bullet"/>
      <w:lvlText w:val=""/>
      <w:lvlJc w:val="left"/>
      <w:pPr>
        <w:tabs>
          <w:tab w:val="num" w:pos="7160"/>
        </w:tabs>
        <w:ind w:left="7160" w:hanging="360"/>
      </w:pPr>
      <w:rPr>
        <w:rFonts w:ascii="Wingdings" w:hAnsi="Wingdings" w:hint="default"/>
      </w:rPr>
    </w:lvl>
  </w:abstractNum>
  <w:abstractNum w:abstractNumId="14" w15:restartNumberingAfterBreak="0">
    <w:nsid w:val="23053325"/>
    <w:multiLevelType w:val="hybridMultilevel"/>
    <w:tmpl w:val="8ECA7A10"/>
    <w:lvl w:ilvl="0" w:tplc="0C090001">
      <w:start w:val="1"/>
      <w:numFmt w:val="bullet"/>
      <w:lvlText w:val=""/>
      <w:lvlJc w:val="left"/>
      <w:pPr>
        <w:ind w:left="1967" w:hanging="360"/>
      </w:pPr>
      <w:rPr>
        <w:rFonts w:ascii="Symbol" w:hAnsi="Symbol" w:hint="default"/>
      </w:rPr>
    </w:lvl>
    <w:lvl w:ilvl="1" w:tplc="0C090003" w:tentative="1">
      <w:start w:val="1"/>
      <w:numFmt w:val="bullet"/>
      <w:lvlText w:val="o"/>
      <w:lvlJc w:val="left"/>
      <w:pPr>
        <w:ind w:left="2687" w:hanging="360"/>
      </w:pPr>
      <w:rPr>
        <w:rFonts w:ascii="Courier New" w:hAnsi="Courier New" w:cs="Courier New" w:hint="default"/>
      </w:rPr>
    </w:lvl>
    <w:lvl w:ilvl="2" w:tplc="0C090005" w:tentative="1">
      <w:start w:val="1"/>
      <w:numFmt w:val="bullet"/>
      <w:lvlText w:val=""/>
      <w:lvlJc w:val="left"/>
      <w:pPr>
        <w:ind w:left="3407" w:hanging="360"/>
      </w:pPr>
      <w:rPr>
        <w:rFonts w:ascii="Wingdings" w:hAnsi="Wingdings" w:hint="default"/>
      </w:rPr>
    </w:lvl>
    <w:lvl w:ilvl="3" w:tplc="0C090001" w:tentative="1">
      <w:start w:val="1"/>
      <w:numFmt w:val="bullet"/>
      <w:lvlText w:val=""/>
      <w:lvlJc w:val="left"/>
      <w:pPr>
        <w:ind w:left="4127" w:hanging="360"/>
      </w:pPr>
      <w:rPr>
        <w:rFonts w:ascii="Symbol" w:hAnsi="Symbol" w:hint="default"/>
      </w:rPr>
    </w:lvl>
    <w:lvl w:ilvl="4" w:tplc="0C090003" w:tentative="1">
      <w:start w:val="1"/>
      <w:numFmt w:val="bullet"/>
      <w:lvlText w:val="o"/>
      <w:lvlJc w:val="left"/>
      <w:pPr>
        <w:ind w:left="4847" w:hanging="360"/>
      </w:pPr>
      <w:rPr>
        <w:rFonts w:ascii="Courier New" w:hAnsi="Courier New" w:cs="Courier New" w:hint="default"/>
      </w:rPr>
    </w:lvl>
    <w:lvl w:ilvl="5" w:tplc="0C090005" w:tentative="1">
      <w:start w:val="1"/>
      <w:numFmt w:val="bullet"/>
      <w:lvlText w:val=""/>
      <w:lvlJc w:val="left"/>
      <w:pPr>
        <w:ind w:left="5567" w:hanging="360"/>
      </w:pPr>
      <w:rPr>
        <w:rFonts w:ascii="Wingdings" w:hAnsi="Wingdings" w:hint="default"/>
      </w:rPr>
    </w:lvl>
    <w:lvl w:ilvl="6" w:tplc="0C090001" w:tentative="1">
      <w:start w:val="1"/>
      <w:numFmt w:val="bullet"/>
      <w:lvlText w:val=""/>
      <w:lvlJc w:val="left"/>
      <w:pPr>
        <w:ind w:left="6287" w:hanging="360"/>
      </w:pPr>
      <w:rPr>
        <w:rFonts w:ascii="Symbol" w:hAnsi="Symbol" w:hint="default"/>
      </w:rPr>
    </w:lvl>
    <w:lvl w:ilvl="7" w:tplc="0C090003" w:tentative="1">
      <w:start w:val="1"/>
      <w:numFmt w:val="bullet"/>
      <w:lvlText w:val="o"/>
      <w:lvlJc w:val="left"/>
      <w:pPr>
        <w:ind w:left="7007" w:hanging="360"/>
      </w:pPr>
      <w:rPr>
        <w:rFonts w:ascii="Courier New" w:hAnsi="Courier New" w:cs="Courier New" w:hint="default"/>
      </w:rPr>
    </w:lvl>
    <w:lvl w:ilvl="8" w:tplc="0C090005" w:tentative="1">
      <w:start w:val="1"/>
      <w:numFmt w:val="bullet"/>
      <w:lvlText w:val=""/>
      <w:lvlJc w:val="left"/>
      <w:pPr>
        <w:ind w:left="7727" w:hanging="360"/>
      </w:pPr>
      <w:rPr>
        <w:rFonts w:ascii="Wingdings" w:hAnsi="Wingdings" w:hint="default"/>
      </w:rPr>
    </w:lvl>
  </w:abstractNum>
  <w:abstractNum w:abstractNumId="15" w15:restartNumberingAfterBreak="0">
    <w:nsid w:val="2D2511E2"/>
    <w:multiLevelType w:val="hybridMultilevel"/>
    <w:tmpl w:val="76BEFA3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25344C7"/>
    <w:multiLevelType w:val="multilevel"/>
    <w:tmpl w:val="6F8CB9FC"/>
    <w:name w:val="new2"/>
    <w:lvl w:ilvl="0">
      <w:start w:val="1"/>
      <w:numFmt w:val="decimal"/>
      <w:lvlText w:val="%1"/>
      <w:lvlJc w:val="left"/>
      <w:pPr>
        <w:tabs>
          <w:tab w:val="num" w:pos="680"/>
        </w:tabs>
        <w:ind w:left="680" w:hanging="680"/>
      </w:pPr>
      <w:rPr>
        <w:rFonts w:hint="default"/>
      </w:rPr>
    </w:lvl>
    <w:lvl w:ilvl="1">
      <w:start w:val="1"/>
      <w:numFmt w:val="decimal"/>
      <w:pStyle w:val="Heading2"/>
      <w:lvlText w:val="%1.%2"/>
      <w:lvlJc w:val="left"/>
      <w:pPr>
        <w:tabs>
          <w:tab w:val="num" w:pos="680"/>
        </w:tabs>
        <w:ind w:left="680" w:hanging="68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29836F3"/>
    <w:multiLevelType w:val="hybridMultilevel"/>
    <w:tmpl w:val="7EBEA42E"/>
    <w:lvl w:ilvl="0" w:tplc="DB1093B8">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8" w15:restartNumberingAfterBreak="0">
    <w:nsid w:val="38683AF6"/>
    <w:multiLevelType w:val="hybridMultilevel"/>
    <w:tmpl w:val="4844C8F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3DAD4F73"/>
    <w:multiLevelType w:val="hybridMultilevel"/>
    <w:tmpl w:val="7F9617E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start w:val="1"/>
      <w:numFmt w:val="bullet"/>
      <w:pStyle w:val="Headinglevel6"/>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2FB596B"/>
    <w:multiLevelType w:val="hybridMultilevel"/>
    <w:tmpl w:val="A1C8FEC8"/>
    <w:lvl w:ilvl="0" w:tplc="18327E24">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1" w15:restartNumberingAfterBreak="0">
    <w:nsid w:val="4A805768"/>
    <w:multiLevelType w:val="multilevel"/>
    <w:tmpl w:val="286AAF76"/>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ascii="Palatino Linotype" w:hAnsi="Palatino Linotype" w:hint="default"/>
        <w:b w:val="0"/>
        <w:i w:val="0"/>
        <w:caps w:val="0"/>
        <w:vanish w:val="0"/>
        <w:w w:val="95"/>
        <w:sz w:val="22"/>
        <w:szCs w:val="22"/>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4366924"/>
    <w:multiLevelType w:val="hybridMultilevel"/>
    <w:tmpl w:val="8A1011B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D4E1D02"/>
    <w:multiLevelType w:val="hybridMultilevel"/>
    <w:tmpl w:val="F8F09E4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F2C4142"/>
    <w:multiLevelType w:val="hybridMultilevel"/>
    <w:tmpl w:val="6C48627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5" w15:restartNumberingAfterBreak="0">
    <w:nsid w:val="76480706"/>
    <w:multiLevelType w:val="hybridMultilevel"/>
    <w:tmpl w:val="6742BB9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7CD465E"/>
    <w:multiLevelType w:val="multilevel"/>
    <w:tmpl w:val="B02867B4"/>
    <w:lvl w:ilvl="0">
      <w:start w:val="1"/>
      <w:numFmt w:val="bullet"/>
      <w:pStyle w:val="ListNumber3"/>
      <w:lvlText w:val=""/>
      <w:lvlJc w:val="left"/>
      <w:pPr>
        <w:tabs>
          <w:tab w:val="num" w:pos="964"/>
        </w:tabs>
        <w:ind w:left="964" w:hanging="284"/>
      </w:pPr>
      <w:rPr>
        <w:rFonts w:ascii="Wingdings" w:hAnsi="Wingdings" w:hint="default"/>
        <w:sz w:val="24"/>
        <w:szCs w:val="24"/>
      </w:rPr>
    </w:lvl>
    <w:lvl w:ilvl="1">
      <w:start w:val="1"/>
      <w:numFmt w:val="bullet"/>
      <w:pStyle w:val="ListNumber3"/>
      <w:lvlText w:val=""/>
      <w:lvlJc w:val="left"/>
      <w:pPr>
        <w:tabs>
          <w:tab w:val="num" w:pos="284"/>
        </w:tabs>
        <w:ind w:left="284" w:hanging="284"/>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79987DE5"/>
    <w:multiLevelType w:val="hybridMultilevel"/>
    <w:tmpl w:val="3B720DC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8" w15:restartNumberingAfterBreak="0">
    <w:nsid w:val="7B512BDD"/>
    <w:multiLevelType w:val="hybridMultilevel"/>
    <w:tmpl w:val="D7C648CC"/>
    <w:lvl w:ilvl="0" w:tplc="0C090001">
      <w:start w:val="1"/>
      <w:numFmt w:val="bullet"/>
      <w:lvlText w:val=""/>
      <w:lvlJc w:val="left"/>
      <w:pPr>
        <w:ind w:left="1335" w:hanging="360"/>
      </w:pPr>
      <w:rPr>
        <w:rFonts w:ascii="Symbol" w:hAnsi="Symbol" w:hint="default"/>
      </w:rPr>
    </w:lvl>
    <w:lvl w:ilvl="1" w:tplc="0C090003" w:tentative="1">
      <w:start w:val="1"/>
      <w:numFmt w:val="bullet"/>
      <w:lvlText w:val="o"/>
      <w:lvlJc w:val="left"/>
      <w:pPr>
        <w:ind w:left="2055" w:hanging="360"/>
      </w:pPr>
      <w:rPr>
        <w:rFonts w:ascii="Courier New" w:hAnsi="Courier New" w:cs="Courier New" w:hint="default"/>
      </w:rPr>
    </w:lvl>
    <w:lvl w:ilvl="2" w:tplc="0C090005" w:tentative="1">
      <w:start w:val="1"/>
      <w:numFmt w:val="bullet"/>
      <w:lvlText w:val=""/>
      <w:lvlJc w:val="left"/>
      <w:pPr>
        <w:ind w:left="2775" w:hanging="360"/>
      </w:pPr>
      <w:rPr>
        <w:rFonts w:ascii="Wingdings" w:hAnsi="Wingdings" w:hint="default"/>
      </w:rPr>
    </w:lvl>
    <w:lvl w:ilvl="3" w:tplc="0C090001" w:tentative="1">
      <w:start w:val="1"/>
      <w:numFmt w:val="bullet"/>
      <w:lvlText w:val=""/>
      <w:lvlJc w:val="left"/>
      <w:pPr>
        <w:ind w:left="3495" w:hanging="360"/>
      </w:pPr>
      <w:rPr>
        <w:rFonts w:ascii="Symbol" w:hAnsi="Symbol" w:hint="default"/>
      </w:rPr>
    </w:lvl>
    <w:lvl w:ilvl="4" w:tplc="0C090003" w:tentative="1">
      <w:start w:val="1"/>
      <w:numFmt w:val="bullet"/>
      <w:lvlText w:val="o"/>
      <w:lvlJc w:val="left"/>
      <w:pPr>
        <w:ind w:left="4215" w:hanging="360"/>
      </w:pPr>
      <w:rPr>
        <w:rFonts w:ascii="Courier New" w:hAnsi="Courier New" w:cs="Courier New" w:hint="default"/>
      </w:rPr>
    </w:lvl>
    <w:lvl w:ilvl="5" w:tplc="0C090005" w:tentative="1">
      <w:start w:val="1"/>
      <w:numFmt w:val="bullet"/>
      <w:lvlText w:val=""/>
      <w:lvlJc w:val="left"/>
      <w:pPr>
        <w:ind w:left="4935" w:hanging="360"/>
      </w:pPr>
      <w:rPr>
        <w:rFonts w:ascii="Wingdings" w:hAnsi="Wingdings" w:hint="default"/>
      </w:rPr>
    </w:lvl>
    <w:lvl w:ilvl="6" w:tplc="0C090001" w:tentative="1">
      <w:start w:val="1"/>
      <w:numFmt w:val="bullet"/>
      <w:lvlText w:val=""/>
      <w:lvlJc w:val="left"/>
      <w:pPr>
        <w:ind w:left="5655" w:hanging="360"/>
      </w:pPr>
      <w:rPr>
        <w:rFonts w:ascii="Symbol" w:hAnsi="Symbol" w:hint="default"/>
      </w:rPr>
    </w:lvl>
    <w:lvl w:ilvl="7" w:tplc="0C090003" w:tentative="1">
      <w:start w:val="1"/>
      <w:numFmt w:val="bullet"/>
      <w:lvlText w:val="o"/>
      <w:lvlJc w:val="left"/>
      <w:pPr>
        <w:ind w:left="6375" w:hanging="360"/>
      </w:pPr>
      <w:rPr>
        <w:rFonts w:ascii="Courier New" w:hAnsi="Courier New" w:cs="Courier New" w:hint="default"/>
      </w:rPr>
    </w:lvl>
    <w:lvl w:ilvl="8" w:tplc="0C090005" w:tentative="1">
      <w:start w:val="1"/>
      <w:numFmt w:val="bullet"/>
      <w:lvlText w:val=""/>
      <w:lvlJc w:val="left"/>
      <w:pPr>
        <w:ind w:left="7095" w:hanging="360"/>
      </w:pPr>
      <w:rPr>
        <w:rFonts w:ascii="Wingdings" w:hAnsi="Wingdings" w:hint="default"/>
      </w:rPr>
    </w:lvl>
  </w:abstractNum>
  <w:num w:numId="1">
    <w:abstractNumId w:val="26"/>
  </w:num>
  <w:num w:numId="2">
    <w:abstractNumId w:val="6"/>
  </w:num>
  <w:num w:numId="3">
    <w:abstractNumId w:val="21"/>
  </w:num>
  <w:num w:numId="4">
    <w:abstractNumId w:val="13"/>
  </w:num>
  <w:num w:numId="5">
    <w:abstractNumId w:val="16"/>
  </w:num>
  <w:num w:numId="6">
    <w:abstractNumId w:val="11"/>
    <w:lvlOverride w:ilvl="0">
      <w:lvl w:ilvl="0">
        <w:start w:val="1"/>
        <w:numFmt w:val="decimal"/>
        <w:pStyle w:val="Heading1"/>
        <w:lvlText w:val="%1"/>
        <w:lvlJc w:val="left"/>
        <w:pPr>
          <w:tabs>
            <w:tab w:val="num" w:pos="6918"/>
          </w:tabs>
          <w:ind w:left="6805" w:hanging="567"/>
        </w:pPr>
        <w:rPr>
          <w:rFonts w:ascii="Arial Narrow" w:hAnsi="Arial Narrow" w:hint="default"/>
          <w:b/>
          <w:i w:val="0"/>
          <w:sz w:val="44"/>
        </w:rPr>
      </w:lvl>
    </w:lvlOverride>
    <w:lvlOverride w:ilvl="1">
      <w:lvl w:ilvl="1">
        <w:start w:val="1"/>
        <w:numFmt w:val="none"/>
        <w:lvlRestart w:val="0"/>
        <w:pStyle w:val="Headinglevel2"/>
        <w:lvlText w:val=""/>
        <w:lvlJc w:val="left"/>
        <w:pPr>
          <w:tabs>
            <w:tab w:val="num" w:pos="680"/>
          </w:tabs>
          <w:ind w:left="454" w:hanging="454"/>
        </w:pPr>
        <w:rPr>
          <w:rFonts w:ascii="Palatino Linotype" w:hAnsi="Palatino Linotype" w:hint="default"/>
          <w:b w:val="0"/>
          <w:i w:val="0"/>
          <w:caps w:val="0"/>
          <w:vanish w:val="0"/>
          <w:w w:val="95"/>
          <w:sz w:val="22"/>
          <w:szCs w:val="22"/>
        </w:rPr>
      </w:lvl>
    </w:lvlOverride>
    <w:lvlOverride w:ilvl="2">
      <w:lvl w:ilvl="2">
        <w:start w:val="1"/>
        <w:numFmt w:val="none"/>
        <w:lvlRestart w:val="0"/>
        <w:pStyle w:val="Headinglevel3"/>
        <w:lvlText w:val=""/>
        <w:lvlJc w:val="left"/>
        <w:pPr>
          <w:tabs>
            <w:tab w:val="num" w:pos="720"/>
          </w:tabs>
          <w:ind w:left="454" w:hanging="454"/>
        </w:pPr>
        <w:rPr>
          <w:rFonts w:hint="default"/>
        </w:rPr>
      </w:lvl>
    </w:lvlOverride>
    <w:lvlOverride w:ilvl="3">
      <w:lvl w:ilvl="3">
        <w:start w:val="1"/>
        <w:numFmt w:val="none"/>
        <w:lvlRestart w:val="0"/>
        <w:pStyle w:val="Headinglevel4"/>
        <w:lvlText w:val=""/>
        <w:lvlJc w:val="left"/>
        <w:pPr>
          <w:tabs>
            <w:tab w:val="num" w:pos="864"/>
          </w:tabs>
          <w:ind w:left="340" w:hanging="340"/>
        </w:pPr>
        <w:rPr>
          <w:rFonts w:hint="default"/>
        </w:rPr>
      </w:lvl>
    </w:lvlOverride>
    <w:lvlOverride w:ilvl="4">
      <w:lvl w:ilvl="4">
        <w:start w:val="1"/>
        <w:numFmt w:val="none"/>
        <w:lvlRestart w:val="0"/>
        <w:pStyle w:val="Headinglevel5"/>
        <w:lvlText w:val=""/>
        <w:lvlJc w:val="left"/>
        <w:pPr>
          <w:tabs>
            <w:tab w:val="num" w:pos="1008"/>
          </w:tabs>
          <w:ind w:left="340" w:hanging="340"/>
        </w:pPr>
        <w:rPr>
          <w:rFonts w:hint="default"/>
        </w:rPr>
      </w:lvl>
    </w:lvlOverride>
    <w:lvlOverride w:ilvl="5">
      <w:lvl w:ilvl="5">
        <w:start w:val="1"/>
        <w:numFmt w:val="decimal"/>
        <w:lvlRestart w:val="1"/>
        <w:pStyle w:val="BodyText1"/>
        <w:lvlText w:val="%1.%6"/>
        <w:lvlJc w:val="left"/>
        <w:pPr>
          <w:ind w:left="567" w:hanging="567"/>
        </w:pPr>
        <w:rPr>
          <w:rFonts w:ascii="Calibri" w:hAnsi="Calibri" w:hint="default"/>
          <w:sz w:val="22"/>
        </w:rPr>
      </w:lvl>
    </w:lvlOverride>
    <w:lvlOverride w:ilvl="6">
      <w:lvl w:ilvl="6">
        <w:start w:val="1"/>
        <w:numFmt w:val="decimal"/>
        <w:lvlRestart w:val="0"/>
        <w:pStyle w:val="Recommendation"/>
        <w:lvlText w:val="Recommendation %7"/>
        <w:lvlJc w:val="left"/>
        <w:pPr>
          <w:ind w:left="142" w:firstLine="0"/>
        </w:pPr>
        <w:rPr>
          <w:rFonts w:ascii="Arial Narrow" w:hAnsi="Arial Narrow" w:hint="default"/>
          <w:b/>
          <w:i w:val="0"/>
          <w:sz w:val="28"/>
        </w:rPr>
      </w:lvl>
    </w:lvlOverride>
    <w:lvlOverride w:ilvl="7">
      <w:lvl w:ilvl="7">
        <w:start w:val="1"/>
        <w:numFmt w:val="upperLetter"/>
        <w:pStyle w:val="AppendixHeading1"/>
        <w:lvlText w:val="Appendix %8"/>
        <w:lvlJc w:val="left"/>
        <w:pPr>
          <w:tabs>
            <w:tab w:val="num" w:pos="1440"/>
          </w:tabs>
          <w:ind w:left="1440" w:hanging="144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8">
      <w:lvl w:ilvl="8">
        <w:start w:val="1"/>
        <w:numFmt w:val="decimal"/>
        <w:lvlText w:val="%1.%2.%3.%4.%5.%6.%7.%8.%9"/>
        <w:lvlJc w:val="left"/>
        <w:pPr>
          <w:tabs>
            <w:tab w:val="num" w:pos="1584"/>
          </w:tabs>
          <w:ind w:left="1584" w:hanging="1584"/>
        </w:pPr>
        <w:rPr>
          <w:rFonts w:hint="default"/>
        </w:rPr>
      </w:lvl>
    </w:lvlOverride>
  </w:num>
  <w:num w:numId="7">
    <w:abstractNumId w:val="5"/>
  </w:num>
  <w:num w:numId="8">
    <w:abstractNumId w:val="4"/>
  </w:num>
  <w:num w:numId="9">
    <w:abstractNumId w:val="3"/>
  </w:num>
  <w:num w:numId="10">
    <w:abstractNumId w:val="7"/>
  </w:num>
  <w:num w:numId="11">
    <w:abstractNumId w:val="2"/>
  </w:num>
  <w:num w:numId="12">
    <w:abstractNumId w:val="1"/>
  </w:num>
  <w:num w:numId="13">
    <w:abstractNumId w:val="0"/>
  </w:num>
  <w:num w:numId="14">
    <w:abstractNumId w:val="19"/>
  </w:num>
  <w:num w:numId="15">
    <w:abstractNumId w:val="23"/>
  </w:num>
  <w:num w:numId="16">
    <w:abstractNumId w:val="22"/>
  </w:num>
  <w:num w:numId="17">
    <w:abstractNumId w:val="15"/>
  </w:num>
  <w:num w:numId="18">
    <w:abstractNumId w:val="11"/>
  </w:num>
  <w:num w:numId="19">
    <w:abstractNumId w:val="11"/>
    <w:lvlOverride w:ilvl="0">
      <w:lvl w:ilvl="0">
        <w:start w:val="1"/>
        <w:numFmt w:val="decimal"/>
        <w:pStyle w:val="Heading1"/>
        <w:lvlText w:val="%1"/>
        <w:lvlJc w:val="left"/>
        <w:pPr>
          <w:tabs>
            <w:tab w:val="num" w:pos="680"/>
          </w:tabs>
          <w:ind w:left="567" w:hanging="567"/>
        </w:pPr>
        <w:rPr>
          <w:rFonts w:ascii="Arial Narrow" w:hAnsi="Arial Narrow" w:hint="default"/>
          <w:b/>
          <w:i w:val="0"/>
          <w:sz w:val="44"/>
        </w:rPr>
      </w:lvl>
    </w:lvlOverride>
    <w:lvlOverride w:ilvl="1">
      <w:lvl w:ilvl="1">
        <w:start w:val="1"/>
        <w:numFmt w:val="none"/>
        <w:lvlRestart w:val="0"/>
        <w:pStyle w:val="Headinglevel2"/>
        <w:lvlText w:val=""/>
        <w:lvlJc w:val="left"/>
        <w:pPr>
          <w:tabs>
            <w:tab w:val="num" w:pos="680"/>
          </w:tabs>
          <w:ind w:left="454" w:hanging="454"/>
        </w:pPr>
        <w:rPr>
          <w:rFonts w:ascii="Palatino Linotype" w:hAnsi="Palatino Linotype" w:hint="default"/>
          <w:b w:val="0"/>
          <w:i w:val="0"/>
          <w:caps w:val="0"/>
          <w:vanish w:val="0"/>
          <w:w w:val="95"/>
          <w:sz w:val="22"/>
          <w:szCs w:val="22"/>
        </w:rPr>
      </w:lvl>
    </w:lvlOverride>
    <w:lvlOverride w:ilvl="2">
      <w:lvl w:ilvl="2">
        <w:start w:val="1"/>
        <w:numFmt w:val="none"/>
        <w:lvlRestart w:val="0"/>
        <w:pStyle w:val="Headinglevel3"/>
        <w:lvlText w:val=""/>
        <w:lvlJc w:val="left"/>
        <w:pPr>
          <w:tabs>
            <w:tab w:val="num" w:pos="720"/>
          </w:tabs>
          <w:ind w:left="454" w:hanging="454"/>
        </w:pPr>
        <w:rPr>
          <w:rFonts w:hint="default"/>
        </w:rPr>
      </w:lvl>
    </w:lvlOverride>
    <w:lvlOverride w:ilvl="3">
      <w:lvl w:ilvl="3">
        <w:start w:val="1"/>
        <w:numFmt w:val="none"/>
        <w:lvlRestart w:val="0"/>
        <w:pStyle w:val="Headinglevel4"/>
        <w:lvlText w:val=""/>
        <w:lvlJc w:val="left"/>
        <w:pPr>
          <w:tabs>
            <w:tab w:val="num" w:pos="864"/>
          </w:tabs>
          <w:ind w:left="340" w:hanging="340"/>
        </w:pPr>
        <w:rPr>
          <w:rFonts w:hint="default"/>
        </w:rPr>
      </w:lvl>
    </w:lvlOverride>
    <w:lvlOverride w:ilvl="4">
      <w:lvl w:ilvl="4">
        <w:start w:val="1"/>
        <w:numFmt w:val="none"/>
        <w:lvlRestart w:val="0"/>
        <w:pStyle w:val="Headinglevel5"/>
        <w:lvlText w:val=""/>
        <w:lvlJc w:val="left"/>
        <w:pPr>
          <w:tabs>
            <w:tab w:val="num" w:pos="1008"/>
          </w:tabs>
          <w:ind w:left="340" w:hanging="340"/>
        </w:pPr>
        <w:rPr>
          <w:rFonts w:hint="default"/>
        </w:rPr>
      </w:lvl>
    </w:lvlOverride>
    <w:lvlOverride w:ilvl="5">
      <w:lvl w:ilvl="5">
        <w:start w:val="1"/>
        <w:numFmt w:val="decimal"/>
        <w:lvlRestart w:val="1"/>
        <w:pStyle w:val="BodyText1"/>
        <w:lvlText w:val="%1.%6"/>
        <w:lvlJc w:val="left"/>
        <w:pPr>
          <w:ind w:left="567" w:hanging="567"/>
        </w:pPr>
        <w:rPr>
          <w:rFonts w:ascii="Calibri" w:hAnsi="Calibri" w:hint="default"/>
          <w:sz w:val="22"/>
        </w:rPr>
      </w:lvl>
    </w:lvlOverride>
    <w:lvlOverride w:ilvl="6">
      <w:lvl w:ilvl="6">
        <w:start w:val="1"/>
        <w:numFmt w:val="decimal"/>
        <w:lvlRestart w:val="0"/>
        <w:pStyle w:val="Recommendation"/>
        <w:lvlText w:val="Recommendation %7"/>
        <w:lvlJc w:val="left"/>
        <w:pPr>
          <w:ind w:left="142" w:firstLine="0"/>
        </w:pPr>
        <w:rPr>
          <w:rFonts w:ascii="Arial Narrow" w:hAnsi="Arial Narrow" w:hint="default"/>
          <w:b/>
          <w:i w:val="0"/>
          <w:sz w:val="28"/>
        </w:rPr>
      </w:lvl>
    </w:lvlOverride>
    <w:lvlOverride w:ilvl="7">
      <w:lvl w:ilvl="7">
        <w:start w:val="1"/>
        <w:numFmt w:val="upperLetter"/>
        <w:pStyle w:val="AppendixHeading1"/>
        <w:lvlText w:val="Appendix %8"/>
        <w:lvlJc w:val="left"/>
        <w:pPr>
          <w:tabs>
            <w:tab w:val="num" w:pos="1440"/>
          </w:tabs>
          <w:ind w:left="1440" w:hanging="144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8">
      <w:lvl w:ilvl="8">
        <w:start w:val="1"/>
        <w:numFmt w:val="decimal"/>
        <w:lvlText w:val="%1.%2.%3.%4.%5.%6.%7.%8.%9"/>
        <w:lvlJc w:val="left"/>
        <w:pPr>
          <w:tabs>
            <w:tab w:val="num" w:pos="1584"/>
          </w:tabs>
          <w:ind w:left="1584" w:hanging="1584"/>
        </w:pPr>
        <w:rPr>
          <w:rFonts w:hint="default"/>
        </w:rPr>
      </w:lvl>
    </w:lvlOverride>
  </w:num>
  <w:num w:numId="20">
    <w:abstractNumId w:val="12"/>
  </w:num>
  <w:num w:numId="21">
    <w:abstractNumId w:val="25"/>
  </w:num>
  <w:num w:numId="22">
    <w:abstractNumId w:val="24"/>
  </w:num>
  <w:num w:numId="23">
    <w:abstractNumId w:val="9"/>
  </w:num>
  <w:num w:numId="24">
    <w:abstractNumId w:val="18"/>
  </w:num>
  <w:num w:numId="25">
    <w:abstractNumId w:val="20"/>
  </w:num>
  <w:num w:numId="26">
    <w:abstractNumId w:val="11"/>
    <w:lvlOverride w:ilvl="0">
      <w:lvl w:ilvl="0">
        <w:start w:val="1"/>
        <w:numFmt w:val="decimal"/>
        <w:pStyle w:val="Heading1"/>
        <w:lvlText w:val="%1"/>
        <w:lvlJc w:val="left"/>
        <w:pPr>
          <w:tabs>
            <w:tab w:val="num" w:pos="680"/>
          </w:tabs>
          <w:ind w:left="567" w:hanging="567"/>
        </w:pPr>
        <w:rPr>
          <w:rFonts w:ascii="Arial Narrow" w:hAnsi="Arial Narrow" w:hint="default"/>
          <w:b/>
          <w:i w:val="0"/>
          <w:sz w:val="44"/>
        </w:rPr>
      </w:lvl>
    </w:lvlOverride>
    <w:lvlOverride w:ilvl="1">
      <w:lvl w:ilvl="1">
        <w:start w:val="1"/>
        <w:numFmt w:val="none"/>
        <w:lvlRestart w:val="0"/>
        <w:pStyle w:val="Headinglevel2"/>
        <w:lvlText w:val=""/>
        <w:lvlJc w:val="left"/>
        <w:pPr>
          <w:tabs>
            <w:tab w:val="num" w:pos="680"/>
          </w:tabs>
          <w:ind w:left="454" w:hanging="454"/>
        </w:pPr>
        <w:rPr>
          <w:rFonts w:ascii="Palatino Linotype" w:hAnsi="Palatino Linotype" w:hint="default"/>
          <w:b w:val="0"/>
          <w:i w:val="0"/>
          <w:caps w:val="0"/>
          <w:vanish w:val="0"/>
          <w:w w:val="95"/>
          <w:sz w:val="22"/>
          <w:szCs w:val="22"/>
        </w:rPr>
      </w:lvl>
    </w:lvlOverride>
    <w:lvlOverride w:ilvl="2">
      <w:lvl w:ilvl="2">
        <w:start w:val="1"/>
        <w:numFmt w:val="none"/>
        <w:lvlRestart w:val="0"/>
        <w:pStyle w:val="Headinglevel3"/>
        <w:lvlText w:val=""/>
        <w:lvlJc w:val="left"/>
        <w:pPr>
          <w:tabs>
            <w:tab w:val="num" w:pos="720"/>
          </w:tabs>
          <w:ind w:left="454" w:hanging="454"/>
        </w:pPr>
        <w:rPr>
          <w:rFonts w:hint="default"/>
        </w:rPr>
      </w:lvl>
    </w:lvlOverride>
    <w:lvlOverride w:ilvl="3">
      <w:lvl w:ilvl="3">
        <w:start w:val="1"/>
        <w:numFmt w:val="none"/>
        <w:lvlRestart w:val="0"/>
        <w:pStyle w:val="Headinglevel4"/>
        <w:lvlText w:val=""/>
        <w:lvlJc w:val="left"/>
        <w:pPr>
          <w:tabs>
            <w:tab w:val="num" w:pos="864"/>
          </w:tabs>
          <w:ind w:left="340" w:hanging="340"/>
        </w:pPr>
        <w:rPr>
          <w:rFonts w:hint="default"/>
        </w:rPr>
      </w:lvl>
    </w:lvlOverride>
    <w:lvlOverride w:ilvl="4">
      <w:lvl w:ilvl="4">
        <w:start w:val="1"/>
        <w:numFmt w:val="none"/>
        <w:lvlRestart w:val="0"/>
        <w:pStyle w:val="Headinglevel5"/>
        <w:lvlText w:val=""/>
        <w:lvlJc w:val="left"/>
        <w:pPr>
          <w:tabs>
            <w:tab w:val="num" w:pos="1008"/>
          </w:tabs>
          <w:ind w:left="340" w:hanging="340"/>
        </w:pPr>
        <w:rPr>
          <w:rFonts w:hint="default"/>
        </w:rPr>
      </w:lvl>
    </w:lvlOverride>
    <w:lvlOverride w:ilvl="5">
      <w:lvl w:ilvl="5">
        <w:start w:val="1"/>
        <w:numFmt w:val="decimal"/>
        <w:lvlRestart w:val="1"/>
        <w:pStyle w:val="BodyText1"/>
        <w:lvlText w:val="%1.%6"/>
        <w:lvlJc w:val="left"/>
        <w:pPr>
          <w:ind w:left="567" w:hanging="567"/>
        </w:pPr>
        <w:rPr>
          <w:rFonts w:ascii="Calibri" w:hAnsi="Calibri" w:hint="default"/>
          <w:b w:val="0"/>
          <w:bCs w:val="0"/>
          <w:i w:val="0"/>
          <w:iCs/>
          <w:caps w:val="0"/>
          <w:smallCaps w:val="0"/>
          <w:strike w:val="0"/>
          <w:dstrike w:val="0"/>
          <w:outline w:val="0"/>
          <w:shadow w:val="0"/>
          <w:emboss w:val="0"/>
          <w:imprint w:val="0"/>
          <w:color w:val="auto"/>
          <w:spacing w:val="0"/>
          <w:w w:val="100"/>
          <w:kern w:val="0"/>
          <w:position w:val="0"/>
          <w:sz w:val="22"/>
          <w:u w:val="none"/>
          <w:effect w:val="none"/>
          <w:bdr w:val="none" w:sz="0" w:space="0" w:color="auto"/>
          <w:shd w:val="clear" w:color="auto" w:fill="auto"/>
          <w:vertAlign w:val="baseline"/>
          <w:em w:val="none"/>
        </w:rPr>
      </w:lvl>
    </w:lvlOverride>
    <w:lvlOverride w:ilvl="6">
      <w:lvl w:ilvl="6">
        <w:start w:val="1"/>
        <w:numFmt w:val="decimal"/>
        <w:lvlRestart w:val="0"/>
        <w:pStyle w:val="Recommendation"/>
        <w:lvlText w:val="Recommendation %7"/>
        <w:lvlJc w:val="left"/>
        <w:pPr>
          <w:ind w:left="142" w:firstLine="0"/>
        </w:pPr>
        <w:rPr>
          <w:rFonts w:ascii="Arial Narrow" w:hAnsi="Arial Narrow" w:hint="default"/>
          <w:b/>
          <w:i w:val="0"/>
          <w:sz w:val="28"/>
        </w:rPr>
      </w:lvl>
    </w:lvlOverride>
    <w:lvlOverride w:ilvl="7">
      <w:lvl w:ilvl="7">
        <w:start w:val="1"/>
        <w:numFmt w:val="upperLetter"/>
        <w:pStyle w:val="AppendixHeading1"/>
        <w:lvlText w:val="Appendix %8"/>
        <w:lvlJc w:val="left"/>
        <w:pPr>
          <w:tabs>
            <w:tab w:val="num" w:pos="1440"/>
          </w:tabs>
          <w:ind w:left="1440" w:hanging="144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8">
      <w:lvl w:ilvl="8">
        <w:start w:val="1"/>
        <w:numFmt w:val="decimal"/>
        <w:lvlText w:val="%1.%2.%3.%4.%5.%6.%7.%8.%9"/>
        <w:lvlJc w:val="left"/>
        <w:pPr>
          <w:tabs>
            <w:tab w:val="num" w:pos="1584"/>
          </w:tabs>
          <w:ind w:left="1584" w:hanging="1584"/>
        </w:pPr>
        <w:rPr>
          <w:rFonts w:hint="default"/>
        </w:rPr>
      </w:lvl>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7"/>
  </w:num>
  <w:num w:numId="30">
    <w:abstractNumId w:val="14"/>
  </w:num>
  <w:num w:numId="31">
    <w:abstractNumId w:val="17"/>
  </w:num>
  <w:num w:numId="32">
    <w:abstractNumId w:val="8"/>
  </w:num>
  <w:num w:numId="33">
    <w:abstractNumId w:val="11"/>
    <w:lvlOverride w:ilvl="0">
      <w:lvl w:ilvl="0">
        <w:start w:val="1"/>
        <w:numFmt w:val="decimal"/>
        <w:pStyle w:val="Heading1"/>
        <w:lvlText w:val="%1"/>
        <w:lvlJc w:val="left"/>
        <w:pPr>
          <w:tabs>
            <w:tab w:val="num" w:pos="6918"/>
          </w:tabs>
          <w:ind w:left="6805" w:hanging="567"/>
        </w:pPr>
        <w:rPr>
          <w:rFonts w:ascii="Arial Narrow" w:hAnsi="Arial Narrow" w:hint="default"/>
          <w:b/>
          <w:i w:val="0"/>
          <w:sz w:val="44"/>
        </w:rPr>
      </w:lvl>
    </w:lvlOverride>
    <w:lvlOverride w:ilvl="1">
      <w:lvl w:ilvl="1">
        <w:start w:val="1"/>
        <w:numFmt w:val="none"/>
        <w:lvlRestart w:val="0"/>
        <w:pStyle w:val="Headinglevel2"/>
        <w:lvlText w:val=""/>
        <w:lvlJc w:val="left"/>
        <w:pPr>
          <w:tabs>
            <w:tab w:val="num" w:pos="680"/>
          </w:tabs>
          <w:ind w:left="454" w:hanging="454"/>
        </w:pPr>
        <w:rPr>
          <w:rFonts w:ascii="Palatino Linotype" w:hAnsi="Palatino Linotype" w:hint="default"/>
          <w:b w:val="0"/>
          <w:i w:val="0"/>
          <w:caps w:val="0"/>
          <w:vanish w:val="0"/>
          <w:w w:val="95"/>
          <w:sz w:val="22"/>
          <w:szCs w:val="22"/>
        </w:rPr>
      </w:lvl>
    </w:lvlOverride>
    <w:lvlOverride w:ilvl="2">
      <w:lvl w:ilvl="2">
        <w:start w:val="1"/>
        <w:numFmt w:val="none"/>
        <w:lvlRestart w:val="0"/>
        <w:pStyle w:val="Headinglevel3"/>
        <w:lvlText w:val=""/>
        <w:lvlJc w:val="left"/>
        <w:pPr>
          <w:tabs>
            <w:tab w:val="num" w:pos="720"/>
          </w:tabs>
          <w:ind w:left="454" w:hanging="454"/>
        </w:pPr>
        <w:rPr>
          <w:rFonts w:hint="default"/>
        </w:rPr>
      </w:lvl>
    </w:lvlOverride>
    <w:lvlOverride w:ilvl="3">
      <w:lvl w:ilvl="3">
        <w:start w:val="1"/>
        <w:numFmt w:val="none"/>
        <w:lvlRestart w:val="0"/>
        <w:pStyle w:val="Headinglevel4"/>
        <w:lvlText w:val=""/>
        <w:lvlJc w:val="left"/>
        <w:pPr>
          <w:tabs>
            <w:tab w:val="num" w:pos="864"/>
          </w:tabs>
          <w:ind w:left="340" w:hanging="340"/>
        </w:pPr>
        <w:rPr>
          <w:rFonts w:hint="default"/>
        </w:rPr>
      </w:lvl>
    </w:lvlOverride>
    <w:lvlOverride w:ilvl="4">
      <w:lvl w:ilvl="4">
        <w:start w:val="1"/>
        <w:numFmt w:val="none"/>
        <w:lvlRestart w:val="0"/>
        <w:pStyle w:val="Headinglevel5"/>
        <w:lvlText w:val=""/>
        <w:lvlJc w:val="left"/>
        <w:pPr>
          <w:tabs>
            <w:tab w:val="num" w:pos="1008"/>
          </w:tabs>
          <w:ind w:left="340" w:hanging="340"/>
        </w:pPr>
        <w:rPr>
          <w:rFonts w:hint="default"/>
        </w:rPr>
      </w:lvl>
    </w:lvlOverride>
    <w:lvlOverride w:ilvl="5">
      <w:lvl w:ilvl="5">
        <w:start w:val="1"/>
        <w:numFmt w:val="decimal"/>
        <w:lvlRestart w:val="1"/>
        <w:pStyle w:val="BodyText1"/>
        <w:lvlText w:val="%1.%6"/>
        <w:lvlJc w:val="left"/>
        <w:pPr>
          <w:ind w:left="567" w:hanging="567"/>
        </w:pPr>
        <w:rPr>
          <w:rFonts w:ascii="Calibri" w:hAnsi="Calibri" w:hint="default"/>
          <w:sz w:val="22"/>
        </w:rPr>
      </w:lvl>
    </w:lvlOverride>
    <w:lvlOverride w:ilvl="6">
      <w:lvl w:ilvl="6">
        <w:start w:val="1"/>
        <w:numFmt w:val="decimal"/>
        <w:lvlRestart w:val="0"/>
        <w:pStyle w:val="Recommendation"/>
        <w:lvlText w:val="Recommendation %7"/>
        <w:lvlJc w:val="left"/>
        <w:pPr>
          <w:ind w:left="142" w:firstLine="0"/>
        </w:pPr>
        <w:rPr>
          <w:rFonts w:ascii="Arial Narrow" w:hAnsi="Arial Narrow" w:hint="default"/>
          <w:b/>
          <w:i w:val="0"/>
          <w:sz w:val="28"/>
        </w:rPr>
      </w:lvl>
    </w:lvlOverride>
    <w:lvlOverride w:ilvl="7">
      <w:lvl w:ilvl="7">
        <w:start w:val="1"/>
        <w:numFmt w:val="upperLetter"/>
        <w:pStyle w:val="AppendixHeading1"/>
        <w:lvlText w:val="Appendix %8"/>
        <w:lvlJc w:val="left"/>
        <w:pPr>
          <w:tabs>
            <w:tab w:val="num" w:pos="1440"/>
          </w:tabs>
          <w:ind w:left="1440" w:hanging="144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8">
      <w:lvl w:ilvl="8">
        <w:start w:val="1"/>
        <w:numFmt w:val="decimal"/>
        <w:lvlText w:val="%1.%2.%3.%4.%5.%6.%7.%8.%9"/>
        <w:lvlJc w:val="left"/>
        <w:pPr>
          <w:tabs>
            <w:tab w:val="num" w:pos="1584"/>
          </w:tabs>
          <w:ind w:left="1584" w:hanging="1584"/>
        </w:pPr>
        <w:rPr>
          <w:rFonts w:hint="default"/>
        </w:rPr>
      </w:lvl>
    </w:lvlOverride>
  </w:num>
  <w:num w:numId="34">
    <w:abstractNumId w:val="11"/>
    <w:lvlOverride w:ilvl="0">
      <w:lvl w:ilvl="0">
        <w:start w:val="1"/>
        <w:numFmt w:val="decimal"/>
        <w:pStyle w:val="Heading1"/>
        <w:lvlText w:val="%1"/>
        <w:lvlJc w:val="left"/>
        <w:pPr>
          <w:tabs>
            <w:tab w:val="num" w:pos="6918"/>
          </w:tabs>
          <w:ind w:left="6805" w:hanging="567"/>
        </w:pPr>
        <w:rPr>
          <w:rFonts w:ascii="Arial Narrow" w:hAnsi="Arial Narrow" w:hint="default"/>
          <w:b/>
          <w:i w:val="0"/>
          <w:sz w:val="44"/>
        </w:rPr>
      </w:lvl>
    </w:lvlOverride>
    <w:lvlOverride w:ilvl="1">
      <w:lvl w:ilvl="1">
        <w:start w:val="1"/>
        <w:numFmt w:val="none"/>
        <w:lvlRestart w:val="0"/>
        <w:pStyle w:val="Headinglevel2"/>
        <w:lvlText w:val=""/>
        <w:lvlJc w:val="left"/>
        <w:pPr>
          <w:tabs>
            <w:tab w:val="num" w:pos="680"/>
          </w:tabs>
          <w:ind w:left="454" w:hanging="454"/>
        </w:pPr>
        <w:rPr>
          <w:rFonts w:ascii="Palatino Linotype" w:hAnsi="Palatino Linotype" w:hint="default"/>
          <w:b w:val="0"/>
          <w:i w:val="0"/>
          <w:caps w:val="0"/>
          <w:vanish w:val="0"/>
          <w:w w:val="95"/>
          <w:sz w:val="22"/>
          <w:szCs w:val="22"/>
        </w:rPr>
      </w:lvl>
    </w:lvlOverride>
    <w:lvlOverride w:ilvl="2">
      <w:lvl w:ilvl="2">
        <w:start w:val="1"/>
        <w:numFmt w:val="none"/>
        <w:lvlRestart w:val="0"/>
        <w:pStyle w:val="Headinglevel3"/>
        <w:lvlText w:val=""/>
        <w:lvlJc w:val="left"/>
        <w:pPr>
          <w:tabs>
            <w:tab w:val="num" w:pos="720"/>
          </w:tabs>
          <w:ind w:left="454" w:hanging="454"/>
        </w:pPr>
        <w:rPr>
          <w:rFonts w:hint="default"/>
        </w:rPr>
      </w:lvl>
    </w:lvlOverride>
    <w:lvlOverride w:ilvl="3">
      <w:lvl w:ilvl="3">
        <w:start w:val="1"/>
        <w:numFmt w:val="none"/>
        <w:lvlRestart w:val="0"/>
        <w:pStyle w:val="Headinglevel4"/>
        <w:lvlText w:val=""/>
        <w:lvlJc w:val="left"/>
        <w:pPr>
          <w:tabs>
            <w:tab w:val="num" w:pos="864"/>
          </w:tabs>
          <w:ind w:left="340" w:hanging="340"/>
        </w:pPr>
        <w:rPr>
          <w:rFonts w:hint="default"/>
        </w:rPr>
      </w:lvl>
    </w:lvlOverride>
    <w:lvlOverride w:ilvl="4">
      <w:lvl w:ilvl="4">
        <w:start w:val="1"/>
        <w:numFmt w:val="none"/>
        <w:lvlRestart w:val="0"/>
        <w:pStyle w:val="Headinglevel5"/>
        <w:lvlText w:val=""/>
        <w:lvlJc w:val="left"/>
        <w:pPr>
          <w:tabs>
            <w:tab w:val="num" w:pos="1008"/>
          </w:tabs>
          <w:ind w:left="340" w:hanging="340"/>
        </w:pPr>
        <w:rPr>
          <w:rFonts w:hint="default"/>
        </w:rPr>
      </w:lvl>
    </w:lvlOverride>
    <w:lvlOverride w:ilvl="5">
      <w:lvl w:ilvl="5">
        <w:start w:val="1"/>
        <w:numFmt w:val="decimal"/>
        <w:lvlRestart w:val="1"/>
        <w:pStyle w:val="BodyText1"/>
        <w:lvlText w:val="%1.%6"/>
        <w:lvlJc w:val="left"/>
        <w:pPr>
          <w:ind w:left="567" w:hanging="567"/>
        </w:pPr>
        <w:rPr>
          <w:rFonts w:ascii="Calibri" w:hAnsi="Calibri" w:hint="default"/>
          <w:sz w:val="22"/>
        </w:rPr>
      </w:lvl>
    </w:lvlOverride>
    <w:lvlOverride w:ilvl="6">
      <w:lvl w:ilvl="6">
        <w:start w:val="1"/>
        <w:numFmt w:val="decimal"/>
        <w:lvlRestart w:val="0"/>
        <w:pStyle w:val="Recommendation"/>
        <w:lvlText w:val="Recommendation %7"/>
        <w:lvlJc w:val="left"/>
        <w:pPr>
          <w:ind w:left="142" w:firstLine="0"/>
        </w:pPr>
        <w:rPr>
          <w:rFonts w:ascii="Arial Narrow" w:hAnsi="Arial Narrow" w:hint="default"/>
          <w:b/>
          <w:i w:val="0"/>
          <w:sz w:val="28"/>
        </w:rPr>
      </w:lvl>
    </w:lvlOverride>
    <w:lvlOverride w:ilvl="7">
      <w:lvl w:ilvl="7">
        <w:start w:val="1"/>
        <w:numFmt w:val="upperLetter"/>
        <w:pStyle w:val="AppendixHeading1"/>
        <w:lvlText w:val="Appendix %8"/>
        <w:lvlJc w:val="left"/>
        <w:pPr>
          <w:tabs>
            <w:tab w:val="num" w:pos="1440"/>
          </w:tabs>
          <w:ind w:left="1440" w:hanging="144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8">
      <w:lvl w:ilvl="8">
        <w:start w:val="1"/>
        <w:numFmt w:val="decimal"/>
        <w:lvlText w:val="%1.%2.%3.%4.%5.%6.%7.%8.%9"/>
        <w:lvlJc w:val="left"/>
        <w:pPr>
          <w:tabs>
            <w:tab w:val="num" w:pos="1584"/>
          </w:tabs>
          <w:ind w:left="1584" w:hanging="1584"/>
        </w:pPr>
        <w:rPr>
          <w:rFonts w:hint="default"/>
        </w:rPr>
      </w:lvl>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C26"/>
    <w:rsid w:val="000229E8"/>
    <w:rsid w:val="00050D38"/>
    <w:rsid w:val="00080A07"/>
    <w:rsid w:val="00093B6D"/>
    <w:rsid w:val="000B2A36"/>
    <w:rsid w:val="000E0F3A"/>
    <w:rsid w:val="001042FD"/>
    <w:rsid w:val="002E5574"/>
    <w:rsid w:val="002F29F6"/>
    <w:rsid w:val="003265F2"/>
    <w:rsid w:val="00330A7E"/>
    <w:rsid w:val="00362D65"/>
    <w:rsid w:val="00372DCA"/>
    <w:rsid w:val="003745A3"/>
    <w:rsid w:val="00380A6D"/>
    <w:rsid w:val="003A1792"/>
    <w:rsid w:val="003D5C0C"/>
    <w:rsid w:val="00454E66"/>
    <w:rsid w:val="005722A6"/>
    <w:rsid w:val="0058160C"/>
    <w:rsid w:val="00596539"/>
    <w:rsid w:val="005B4EEA"/>
    <w:rsid w:val="00644149"/>
    <w:rsid w:val="006707FB"/>
    <w:rsid w:val="006B7B03"/>
    <w:rsid w:val="006D6979"/>
    <w:rsid w:val="0070304B"/>
    <w:rsid w:val="007219AA"/>
    <w:rsid w:val="007645D7"/>
    <w:rsid w:val="00794A35"/>
    <w:rsid w:val="007E0279"/>
    <w:rsid w:val="00833958"/>
    <w:rsid w:val="008E362D"/>
    <w:rsid w:val="0090594A"/>
    <w:rsid w:val="00925807"/>
    <w:rsid w:val="00986F14"/>
    <w:rsid w:val="0099654F"/>
    <w:rsid w:val="009B3643"/>
    <w:rsid w:val="009E125C"/>
    <w:rsid w:val="009F3074"/>
    <w:rsid w:val="00A27C29"/>
    <w:rsid w:val="00A66AFB"/>
    <w:rsid w:val="00B54FC0"/>
    <w:rsid w:val="00BF09EC"/>
    <w:rsid w:val="00CB6D77"/>
    <w:rsid w:val="00CE7B67"/>
    <w:rsid w:val="00D6167B"/>
    <w:rsid w:val="00DA7482"/>
    <w:rsid w:val="00DB2762"/>
    <w:rsid w:val="00DB7F92"/>
    <w:rsid w:val="00E210D4"/>
    <w:rsid w:val="00E61C26"/>
    <w:rsid w:val="00EE5149"/>
    <w:rsid w:val="00F016CA"/>
    <w:rsid w:val="00F448AF"/>
    <w:rsid w:val="00FB12B8"/>
    <w:rsid w:val="00FC6474"/>
    <w:rsid w:val="00FC6FE9"/>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E0DE4C9"/>
  <w15:chartTrackingRefBased/>
  <w15:docId w15:val="{2D12030D-0CCC-47AF-B23E-ACA3D364E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61C26"/>
    <w:pPr>
      <w:spacing w:after="0" w:line="240" w:lineRule="auto"/>
    </w:pPr>
    <w:rPr>
      <w:rFonts w:ascii="Calibri" w:eastAsia="Times New Roman" w:hAnsi="Calibri" w:cs="Times New Roman"/>
      <w:szCs w:val="24"/>
    </w:rPr>
  </w:style>
  <w:style w:type="paragraph" w:styleId="Heading1">
    <w:name w:val="heading 1"/>
    <w:aliases w:val="numbered,h1"/>
    <w:next w:val="BodyText1"/>
    <w:link w:val="Heading1Char"/>
    <w:qFormat/>
    <w:rsid w:val="00E61C26"/>
    <w:pPr>
      <w:keepNext/>
      <w:pageBreakBefore/>
      <w:widowControl w:val="0"/>
      <w:numPr>
        <w:numId w:val="6"/>
      </w:numPr>
      <w:tabs>
        <w:tab w:val="clear" w:pos="6918"/>
        <w:tab w:val="left" w:pos="567"/>
        <w:tab w:val="num" w:pos="680"/>
      </w:tabs>
      <w:spacing w:before="360" w:after="0" w:line="312" w:lineRule="auto"/>
      <w:ind w:left="567"/>
      <w:outlineLvl w:val="0"/>
    </w:pPr>
    <w:rPr>
      <w:rFonts w:ascii="Arial Narrow" w:eastAsia="Times New Roman" w:hAnsi="Arial Narrow" w:cs="Arial"/>
      <w:bCs/>
      <w:smallCaps/>
      <w:spacing w:val="40"/>
      <w:kern w:val="32"/>
      <w:sz w:val="44"/>
      <w:szCs w:val="36"/>
    </w:rPr>
  </w:style>
  <w:style w:type="paragraph" w:styleId="Heading2">
    <w:name w:val="heading 2"/>
    <w:basedOn w:val="Heading1"/>
    <w:next w:val="Normal"/>
    <w:link w:val="Heading2Char"/>
    <w:qFormat/>
    <w:rsid w:val="00E61C26"/>
    <w:pPr>
      <w:pageBreakBefore w:val="0"/>
      <w:numPr>
        <w:ilvl w:val="1"/>
        <w:numId w:val="5"/>
      </w:numPr>
      <w:spacing w:before="480" w:after="60"/>
      <w:ind w:left="0" w:firstLine="0"/>
      <w:outlineLvl w:val="1"/>
    </w:pPr>
    <w:rPr>
      <w:bCs w:val="0"/>
      <w:iCs/>
      <w:caps/>
      <w:spacing w:val="0"/>
      <w:kern w:val="0"/>
      <w:sz w:val="34"/>
      <w:szCs w:val="34"/>
    </w:rPr>
  </w:style>
  <w:style w:type="paragraph" w:styleId="Heading3">
    <w:name w:val="heading 3"/>
    <w:basedOn w:val="Heading2"/>
    <w:next w:val="Normal"/>
    <w:link w:val="Heading3Char"/>
    <w:qFormat/>
    <w:rsid w:val="00E61C26"/>
    <w:pPr>
      <w:numPr>
        <w:ilvl w:val="2"/>
        <w:numId w:val="3"/>
      </w:numPr>
      <w:spacing w:before="320" w:after="100"/>
      <w:outlineLvl w:val="2"/>
    </w:pPr>
    <w:rPr>
      <w:bCs/>
      <w:sz w:val="28"/>
      <w:szCs w:val="28"/>
    </w:rPr>
  </w:style>
  <w:style w:type="paragraph" w:styleId="Heading4">
    <w:name w:val="heading 4"/>
    <w:basedOn w:val="Heading3"/>
    <w:next w:val="Normal"/>
    <w:link w:val="Heading4Char"/>
    <w:qFormat/>
    <w:rsid w:val="00E61C26"/>
    <w:pPr>
      <w:numPr>
        <w:ilvl w:val="3"/>
      </w:numPr>
      <w:spacing w:before="280" w:after="80"/>
      <w:outlineLvl w:val="3"/>
    </w:pPr>
    <w:rPr>
      <w:bCs w:val="0"/>
      <w:sz w:val="24"/>
      <w:szCs w:val="24"/>
    </w:rPr>
  </w:style>
  <w:style w:type="paragraph" w:styleId="Heading5">
    <w:name w:val="heading 5"/>
    <w:basedOn w:val="Normal"/>
    <w:next w:val="Normal"/>
    <w:link w:val="Heading5Char"/>
    <w:semiHidden/>
    <w:unhideWhenUsed/>
    <w:qFormat/>
    <w:rsid w:val="00E61C26"/>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E61C26"/>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E61C26"/>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E61C26"/>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E61C2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C26"/>
    <w:pPr>
      <w:tabs>
        <w:tab w:val="center" w:pos="4513"/>
        <w:tab w:val="right" w:pos="9026"/>
      </w:tabs>
    </w:pPr>
  </w:style>
  <w:style w:type="character" w:customStyle="1" w:styleId="HeaderChar">
    <w:name w:val="Header Char"/>
    <w:basedOn w:val="DefaultParagraphFont"/>
    <w:link w:val="Header"/>
    <w:uiPriority w:val="99"/>
    <w:rsid w:val="00E61C26"/>
  </w:style>
  <w:style w:type="paragraph" w:styleId="Footer">
    <w:name w:val="footer"/>
    <w:basedOn w:val="Normal"/>
    <w:link w:val="FooterChar"/>
    <w:uiPriority w:val="99"/>
    <w:unhideWhenUsed/>
    <w:rsid w:val="00E61C26"/>
    <w:pPr>
      <w:tabs>
        <w:tab w:val="center" w:pos="4513"/>
        <w:tab w:val="right" w:pos="9026"/>
      </w:tabs>
    </w:pPr>
  </w:style>
  <w:style w:type="character" w:customStyle="1" w:styleId="FooterChar">
    <w:name w:val="Footer Char"/>
    <w:basedOn w:val="DefaultParagraphFont"/>
    <w:link w:val="Footer"/>
    <w:uiPriority w:val="99"/>
    <w:rsid w:val="00E61C26"/>
  </w:style>
  <w:style w:type="character" w:customStyle="1" w:styleId="Heading1Char">
    <w:name w:val="Heading 1 Char"/>
    <w:aliases w:val="numbered Char,h1 Char"/>
    <w:basedOn w:val="DefaultParagraphFont"/>
    <w:link w:val="Heading1"/>
    <w:rsid w:val="00E61C26"/>
    <w:rPr>
      <w:rFonts w:ascii="Arial Narrow" w:eastAsia="Times New Roman" w:hAnsi="Arial Narrow" w:cs="Arial"/>
      <w:bCs/>
      <w:smallCaps/>
      <w:spacing w:val="40"/>
      <w:kern w:val="32"/>
      <w:sz w:val="44"/>
      <w:szCs w:val="36"/>
    </w:rPr>
  </w:style>
  <w:style w:type="character" w:customStyle="1" w:styleId="Heading2Char">
    <w:name w:val="Heading 2 Char"/>
    <w:basedOn w:val="DefaultParagraphFont"/>
    <w:link w:val="Heading2"/>
    <w:rsid w:val="00E61C26"/>
    <w:rPr>
      <w:rFonts w:ascii="Arial Narrow" w:eastAsia="Times New Roman" w:hAnsi="Arial Narrow" w:cs="Arial"/>
      <w:iCs/>
      <w:caps/>
      <w:smallCaps/>
      <w:sz w:val="34"/>
      <w:szCs w:val="34"/>
    </w:rPr>
  </w:style>
  <w:style w:type="character" w:customStyle="1" w:styleId="Heading3Char">
    <w:name w:val="Heading 3 Char"/>
    <w:basedOn w:val="DefaultParagraphFont"/>
    <w:link w:val="Heading3"/>
    <w:rsid w:val="00E61C26"/>
    <w:rPr>
      <w:rFonts w:ascii="Arial Narrow" w:eastAsia="Times New Roman" w:hAnsi="Arial Narrow" w:cs="Arial"/>
      <w:bCs/>
      <w:iCs/>
      <w:caps/>
      <w:smallCaps/>
      <w:sz w:val="28"/>
      <w:szCs w:val="28"/>
    </w:rPr>
  </w:style>
  <w:style w:type="character" w:customStyle="1" w:styleId="Heading4Char">
    <w:name w:val="Heading 4 Char"/>
    <w:basedOn w:val="DefaultParagraphFont"/>
    <w:link w:val="Heading4"/>
    <w:rsid w:val="00E61C26"/>
    <w:rPr>
      <w:rFonts w:ascii="Arial Narrow" w:eastAsia="Times New Roman" w:hAnsi="Arial Narrow" w:cs="Arial"/>
      <w:iCs/>
      <w:caps/>
      <w:smallCaps/>
      <w:sz w:val="24"/>
      <w:szCs w:val="24"/>
    </w:rPr>
  </w:style>
  <w:style w:type="character" w:customStyle="1" w:styleId="Heading5Char">
    <w:name w:val="Heading 5 Char"/>
    <w:basedOn w:val="DefaultParagraphFont"/>
    <w:link w:val="Heading5"/>
    <w:semiHidden/>
    <w:rsid w:val="00E61C26"/>
    <w:rPr>
      <w:rFonts w:asciiTheme="majorHAnsi" w:eastAsiaTheme="majorEastAsia" w:hAnsiTheme="majorHAnsi" w:cstheme="majorBidi"/>
      <w:color w:val="2E74B5" w:themeColor="accent1" w:themeShade="BF"/>
      <w:szCs w:val="24"/>
    </w:rPr>
  </w:style>
  <w:style w:type="character" w:customStyle="1" w:styleId="Heading6Char">
    <w:name w:val="Heading 6 Char"/>
    <w:basedOn w:val="DefaultParagraphFont"/>
    <w:link w:val="Heading6"/>
    <w:semiHidden/>
    <w:rsid w:val="00E61C26"/>
    <w:rPr>
      <w:rFonts w:asciiTheme="majorHAnsi" w:eastAsiaTheme="majorEastAsia" w:hAnsiTheme="majorHAnsi" w:cstheme="majorBidi"/>
      <w:color w:val="1F4D78" w:themeColor="accent1" w:themeShade="7F"/>
      <w:szCs w:val="24"/>
    </w:rPr>
  </w:style>
  <w:style w:type="character" w:customStyle="1" w:styleId="Heading7Char">
    <w:name w:val="Heading 7 Char"/>
    <w:basedOn w:val="DefaultParagraphFont"/>
    <w:link w:val="Heading7"/>
    <w:semiHidden/>
    <w:rsid w:val="00E61C26"/>
    <w:rPr>
      <w:rFonts w:asciiTheme="majorHAnsi" w:eastAsiaTheme="majorEastAsia" w:hAnsiTheme="majorHAnsi" w:cstheme="majorBidi"/>
      <w:i/>
      <w:iCs/>
      <w:color w:val="1F4D78" w:themeColor="accent1" w:themeShade="7F"/>
      <w:szCs w:val="24"/>
    </w:rPr>
  </w:style>
  <w:style w:type="character" w:customStyle="1" w:styleId="Heading8Char">
    <w:name w:val="Heading 8 Char"/>
    <w:basedOn w:val="DefaultParagraphFont"/>
    <w:link w:val="Heading8"/>
    <w:semiHidden/>
    <w:rsid w:val="00E61C2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E61C26"/>
    <w:rPr>
      <w:rFonts w:asciiTheme="majorHAnsi" w:eastAsiaTheme="majorEastAsia" w:hAnsiTheme="majorHAnsi" w:cstheme="majorBidi"/>
      <w:i/>
      <w:iCs/>
      <w:color w:val="272727" w:themeColor="text1" w:themeTint="D8"/>
      <w:sz w:val="21"/>
      <w:szCs w:val="21"/>
    </w:rPr>
  </w:style>
  <w:style w:type="paragraph" w:customStyle="1" w:styleId="Committeename">
    <w:name w:val="Committee name"/>
    <w:rsid w:val="00E61C26"/>
    <w:pPr>
      <w:spacing w:before="600" w:after="600" w:line="480" w:lineRule="exact"/>
      <w:jc w:val="right"/>
    </w:pPr>
    <w:rPr>
      <w:rFonts w:ascii="Arial Narrow" w:eastAsia="Times New Roman" w:hAnsi="Arial Narrow" w:cs="Times New Roman"/>
      <w:smallCaps/>
      <w:spacing w:val="40"/>
      <w:sz w:val="28"/>
      <w:szCs w:val="28"/>
    </w:rPr>
  </w:style>
  <w:style w:type="paragraph" w:customStyle="1" w:styleId="Reporttitle">
    <w:name w:val="Report title"/>
    <w:basedOn w:val="Normal"/>
    <w:next w:val="Committeename"/>
    <w:rsid w:val="00E61C26"/>
    <w:pPr>
      <w:spacing w:before="320" w:after="600" w:line="500" w:lineRule="exact"/>
      <w:jc w:val="right"/>
    </w:pPr>
    <w:rPr>
      <w:rFonts w:ascii="Arial Narrow" w:hAnsi="Arial Narrow"/>
      <w:smallCaps/>
      <w:spacing w:val="4"/>
      <w:kern w:val="42"/>
      <w:sz w:val="42"/>
      <w:szCs w:val="36"/>
    </w:rPr>
  </w:style>
  <w:style w:type="paragraph" w:customStyle="1" w:styleId="Reportnumber">
    <w:name w:val="Report number"/>
    <w:basedOn w:val="Reporttitle"/>
    <w:rsid w:val="00E61C26"/>
    <w:pPr>
      <w:spacing w:before="1100" w:after="0"/>
    </w:pPr>
    <w:rPr>
      <w:spacing w:val="20"/>
      <w:sz w:val="24"/>
      <w:szCs w:val="20"/>
    </w:rPr>
  </w:style>
  <w:style w:type="paragraph" w:styleId="ListNumber3">
    <w:name w:val="List Number 3"/>
    <w:basedOn w:val="Normal"/>
    <w:rsid w:val="00E61C26"/>
    <w:pPr>
      <w:numPr>
        <w:ilvl w:val="1"/>
        <w:numId w:val="1"/>
      </w:numPr>
      <w:tabs>
        <w:tab w:val="clear" w:pos="284"/>
        <w:tab w:val="num" w:pos="964"/>
      </w:tabs>
      <w:spacing w:before="40" w:after="60" w:line="288" w:lineRule="auto"/>
      <w:ind w:left="964"/>
    </w:pPr>
  </w:style>
  <w:style w:type="paragraph" w:customStyle="1" w:styleId="Headinglevel3">
    <w:name w:val="Heading level 3"/>
    <w:basedOn w:val="Headinglevel2"/>
    <w:next w:val="BodyText1"/>
    <w:link w:val="Headinglevel3Char"/>
    <w:rsid w:val="00E61C26"/>
    <w:pPr>
      <w:numPr>
        <w:ilvl w:val="2"/>
      </w:numPr>
      <w:spacing w:before="320" w:after="100"/>
    </w:pPr>
    <w:rPr>
      <w:iCs w:val="0"/>
      <w:sz w:val="30"/>
      <w:szCs w:val="28"/>
    </w:rPr>
  </w:style>
  <w:style w:type="paragraph" w:styleId="ListBullet">
    <w:name w:val="List Bullet"/>
    <w:link w:val="ListBulletChar"/>
    <w:autoRedefine/>
    <w:rsid w:val="00E61C26"/>
    <w:pPr>
      <w:spacing w:before="40" w:after="120" w:line="240" w:lineRule="auto"/>
      <w:ind w:left="924" w:hanging="357"/>
    </w:pPr>
    <w:rPr>
      <w:rFonts w:ascii="Calibri" w:eastAsia="Times New Roman" w:hAnsi="Calibri" w:cs="Times New Roman"/>
    </w:rPr>
  </w:style>
  <w:style w:type="paragraph" w:styleId="ListBullet2">
    <w:name w:val="List Bullet 2"/>
    <w:autoRedefine/>
    <w:rsid w:val="00E61C26"/>
    <w:pPr>
      <w:numPr>
        <w:numId w:val="2"/>
      </w:numPr>
      <w:spacing w:after="60" w:line="288" w:lineRule="auto"/>
      <w:ind w:left="1248" w:hanging="284"/>
    </w:pPr>
    <w:rPr>
      <w:rFonts w:ascii="Calibri" w:eastAsia="Times New Roman" w:hAnsi="Calibri" w:cs="Times New Roman"/>
      <w:szCs w:val="24"/>
    </w:rPr>
  </w:style>
  <w:style w:type="paragraph" w:styleId="Caption">
    <w:name w:val="caption"/>
    <w:next w:val="Normal"/>
    <w:qFormat/>
    <w:rsid w:val="00E61C26"/>
    <w:pPr>
      <w:keepNext/>
      <w:spacing w:before="400" w:after="60" w:line="312" w:lineRule="auto"/>
      <w:ind w:left="680"/>
    </w:pPr>
    <w:rPr>
      <w:rFonts w:ascii="Arial Narrow" w:eastAsia="Times New Roman" w:hAnsi="Arial Narrow" w:cs="Times New Roman"/>
      <w:bCs/>
      <w:kern w:val="26"/>
      <w:sz w:val="26"/>
      <w:szCs w:val="20"/>
    </w:rPr>
  </w:style>
  <w:style w:type="paragraph" w:styleId="TOC4">
    <w:name w:val="toc 4"/>
    <w:basedOn w:val="Normal"/>
    <w:next w:val="Normal"/>
    <w:autoRedefine/>
    <w:semiHidden/>
    <w:rsid w:val="00E61C26"/>
    <w:pPr>
      <w:ind w:left="720"/>
    </w:pPr>
    <w:rPr>
      <w:rFonts w:ascii="Arial Narrow" w:hAnsi="Arial Narrow"/>
    </w:rPr>
  </w:style>
  <w:style w:type="paragraph" w:customStyle="1" w:styleId="Prelimminorheading">
    <w:name w:val="Prelim minor heading"/>
    <w:basedOn w:val="Heading3"/>
    <w:link w:val="PrelimminorheadingChar"/>
    <w:rsid w:val="00E61C26"/>
    <w:rPr>
      <w:caps w:val="0"/>
      <w:spacing w:val="2"/>
    </w:rPr>
  </w:style>
  <w:style w:type="paragraph" w:customStyle="1" w:styleId="Bodytextnonumbering">
    <w:name w:val="Body text no numbering"/>
    <w:basedOn w:val="Normal"/>
    <w:rsid w:val="00E61C26"/>
    <w:pPr>
      <w:keepNext/>
      <w:spacing w:before="160" w:after="80" w:line="288" w:lineRule="auto"/>
      <w:outlineLvl w:val="1"/>
    </w:pPr>
    <w:rPr>
      <w:rFonts w:cs="Arial"/>
      <w:iCs/>
    </w:rPr>
  </w:style>
  <w:style w:type="paragraph" w:customStyle="1" w:styleId="Prelimmajorheading">
    <w:name w:val="Prelim major heading"/>
    <w:basedOn w:val="Heading1"/>
    <w:rsid w:val="00E61C26"/>
    <w:pPr>
      <w:numPr>
        <w:numId w:val="0"/>
      </w:numPr>
      <w:spacing w:after="720"/>
      <w:ind w:left="680"/>
    </w:pPr>
    <w:rPr>
      <w:b/>
      <w:spacing w:val="20"/>
      <w:sz w:val="34"/>
      <w:szCs w:val="46"/>
    </w:rPr>
  </w:style>
  <w:style w:type="character" w:styleId="Hyperlink">
    <w:name w:val="Hyperlink"/>
    <w:uiPriority w:val="99"/>
    <w:rsid w:val="00E61C26"/>
    <w:rPr>
      <w:color w:val="0000FF"/>
      <w:u w:val="single"/>
    </w:rPr>
  </w:style>
  <w:style w:type="paragraph" w:styleId="TOC1">
    <w:name w:val="toc 1"/>
    <w:next w:val="Normal"/>
    <w:autoRedefine/>
    <w:uiPriority w:val="39"/>
    <w:rsid w:val="00E61C26"/>
    <w:pPr>
      <w:tabs>
        <w:tab w:val="right" w:leader="dot" w:pos="9061"/>
      </w:tabs>
      <w:spacing w:before="180" w:after="40" w:line="312" w:lineRule="auto"/>
      <w:ind w:left="1020" w:hanging="340"/>
    </w:pPr>
    <w:rPr>
      <w:rFonts w:ascii="Calibri" w:eastAsia="Times New Roman" w:hAnsi="Calibri" w:cs="Calibri"/>
      <w:b/>
      <w:smallCaps/>
      <w:noProof/>
      <w:spacing w:val="40"/>
      <w:sz w:val="24"/>
    </w:rPr>
  </w:style>
  <w:style w:type="paragraph" w:styleId="TOC2">
    <w:name w:val="toc 2"/>
    <w:autoRedefine/>
    <w:uiPriority w:val="39"/>
    <w:rsid w:val="00E61C26"/>
    <w:pPr>
      <w:tabs>
        <w:tab w:val="left" w:pos="1680"/>
        <w:tab w:val="right" w:leader="dot" w:pos="9061"/>
      </w:tabs>
      <w:spacing w:before="40" w:after="0" w:line="312" w:lineRule="auto"/>
      <w:ind w:left="1588" w:hanging="567"/>
    </w:pPr>
    <w:rPr>
      <w:rFonts w:ascii="Calibri" w:eastAsia="Times New Roman" w:hAnsi="Calibri" w:cs="Calibri"/>
      <w:b/>
      <w:noProof/>
      <w:szCs w:val="24"/>
    </w:rPr>
  </w:style>
  <w:style w:type="paragraph" w:styleId="TableofFigures">
    <w:name w:val="table of figures"/>
    <w:next w:val="Normal"/>
    <w:semiHidden/>
    <w:rsid w:val="00E61C26"/>
    <w:pPr>
      <w:spacing w:before="240" w:after="0" w:line="240" w:lineRule="auto"/>
      <w:ind w:left="1162" w:hanging="482"/>
    </w:pPr>
    <w:rPr>
      <w:rFonts w:ascii="Arial" w:eastAsia="Times New Roman" w:hAnsi="Arial" w:cs="Times New Roman"/>
      <w:b/>
      <w:sz w:val="20"/>
      <w:szCs w:val="20"/>
    </w:rPr>
  </w:style>
  <w:style w:type="character" w:styleId="PageNumber">
    <w:name w:val="page number"/>
    <w:rsid w:val="00E61C26"/>
    <w:rPr>
      <w:rFonts w:ascii="Calibri" w:hAnsi="Calibri"/>
      <w:sz w:val="20"/>
      <w:szCs w:val="18"/>
    </w:rPr>
  </w:style>
  <w:style w:type="paragraph" w:styleId="TOC5">
    <w:name w:val="toc 5"/>
    <w:basedOn w:val="Normal"/>
    <w:next w:val="Normal"/>
    <w:autoRedefine/>
    <w:semiHidden/>
    <w:rsid w:val="00E61C26"/>
    <w:pPr>
      <w:ind w:left="960"/>
    </w:pPr>
    <w:rPr>
      <w:rFonts w:ascii="Arial Narrow" w:hAnsi="Arial Narrow"/>
    </w:rPr>
  </w:style>
  <w:style w:type="paragraph" w:customStyle="1" w:styleId="AppendixHeading1">
    <w:name w:val="Appendix Heading 1"/>
    <w:next w:val="Bodytextnonumbering"/>
    <w:rsid w:val="00E61C26"/>
    <w:pPr>
      <w:keepNext/>
      <w:pageBreakBefore/>
      <w:numPr>
        <w:ilvl w:val="7"/>
        <w:numId w:val="6"/>
      </w:numPr>
      <w:spacing w:before="720" w:after="180" w:line="312" w:lineRule="auto"/>
    </w:pPr>
    <w:rPr>
      <w:rFonts w:ascii="Arial Narrow" w:eastAsia="Times New Roman" w:hAnsi="Arial Narrow" w:cs="Times New Roman"/>
      <w:b/>
      <w:smallCaps/>
      <w:sz w:val="36"/>
      <w:szCs w:val="24"/>
    </w:rPr>
  </w:style>
  <w:style w:type="paragraph" w:customStyle="1" w:styleId="AppendixHeading2">
    <w:name w:val="Appendix Heading 2"/>
    <w:next w:val="Bodytextnonumbering"/>
    <w:rsid w:val="00E61C26"/>
    <w:pPr>
      <w:spacing w:before="480" w:after="60" w:line="312" w:lineRule="auto"/>
    </w:pPr>
    <w:rPr>
      <w:rFonts w:ascii="Arial Narrow" w:eastAsia="Times New Roman" w:hAnsi="Arial Narrow" w:cs="Arial"/>
      <w:iCs/>
      <w:spacing w:val="2"/>
      <w:sz w:val="34"/>
      <w:szCs w:val="34"/>
    </w:rPr>
  </w:style>
  <w:style w:type="paragraph" w:customStyle="1" w:styleId="TableHeading">
    <w:name w:val="Table Heading"/>
    <w:next w:val="Tabletext"/>
    <w:rsid w:val="00E61C26"/>
    <w:pPr>
      <w:spacing w:before="40" w:after="40" w:line="240" w:lineRule="auto"/>
    </w:pPr>
    <w:rPr>
      <w:rFonts w:ascii="Arial Narrow" w:eastAsia="Times New Roman" w:hAnsi="Arial Narrow" w:cs="Times New Roman"/>
      <w:color w:val="000000"/>
      <w:sz w:val="24"/>
      <w:szCs w:val="20"/>
    </w:rPr>
  </w:style>
  <w:style w:type="paragraph" w:customStyle="1" w:styleId="Para">
    <w:name w:val="Para"/>
    <w:basedOn w:val="Normal"/>
    <w:rsid w:val="00E61C26"/>
    <w:pPr>
      <w:keepNext/>
      <w:spacing w:before="160" w:after="80" w:line="288" w:lineRule="auto"/>
      <w:ind w:left="709"/>
      <w:outlineLvl w:val="1"/>
    </w:pPr>
    <w:rPr>
      <w:rFonts w:ascii="Palatino Linotype" w:hAnsi="Palatino Linotype" w:cs="Arial"/>
      <w:iCs/>
    </w:rPr>
  </w:style>
  <w:style w:type="paragraph" w:customStyle="1" w:styleId="Tabletext">
    <w:name w:val="Table text"/>
    <w:basedOn w:val="Normal"/>
    <w:rsid w:val="00E61C26"/>
    <w:pPr>
      <w:keepNext/>
      <w:spacing w:before="160" w:after="80" w:line="288" w:lineRule="auto"/>
      <w:outlineLvl w:val="1"/>
    </w:pPr>
    <w:rPr>
      <w:rFonts w:ascii="Arial Narrow" w:hAnsi="Arial Narrow" w:cs="Arial"/>
      <w:iCs/>
      <w:color w:val="000000"/>
      <w:sz w:val="20"/>
      <w:szCs w:val="20"/>
    </w:rPr>
  </w:style>
  <w:style w:type="paragraph" w:customStyle="1" w:styleId="BulletedTextKM">
    <w:name w:val="Bulleted Text KM"/>
    <w:basedOn w:val="Normal"/>
    <w:semiHidden/>
    <w:rsid w:val="00E61C26"/>
    <w:pPr>
      <w:numPr>
        <w:numId w:val="4"/>
      </w:numPr>
    </w:pPr>
  </w:style>
  <w:style w:type="paragraph" w:customStyle="1" w:styleId="Reportdate">
    <w:name w:val="Report date"/>
    <w:basedOn w:val="Reporttitle"/>
    <w:rsid w:val="00E61C26"/>
    <w:pPr>
      <w:spacing w:before="0"/>
    </w:pPr>
    <w:rPr>
      <w:caps/>
      <w:spacing w:val="60"/>
      <w:sz w:val="22"/>
      <w:szCs w:val="22"/>
    </w:rPr>
  </w:style>
  <w:style w:type="paragraph" w:styleId="Quote">
    <w:name w:val="Quote"/>
    <w:basedOn w:val="Normal"/>
    <w:link w:val="QuoteChar"/>
    <w:qFormat/>
    <w:rsid w:val="00E61C26"/>
    <w:pPr>
      <w:spacing w:before="60" w:after="80" w:line="288" w:lineRule="auto"/>
      <w:ind w:left="1247"/>
      <w:outlineLvl w:val="1"/>
    </w:pPr>
    <w:rPr>
      <w:rFonts w:cs="Arial"/>
      <w:iCs/>
    </w:rPr>
  </w:style>
  <w:style w:type="character" w:customStyle="1" w:styleId="QuoteChar">
    <w:name w:val="Quote Char"/>
    <w:basedOn w:val="DefaultParagraphFont"/>
    <w:link w:val="Quote"/>
    <w:rsid w:val="00E61C26"/>
    <w:rPr>
      <w:rFonts w:ascii="Calibri" w:eastAsia="Times New Roman" w:hAnsi="Calibri" w:cs="Arial"/>
      <w:iCs/>
      <w:szCs w:val="24"/>
    </w:rPr>
  </w:style>
  <w:style w:type="paragraph" w:styleId="FootnoteText">
    <w:name w:val="footnote text"/>
    <w:aliases w:val="Footnote Text Char Char Char Char Char Char,Footnote Text Char1,Footnote Text Char Char,Footnote Text Char1 Char Char,Footnote Text Char Char Char Char,Footnote Text Char1 Char Char Char Char,Footnote Text Char Char2"/>
    <w:basedOn w:val="Normal"/>
    <w:link w:val="FootnoteTextChar"/>
    <w:uiPriority w:val="99"/>
    <w:rsid w:val="00E61C26"/>
    <w:pPr>
      <w:spacing w:before="80" w:after="80" w:line="160" w:lineRule="exact"/>
      <w:ind w:left="170" w:hanging="170"/>
    </w:pPr>
    <w:rPr>
      <w:sz w:val="18"/>
      <w:szCs w:val="20"/>
    </w:rPr>
  </w:style>
  <w:style w:type="character" w:customStyle="1" w:styleId="FootnoteTextChar">
    <w:name w:val="Footnote Text Char"/>
    <w:aliases w:val="Footnote Text Char Char Char Char Char Char Char,Footnote Text Char1 Char,Footnote Text Char Char Char,Footnote Text Char1 Char Char Char,Footnote Text Char Char Char Char Char,Footnote Text Char1 Char Char Char Char Char"/>
    <w:basedOn w:val="DefaultParagraphFont"/>
    <w:link w:val="FootnoteText"/>
    <w:uiPriority w:val="99"/>
    <w:rsid w:val="00E61C26"/>
    <w:rPr>
      <w:rFonts w:ascii="Calibri" w:eastAsia="Times New Roman" w:hAnsi="Calibri" w:cs="Times New Roman"/>
      <w:sz w:val="18"/>
      <w:szCs w:val="20"/>
    </w:rPr>
  </w:style>
  <w:style w:type="character" w:styleId="FootnoteReference">
    <w:name w:val="footnote reference"/>
    <w:aliases w:val="Footnote number,Footnotes refss"/>
    <w:uiPriority w:val="99"/>
    <w:rsid w:val="00E61C26"/>
    <w:rPr>
      <w:vertAlign w:val="superscript"/>
    </w:rPr>
  </w:style>
  <w:style w:type="paragraph" w:customStyle="1" w:styleId="TOCHeading1">
    <w:name w:val="TOC Heading1"/>
    <w:basedOn w:val="Prelimmajorheading"/>
    <w:rsid w:val="00E61C26"/>
    <w:rPr>
      <w:b w:val="0"/>
    </w:rPr>
  </w:style>
  <w:style w:type="paragraph" w:styleId="TOC3">
    <w:name w:val="toc 3"/>
    <w:basedOn w:val="TOC2"/>
    <w:next w:val="Normal"/>
    <w:autoRedefine/>
    <w:uiPriority w:val="39"/>
    <w:rsid w:val="00E61C26"/>
  </w:style>
  <w:style w:type="paragraph" w:customStyle="1" w:styleId="StyleCommitteenameBlack">
    <w:name w:val="Style Committee name + Black"/>
    <w:semiHidden/>
    <w:rsid w:val="00E61C26"/>
    <w:pPr>
      <w:spacing w:after="0" w:line="240" w:lineRule="auto"/>
    </w:pPr>
    <w:rPr>
      <w:rFonts w:ascii="Univers LT Std 45 Light" w:eastAsia="Times New Roman" w:hAnsi="Univers LT Std 45 Light" w:cs="Times New Roman"/>
      <w:caps/>
      <w:color w:val="000000"/>
      <w:spacing w:val="40"/>
      <w:sz w:val="28"/>
      <w:szCs w:val="28"/>
    </w:rPr>
  </w:style>
  <w:style w:type="paragraph" w:customStyle="1" w:styleId="Recommendation">
    <w:name w:val="Recommendation"/>
    <w:basedOn w:val="Caption"/>
    <w:next w:val="RecommendationText"/>
    <w:rsid w:val="00E61C26"/>
    <w:pPr>
      <w:numPr>
        <w:ilvl w:val="6"/>
        <w:numId w:val="6"/>
      </w:numPr>
    </w:pPr>
    <w:rPr>
      <w:b/>
      <w:smallCaps/>
      <w:spacing w:val="20"/>
      <w:sz w:val="44"/>
    </w:rPr>
  </w:style>
  <w:style w:type="character" w:styleId="FollowedHyperlink">
    <w:name w:val="FollowedHyperlink"/>
    <w:rsid w:val="00E61C26"/>
    <w:rPr>
      <w:color w:val="800080"/>
      <w:u w:val="single"/>
    </w:rPr>
  </w:style>
  <w:style w:type="paragraph" w:customStyle="1" w:styleId="StyleBodyTextArialNarrowBoldBlackLeft0cmFirstlin">
    <w:name w:val="Style Body Text + Arial Narrow Bold Black Left:  0 cm First lin..."/>
    <w:basedOn w:val="Normal"/>
    <w:semiHidden/>
    <w:rsid w:val="00E61C26"/>
    <w:pPr>
      <w:keepNext/>
      <w:tabs>
        <w:tab w:val="num" w:pos="680"/>
      </w:tabs>
      <w:spacing w:before="160" w:after="80" w:line="288" w:lineRule="auto"/>
      <w:outlineLvl w:val="1"/>
    </w:pPr>
    <w:rPr>
      <w:rFonts w:ascii="Univers LT Std 55" w:hAnsi="Univers LT Std 55" w:cs="Arial"/>
      <w:b/>
      <w:bCs/>
      <w:iCs/>
      <w:color w:val="000000"/>
      <w:szCs w:val="20"/>
    </w:rPr>
  </w:style>
  <w:style w:type="paragraph" w:customStyle="1" w:styleId="Secretariat">
    <w:name w:val="Secretariat"/>
    <w:basedOn w:val="Prelimminorheading"/>
    <w:link w:val="SecretariatChar"/>
    <w:qFormat/>
    <w:rsid w:val="00E61C26"/>
    <w:pPr>
      <w:numPr>
        <w:ilvl w:val="0"/>
        <w:numId w:val="0"/>
      </w:numPr>
    </w:pPr>
    <w:rPr>
      <w:spacing w:val="4"/>
      <w:sz w:val="30"/>
      <w:szCs w:val="30"/>
    </w:rPr>
  </w:style>
  <w:style w:type="paragraph" w:customStyle="1" w:styleId="Headinglevel2">
    <w:name w:val="Heading level 2"/>
    <w:next w:val="BodyText1"/>
    <w:link w:val="Headinglevel2Char"/>
    <w:qFormat/>
    <w:rsid w:val="00E61C26"/>
    <w:pPr>
      <w:keepNext/>
      <w:widowControl w:val="0"/>
      <w:numPr>
        <w:ilvl w:val="1"/>
        <w:numId w:val="6"/>
      </w:numPr>
      <w:tabs>
        <w:tab w:val="left" w:pos="567"/>
      </w:tabs>
      <w:spacing w:before="480" w:after="60" w:line="312" w:lineRule="auto"/>
    </w:pPr>
    <w:rPr>
      <w:rFonts w:ascii="Arial Narrow" w:eastAsia="Times New Roman" w:hAnsi="Arial Narrow" w:cs="Arial"/>
      <w:iCs/>
      <w:smallCaps/>
      <w:spacing w:val="20"/>
      <w:sz w:val="36"/>
      <w:szCs w:val="34"/>
    </w:rPr>
  </w:style>
  <w:style w:type="paragraph" w:customStyle="1" w:styleId="BodyText1">
    <w:name w:val="Body Text1"/>
    <w:basedOn w:val="Normal"/>
    <w:link w:val="BodytextChar"/>
    <w:rsid w:val="00E61C26"/>
    <w:pPr>
      <w:numPr>
        <w:ilvl w:val="5"/>
        <w:numId w:val="6"/>
      </w:numPr>
      <w:spacing w:before="240" w:after="100" w:line="288" w:lineRule="auto"/>
    </w:pPr>
  </w:style>
  <w:style w:type="paragraph" w:styleId="TOC6">
    <w:name w:val="toc 6"/>
    <w:basedOn w:val="Normal"/>
    <w:next w:val="Normal"/>
    <w:autoRedefine/>
    <w:semiHidden/>
    <w:rsid w:val="00E61C26"/>
    <w:pPr>
      <w:ind w:left="1200"/>
    </w:pPr>
    <w:rPr>
      <w:rFonts w:ascii="Arial Narrow" w:hAnsi="Arial Narrow"/>
    </w:rPr>
  </w:style>
  <w:style w:type="paragraph" w:customStyle="1" w:styleId="Headinglevel4">
    <w:name w:val="Heading level 4"/>
    <w:basedOn w:val="Headinglevel3"/>
    <w:next w:val="BodyText1"/>
    <w:rsid w:val="00E61C26"/>
    <w:pPr>
      <w:numPr>
        <w:ilvl w:val="3"/>
      </w:numPr>
      <w:spacing w:before="280" w:after="80"/>
    </w:pPr>
    <w:rPr>
      <w:sz w:val="26"/>
      <w:szCs w:val="24"/>
    </w:rPr>
  </w:style>
  <w:style w:type="paragraph" w:styleId="TOC7">
    <w:name w:val="toc 7"/>
    <w:basedOn w:val="Normal"/>
    <w:next w:val="Normal"/>
    <w:autoRedefine/>
    <w:semiHidden/>
    <w:rsid w:val="00E61C26"/>
    <w:pPr>
      <w:ind w:left="1440"/>
    </w:pPr>
    <w:rPr>
      <w:rFonts w:ascii="Arial Narrow" w:hAnsi="Arial Narrow"/>
    </w:rPr>
  </w:style>
  <w:style w:type="paragraph" w:styleId="TOC8">
    <w:name w:val="toc 8"/>
    <w:basedOn w:val="Normal"/>
    <w:next w:val="Normal"/>
    <w:autoRedefine/>
    <w:semiHidden/>
    <w:rsid w:val="00E61C26"/>
    <w:pPr>
      <w:ind w:left="1680"/>
    </w:pPr>
    <w:rPr>
      <w:rFonts w:ascii="Arial Narrow" w:hAnsi="Arial Narrow"/>
    </w:rPr>
  </w:style>
  <w:style w:type="paragraph" w:styleId="TOC9">
    <w:name w:val="toc 9"/>
    <w:basedOn w:val="Normal"/>
    <w:next w:val="Normal"/>
    <w:autoRedefine/>
    <w:semiHidden/>
    <w:rsid w:val="00E61C26"/>
    <w:pPr>
      <w:ind w:left="1920"/>
    </w:pPr>
    <w:rPr>
      <w:rFonts w:ascii="Arial Narrow" w:hAnsi="Arial Narrow"/>
    </w:rPr>
  </w:style>
  <w:style w:type="paragraph" w:customStyle="1" w:styleId="Headinglevel5">
    <w:name w:val="Heading level 5"/>
    <w:basedOn w:val="Headinglevel4"/>
    <w:next w:val="BodyText1"/>
    <w:qFormat/>
    <w:rsid w:val="00E61C26"/>
    <w:pPr>
      <w:numPr>
        <w:ilvl w:val="4"/>
      </w:numPr>
    </w:pPr>
    <w:rPr>
      <w:sz w:val="22"/>
    </w:rPr>
  </w:style>
  <w:style w:type="paragraph" w:customStyle="1" w:styleId="StyleBodytextnonumberingBefore0ptAfter0ptLinesp">
    <w:name w:val="Style Body text no numbering + Before:  0 pt After:  0 pt Line sp..."/>
    <w:basedOn w:val="Bodytextnonumbering"/>
    <w:rsid w:val="00E61C26"/>
    <w:pPr>
      <w:spacing w:before="0" w:after="0" w:line="240" w:lineRule="auto"/>
    </w:pPr>
    <w:rPr>
      <w:rFonts w:cs="Times New Roman"/>
      <w:iCs w:val="0"/>
      <w:szCs w:val="20"/>
    </w:rPr>
  </w:style>
  <w:style w:type="paragraph" w:customStyle="1" w:styleId="StyleReportnumberBefore78pt">
    <w:name w:val="Style Report number + Before:  78 pt"/>
    <w:basedOn w:val="Reportnumber"/>
    <w:rsid w:val="00E61C26"/>
    <w:pPr>
      <w:spacing w:before="1560"/>
    </w:pPr>
    <w:rPr>
      <w:bCs/>
      <w:smallCaps w:val="0"/>
    </w:rPr>
  </w:style>
  <w:style w:type="paragraph" w:customStyle="1" w:styleId="StylePrelimminorheadingLeft0cmFirstline0cm">
    <w:name w:val="Style Prelim minor heading + Left:  0 cm First line:  0 cm"/>
    <w:basedOn w:val="Prelimminorheading"/>
    <w:rsid w:val="00E61C26"/>
    <w:pPr>
      <w:ind w:left="0" w:firstLine="0"/>
    </w:pPr>
    <w:rPr>
      <w:rFonts w:cs="Times New Roman"/>
      <w:iCs w:val="0"/>
      <w:szCs w:val="20"/>
    </w:rPr>
  </w:style>
  <w:style w:type="paragraph" w:customStyle="1" w:styleId="StylePrelimminorheadingLeft0cmFirstline0cm1">
    <w:name w:val="Style Prelim minor heading + Left:  0 cm First line:  0 cm1"/>
    <w:basedOn w:val="Prelimminorheading"/>
    <w:rsid w:val="00E61C26"/>
    <w:pPr>
      <w:ind w:left="0" w:firstLine="0"/>
    </w:pPr>
    <w:rPr>
      <w:rFonts w:cs="Times New Roman"/>
      <w:iCs w:val="0"/>
      <w:szCs w:val="20"/>
    </w:rPr>
  </w:style>
  <w:style w:type="paragraph" w:customStyle="1" w:styleId="StyleReportdateLinespacingAtleast12pt">
    <w:name w:val="Style Report date + Line spacing:  At least 12 pt"/>
    <w:basedOn w:val="Reportdate"/>
    <w:rsid w:val="00E61C26"/>
    <w:pPr>
      <w:spacing w:line="240" w:lineRule="atLeast"/>
    </w:pPr>
    <w:rPr>
      <w:caps w:val="0"/>
      <w:spacing w:val="20"/>
      <w:szCs w:val="20"/>
    </w:rPr>
  </w:style>
  <w:style w:type="paragraph" w:customStyle="1" w:styleId="StyleReporttitleBefore0ptLinespacingAtleast12pt">
    <w:name w:val="Style Report title + Before:  0 pt Line spacing:  At least 12 pt"/>
    <w:basedOn w:val="Reporttitle"/>
    <w:rsid w:val="00E61C26"/>
    <w:pPr>
      <w:spacing w:before="0" w:line="240" w:lineRule="atLeast"/>
    </w:pPr>
    <w:rPr>
      <w:spacing w:val="20"/>
      <w:szCs w:val="20"/>
    </w:rPr>
  </w:style>
  <w:style w:type="paragraph" w:customStyle="1" w:styleId="StylePrelimminorheadingLeft0cmFirstline0cm2">
    <w:name w:val="Style Prelim minor heading + Left:  0 cm First line:  0 cm2"/>
    <w:basedOn w:val="Prelimminorheading"/>
    <w:rsid w:val="00E61C26"/>
    <w:pPr>
      <w:ind w:left="0" w:firstLine="0"/>
    </w:pPr>
    <w:rPr>
      <w:rFonts w:cs="Times New Roman"/>
      <w:b/>
      <w:iCs w:val="0"/>
      <w:szCs w:val="20"/>
    </w:rPr>
  </w:style>
  <w:style w:type="paragraph" w:customStyle="1" w:styleId="StylePrelimminorheadingLeft0cmFirstline0cm3">
    <w:name w:val="Style Prelim minor heading + Left:  0 cm First line:  0 cm3"/>
    <w:basedOn w:val="Prelimminorheading"/>
    <w:rsid w:val="00E61C26"/>
    <w:pPr>
      <w:ind w:left="0" w:firstLine="0"/>
    </w:pPr>
    <w:rPr>
      <w:rFonts w:cs="Times New Roman"/>
      <w:b/>
      <w:iCs w:val="0"/>
      <w:szCs w:val="20"/>
    </w:rPr>
  </w:style>
  <w:style w:type="numbering" w:customStyle="1" w:styleId="test1">
    <w:name w:val="test1"/>
    <w:uiPriority w:val="99"/>
    <w:rsid w:val="00E61C26"/>
    <w:pPr>
      <w:numPr>
        <w:numId w:val="18"/>
      </w:numPr>
    </w:pPr>
  </w:style>
  <w:style w:type="paragraph" w:customStyle="1" w:styleId="RecommendationText">
    <w:name w:val="Recommendation Text"/>
    <w:basedOn w:val="BodyText1"/>
    <w:next w:val="BodyText1"/>
    <w:link w:val="RecommendationTextChar"/>
    <w:qFormat/>
    <w:rsid w:val="00E61C26"/>
    <w:pPr>
      <w:spacing w:before="120" w:after="240"/>
    </w:pPr>
    <w:rPr>
      <w:b/>
    </w:rPr>
  </w:style>
  <w:style w:type="paragraph" w:customStyle="1" w:styleId="Contactinformation">
    <w:name w:val="Contact information"/>
    <w:basedOn w:val="Prelimminorheading"/>
    <w:link w:val="ContactinformationChar"/>
    <w:qFormat/>
    <w:rsid w:val="00E61C26"/>
    <w:pPr>
      <w:numPr>
        <w:ilvl w:val="0"/>
        <w:numId w:val="0"/>
      </w:numPr>
    </w:pPr>
  </w:style>
  <w:style w:type="character" w:customStyle="1" w:styleId="BodytextChar">
    <w:name w:val="Body text Char"/>
    <w:link w:val="BodyText1"/>
    <w:rsid w:val="00E61C26"/>
    <w:rPr>
      <w:rFonts w:ascii="Calibri" w:eastAsia="Times New Roman" w:hAnsi="Calibri" w:cs="Times New Roman"/>
      <w:szCs w:val="24"/>
    </w:rPr>
  </w:style>
  <w:style w:type="character" w:customStyle="1" w:styleId="RecommendationTextChar">
    <w:name w:val="Recommendation Text Char"/>
    <w:link w:val="RecommendationText"/>
    <w:rsid w:val="00E61C26"/>
    <w:rPr>
      <w:rFonts w:ascii="Calibri" w:eastAsia="Times New Roman" w:hAnsi="Calibri" w:cs="Times New Roman"/>
      <w:b/>
      <w:szCs w:val="24"/>
    </w:rPr>
  </w:style>
  <w:style w:type="character" w:customStyle="1" w:styleId="Headinglevel2Char">
    <w:name w:val="Heading level 2 Char"/>
    <w:link w:val="Headinglevel2"/>
    <w:rsid w:val="00E61C26"/>
    <w:rPr>
      <w:rFonts w:ascii="Arial Narrow" w:eastAsia="Times New Roman" w:hAnsi="Arial Narrow" w:cs="Arial"/>
      <w:iCs/>
      <w:smallCaps/>
      <w:spacing w:val="20"/>
      <w:sz w:val="36"/>
      <w:szCs w:val="34"/>
    </w:rPr>
  </w:style>
  <w:style w:type="character" w:customStyle="1" w:styleId="Headinglevel3Char">
    <w:name w:val="Heading level 3 Char"/>
    <w:link w:val="Headinglevel3"/>
    <w:rsid w:val="00E61C26"/>
    <w:rPr>
      <w:rFonts w:ascii="Arial Narrow" w:eastAsia="Times New Roman" w:hAnsi="Arial Narrow" w:cs="Arial"/>
      <w:smallCaps/>
      <w:spacing w:val="20"/>
      <w:sz w:val="30"/>
      <w:szCs w:val="28"/>
    </w:rPr>
  </w:style>
  <w:style w:type="paragraph" w:customStyle="1" w:styleId="StylePrelimminorheadingLeft0cmFirstline0cm4">
    <w:name w:val="Style Prelim minor heading + Left:  0 cm First line:  0 cm4"/>
    <w:basedOn w:val="Prelimminorheading"/>
    <w:rsid w:val="00E61C26"/>
    <w:pPr>
      <w:ind w:left="0" w:firstLine="0"/>
    </w:pPr>
    <w:rPr>
      <w:rFonts w:cs="Times New Roman"/>
      <w:bCs w:val="0"/>
      <w:iCs w:val="0"/>
      <w:szCs w:val="20"/>
    </w:rPr>
  </w:style>
  <w:style w:type="paragraph" w:customStyle="1" w:styleId="StylePrelimminorheadingLeft0cmFirstline0cm5">
    <w:name w:val="Style Prelim minor heading + Left:  0 cm First line:  0 cm5"/>
    <w:basedOn w:val="Prelimminorheading"/>
    <w:rsid w:val="00E61C26"/>
    <w:pPr>
      <w:ind w:left="0" w:firstLine="0"/>
    </w:pPr>
    <w:rPr>
      <w:rFonts w:cs="Times New Roman"/>
      <w:bCs w:val="0"/>
      <w:iCs w:val="0"/>
      <w:szCs w:val="20"/>
    </w:rPr>
  </w:style>
  <w:style w:type="paragraph" w:customStyle="1" w:styleId="StylePrelimminorheadingLeft0cmFirstline0cmExpand">
    <w:name w:val="Style Prelim minor heading + Left:  0 cm First line:  0 cm Expand..."/>
    <w:basedOn w:val="Prelimminorheading"/>
    <w:rsid w:val="00E61C26"/>
    <w:pPr>
      <w:ind w:left="0" w:firstLine="0"/>
    </w:pPr>
    <w:rPr>
      <w:rFonts w:cs="Times New Roman"/>
      <w:bCs w:val="0"/>
      <w:iCs w:val="0"/>
      <w:spacing w:val="4"/>
      <w:sz w:val="30"/>
      <w:szCs w:val="20"/>
    </w:rPr>
  </w:style>
  <w:style w:type="character" w:customStyle="1" w:styleId="PrelimminorheadingChar">
    <w:name w:val="Prelim minor heading Char"/>
    <w:link w:val="Prelimminorheading"/>
    <w:rsid w:val="00E61C26"/>
    <w:rPr>
      <w:rFonts w:ascii="Arial Narrow" w:eastAsia="Times New Roman" w:hAnsi="Arial Narrow" w:cs="Arial"/>
      <w:bCs/>
      <w:iCs/>
      <w:smallCaps/>
      <w:spacing w:val="2"/>
      <w:sz w:val="28"/>
      <w:szCs w:val="28"/>
    </w:rPr>
  </w:style>
  <w:style w:type="character" w:customStyle="1" w:styleId="SecretariatChar">
    <w:name w:val="Secretariat Char"/>
    <w:basedOn w:val="PrelimminorheadingChar"/>
    <w:link w:val="Secretariat"/>
    <w:rsid w:val="00E61C26"/>
    <w:rPr>
      <w:rFonts w:ascii="Arial Narrow" w:eastAsia="Times New Roman" w:hAnsi="Arial Narrow" w:cs="Arial"/>
      <w:bCs/>
      <w:iCs/>
      <w:smallCaps/>
      <w:spacing w:val="4"/>
      <w:sz w:val="30"/>
      <w:szCs w:val="30"/>
    </w:rPr>
  </w:style>
  <w:style w:type="paragraph" w:customStyle="1" w:styleId="RecommendationBullet">
    <w:name w:val="Recommendation Bullet"/>
    <w:basedOn w:val="ListBullet"/>
    <w:link w:val="RecommendationBulletChar"/>
    <w:qFormat/>
    <w:rsid w:val="00E61C26"/>
    <w:rPr>
      <w:b/>
    </w:rPr>
  </w:style>
  <w:style w:type="character" w:customStyle="1" w:styleId="ContactinformationChar">
    <w:name w:val="Contact information Char"/>
    <w:basedOn w:val="PrelimminorheadingChar"/>
    <w:link w:val="Contactinformation"/>
    <w:rsid w:val="00E61C26"/>
    <w:rPr>
      <w:rFonts w:ascii="Arial Narrow" w:eastAsia="Times New Roman" w:hAnsi="Arial Narrow" w:cs="Arial"/>
      <w:bCs/>
      <w:iCs/>
      <w:smallCaps/>
      <w:spacing w:val="2"/>
      <w:sz w:val="28"/>
      <w:szCs w:val="28"/>
    </w:rPr>
  </w:style>
  <w:style w:type="character" w:customStyle="1" w:styleId="ListBulletChar">
    <w:name w:val="List Bullet Char"/>
    <w:link w:val="ListBullet"/>
    <w:rsid w:val="00E61C26"/>
    <w:rPr>
      <w:rFonts w:ascii="Calibri" w:eastAsia="Times New Roman" w:hAnsi="Calibri" w:cs="Times New Roman"/>
    </w:rPr>
  </w:style>
  <w:style w:type="character" w:customStyle="1" w:styleId="RecommendationBulletChar">
    <w:name w:val="Recommendation Bullet Char"/>
    <w:basedOn w:val="ListBulletChar"/>
    <w:link w:val="RecommendationBullet"/>
    <w:rsid w:val="00E61C26"/>
    <w:rPr>
      <w:rFonts w:ascii="Calibri" w:eastAsia="Times New Roman" w:hAnsi="Calibri" w:cs="Times New Roman"/>
      <w:b/>
    </w:rPr>
  </w:style>
  <w:style w:type="character" w:customStyle="1" w:styleId="Agendasub-itemChar">
    <w:name w:val="Agenda sub-item Char"/>
    <w:basedOn w:val="DefaultParagraphFont"/>
    <w:link w:val="Agendasub-item"/>
    <w:locked/>
    <w:rsid w:val="00E61C26"/>
    <w:rPr>
      <w:rFonts w:ascii="Calibri" w:hAnsi="Calibri" w:cs="Calibri"/>
      <w:color w:val="000000"/>
    </w:rPr>
  </w:style>
  <w:style w:type="paragraph" w:customStyle="1" w:styleId="Agendasub-item">
    <w:name w:val="Agenda sub-item"/>
    <w:basedOn w:val="Normal"/>
    <w:link w:val="Agendasub-itemChar"/>
    <w:qFormat/>
    <w:rsid w:val="00E61C26"/>
    <w:pPr>
      <w:spacing w:after="120" w:line="300" w:lineRule="exact"/>
      <w:ind w:left="340"/>
    </w:pPr>
    <w:rPr>
      <w:rFonts w:eastAsiaTheme="minorHAnsi" w:cs="Calibri"/>
      <w:color w:val="000000"/>
      <w:szCs w:val="22"/>
    </w:rPr>
  </w:style>
  <w:style w:type="paragraph" w:styleId="ListParagraph">
    <w:name w:val="List Paragraph"/>
    <w:basedOn w:val="Normal"/>
    <w:uiPriority w:val="34"/>
    <w:qFormat/>
    <w:rsid w:val="00E61C26"/>
    <w:pPr>
      <w:ind w:left="720"/>
      <w:contextualSpacing/>
    </w:pPr>
  </w:style>
  <w:style w:type="character" w:styleId="Emphasis">
    <w:name w:val="Emphasis"/>
    <w:basedOn w:val="DefaultParagraphFont"/>
    <w:uiPriority w:val="20"/>
    <w:qFormat/>
    <w:rsid w:val="00E61C26"/>
    <w:rPr>
      <w:i/>
      <w:iCs/>
    </w:rPr>
  </w:style>
  <w:style w:type="paragraph" w:customStyle="1" w:styleId="BodyText2">
    <w:name w:val="Body Text2"/>
    <w:basedOn w:val="Normal"/>
    <w:rsid w:val="00E61C26"/>
    <w:pPr>
      <w:spacing w:before="240" w:after="100" w:line="288" w:lineRule="auto"/>
      <w:ind w:left="567" w:hanging="567"/>
    </w:pPr>
  </w:style>
  <w:style w:type="paragraph" w:customStyle="1" w:styleId="TOCHeading2">
    <w:name w:val="TOC Heading2"/>
    <w:basedOn w:val="Prelimmajorheading"/>
    <w:rsid w:val="00E61C26"/>
    <w:rPr>
      <w:b w:val="0"/>
    </w:rPr>
  </w:style>
  <w:style w:type="paragraph" w:styleId="BalloonText">
    <w:name w:val="Balloon Text"/>
    <w:basedOn w:val="Normal"/>
    <w:link w:val="BalloonTextChar"/>
    <w:rsid w:val="00E61C26"/>
    <w:rPr>
      <w:rFonts w:ascii="Tahoma" w:hAnsi="Tahoma" w:cs="Tahoma"/>
      <w:sz w:val="16"/>
      <w:szCs w:val="16"/>
    </w:rPr>
  </w:style>
  <w:style w:type="character" w:customStyle="1" w:styleId="BalloonTextChar">
    <w:name w:val="Balloon Text Char"/>
    <w:basedOn w:val="DefaultParagraphFont"/>
    <w:link w:val="BalloonText"/>
    <w:rsid w:val="00E61C26"/>
    <w:rPr>
      <w:rFonts w:ascii="Tahoma" w:eastAsia="Times New Roman" w:hAnsi="Tahoma" w:cs="Tahoma"/>
      <w:sz w:val="16"/>
      <w:szCs w:val="16"/>
    </w:rPr>
  </w:style>
  <w:style w:type="character" w:styleId="CommentReference">
    <w:name w:val="annotation reference"/>
    <w:basedOn w:val="DefaultParagraphFont"/>
    <w:rsid w:val="00E61C26"/>
    <w:rPr>
      <w:sz w:val="16"/>
      <w:szCs w:val="16"/>
    </w:rPr>
  </w:style>
  <w:style w:type="paragraph" w:styleId="CommentText">
    <w:name w:val="annotation text"/>
    <w:basedOn w:val="Normal"/>
    <w:link w:val="CommentTextChar"/>
    <w:rsid w:val="00E61C26"/>
    <w:rPr>
      <w:sz w:val="20"/>
      <w:szCs w:val="20"/>
    </w:rPr>
  </w:style>
  <w:style w:type="character" w:customStyle="1" w:styleId="CommentTextChar">
    <w:name w:val="Comment Text Char"/>
    <w:basedOn w:val="DefaultParagraphFont"/>
    <w:link w:val="CommentText"/>
    <w:rsid w:val="00E61C26"/>
    <w:rPr>
      <w:rFonts w:ascii="Calibri" w:eastAsia="Times New Roman" w:hAnsi="Calibri" w:cs="Times New Roman"/>
      <w:sz w:val="20"/>
      <w:szCs w:val="20"/>
    </w:rPr>
  </w:style>
  <w:style w:type="paragraph" w:styleId="CommentSubject">
    <w:name w:val="annotation subject"/>
    <w:basedOn w:val="CommentText"/>
    <w:next w:val="CommentText"/>
    <w:link w:val="CommentSubjectChar"/>
    <w:rsid w:val="00E61C26"/>
    <w:rPr>
      <w:b/>
      <w:bCs/>
    </w:rPr>
  </w:style>
  <w:style w:type="character" w:customStyle="1" w:styleId="CommentSubjectChar">
    <w:name w:val="Comment Subject Char"/>
    <w:basedOn w:val="CommentTextChar"/>
    <w:link w:val="CommentSubject"/>
    <w:rsid w:val="00E61C26"/>
    <w:rPr>
      <w:rFonts w:ascii="Calibri" w:eastAsia="Times New Roman" w:hAnsi="Calibri" w:cs="Times New Roman"/>
      <w:b/>
      <w:bCs/>
      <w:sz w:val="20"/>
      <w:szCs w:val="20"/>
    </w:rPr>
  </w:style>
  <w:style w:type="paragraph" w:styleId="NormalWeb">
    <w:name w:val="Normal (Web)"/>
    <w:basedOn w:val="Normal"/>
    <w:uiPriority w:val="99"/>
    <w:unhideWhenUsed/>
    <w:rsid w:val="00E61C26"/>
    <w:rPr>
      <w:rFonts w:ascii="Times New Roman" w:hAnsi="Times New Roman"/>
      <w:sz w:val="24"/>
      <w:lang w:eastAsia="en-AU"/>
    </w:rPr>
  </w:style>
  <w:style w:type="numbering" w:customStyle="1" w:styleId="test11">
    <w:name w:val="test11"/>
    <w:uiPriority w:val="99"/>
    <w:rsid w:val="00E61C26"/>
  </w:style>
  <w:style w:type="table" w:styleId="TableGrid">
    <w:name w:val="Table Grid"/>
    <w:basedOn w:val="TableNormal"/>
    <w:uiPriority w:val="59"/>
    <w:rsid w:val="00E61C26"/>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est12">
    <w:name w:val="test12"/>
    <w:uiPriority w:val="99"/>
    <w:rsid w:val="00E61C26"/>
  </w:style>
  <w:style w:type="paragraph" w:styleId="Bibliography">
    <w:name w:val="Bibliography"/>
    <w:basedOn w:val="Normal"/>
    <w:next w:val="Normal"/>
    <w:uiPriority w:val="37"/>
    <w:semiHidden/>
    <w:unhideWhenUsed/>
    <w:rsid w:val="00E61C26"/>
  </w:style>
  <w:style w:type="paragraph" w:styleId="BlockText">
    <w:name w:val="Block Text"/>
    <w:basedOn w:val="Normal"/>
    <w:semiHidden/>
    <w:unhideWhenUsed/>
    <w:rsid w:val="00E61C26"/>
    <w:pPr>
      <w:pBdr>
        <w:top w:val="single" w:sz="2" w:space="10" w:color="5B9BD5" w:themeColor="accent1" w:frame="1"/>
        <w:left w:val="single" w:sz="2" w:space="10" w:color="5B9BD5" w:themeColor="accent1" w:frame="1"/>
        <w:bottom w:val="single" w:sz="2" w:space="10" w:color="5B9BD5" w:themeColor="accent1" w:frame="1"/>
        <w:right w:val="single" w:sz="2" w:space="10" w:color="5B9BD5" w:themeColor="accent1" w:frame="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0"/>
    <w:semiHidden/>
    <w:unhideWhenUsed/>
    <w:rsid w:val="00E61C26"/>
    <w:pPr>
      <w:spacing w:after="120"/>
    </w:pPr>
  </w:style>
  <w:style w:type="character" w:customStyle="1" w:styleId="BodyTextChar0">
    <w:name w:val="Body Text Char"/>
    <w:basedOn w:val="DefaultParagraphFont"/>
    <w:link w:val="BodyText"/>
    <w:semiHidden/>
    <w:rsid w:val="00E61C26"/>
    <w:rPr>
      <w:rFonts w:ascii="Calibri" w:eastAsia="Times New Roman" w:hAnsi="Calibri" w:cs="Times New Roman"/>
      <w:szCs w:val="24"/>
    </w:rPr>
  </w:style>
  <w:style w:type="paragraph" w:styleId="BodyText20">
    <w:name w:val="Body Text 2"/>
    <w:basedOn w:val="Normal"/>
    <w:link w:val="BodyText2Char"/>
    <w:semiHidden/>
    <w:unhideWhenUsed/>
    <w:rsid w:val="00E61C26"/>
    <w:pPr>
      <w:spacing w:after="120" w:line="480" w:lineRule="auto"/>
    </w:pPr>
  </w:style>
  <w:style w:type="character" w:customStyle="1" w:styleId="BodyText2Char">
    <w:name w:val="Body Text 2 Char"/>
    <w:basedOn w:val="DefaultParagraphFont"/>
    <w:link w:val="BodyText20"/>
    <w:semiHidden/>
    <w:rsid w:val="00E61C26"/>
    <w:rPr>
      <w:rFonts w:ascii="Calibri" w:eastAsia="Times New Roman" w:hAnsi="Calibri" w:cs="Times New Roman"/>
      <w:szCs w:val="24"/>
    </w:rPr>
  </w:style>
  <w:style w:type="paragraph" w:styleId="BodyText3">
    <w:name w:val="Body Text 3"/>
    <w:basedOn w:val="Normal"/>
    <w:link w:val="BodyText3Char"/>
    <w:semiHidden/>
    <w:unhideWhenUsed/>
    <w:rsid w:val="00E61C26"/>
    <w:pPr>
      <w:spacing w:after="120"/>
    </w:pPr>
    <w:rPr>
      <w:sz w:val="16"/>
      <w:szCs w:val="16"/>
    </w:rPr>
  </w:style>
  <w:style w:type="character" w:customStyle="1" w:styleId="BodyText3Char">
    <w:name w:val="Body Text 3 Char"/>
    <w:basedOn w:val="DefaultParagraphFont"/>
    <w:link w:val="BodyText3"/>
    <w:semiHidden/>
    <w:rsid w:val="00E61C26"/>
    <w:rPr>
      <w:rFonts w:ascii="Calibri" w:eastAsia="Times New Roman" w:hAnsi="Calibri" w:cs="Times New Roman"/>
      <w:sz w:val="16"/>
      <w:szCs w:val="16"/>
    </w:rPr>
  </w:style>
  <w:style w:type="paragraph" w:styleId="BodyTextFirstIndent">
    <w:name w:val="Body Text First Indent"/>
    <w:basedOn w:val="BodyText"/>
    <w:link w:val="BodyTextFirstIndentChar"/>
    <w:rsid w:val="00E61C26"/>
    <w:pPr>
      <w:spacing w:after="0"/>
      <w:ind w:firstLine="360"/>
    </w:pPr>
  </w:style>
  <w:style w:type="character" w:customStyle="1" w:styleId="BodyTextFirstIndentChar">
    <w:name w:val="Body Text First Indent Char"/>
    <w:basedOn w:val="BodyTextChar0"/>
    <w:link w:val="BodyTextFirstIndent"/>
    <w:rsid w:val="00E61C26"/>
    <w:rPr>
      <w:rFonts w:ascii="Calibri" w:eastAsia="Times New Roman" w:hAnsi="Calibri" w:cs="Times New Roman"/>
      <w:szCs w:val="24"/>
    </w:rPr>
  </w:style>
  <w:style w:type="paragraph" w:styleId="BodyTextIndent">
    <w:name w:val="Body Text Indent"/>
    <w:basedOn w:val="Normal"/>
    <w:link w:val="BodyTextIndentChar"/>
    <w:semiHidden/>
    <w:unhideWhenUsed/>
    <w:rsid w:val="00E61C26"/>
    <w:pPr>
      <w:spacing w:after="120"/>
      <w:ind w:left="283"/>
    </w:pPr>
  </w:style>
  <w:style w:type="character" w:customStyle="1" w:styleId="BodyTextIndentChar">
    <w:name w:val="Body Text Indent Char"/>
    <w:basedOn w:val="DefaultParagraphFont"/>
    <w:link w:val="BodyTextIndent"/>
    <w:semiHidden/>
    <w:rsid w:val="00E61C26"/>
    <w:rPr>
      <w:rFonts w:ascii="Calibri" w:eastAsia="Times New Roman" w:hAnsi="Calibri" w:cs="Times New Roman"/>
      <w:szCs w:val="24"/>
    </w:rPr>
  </w:style>
  <w:style w:type="paragraph" w:styleId="BodyTextFirstIndent2">
    <w:name w:val="Body Text First Indent 2"/>
    <w:basedOn w:val="BodyTextIndent"/>
    <w:link w:val="BodyTextFirstIndent2Char"/>
    <w:semiHidden/>
    <w:unhideWhenUsed/>
    <w:rsid w:val="00E61C26"/>
    <w:pPr>
      <w:spacing w:after="0"/>
      <w:ind w:left="360" w:firstLine="360"/>
    </w:pPr>
  </w:style>
  <w:style w:type="character" w:customStyle="1" w:styleId="BodyTextFirstIndent2Char">
    <w:name w:val="Body Text First Indent 2 Char"/>
    <w:basedOn w:val="BodyTextIndentChar"/>
    <w:link w:val="BodyTextFirstIndent2"/>
    <w:semiHidden/>
    <w:rsid w:val="00E61C26"/>
    <w:rPr>
      <w:rFonts w:ascii="Calibri" w:eastAsia="Times New Roman" w:hAnsi="Calibri" w:cs="Times New Roman"/>
      <w:szCs w:val="24"/>
    </w:rPr>
  </w:style>
  <w:style w:type="paragraph" w:styleId="BodyTextIndent2">
    <w:name w:val="Body Text Indent 2"/>
    <w:basedOn w:val="Normal"/>
    <w:link w:val="BodyTextIndent2Char"/>
    <w:semiHidden/>
    <w:unhideWhenUsed/>
    <w:rsid w:val="00E61C26"/>
    <w:pPr>
      <w:spacing w:after="120" w:line="480" w:lineRule="auto"/>
      <w:ind w:left="283"/>
    </w:pPr>
  </w:style>
  <w:style w:type="character" w:customStyle="1" w:styleId="BodyTextIndent2Char">
    <w:name w:val="Body Text Indent 2 Char"/>
    <w:basedOn w:val="DefaultParagraphFont"/>
    <w:link w:val="BodyTextIndent2"/>
    <w:semiHidden/>
    <w:rsid w:val="00E61C26"/>
    <w:rPr>
      <w:rFonts w:ascii="Calibri" w:eastAsia="Times New Roman" w:hAnsi="Calibri" w:cs="Times New Roman"/>
      <w:szCs w:val="24"/>
    </w:rPr>
  </w:style>
  <w:style w:type="paragraph" w:styleId="BodyTextIndent3">
    <w:name w:val="Body Text Indent 3"/>
    <w:basedOn w:val="Normal"/>
    <w:link w:val="BodyTextIndent3Char"/>
    <w:semiHidden/>
    <w:unhideWhenUsed/>
    <w:rsid w:val="00E61C26"/>
    <w:pPr>
      <w:spacing w:after="120"/>
      <w:ind w:left="283"/>
    </w:pPr>
    <w:rPr>
      <w:sz w:val="16"/>
      <w:szCs w:val="16"/>
    </w:rPr>
  </w:style>
  <w:style w:type="character" w:customStyle="1" w:styleId="BodyTextIndent3Char">
    <w:name w:val="Body Text Indent 3 Char"/>
    <w:basedOn w:val="DefaultParagraphFont"/>
    <w:link w:val="BodyTextIndent3"/>
    <w:semiHidden/>
    <w:rsid w:val="00E61C26"/>
    <w:rPr>
      <w:rFonts w:ascii="Calibri" w:eastAsia="Times New Roman" w:hAnsi="Calibri" w:cs="Times New Roman"/>
      <w:sz w:val="16"/>
      <w:szCs w:val="16"/>
    </w:rPr>
  </w:style>
  <w:style w:type="paragraph" w:styleId="Closing">
    <w:name w:val="Closing"/>
    <w:basedOn w:val="Normal"/>
    <w:link w:val="ClosingChar"/>
    <w:semiHidden/>
    <w:unhideWhenUsed/>
    <w:rsid w:val="00E61C26"/>
    <w:pPr>
      <w:ind w:left="4252"/>
    </w:pPr>
  </w:style>
  <w:style w:type="character" w:customStyle="1" w:styleId="ClosingChar">
    <w:name w:val="Closing Char"/>
    <w:basedOn w:val="DefaultParagraphFont"/>
    <w:link w:val="Closing"/>
    <w:semiHidden/>
    <w:rsid w:val="00E61C26"/>
    <w:rPr>
      <w:rFonts w:ascii="Calibri" w:eastAsia="Times New Roman" w:hAnsi="Calibri" w:cs="Times New Roman"/>
      <w:szCs w:val="24"/>
    </w:rPr>
  </w:style>
  <w:style w:type="paragraph" w:styleId="Date">
    <w:name w:val="Date"/>
    <w:basedOn w:val="Normal"/>
    <w:next w:val="Normal"/>
    <w:link w:val="DateChar"/>
    <w:rsid w:val="00E61C26"/>
  </w:style>
  <w:style w:type="character" w:customStyle="1" w:styleId="DateChar">
    <w:name w:val="Date Char"/>
    <w:basedOn w:val="DefaultParagraphFont"/>
    <w:link w:val="Date"/>
    <w:rsid w:val="00E61C26"/>
    <w:rPr>
      <w:rFonts w:ascii="Calibri" w:eastAsia="Times New Roman" w:hAnsi="Calibri" w:cs="Times New Roman"/>
      <w:szCs w:val="24"/>
    </w:rPr>
  </w:style>
  <w:style w:type="paragraph" w:styleId="DocumentMap">
    <w:name w:val="Document Map"/>
    <w:basedOn w:val="Normal"/>
    <w:link w:val="DocumentMapChar"/>
    <w:semiHidden/>
    <w:unhideWhenUsed/>
    <w:rsid w:val="00E61C26"/>
    <w:rPr>
      <w:rFonts w:ascii="Segoe UI" w:hAnsi="Segoe UI" w:cs="Segoe UI"/>
      <w:sz w:val="16"/>
      <w:szCs w:val="16"/>
    </w:rPr>
  </w:style>
  <w:style w:type="character" w:customStyle="1" w:styleId="DocumentMapChar">
    <w:name w:val="Document Map Char"/>
    <w:basedOn w:val="DefaultParagraphFont"/>
    <w:link w:val="DocumentMap"/>
    <w:semiHidden/>
    <w:rsid w:val="00E61C26"/>
    <w:rPr>
      <w:rFonts w:ascii="Segoe UI" w:eastAsia="Times New Roman" w:hAnsi="Segoe UI" w:cs="Segoe UI"/>
      <w:sz w:val="16"/>
      <w:szCs w:val="16"/>
    </w:rPr>
  </w:style>
  <w:style w:type="paragraph" w:styleId="E-mailSignature">
    <w:name w:val="E-mail Signature"/>
    <w:basedOn w:val="Normal"/>
    <w:link w:val="E-mailSignatureChar"/>
    <w:semiHidden/>
    <w:unhideWhenUsed/>
    <w:rsid w:val="00E61C26"/>
  </w:style>
  <w:style w:type="character" w:customStyle="1" w:styleId="E-mailSignatureChar">
    <w:name w:val="E-mail Signature Char"/>
    <w:basedOn w:val="DefaultParagraphFont"/>
    <w:link w:val="E-mailSignature"/>
    <w:semiHidden/>
    <w:rsid w:val="00E61C26"/>
    <w:rPr>
      <w:rFonts w:ascii="Calibri" w:eastAsia="Times New Roman" w:hAnsi="Calibri" w:cs="Times New Roman"/>
      <w:szCs w:val="24"/>
    </w:rPr>
  </w:style>
  <w:style w:type="paragraph" w:styleId="EndnoteText">
    <w:name w:val="endnote text"/>
    <w:basedOn w:val="Normal"/>
    <w:link w:val="EndnoteTextChar"/>
    <w:semiHidden/>
    <w:unhideWhenUsed/>
    <w:rsid w:val="00E61C26"/>
    <w:rPr>
      <w:sz w:val="20"/>
      <w:szCs w:val="20"/>
    </w:rPr>
  </w:style>
  <w:style w:type="character" w:customStyle="1" w:styleId="EndnoteTextChar">
    <w:name w:val="Endnote Text Char"/>
    <w:basedOn w:val="DefaultParagraphFont"/>
    <w:link w:val="EndnoteText"/>
    <w:semiHidden/>
    <w:rsid w:val="00E61C26"/>
    <w:rPr>
      <w:rFonts w:ascii="Calibri" w:eastAsia="Times New Roman" w:hAnsi="Calibri" w:cs="Times New Roman"/>
      <w:sz w:val="20"/>
      <w:szCs w:val="20"/>
    </w:rPr>
  </w:style>
  <w:style w:type="paragraph" w:styleId="EnvelopeAddress">
    <w:name w:val="envelope address"/>
    <w:basedOn w:val="Normal"/>
    <w:semiHidden/>
    <w:unhideWhenUsed/>
    <w:rsid w:val="00E61C26"/>
    <w:pPr>
      <w:framePr w:w="7920" w:h="1980" w:hRule="exact" w:hSpace="180" w:wrap="auto" w:hAnchor="page" w:xAlign="center" w:yAlign="bottom"/>
      <w:ind w:left="2880"/>
    </w:pPr>
    <w:rPr>
      <w:rFonts w:asciiTheme="majorHAnsi" w:eastAsiaTheme="majorEastAsia" w:hAnsiTheme="majorHAnsi" w:cstheme="majorBidi"/>
      <w:sz w:val="24"/>
    </w:rPr>
  </w:style>
  <w:style w:type="paragraph" w:styleId="EnvelopeReturn">
    <w:name w:val="envelope return"/>
    <w:basedOn w:val="Normal"/>
    <w:semiHidden/>
    <w:unhideWhenUsed/>
    <w:rsid w:val="00E61C26"/>
    <w:rPr>
      <w:rFonts w:asciiTheme="majorHAnsi" w:eastAsiaTheme="majorEastAsia" w:hAnsiTheme="majorHAnsi" w:cstheme="majorBidi"/>
      <w:sz w:val="20"/>
      <w:szCs w:val="20"/>
    </w:rPr>
  </w:style>
  <w:style w:type="paragraph" w:styleId="HTMLAddress">
    <w:name w:val="HTML Address"/>
    <w:basedOn w:val="Normal"/>
    <w:link w:val="HTMLAddressChar"/>
    <w:semiHidden/>
    <w:unhideWhenUsed/>
    <w:rsid w:val="00E61C26"/>
    <w:rPr>
      <w:i/>
      <w:iCs/>
    </w:rPr>
  </w:style>
  <w:style w:type="character" w:customStyle="1" w:styleId="HTMLAddressChar">
    <w:name w:val="HTML Address Char"/>
    <w:basedOn w:val="DefaultParagraphFont"/>
    <w:link w:val="HTMLAddress"/>
    <w:semiHidden/>
    <w:rsid w:val="00E61C26"/>
    <w:rPr>
      <w:rFonts w:ascii="Calibri" w:eastAsia="Times New Roman" w:hAnsi="Calibri" w:cs="Times New Roman"/>
      <w:i/>
      <w:iCs/>
      <w:szCs w:val="24"/>
    </w:rPr>
  </w:style>
  <w:style w:type="paragraph" w:styleId="HTMLPreformatted">
    <w:name w:val="HTML Preformatted"/>
    <w:basedOn w:val="Normal"/>
    <w:link w:val="HTMLPreformattedChar"/>
    <w:semiHidden/>
    <w:unhideWhenUsed/>
    <w:rsid w:val="00E61C26"/>
    <w:rPr>
      <w:rFonts w:ascii="Consolas" w:hAnsi="Consolas"/>
      <w:sz w:val="20"/>
      <w:szCs w:val="20"/>
    </w:rPr>
  </w:style>
  <w:style w:type="character" w:customStyle="1" w:styleId="HTMLPreformattedChar">
    <w:name w:val="HTML Preformatted Char"/>
    <w:basedOn w:val="DefaultParagraphFont"/>
    <w:link w:val="HTMLPreformatted"/>
    <w:semiHidden/>
    <w:rsid w:val="00E61C26"/>
    <w:rPr>
      <w:rFonts w:ascii="Consolas" w:eastAsia="Times New Roman" w:hAnsi="Consolas" w:cs="Times New Roman"/>
      <w:sz w:val="20"/>
      <w:szCs w:val="20"/>
    </w:rPr>
  </w:style>
  <w:style w:type="paragraph" w:styleId="Index1">
    <w:name w:val="index 1"/>
    <w:basedOn w:val="Normal"/>
    <w:next w:val="Normal"/>
    <w:autoRedefine/>
    <w:semiHidden/>
    <w:unhideWhenUsed/>
    <w:rsid w:val="00E61C26"/>
    <w:pPr>
      <w:ind w:left="220" w:hanging="220"/>
    </w:pPr>
  </w:style>
  <w:style w:type="paragraph" w:styleId="Index2">
    <w:name w:val="index 2"/>
    <w:basedOn w:val="Normal"/>
    <w:next w:val="Normal"/>
    <w:autoRedefine/>
    <w:semiHidden/>
    <w:unhideWhenUsed/>
    <w:rsid w:val="00E61C26"/>
    <w:pPr>
      <w:ind w:left="440" w:hanging="220"/>
    </w:pPr>
  </w:style>
  <w:style w:type="paragraph" w:styleId="Index3">
    <w:name w:val="index 3"/>
    <w:basedOn w:val="Normal"/>
    <w:next w:val="Normal"/>
    <w:autoRedefine/>
    <w:semiHidden/>
    <w:unhideWhenUsed/>
    <w:rsid w:val="00E61C26"/>
    <w:pPr>
      <w:ind w:left="660" w:hanging="220"/>
    </w:pPr>
  </w:style>
  <w:style w:type="paragraph" w:styleId="Index4">
    <w:name w:val="index 4"/>
    <w:basedOn w:val="Normal"/>
    <w:next w:val="Normal"/>
    <w:autoRedefine/>
    <w:semiHidden/>
    <w:unhideWhenUsed/>
    <w:rsid w:val="00E61C26"/>
    <w:pPr>
      <w:ind w:left="880" w:hanging="220"/>
    </w:pPr>
  </w:style>
  <w:style w:type="paragraph" w:styleId="Index5">
    <w:name w:val="index 5"/>
    <w:basedOn w:val="Normal"/>
    <w:next w:val="Normal"/>
    <w:autoRedefine/>
    <w:semiHidden/>
    <w:unhideWhenUsed/>
    <w:rsid w:val="00E61C26"/>
    <w:pPr>
      <w:ind w:left="1100" w:hanging="220"/>
    </w:pPr>
  </w:style>
  <w:style w:type="paragraph" w:styleId="Index6">
    <w:name w:val="index 6"/>
    <w:basedOn w:val="Normal"/>
    <w:next w:val="Normal"/>
    <w:autoRedefine/>
    <w:semiHidden/>
    <w:unhideWhenUsed/>
    <w:rsid w:val="00E61C26"/>
    <w:pPr>
      <w:ind w:left="1320" w:hanging="220"/>
    </w:pPr>
  </w:style>
  <w:style w:type="paragraph" w:styleId="Index7">
    <w:name w:val="index 7"/>
    <w:basedOn w:val="Normal"/>
    <w:next w:val="Normal"/>
    <w:autoRedefine/>
    <w:semiHidden/>
    <w:unhideWhenUsed/>
    <w:rsid w:val="00E61C26"/>
    <w:pPr>
      <w:ind w:left="1540" w:hanging="220"/>
    </w:pPr>
  </w:style>
  <w:style w:type="paragraph" w:styleId="Index8">
    <w:name w:val="index 8"/>
    <w:basedOn w:val="Normal"/>
    <w:next w:val="Normal"/>
    <w:autoRedefine/>
    <w:semiHidden/>
    <w:unhideWhenUsed/>
    <w:rsid w:val="00E61C26"/>
    <w:pPr>
      <w:ind w:left="1760" w:hanging="220"/>
    </w:pPr>
  </w:style>
  <w:style w:type="paragraph" w:styleId="Index9">
    <w:name w:val="index 9"/>
    <w:basedOn w:val="Normal"/>
    <w:next w:val="Normal"/>
    <w:autoRedefine/>
    <w:semiHidden/>
    <w:unhideWhenUsed/>
    <w:rsid w:val="00E61C26"/>
    <w:pPr>
      <w:ind w:left="1980" w:hanging="220"/>
    </w:pPr>
  </w:style>
  <w:style w:type="paragraph" w:styleId="IndexHeading">
    <w:name w:val="index heading"/>
    <w:basedOn w:val="Normal"/>
    <w:next w:val="Index1"/>
    <w:semiHidden/>
    <w:unhideWhenUsed/>
    <w:rsid w:val="00E61C2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61C2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61C26"/>
    <w:rPr>
      <w:rFonts w:ascii="Calibri" w:eastAsia="Times New Roman" w:hAnsi="Calibri" w:cs="Times New Roman"/>
      <w:i/>
      <w:iCs/>
      <w:color w:val="5B9BD5" w:themeColor="accent1"/>
      <w:szCs w:val="24"/>
    </w:rPr>
  </w:style>
  <w:style w:type="paragraph" w:styleId="List">
    <w:name w:val="List"/>
    <w:basedOn w:val="Normal"/>
    <w:semiHidden/>
    <w:unhideWhenUsed/>
    <w:rsid w:val="00E61C26"/>
    <w:pPr>
      <w:ind w:left="283" w:hanging="283"/>
      <w:contextualSpacing/>
    </w:pPr>
  </w:style>
  <w:style w:type="paragraph" w:styleId="List2">
    <w:name w:val="List 2"/>
    <w:basedOn w:val="Normal"/>
    <w:semiHidden/>
    <w:unhideWhenUsed/>
    <w:rsid w:val="00E61C26"/>
    <w:pPr>
      <w:ind w:left="566" w:hanging="283"/>
      <w:contextualSpacing/>
    </w:pPr>
  </w:style>
  <w:style w:type="paragraph" w:styleId="List3">
    <w:name w:val="List 3"/>
    <w:basedOn w:val="Normal"/>
    <w:semiHidden/>
    <w:unhideWhenUsed/>
    <w:rsid w:val="00E61C26"/>
    <w:pPr>
      <w:ind w:left="849" w:hanging="283"/>
      <w:contextualSpacing/>
    </w:pPr>
  </w:style>
  <w:style w:type="paragraph" w:styleId="List4">
    <w:name w:val="List 4"/>
    <w:basedOn w:val="Normal"/>
    <w:rsid w:val="00E61C26"/>
    <w:pPr>
      <w:ind w:left="1132" w:hanging="283"/>
      <w:contextualSpacing/>
    </w:pPr>
  </w:style>
  <w:style w:type="paragraph" w:styleId="List5">
    <w:name w:val="List 5"/>
    <w:basedOn w:val="Normal"/>
    <w:rsid w:val="00E61C26"/>
    <w:pPr>
      <w:ind w:left="1415" w:hanging="283"/>
      <w:contextualSpacing/>
    </w:pPr>
  </w:style>
  <w:style w:type="paragraph" w:styleId="ListBullet3">
    <w:name w:val="List Bullet 3"/>
    <w:basedOn w:val="Normal"/>
    <w:semiHidden/>
    <w:unhideWhenUsed/>
    <w:rsid w:val="00E61C26"/>
    <w:pPr>
      <w:numPr>
        <w:numId w:val="7"/>
      </w:numPr>
      <w:contextualSpacing/>
    </w:pPr>
  </w:style>
  <w:style w:type="paragraph" w:styleId="ListBullet4">
    <w:name w:val="List Bullet 4"/>
    <w:basedOn w:val="Normal"/>
    <w:semiHidden/>
    <w:unhideWhenUsed/>
    <w:rsid w:val="00E61C26"/>
    <w:pPr>
      <w:numPr>
        <w:numId w:val="8"/>
      </w:numPr>
      <w:contextualSpacing/>
    </w:pPr>
  </w:style>
  <w:style w:type="paragraph" w:styleId="ListBullet5">
    <w:name w:val="List Bullet 5"/>
    <w:basedOn w:val="Normal"/>
    <w:semiHidden/>
    <w:unhideWhenUsed/>
    <w:rsid w:val="00E61C26"/>
    <w:pPr>
      <w:numPr>
        <w:numId w:val="9"/>
      </w:numPr>
      <w:contextualSpacing/>
    </w:pPr>
  </w:style>
  <w:style w:type="paragraph" w:styleId="ListContinue">
    <w:name w:val="List Continue"/>
    <w:basedOn w:val="Normal"/>
    <w:semiHidden/>
    <w:unhideWhenUsed/>
    <w:rsid w:val="00E61C26"/>
    <w:pPr>
      <w:spacing w:after="120"/>
      <w:ind w:left="283"/>
      <w:contextualSpacing/>
    </w:pPr>
  </w:style>
  <w:style w:type="paragraph" w:styleId="ListContinue2">
    <w:name w:val="List Continue 2"/>
    <w:basedOn w:val="Normal"/>
    <w:semiHidden/>
    <w:unhideWhenUsed/>
    <w:rsid w:val="00E61C26"/>
    <w:pPr>
      <w:spacing w:after="120"/>
      <w:ind w:left="566"/>
      <w:contextualSpacing/>
    </w:pPr>
  </w:style>
  <w:style w:type="paragraph" w:styleId="ListContinue3">
    <w:name w:val="List Continue 3"/>
    <w:basedOn w:val="Normal"/>
    <w:semiHidden/>
    <w:unhideWhenUsed/>
    <w:rsid w:val="00E61C26"/>
    <w:pPr>
      <w:spacing w:after="120"/>
      <w:ind w:left="849"/>
      <w:contextualSpacing/>
    </w:pPr>
  </w:style>
  <w:style w:type="paragraph" w:styleId="ListContinue4">
    <w:name w:val="List Continue 4"/>
    <w:basedOn w:val="Normal"/>
    <w:semiHidden/>
    <w:unhideWhenUsed/>
    <w:rsid w:val="00E61C26"/>
    <w:pPr>
      <w:spacing w:after="120"/>
      <w:ind w:left="1132"/>
      <w:contextualSpacing/>
    </w:pPr>
  </w:style>
  <w:style w:type="paragraph" w:styleId="ListContinue5">
    <w:name w:val="List Continue 5"/>
    <w:basedOn w:val="Normal"/>
    <w:semiHidden/>
    <w:unhideWhenUsed/>
    <w:rsid w:val="00E61C26"/>
    <w:pPr>
      <w:spacing w:after="120"/>
      <w:ind w:left="1415"/>
      <w:contextualSpacing/>
    </w:pPr>
  </w:style>
  <w:style w:type="paragraph" w:styleId="ListNumber">
    <w:name w:val="List Number"/>
    <w:basedOn w:val="Normal"/>
    <w:rsid w:val="00E61C26"/>
    <w:pPr>
      <w:numPr>
        <w:numId w:val="10"/>
      </w:numPr>
      <w:contextualSpacing/>
    </w:pPr>
  </w:style>
  <w:style w:type="paragraph" w:styleId="ListNumber2">
    <w:name w:val="List Number 2"/>
    <w:basedOn w:val="Normal"/>
    <w:semiHidden/>
    <w:unhideWhenUsed/>
    <w:rsid w:val="00E61C26"/>
    <w:pPr>
      <w:numPr>
        <w:numId w:val="11"/>
      </w:numPr>
      <w:contextualSpacing/>
    </w:pPr>
  </w:style>
  <w:style w:type="paragraph" w:styleId="ListNumber4">
    <w:name w:val="List Number 4"/>
    <w:basedOn w:val="Normal"/>
    <w:semiHidden/>
    <w:unhideWhenUsed/>
    <w:rsid w:val="00E61C26"/>
    <w:pPr>
      <w:numPr>
        <w:numId w:val="12"/>
      </w:numPr>
      <w:contextualSpacing/>
    </w:pPr>
  </w:style>
  <w:style w:type="paragraph" w:styleId="ListNumber5">
    <w:name w:val="List Number 5"/>
    <w:basedOn w:val="Normal"/>
    <w:semiHidden/>
    <w:unhideWhenUsed/>
    <w:rsid w:val="00E61C26"/>
    <w:pPr>
      <w:numPr>
        <w:numId w:val="13"/>
      </w:numPr>
      <w:contextualSpacing/>
    </w:pPr>
  </w:style>
  <w:style w:type="paragraph" w:styleId="MacroText">
    <w:name w:val="macro"/>
    <w:link w:val="MacroTextChar"/>
    <w:semiHidden/>
    <w:unhideWhenUsed/>
    <w:rsid w:val="00E61C2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semiHidden/>
    <w:rsid w:val="00E61C26"/>
    <w:rPr>
      <w:rFonts w:ascii="Consolas" w:eastAsia="Times New Roman" w:hAnsi="Consolas" w:cs="Times New Roman"/>
      <w:sz w:val="20"/>
      <w:szCs w:val="20"/>
    </w:rPr>
  </w:style>
  <w:style w:type="paragraph" w:styleId="MessageHeader">
    <w:name w:val="Message Header"/>
    <w:basedOn w:val="Normal"/>
    <w:link w:val="MessageHeaderChar"/>
    <w:semiHidden/>
    <w:unhideWhenUsed/>
    <w:rsid w:val="00E61C26"/>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semiHidden/>
    <w:rsid w:val="00E61C26"/>
    <w:rPr>
      <w:rFonts w:asciiTheme="majorHAnsi" w:eastAsiaTheme="majorEastAsia" w:hAnsiTheme="majorHAnsi" w:cstheme="majorBidi"/>
      <w:sz w:val="24"/>
      <w:szCs w:val="24"/>
      <w:shd w:val="pct20" w:color="auto" w:fill="auto"/>
    </w:rPr>
  </w:style>
  <w:style w:type="paragraph" w:styleId="NoSpacing">
    <w:name w:val="No Spacing"/>
    <w:uiPriority w:val="1"/>
    <w:qFormat/>
    <w:rsid w:val="00E61C26"/>
    <w:pPr>
      <w:spacing w:after="0" w:line="240" w:lineRule="auto"/>
    </w:pPr>
    <w:rPr>
      <w:rFonts w:ascii="Calibri" w:eastAsia="Times New Roman" w:hAnsi="Calibri" w:cs="Times New Roman"/>
      <w:szCs w:val="24"/>
    </w:rPr>
  </w:style>
  <w:style w:type="paragraph" w:styleId="NormalIndent">
    <w:name w:val="Normal Indent"/>
    <w:basedOn w:val="Normal"/>
    <w:semiHidden/>
    <w:unhideWhenUsed/>
    <w:rsid w:val="00E61C26"/>
    <w:pPr>
      <w:ind w:left="720"/>
    </w:pPr>
  </w:style>
  <w:style w:type="paragraph" w:styleId="NoteHeading">
    <w:name w:val="Note Heading"/>
    <w:basedOn w:val="Normal"/>
    <w:next w:val="Normal"/>
    <w:link w:val="NoteHeadingChar"/>
    <w:semiHidden/>
    <w:unhideWhenUsed/>
    <w:rsid w:val="00E61C26"/>
  </w:style>
  <w:style w:type="character" w:customStyle="1" w:styleId="NoteHeadingChar">
    <w:name w:val="Note Heading Char"/>
    <w:basedOn w:val="DefaultParagraphFont"/>
    <w:link w:val="NoteHeading"/>
    <w:semiHidden/>
    <w:rsid w:val="00E61C26"/>
    <w:rPr>
      <w:rFonts w:ascii="Calibri" w:eastAsia="Times New Roman" w:hAnsi="Calibri" w:cs="Times New Roman"/>
      <w:szCs w:val="24"/>
    </w:rPr>
  </w:style>
  <w:style w:type="paragraph" w:styleId="PlainText">
    <w:name w:val="Plain Text"/>
    <w:basedOn w:val="Normal"/>
    <w:link w:val="PlainTextChar"/>
    <w:semiHidden/>
    <w:unhideWhenUsed/>
    <w:rsid w:val="00E61C26"/>
    <w:rPr>
      <w:rFonts w:ascii="Consolas" w:hAnsi="Consolas"/>
      <w:sz w:val="21"/>
      <w:szCs w:val="21"/>
    </w:rPr>
  </w:style>
  <w:style w:type="character" w:customStyle="1" w:styleId="PlainTextChar">
    <w:name w:val="Plain Text Char"/>
    <w:basedOn w:val="DefaultParagraphFont"/>
    <w:link w:val="PlainText"/>
    <w:semiHidden/>
    <w:rsid w:val="00E61C26"/>
    <w:rPr>
      <w:rFonts w:ascii="Consolas" w:eastAsia="Times New Roman" w:hAnsi="Consolas" w:cs="Times New Roman"/>
      <w:sz w:val="21"/>
      <w:szCs w:val="21"/>
    </w:rPr>
  </w:style>
  <w:style w:type="paragraph" w:styleId="Salutation">
    <w:name w:val="Salutation"/>
    <w:basedOn w:val="Normal"/>
    <w:next w:val="Normal"/>
    <w:link w:val="SalutationChar"/>
    <w:rsid w:val="00E61C26"/>
  </w:style>
  <w:style w:type="character" w:customStyle="1" w:styleId="SalutationChar">
    <w:name w:val="Salutation Char"/>
    <w:basedOn w:val="DefaultParagraphFont"/>
    <w:link w:val="Salutation"/>
    <w:rsid w:val="00E61C26"/>
    <w:rPr>
      <w:rFonts w:ascii="Calibri" w:eastAsia="Times New Roman" w:hAnsi="Calibri" w:cs="Times New Roman"/>
      <w:szCs w:val="24"/>
    </w:rPr>
  </w:style>
  <w:style w:type="paragraph" w:styleId="Signature">
    <w:name w:val="Signature"/>
    <w:basedOn w:val="Normal"/>
    <w:link w:val="SignatureChar"/>
    <w:semiHidden/>
    <w:unhideWhenUsed/>
    <w:rsid w:val="00E61C26"/>
    <w:pPr>
      <w:ind w:left="4252"/>
    </w:pPr>
  </w:style>
  <w:style w:type="character" w:customStyle="1" w:styleId="SignatureChar">
    <w:name w:val="Signature Char"/>
    <w:basedOn w:val="DefaultParagraphFont"/>
    <w:link w:val="Signature"/>
    <w:semiHidden/>
    <w:rsid w:val="00E61C26"/>
    <w:rPr>
      <w:rFonts w:ascii="Calibri" w:eastAsia="Times New Roman" w:hAnsi="Calibri" w:cs="Times New Roman"/>
      <w:szCs w:val="24"/>
    </w:rPr>
  </w:style>
  <w:style w:type="paragraph" w:styleId="Subtitle">
    <w:name w:val="Subtitle"/>
    <w:basedOn w:val="Normal"/>
    <w:next w:val="Normal"/>
    <w:link w:val="SubtitleChar"/>
    <w:qFormat/>
    <w:rsid w:val="00E61C2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E61C26"/>
    <w:rPr>
      <w:rFonts w:eastAsiaTheme="minorEastAsia"/>
      <w:color w:val="5A5A5A" w:themeColor="text1" w:themeTint="A5"/>
      <w:spacing w:val="15"/>
    </w:rPr>
  </w:style>
  <w:style w:type="paragraph" w:styleId="TableofAuthorities">
    <w:name w:val="table of authorities"/>
    <w:basedOn w:val="Normal"/>
    <w:next w:val="Normal"/>
    <w:semiHidden/>
    <w:unhideWhenUsed/>
    <w:rsid w:val="00E61C26"/>
    <w:pPr>
      <w:ind w:left="220" w:hanging="220"/>
    </w:pPr>
  </w:style>
  <w:style w:type="paragraph" w:styleId="Title">
    <w:name w:val="Title"/>
    <w:basedOn w:val="Normal"/>
    <w:next w:val="Normal"/>
    <w:link w:val="TitleChar"/>
    <w:qFormat/>
    <w:rsid w:val="00E61C2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61C26"/>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E61C26"/>
    <w:pPr>
      <w:spacing w:before="120"/>
    </w:pPr>
    <w:rPr>
      <w:rFonts w:asciiTheme="majorHAnsi" w:eastAsiaTheme="majorEastAsia" w:hAnsiTheme="majorHAnsi" w:cstheme="majorBidi"/>
      <w:b/>
      <w:bCs/>
      <w:sz w:val="24"/>
    </w:rPr>
  </w:style>
  <w:style w:type="paragraph" w:styleId="TOCHeading">
    <w:name w:val="TOC Heading"/>
    <w:basedOn w:val="Heading1"/>
    <w:next w:val="Normal"/>
    <w:uiPriority w:val="39"/>
    <w:semiHidden/>
    <w:unhideWhenUsed/>
    <w:qFormat/>
    <w:rsid w:val="00E61C26"/>
    <w:pPr>
      <w:keepLines/>
      <w:pageBreakBefore w:val="0"/>
      <w:widowControl/>
      <w:numPr>
        <w:numId w:val="0"/>
      </w:numPr>
      <w:tabs>
        <w:tab w:val="clear" w:pos="567"/>
      </w:tabs>
      <w:spacing w:before="240" w:line="240" w:lineRule="auto"/>
      <w:outlineLvl w:val="9"/>
    </w:pPr>
    <w:rPr>
      <w:rFonts w:asciiTheme="majorHAnsi" w:eastAsiaTheme="majorEastAsia" w:hAnsiTheme="majorHAnsi" w:cstheme="majorBidi"/>
      <w:bCs w:val="0"/>
      <w:smallCaps w:val="0"/>
      <w:color w:val="2E74B5" w:themeColor="accent1" w:themeShade="BF"/>
      <w:spacing w:val="0"/>
      <w:kern w:val="0"/>
      <w:sz w:val="32"/>
      <w:szCs w:val="32"/>
    </w:rPr>
  </w:style>
  <w:style w:type="paragraph" w:customStyle="1" w:styleId="Headinglevel6">
    <w:name w:val="Heading level 6"/>
    <w:basedOn w:val="Headinglevel5"/>
    <w:next w:val="BodyText2"/>
    <w:qFormat/>
    <w:rsid w:val="00E61C26"/>
    <w:pPr>
      <w:numPr>
        <w:numId w:val="14"/>
      </w:numPr>
      <w:ind w:left="567" w:hanging="567"/>
    </w:pPr>
  </w:style>
  <w:style w:type="paragraph" w:customStyle="1" w:styleId="Default">
    <w:name w:val="Default"/>
    <w:rsid w:val="00E61C26"/>
    <w:pPr>
      <w:autoSpaceDE w:val="0"/>
      <w:autoSpaceDN w:val="0"/>
      <w:adjustRightInd w:val="0"/>
      <w:spacing w:after="0" w:line="240" w:lineRule="auto"/>
    </w:pPr>
    <w:rPr>
      <w:rFonts w:ascii="Calibri" w:eastAsia="Times New Roman" w:hAnsi="Calibri" w:cs="Calibri"/>
      <w:color w:val="000000"/>
      <w:sz w:val="24"/>
      <w:szCs w:val="24"/>
      <w:lang w:eastAsia="en-AU"/>
    </w:rPr>
  </w:style>
  <w:style w:type="character" w:styleId="Strong">
    <w:name w:val="Strong"/>
    <w:basedOn w:val="DefaultParagraphFont"/>
    <w:uiPriority w:val="22"/>
    <w:qFormat/>
    <w:rsid w:val="00E61C26"/>
    <w:rPr>
      <w:b/>
      <w:bCs/>
    </w:rPr>
  </w:style>
  <w:style w:type="paragraph" w:styleId="Revision">
    <w:name w:val="Revision"/>
    <w:hidden/>
    <w:uiPriority w:val="99"/>
    <w:semiHidden/>
    <w:rsid w:val="00E61C26"/>
    <w:pPr>
      <w:spacing w:after="0" w:line="240" w:lineRule="auto"/>
    </w:pPr>
    <w:rPr>
      <w:rFonts w:ascii="Calibri" w:eastAsia="Times New Roman" w:hAnsi="Calibri" w:cs="Times New Roman"/>
      <w:szCs w:val="24"/>
    </w:rPr>
  </w:style>
  <w:style w:type="character" w:styleId="UnresolvedMention">
    <w:name w:val="Unresolved Mention"/>
    <w:basedOn w:val="DefaultParagraphFont"/>
    <w:uiPriority w:val="99"/>
    <w:semiHidden/>
    <w:unhideWhenUsed/>
    <w:rsid w:val="00DB7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arliament.act.gov.au" TargetMode="Externa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numbering" Target="numbering.xml"/><Relationship Id="rId21" Type="http://schemas.openxmlformats.org/officeDocument/2006/relationships/hyperlink" Target="http://www.hansard.act.gov.au/hansard/2017/comms/default.htm" TargetMode="External"/><Relationship Id="rId34" Type="http://schemas.openxmlformats.org/officeDocument/2006/relationships/header" Target="header15.xml"/><Relationship Id="rId7" Type="http://schemas.openxmlformats.org/officeDocument/2006/relationships/footnotes" Target="footnotes.xml"/><Relationship Id="rId12" Type="http://schemas.openxmlformats.org/officeDocument/2006/relationships/hyperlink" Target="mailto:LAcommitteeJCS@parliament.act.gov.au" TargetMode="Externa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header" Target="header1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header" Target="header13.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9.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footer" Target="foot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footer" Target="footer5.xml"/><Relationship Id="rId27" Type="http://schemas.openxmlformats.org/officeDocument/2006/relationships/header" Target="header10.xml"/><Relationship Id="rId30" Type="http://schemas.openxmlformats.org/officeDocument/2006/relationships/footer" Target="footer7.xml"/><Relationship Id="rId35" Type="http://schemas.openxmlformats.org/officeDocument/2006/relationships/header" Target="header16.xml"/></Relationships>
</file>

<file path=word/_rels/footnotes.xml.rels><?xml version="1.0" encoding="UTF-8" standalone="yes"?>
<Relationships xmlns="http://schemas.openxmlformats.org/package/2006/relationships"><Relationship Id="rId8" Type="http://schemas.openxmlformats.org/officeDocument/2006/relationships/hyperlink" Target="https://apps.treasury.act.gov.au/budget/budget-2017-2018/better-support-when-it-matters/safer-families" TargetMode="External"/><Relationship Id="rId13" Type="http://schemas.openxmlformats.org/officeDocument/2006/relationships/hyperlink" Target="https://www.yvetteberry.com.au/news/latest-news/safer-families-statement/" TargetMode="External"/><Relationship Id="rId3" Type="http://schemas.openxmlformats.org/officeDocument/2006/relationships/hyperlink" Target="http://www.aic.gov.au/media_library/conferences/outlook97/mug_fam.pdf" TargetMode="External"/><Relationship Id="rId7" Type="http://schemas.openxmlformats.org/officeDocument/2006/relationships/hyperlink" Target="http://www.atoda.org.au/wp-content/uploads/2018/10/ACT-AOD-Safer-Families-Program-2017-2021-FINAL-REPORT.pdf" TargetMode="External"/><Relationship Id="rId12" Type="http://schemas.openxmlformats.org/officeDocument/2006/relationships/hyperlink" Target="https://www.yvetteberry.com.au/news/latest-news/safer-families-statement/" TargetMode="External"/><Relationship Id="rId17" Type="http://schemas.openxmlformats.org/officeDocument/2006/relationships/hyperlink" Target="https://www.cmtedd.act.gov.au/open_government/inform/act_government_media_releases/yvette-berry-mla-media-releases/2018/family-safety-hub-launched-with-first-big-challenge" TargetMode="External"/><Relationship Id="rId2" Type="http://schemas.openxmlformats.org/officeDocument/2006/relationships/hyperlink" Target="https://www.aihw.gov.au/getmedia/b0037b2d-a651-4abf-9f7b-00a85e3de528/aihw-fdv3-FDSV-in-Australia-2019.pdf.aspx?inline=true" TargetMode="External"/><Relationship Id="rId16" Type="http://schemas.openxmlformats.org/officeDocument/2006/relationships/hyperlink" Target="https://www.cmtedd.act.gov.au/open_government/inform/act_government_media_releases/yvette-berry-mla-media-releases/2018/family-safety-hub-launched-with-first-big-challenge" TargetMode="External"/><Relationship Id="rId1" Type="http://schemas.openxmlformats.org/officeDocument/2006/relationships/hyperlink" Target="https://www.parliament.act.gov.au/in-committees/standing-committees-current-assembly/standing-committee-on-justice-and-community-safety/inquiry-into-domestic-and-family-violencepolicy-approaches-and-responses" TargetMode="External"/><Relationship Id="rId6" Type="http://schemas.openxmlformats.org/officeDocument/2006/relationships/hyperlink" Target="https://www.dss.gov.au/women/programs-services/reducing-violence/the-national-plan-to-reduce-violence-against-women-and-their-children-2010-2022" TargetMode="External"/><Relationship Id="rId11" Type="http://schemas.openxmlformats.org/officeDocument/2006/relationships/hyperlink" Target="https://www.yvetteberry.com.au/news/latest-news/safer-families-statement/" TargetMode="External"/><Relationship Id="rId5" Type="http://schemas.openxmlformats.org/officeDocument/2006/relationships/hyperlink" Target="https://www.act.gov.au/our-canberra/latest-news/2017/november-2017/16-days-of-activism-against-gender-based-violence" TargetMode="External"/><Relationship Id="rId15" Type="http://schemas.openxmlformats.org/officeDocument/2006/relationships/hyperlink" Target="https://www.cmtedd.act.gov.au/open_government/inform/act_government_media_releases/yvette-berry-mla-media-releases/2018/family-safety-hub-launched-with-first-big-challenge" TargetMode="External"/><Relationship Id="rId10" Type="http://schemas.openxmlformats.org/officeDocument/2006/relationships/hyperlink" Target="https://www.yvetteberry.com.au/news/latest-news/safer-families-statement/" TargetMode="External"/><Relationship Id="rId4" Type="http://schemas.openxmlformats.org/officeDocument/2006/relationships/hyperlink" Target="https://www.ourwatch.org.au/getmedia/0aa0109b-6b03-43f2-85fe-a9f5ec92ae4e/Change-the-story-framework-prevent-violence-women-children-AA-new.pdf.aspx" TargetMode="External"/><Relationship Id="rId9" Type="http://schemas.openxmlformats.org/officeDocument/2006/relationships/hyperlink" Target="https://www.yvetteberry.com.au/news/latest-news/safer-families-statement/" TargetMode="External"/><Relationship Id="rId14" Type="http://schemas.openxmlformats.org/officeDocument/2006/relationships/hyperlink" Target="https://www.cmtedd.act.gov.au/open_government/inform/act_government_media_releases/yvette-berry-mla-media-releases/2018/family-safety-hub-launched-with-first-big-challen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C503D0-3542-4BC7-903F-BE00501C03E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6E733007-0989-4653-A380-93CE0A8E5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114</Pages>
  <Words>29531</Words>
  <Characters>168333</Characters>
  <Application>Microsoft Office Word</Application>
  <DocSecurity>0</DocSecurity>
  <Lines>1402</Lines>
  <Paragraphs>394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197470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Report 6 - Report on Inquiry into Domestic and Family Violence—Policy Approaches and Responses</dc:subject>
  <dc:creator>Snedden, Andrew</dc:creator>
  <cp:keywords/>
  <dc:description/>
  <cp:lastModifiedBy>Atkins, Michelle</cp:lastModifiedBy>
  <cp:revision>2</cp:revision>
  <cp:lastPrinted>2019-08-21T01:50:00Z</cp:lastPrinted>
  <dcterms:created xsi:type="dcterms:W3CDTF">2019-08-21T04:50:00Z</dcterms:created>
  <dcterms:modified xsi:type="dcterms:W3CDTF">2019-08-21T04:50:00Z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375cc8c5-2d4e-4783-80b7-96f64262e839</vt:lpwstr>
  </property>
  <property fmtid="{D5CDD505-2E9C-101B-9397-08002B2CF9AE}" pid="3" name="bjSaver">
    <vt:lpwstr>cdqzTdEF9C6qksYJ9OJZyfShrUPqFdzX</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ies>
</file>