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02A966B1" w:rsidR="00A23A3E" w:rsidRDefault="00FE46F2" w:rsidP="00C8358A">
      <w:pPr>
        <w:pStyle w:val="Title"/>
        <w:sectPr w:rsidR="00A23A3E"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t>Scrutiny Repor</w:t>
      </w:r>
      <w:r w:rsidRPr="009306BB">
        <w:t xml:space="preserve">t </w:t>
      </w:r>
      <w:r w:rsidR="0083141E">
        <w:t>30</w:t>
      </w:r>
    </w:p>
    <w:p w14:paraId="348D1164" w14:textId="2A8AD5BC" w:rsidR="00A23A3E" w:rsidRDefault="00123781" w:rsidP="009F5A83">
      <w:pPr>
        <w:pStyle w:val="Heading1nonumber"/>
      </w:pPr>
      <w:bookmarkStart w:id="1" w:name="_Toc136859060"/>
      <w:r>
        <w:lastRenderedPageBreak/>
        <w:t>About the</w:t>
      </w:r>
      <w:r w:rsidR="00A23A3E">
        <w:t xml:space="preserve"> committee</w:t>
      </w:r>
      <w:bookmarkEnd w:id="1"/>
    </w:p>
    <w:p w14:paraId="5F0FD841" w14:textId="4E43C4A1" w:rsidR="00123781" w:rsidRDefault="00D23E3A" w:rsidP="00FD01DA">
      <w:pPr>
        <w:pStyle w:val="Heading2"/>
      </w:pPr>
      <w:bookmarkStart w:id="2" w:name="_Toc136859061"/>
      <w:r>
        <w:t>Establishing resolution</w:t>
      </w:r>
      <w:bookmarkEnd w:id="2"/>
    </w:p>
    <w:p w14:paraId="12BE434B" w14:textId="49BF1CD6" w:rsidR="00024F1A" w:rsidRDefault="00123781" w:rsidP="00123781">
      <w:r>
        <w:t xml:space="preserve">The Assembly established </w:t>
      </w:r>
      <w:r w:rsidR="00024F1A">
        <w:t>the</w:t>
      </w:r>
      <w:r>
        <w:t xml:space="preserve"> </w:t>
      </w:r>
      <w:r w:rsidR="00E96DA9">
        <w:fldChar w:fldCharType="begin"/>
      </w:r>
      <w:r w:rsidR="00E96DA9">
        <w:instrText xml:space="preserve"> STYLEREF  "Cover - Committee name"  \* MERGEFORMAT </w:instrText>
      </w:r>
      <w:r w:rsidR="00E96DA9">
        <w:fldChar w:fldCharType="separate"/>
      </w:r>
      <w:r w:rsidR="00425F61">
        <w:rPr>
          <w:noProof/>
        </w:rPr>
        <w:t>Standing Committee on Justice and Community Safety (Legislative Scrutiny Role)</w:t>
      </w:r>
      <w:r w:rsidR="00E96DA9">
        <w:rPr>
          <w:noProof/>
        </w:rPr>
        <w:fldChar w:fldCharType="end"/>
      </w:r>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77777777" w:rsidR="00FB72F9" w:rsidRPr="00697120" w:rsidRDefault="00FB72F9" w:rsidP="00FB72F9">
      <w:pPr>
        <w:keepNext/>
        <w:keepLines/>
        <w:tabs>
          <w:tab w:val="left" w:pos="567"/>
        </w:tabs>
        <w:spacing w:before="60" w:after="60"/>
        <w:ind w:left="1134" w:hanging="567"/>
        <w:rPr>
          <w:rFonts w:ascii="Calibri" w:hAnsi="Calibri"/>
        </w:rPr>
      </w:pPr>
      <w:r w:rsidRPr="00697120">
        <w:rPr>
          <w:rFonts w:ascii="Calibri" w:hAnsi="Calibri"/>
        </w:rPr>
        <w:t>(10)</w:t>
      </w:r>
      <w:r w:rsidRPr="00697120">
        <w:rPr>
          <w:rFonts w:ascii="Calibri" w:hAnsi="Calibri"/>
        </w:rPr>
        <w:tab/>
        <w:t>the Standing Committee on Justice and Community Safety is also to perform a 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Human Rights Act 2004</w:t>
      </w:r>
      <w:r w:rsidRPr="00697120">
        <w:rPr>
          <w:rFonts w:ascii="Calibri" w:hAnsi="Calibri"/>
        </w:rPr>
        <w:t xml:space="preserve">; </w:t>
      </w:r>
    </w:p>
    <w:p w14:paraId="3115B980"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 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p>
    <w:p w14:paraId="459E064D" w14:textId="75E1C869" w:rsidR="007A7A8B" w:rsidRDefault="007A7A8B" w:rsidP="007A7A8B">
      <w:pPr>
        <w:spacing w:before="120"/>
      </w:pPr>
      <w:r>
        <w:t xml:space="preserve">You can read the full establishing resolution </w:t>
      </w:r>
      <w:hyperlink r:id="rId14" w:anchor="tab1813250-1id" w:history="1">
        <w:r w:rsidRPr="006718E3">
          <w:rPr>
            <w:rStyle w:val="Hyperlink"/>
          </w:rPr>
          <w:t>on our website.</w:t>
        </w:r>
      </w:hyperlink>
    </w:p>
    <w:p w14:paraId="595A8310" w14:textId="686FEB4A" w:rsidR="00A23A3E" w:rsidRDefault="00A23A3E" w:rsidP="00FD01DA">
      <w:pPr>
        <w:pStyle w:val="Heading2"/>
      </w:pPr>
      <w:bookmarkStart w:id="3" w:name="_Toc136859062"/>
      <w:r>
        <w:lastRenderedPageBreak/>
        <w:t>Committee members</w:t>
      </w:r>
      <w:bookmarkEnd w:id="3"/>
    </w:p>
    <w:p w14:paraId="260B7CE2" w14:textId="6A0F5F28" w:rsidR="00A23A3E" w:rsidRDefault="00250DD6" w:rsidP="00AF7746">
      <w:pPr>
        <w:pStyle w:val="List"/>
        <w:keepNext/>
      </w:pPr>
      <w:r>
        <w:t>Peter Cain</w:t>
      </w:r>
      <w:r w:rsidR="00A23A3E">
        <w:t xml:space="preserve"> MLA, Chair</w:t>
      </w:r>
    </w:p>
    <w:p w14:paraId="365287C2" w14:textId="710EEF31" w:rsidR="00A23A3E" w:rsidRDefault="00AF7746" w:rsidP="00A23A3E">
      <w:pPr>
        <w:pStyle w:val="List"/>
      </w:pPr>
      <w:r>
        <w:t>Marisa Paterson</w:t>
      </w:r>
      <w:r w:rsidR="00A23A3E">
        <w:t xml:space="preserve"> MLA, Deputy Chair</w:t>
      </w:r>
    </w:p>
    <w:p w14:paraId="0F3B365B" w14:textId="6FEDBA64" w:rsidR="00A23A3E" w:rsidRDefault="00AF7746" w:rsidP="00A23A3E">
      <w:pPr>
        <w:pStyle w:val="List"/>
      </w:pPr>
      <w:r>
        <w:t xml:space="preserve">Andrew Braddock </w:t>
      </w:r>
      <w:r w:rsidR="00A23A3E">
        <w:t>MLA</w:t>
      </w:r>
    </w:p>
    <w:p w14:paraId="4764FEB1" w14:textId="764355CB" w:rsidR="00A23A3E" w:rsidRDefault="00A23A3E" w:rsidP="00FD01DA">
      <w:pPr>
        <w:pStyle w:val="Heading2"/>
      </w:pPr>
      <w:bookmarkStart w:id="4" w:name="_Toc136859063"/>
      <w:r>
        <w:t>Secretariat</w:t>
      </w:r>
      <w:bookmarkEnd w:id="4"/>
    </w:p>
    <w:p w14:paraId="759F8782" w14:textId="3B7EAEB5" w:rsidR="00751998" w:rsidRDefault="00751998" w:rsidP="00A23A3E">
      <w:pPr>
        <w:pStyle w:val="List"/>
      </w:pPr>
      <w:r>
        <w:t>Kate Mickelson, Acting Committee Secretary</w:t>
      </w:r>
    </w:p>
    <w:p w14:paraId="476D6512" w14:textId="520228AA" w:rsidR="00CC013B" w:rsidRDefault="00CC013B" w:rsidP="00A23A3E">
      <w:pPr>
        <w:pStyle w:val="List"/>
      </w:pPr>
      <w:r>
        <w:t xml:space="preserve">Anna Hough, Assistant Secretary </w:t>
      </w:r>
    </w:p>
    <w:p w14:paraId="2CCB9EE0" w14:textId="0868FD83" w:rsidR="00CC013B" w:rsidRPr="00A23A3E" w:rsidRDefault="00CC013B" w:rsidP="00A23A3E">
      <w:pPr>
        <w:pStyle w:val="List"/>
      </w:pPr>
      <w:r>
        <w:t>Satyen Sharma, Administration Officer</w:t>
      </w:r>
    </w:p>
    <w:p w14:paraId="671A7017" w14:textId="76F070F6" w:rsidR="00A23A3E" w:rsidRDefault="00AF7746" w:rsidP="00A23A3E">
      <w:pPr>
        <w:pStyle w:val="List"/>
      </w:pPr>
      <w:r>
        <w:t>Daniel Stewart, Legal Adviser (Bills)</w:t>
      </w:r>
    </w:p>
    <w:p w14:paraId="70D6AE7A" w14:textId="012A7AD7" w:rsidR="00AF7746" w:rsidRDefault="00AF7746" w:rsidP="00A23A3E">
      <w:pPr>
        <w:pStyle w:val="List"/>
      </w:pPr>
      <w:r>
        <w:t>Stephen Argument, Legal Adviser (Subordinate Legislation)</w:t>
      </w:r>
    </w:p>
    <w:p w14:paraId="5BE4FC1F" w14:textId="77777777" w:rsidR="00A23A3E" w:rsidRDefault="00A23A3E" w:rsidP="00FD01DA">
      <w:pPr>
        <w:pStyle w:val="Heading2"/>
      </w:pPr>
      <w:bookmarkStart w:id="5" w:name="_Toc136859064"/>
      <w:r>
        <w:t>Contact us</w:t>
      </w:r>
      <w:bookmarkEnd w:id="5"/>
    </w:p>
    <w:p w14:paraId="309C2876" w14:textId="07E182E0" w:rsidR="001D22FC" w:rsidRDefault="00A23A3E" w:rsidP="001D22FC">
      <w:pPr>
        <w:ind w:left="1134" w:hanging="1134"/>
      </w:pPr>
      <w:r>
        <w:rPr>
          <w:b/>
          <w:bCs/>
        </w:rPr>
        <w:t>Mail</w:t>
      </w:r>
      <w:r>
        <w:tab/>
      </w:r>
      <w:r w:rsidR="00E96DA9">
        <w:fldChar w:fldCharType="begin"/>
      </w:r>
      <w:r w:rsidR="00E96DA9">
        <w:instrText xml:space="preserve"> STYLEREF  "Cover - Committee name"  \* MERGEFORMAT </w:instrText>
      </w:r>
      <w:r w:rsidR="00E96DA9">
        <w:fldChar w:fldCharType="separate"/>
      </w:r>
      <w:r w:rsidR="00425F61">
        <w:rPr>
          <w:noProof/>
        </w:rPr>
        <w:t>Standing Committee on Justice and Community Safety (Legislative Scrutiny Role)</w:t>
      </w:r>
      <w:r w:rsidR="00E96DA9">
        <w:rPr>
          <w:noProof/>
        </w:rPr>
        <w:fldChar w:fldCharType="end"/>
      </w:r>
      <w:r w:rsidR="001D22FC">
        <w:br/>
        <w:t>Legislative Assembly for the Australian Capital Territory</w:t>
      </w:r>
      <w:r w:rsidR="001D22FC">
        <w:br/>
        <w:t>GPO Box 1020</w:t>
      </w:r>
      <w:r w:rsidR="001D22FC">
        <w:br/>
        <w:t>CANBERRA ACT 2601</w:t>
      </w:r>
    </w:p>
    <w:p w14:paraId="664A1C88" w14:textId="4F9A06D1" w:rsidR="001D22FC" w:rsidRDefault="001D22FC" w:rsidP="001D22FC">
      <w:pPr>
        <w:ind w:left="1134" w:hanging="1134"/>
      </w:pPr>
      <w:r>
        <w:rPr>
          <w:b/>
          <w:bCs/>
        </w:rPr>
        <w:t>Phone</w:t>
      </w:r>
      <w:r>
        <w:rPr>
          <w:b/>
          <w:bCs/>
        </w:rPr>
        <w:tab/>
      </w:r>
      <w:r>
        <w:t xml:space="preserve">(02) </w:t>
      </w:r>
      <w:r w:rsidRPr="008E750D">
        <w:t>620</w:t>
      </w:r>
      <w:r w:rsidR="00AF7746">
        <w:t>5 0171</w:t>
      </w:r>
    </w:p>
    <w:p w14:paraId="3A6B4157" w14:textId="31C83397" w:rsidR="001D22FC" w:rsidRDefault="001D22FC" w:rsidP="001D22FC">
      <w:pPr>
        <w:ind w:left="1134" w:hanging="1134"/>
      </w:pPr>
      <w:r>
        <w:rPr>
          <w:b/>
          <w:bCs/>
        </w:rPr>
        <w:t>Email</w:t>
      </w:r>
      <w:r>
        <w:tab/>
      </w:r>
      <w:hyperlink r:id="rId15" w:history="1">
        <w:r w:rsidR="00AF7746" w:rsidRPr="008845EF">
          <w:rPr>
            <w:rStyle w:val="Hyperlink"/>
          </w:rPr>
          <w:t>scrutiny@parliament.act.gov.au</w:t>
        </w:r>
      </w:hyperlink>
      <w:r w:rsidR="00AF7746">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16" w:history="1">
        <w:r w:rsidRPr="001D22FC">
          <w:rPr>
            <w:rStyle w:val="Hyperlink"/>
          </w:rPr>
          <w:t>parliament.act.gov.au/parliamentary-business/in-committees</w:t>
        </w:r>
      </w:hyperlink>
    </w:p>
    <w:p w14:paraId="34360D25" w14:textId="77777777" w:rsidR="00AF7746" w:rsidRPr="00AF7746" w:rsidRDefault="00AF7746" w:rsidP="00FD01DA">
      <w:pPr>
        <w:pStyle w:val="Heading2"/>
      </w:pPr>
      <w:bookmarkStart w:id="6" w:name="_Toc500938172"/>
      <w:bookmarkStart w:id="7" w:name="_Toc500947020"/>
      <w:bookmarkStart w:id="8" w:name="_Toc501547029"/>
      <w:bookmarkStart w:id="9" w:name="_Toc501547384"/>
      <w:bookmarkStart w:id="10" w:name="_Toc505005668"/>
      <w:bookmarkStart w:id="11" w:name="_Toc505153759"/>
      <w:bookmarkStart w:id="12" w:name="_Toc508283427"/>
      <w:bookmarkStart w:id="13" w:name="_Toc510081783"/>
      <w:bookmarkStart w:id="14" w:name="_Toc511812220"/>
      <w:bookmarkStart w:id="15" w:name="_Toc512240158"/>
      <w:bookmarkStart w:id="16" w:name="_Toc513192155"/>
      <w:bookmarkStart w:id="17" w:name="_Toc514832417"/>
      <w:bookmarkStart w:id="18" w:name="_Toc514837962"/>
      <w:bookmarkStart w:id="19" w:name="_Toc514943596"/>
      <w:bookmarkStart w:id="20" w:name="_Toc515352039"/>
      <w:bookmarkStart w:id="21" w:name="_Toc518297248"/>
      <w:bookmarkStart w:id="22" w:name="_Toc519069306"/>
      <w:bookmarkStart w:id="23" w:name="_Toc519069367"/>
      <w:bookmarkStart w:id="24" w:name="_Toc519520734"/>
      <w:bookmarkStart w:id="25" w:name="_Toc520188713"/>
      <w:bookmarkStart w:id="26" w:name="_Toc521054230"/>
      <w:bookmarkStart w:id="27" w:name="_Toc521054317"/>
      <w:bookmarkStart w:id="28" w:name="_Toc521054389"/>
      <w:bookmarkStart w:id="29" w:name="_Toc523753612"/>
      <w:bookmarkStart w:id="30" w:name="_Toc523814161"/>
      <w:bookmarkStart w:id="31" w:name="_Toc523900452"/>
      <w:bookmarkStart w:id="32" w:name="_Toc526855813"/>
      <w:bookmarkStart w:id="33" w:name="_Toc528155839"/>
      <w:bookmarkStart w:id="34" w:name="_Toc528157198"/>
      <w:bookmarkStart w:id="35" w:name="_Toc528310851"/>
      <w:bookmarkStart w:id="36" w:name="_Toc529974530"/>
      <w:bookmarkStart w:id="37" w:name="_Toc530039425"/>
      <w:bookmarkStart w:id="38" w:name="_Toc536527673"/>
      <w:bookmarkStart w:id="39" w:name="_Toc536527836"/>
      <w:bookmarkStart w:id="40" w:name="_Toc536615374"/>
      <w:bookmarkStart w:id="41" w:name="_Toc172152"/>
      <w:bookmarkStart w:id="42" w:name="_Toc506077"/>
      <w:bookmarkStart w:id="43" w:name="_Toc945921"/>
      <w:bookmarkStart w:id="44" w:name="_Toc965811"/>
      <w:bookmarkStart w:id="45" w:name="_Toc2839575"/>
      <w:bookmarkStart w:id="46" w:name="_Toc2850235"/>
      <w:bookmarkStart w:id="47" w:name="_Toc3271212"/>
      <w:bookmarkStart w:id="48" w:name="_Toc4588273"/>
      <w:bookmarkStart w:id="49" w:name="_Toc4652919"/>
      <w:bookmarkStart w:id="50" w:name="_Toc5003661"/>
      <w:bookmarkStart w:id="51" w:name="_Toc6211034"/>
      <w:bookmarkStart w:id="52" w:name="_Toc9499992"/>
      <w:bookmarkStart w:id="53" w:name="_Toc14266114"/>
      <w:bookmarkStart w:id="54" w:name="_Toc14334603"/>
      <w:bookmarkStart w:id="55" w:name="_Toc14775953"/>
      <w:bookmarkStart w:id="56" w:name="_Toc15285031"/>
      <w:bookmarkStart w:id="57" w:name="_Toc15630651"/>
      <w:bookmarkStart w:id="58" w:name="_Toc18415323"/>
      <w:bookmarkStart w:id="59" w:name="_Toc18487691"/>
      <w:bookmarkStart w:id="60" w:name="_Toc19708394"/>
      <w:bookmarkStart w:id="61" w:name="_Toc20131683"/>
      <w:bookmarkStart w:id="62" w:name="_Toc21595441"/>
      <w:bookmarkStart w:id="63" w:name="_Toc22025442"/>
      <w:bookmarkStart w:id="64" w:name="_Toc24463705"/>
      <w:bookmarkStart w:id="65" w:name="_Toc24617702"/>
      <w:bookmarkStart w:id="66" w:name="_Toc25050774"/>
      <w:bookmarkStart w:id="67" w:name="_Toc31202138"/>
      <w:bookmarkStart w:id="68" w:name="_Toc31202259"/>
      <w:bookmarkStart w:id="69" w:name="_Toc32390199"/>
      <w:bookmarkStart w:id="70" w:name="_Toc32566840"/>
      <w:bookmarkStart w:id="71" w:name="_Toc35437930"/>
      <w:bookmarkStart w:id="72" w:name="_Toc38270540"/>
      <w:bookmarkStart w:id="73" w:name="_Toc38362391"/>
      <w:bookmarkStart w:id="74" w:name="_Toc38441872"/>
      <w:bookmarkStart w:id="75" w:name="_Toc38442379"/>
      <w:bookmarkStart w:id="76" w:name="_Toc38976317"/>
      <w:bookmarkStart w:id="77" w:name="_Toc40693088"/>
      <w:bookmarkStart w:id="78" w:name="_Toc40693229"/>
      <w:bookmarkStart w:id="79" w:name="_Toc41570915"/>
      <w:bookmarkStart w:id="80" w:name="_Toc42874997"/>
      <w:bookmarkStart w:id="81" w:name="_Toc44074214"/>
      <w:bookmarkStart w:id="82" w:name="_Toc44317225"/>
      <w:bookmarkStart w:id="83" w:name="_Toc44323928"/>
      <w:bookmarkStart w:id="84" w:name="_Toc80105327"/>
      <w:bookmarkStart w:id="85" w:name="_Toc80347171"/>
      <w:bookmarkStart w:id="86" w:name="_Toc80613167"/>
      <w:bookmarkStart w:id="87" w:name="_Toc80613257"/>
      <w:bookmarkStart w:id="88" w:name="_Toc80701764"/>
      <w:bookmarkStart w:id="89" w:name="_Toc83302219"/>
      <w:bookmarkStart w:id="90" w:name="_Toc83639599"/>
      <w:bookmarkStart w:id="91" w:name="_Toc86229552"/>
      <w:bookmarkStart w:id="92" w:name="_Toc136859065"/>
      <w:r w:rsidRPr="00AF7746">
        <w:t>Role of Committee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8A31E0F" w14:textId="77777777" w:rsidR="00AF7746" w:rsidRPr="00104A8B" w:rsidRDefault="00AF7746" w:rsidP="00AF7746">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5BCE2563" w14:textId="77777777" w:rsidR="00ED3906" w:rsidRDefault="00ED3906">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1FA57750" w14:textId="51B3FC22" w:rsidR="00E96DA9"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36859060" w:history="1">
            <w:r w:rsidR="00E96DA9" w:rsidRPr="00FC709A">
              <w:rPr>
                <w:rStyle w:val="Hyperlink"/>
              </w:rPr>
              <w:t>About the committee</w:t>
            </w:r>
            <w:r w:rsidR="00E96DA9">
              <w:rPr>
                <w:webHidden/>
              </w:rPr>
              <w:tab/>
            </w:r>
            <w:r w:rsidR="00E96DA9">
              <w:rPr>
                <w:webHidden/>
              </w:rPr>
              <w:fldChar w:fldCharType="begin"/>
            </w:r>
            <w:r w:rsidR="00E96DA9">
              <w:rPr>
                <w:webHidden/>
              </w:rPr>
              <w:instrText xml:space="preserve"> PAGEREF _Toc136859060 \h </w:instrText>
            </w:r>
            <w:r w:rsidR="00E96DA9">
              <w:rPr>
                <w:webHidden/>
              </w:rPr>
            </w:r>
            <w:r w:rsidR="00E96DA9">
              <w:rPr>
                <w:webHidden/>
              </w:rPr>
              <w:fldChar w:fldCharType="separate"/>
            </w:r>
            <w:r w:rsidR="00E96DA9">
              <w:rPr>
                <w:webHidden/>
              </w:rPr>
              <w:t>i</w:t>
            </w:r>
            <w:r w:rsidR="00E96DA9">
              <w:rPr>
                <w:webHidden/>
              </w:rPr>
              <w:fldChar w:fldCharType="end"/>
            </w:r>
          </w:hyperlink>
        </w:p>
        <w:p w14:paraId="29DF06E4" w14:textId="76E3EEDB" w:rsidR="00E96DA9" w:rsidRDefault="00E96DA9">
          <w:pPr>
            <w:pStyle w:val="TOC2"/>
            <w:rPr>
              <w:rFonts w:eastAsiaTheme="minorEastAsia"/>
              <w:lang w:eastAsia="en-AU"/>
            </w:rPr>
          </w:pPr>
          <w:hyperlink w:anchor="_Toc136859061" w:history="1">
            <w:r w:rsidRPr="00FC709A">
              <w:rPr>
                <w:rStyle w:val="Hyperlink"/>
              </w:rPr>
              <w:t>Establishing resolution</w:t>
            </w:r>
            <w:r>
              <w:rPr>
                <w:webHidden/>
              </w:rPr>
              <w:tab/>
            </w:r>
            <w:r>
              <w:rPr>
                <w:webHidden/>
              </w:rPr>
              <w:fldChar w:fldCharType="begin"/>
            </w:r>
            <w:r>
              <w:rPr>
                <w:webHidden/>
              </w:rPr>
              <w:instrText xml:space="preserve"> PAGEREF _Toc136859061 \h </w:instrText>
            </w:r>
            <w:r>
              <w:rPr>
                <w:webHidden/>
              </w:rPr>
            </w:r>
            <w:r>
              <w:rPr>
                <w:webHidden/>
              </w:rPr>
              <w:fldChar w:fldCharType="separate"/>
            </w:r>
            <w:r>
              <w:rPr>
                <w:webHidden/>
              </w:rPr>
              <w:t>i</w:t>
            </w:r>
            <w:r>
              <w:rPr>
                <w:webHidden/>
              </w:rPr>
              <w:fldChar w:fldCharType="end"/>
            </w:r>
          </w:hyperlink>
        </w:p>
        <w:p w14:paraId="6C180F99" w14:textId="5EBBF793" w:rsidR="00E96DA9" w:rsidRDefault="00E96DA9">
          <w:pPr>
            <w:pStyle w:val="TOC2"/>
            <w:rPr>
              <w:rFonts w:eastAsiaTheme="minorEastAsia"/>
              <w:lang w:eastAsia="en-AU"/>
            </w:rPr>
          </w:pPr>
          <w:hyperlink w:anchor="_Toc136859062" w:history="1">
            <w:r w:rsidRPr="00FC709A">
              <w:rPr>
                <w:rStyle w:val="Hyperlink"/>
              </w:rPr>
              <w:t>Committee members</w:t>
            </w:r>
            <w:r>
              <w:rPr>
                <w:webHidden/>
              </w:rPr>
              <w:tab/>
            </w:r>
            <w:r>
              <w:rPr>
                <w:webHidden/>
              </w:rPr>
              <w:fldChar w:fldCharType="begin"/>
            </w:r>
            <w:r>
              <w:rPr>
                <w:webHidden/>
              </w:rPr>
              <w:instrText xml:space="preserve"> PAGEREF _Toc136859062 \h </w:instrText>
            </w:r>
            <w:r>
              <w:rPr>
                <w:webHidden/>
              </w:rPr>
            </w:r>
            <w:r>
              <w:rPr>
                <w:webHidden/>
              </w:rPr>
              <w:fldChar w:fldCharType="separate"/>
            </w:r>
            <w:r>
              <w:rPr>
                <w:webHidden/>
              </w:rPr>
              <w:t>ii</w:t>
            </w:r>
            <w:r>
              <w:rPr>
                <w:webHidden/>
              </w:rPr>
              <w:fldChar w:fldCharType="end"/>
            </w:r>
          </w:hyperlink>
        </w:p>
        <w:p w14:paraId="721B5851" w14:textId="02E95CC6" w:rsidR="00E96DA9" w:rsidRDefault="00E96DA9">
          <w:pPr>
            <w:pStyle w:val="TOC2"/>
            <w:rPr>
              <w:rFonts w:eastAsiaTheme="minorEastAsia"/>
              <w:lang w:eastAsia="en-AU"/>
            </w:rPr>
          </w:pPr>
          <w:hyperlink w:anchor="_Toc136859063" w:history="1">
            <w:r w:rsidRPr="00FC709A">
              <w:rPr>
                <w:rStyle w:val="Hyperlink"/>
              </w:rPr>
              <w:t>Secretariat</w:t>
            </w:r>
            <w:r>
              <w:rPr>
                <w:webHidden/>
              </w:rPr>
              <w:tab/>
            </w:r>
            <w:r>
              <w:rPr>
                <w:webHidden/>
              </w:rPr>
              <w:fldChar w:fldCharType="begin"/>
            </w:r>
            <w:r>
              <w:rPr>
                <w:webHidden/>
              </w:rPr>
              <w:instrText xml:space="preserve"> PAGEREF _Toc136859063 \h </w:instrText>
            </w:r>
            <w:r>
              <w:rPr>
                <w:webHidden/>
              </w:rPr>
            </w:r>
            <w:r>
              <w:rPr>
                <w:webHidden/>
              </w:rPr>
              <w:fldChar w:fldCharType="separate"/>
            </w:r>
            <w:r>
              <w:rPr>
                <w:webHidden/>
              </w:rPr>
              <w:t>ii</w:t>
            </w:r>
            <w:r>
              <w:rPr>
                <w:webHidden/>
              </w:rPr>
              <w:fldChar w:fldCharType="end"/>
            </w:r>
          </w:hyperlink>
        </w:p>
        <w:p w14:paraId="1E17FF75" w14:textId="0AC9FC76" w:rsidR="00E96DA9" w:rsidRDefault="00E96DA9">
          <w:pPr>
            <w:pStyle w:val="TOC2"/>
            <w:rPr>
              <w:rFonts w:eastAsiaTheme="minorEastAsia"/>
              <w:lang w:eastAsia="en-AU"/>
            </w:rPr>
          </w:pPr>
          <w:hyperlink w:anchor="_Toc136859064" w:history="1">
            <w:r w:rsidRPr="00FC709A">
              <w:rPr>
                <w:rStyle w:val="Hyperlink"/>
              </w:rPr>
              <w:t>Contact us</w:t>
            </w:r>
            <w:r>
              <w:rPr>
                <w:webHidden/>
              </w:rPr>
              <w:tab/>
            </w:r>
            <w:r>
              <w:rPr>
                <w:webHidden/>
              </w:rPr>
              <w:fldChar w:fldCharType="begin"/>
            </w:r>
            <w:r>
              <w:rPr>
                <w:webHidden/>
              </w:rPr>
              <w:instrText xml:space="preserve"> PAGEREF _Toc136859064 \h </w:instrText>
            </w:r>
            <w:r>
              <w:rPr>
                <w:webHidden/>
              </w:rPr>
            </w:r>
            <w:r>
              <w:rPr>
                <w:webHidden/>
              </w:rPr>
              <w:fldChar w:fldCharType="separate"/>
            </w:r>
            <w:r>
              <w:rPr>
                <w:webHidden/>
              </w:rPr>
              <w:t>ii</w:t>
            </w:r>
            <w:r>
              <w:rPr>
                <w:webHidden/>
              </w:rPr>
              <w:fldChar w:fldCharType="end"/>
            </w:r>
          </w:hyperlink>
        </w:p>
        <w:p w14:paraId="19AFF1DD" w14:textId="544233A6" w:rsidR="00E96DA9" w:rsidRDefault="00E96DA9">
          <w:pPr>
            <w:pStyle w:val="TOC2"/>
            <w:rPr>
              <w:rFonts w:eastAsiaTheme="minorEastAsia"/>
              <w:lang w:eastAsia="en-AU"/>
            </w:rPr>
          </w:pPr>
          <w:hyperlink w:anchor="_Toc136859065" w:history="1">
            <w:r w:rsidRPr="00FC709A">
              <w:rPr>
                <w:rStyle w:val="Hyperlink"/>
              </w:rPr>
              <w:t>Role of Committee</w:t>
            </w:r>
            <w:r>
              <w:rPr>
                <w:webHidden/>
              </w:rPr>
              <w:tab/>
            </w:r>
            <w:r>
              <w:rPr>
                <w:webHidden/>
              </w:rPr>
              <w:fldChar w:fldCharType="begin"/>
            </w:r>
            <w:r>
              <w:rPr>
                <w:webHidden/>
              </w:rPr>
              <w:instrText xml:space="preserve"> PAGEREF _Toc136859065 \h </w:instrText>
            </w:r>
            <w:r>
              <w:rPr>
                <w:webHidden/>
              </w:rPr>
            </w:r>
            <w:r>
              <w:rPr>
                <w:webHidden/>
              </w:rPr>
              <w:fldChar w:fldCharType="separate"/>
            </w:r>
            <w:r>
              <w:rPr>
                <w:webHidden/>
              </w:rPr>
              <w:t>ii</w:t>
            </w:r>
            <w:r>
              <w:rPr>
                <w:webHidden/>
              </w:rPr>
              <w:fldChar w:fldCharType="end"/>
            </w:r>
          </w:hyperlink>
        </w:p>
        <w:p w14:paraId="0DDE7445" w14:textId="65892DBF" w:rsidR="00E96DA9" w:rsidRDefault="00E96DA9">
          <w:pPr>
            <w:pStyle w:val="TOC1"/>
            <w:rPr>
              <w:rFonts w:asciiTheme="minorHAnsi" w:eastAsiaTheme="minorEastAsia" w:hAnsiTheme="minorHAnsi"/>
              <w:b w:val="0"/>
              <w:bCs w:val="0"/>
              <w:color w:val="auto"/>
              <w:w w:val="100"/>
              <w:sz w:val="22"/>
              <w:lang w:eastAsia="en-AU"/>
            </w:rPr>
          </w:pPr>
          <w:hyperlink w:anchor="_Toc136859066" w:history="1">
            <w:r w:rsidRPr="00FC709A">
              <w:rPr>
                <w:rStyle w:val="Hyperlink"/>
              </w:rPr>
              <w:t>1.</w:t>
            </w:r>
            <w:r>
              <w:rPr>
                <w:rFonts w:asciiTheme="minorHAnsi" w:eastAsiaTheme="minorEastAsia" w:hAnsiTheme="minorHAnsi"/>
                <w:b w:val="0"/>
                <w:bCs w:val="0"/>
                <w:color w:val="auto"/>
                <w:w w:val="100"/>
                <w:sz w:val="22"/>
                <w:lang w:eastAsia="en-AU"/>
              </w:rPr>
              <w:tab/>
            </w:r>
            <w:r w:rsidRPr="00FC709A">
              <w:rPr>
                <w:rStyle w:val="Hyperlink"/>
              </w:rPr>
              <w:t>Bills</w:t>
            </w:r>
            <w:r>
              <w:rPr>
                <w:webHidden/>
              </w:rPr>
              <w:tab/>
            </w:r>
            <w:r>
              <w:rPr>
                <w:webHidden/>
              </w:rPr>
              <w:fldChar w:fldCharType="begin"/>
            </w:r>
            <w:r>
              <w:rPr>
                <w:webHidden/>
              </w:rPr>
              <w:instrText xml:space="preserve"> PAGEREF _Toc136859066 \h </w:instrText>
            </w:r>
            <w:r>
              <w:rPr>
                <w:webHidden/>
              </w:rPr>
            </w:r>
            <w:r>
              <w:rPr>
                <w:webHidden/>
              </w:rPr>
              <w:fldChar w:fldCharType="separate"/>
            </w:r>
            <w:r>
              <w:rPr>
                <w:webHidden/>
              </w:rPr>
              <w:t>1</w:t>
            </w:r>
            <w:r>
              <w:rPr>
                <w:webHidden/>
              </w:rPr>
              <w:fldChar w:fldCharType="end"/>
            </w:r>
          </w:hyperlink>
        </w:p>
        <w:p w14:paraId="2A1F2B66" w14:textId="2F499270" w:rsidR="00E96DA9" w:rsidRDefault="00E96DA9">
          <w:pPr>
            <w:pStyle w:val="TOC2"/>
            <w:rPr>
              <w:rFonts w:eastAsiaTheme="minorEastAsia"/>
              <w:lang w:eastAsia="en-AU"/>
            </w:rPr>
          </w:pPr>
          <w:hyperlink w:anchor="_Toc136859067" w:history="1">
            <w:r w:rsidRPr="00FC709A">
              <w:rPr>
                <w:rStyle w:val="Hyperlink"/>
              </w:rPr>
              <w:t>Proposed Amendment – No Comment</w:t>
            </w:r>
            <w:r>
              <w:rPr>
                <w:webHidden/>
              </w:rPr>
              <w:tab/>
            </w:r>
            <w:r>
              <w:rPr>
                <w:webHidden/>
              </w:rPr>
              <w:fldChar w:fldCharType="begin"/>
            </w:r>
            <w:r>
              <w:rPr>
                <w:webHidden/>
              </w:rPr>
              <w:instrText xml:space="preserve"> PAGEREF _Toc136859067 \h </w:instrText>
            </w:r>
            <w:r>
              <w:rPr>
                <w:webHidden/>
              </w:rPr>
            </w:r>
            <w:r>
              <w:rPr>
                <w:webHidden/>
              </w:rPr>
              <w:fldChar w:fldCharType="separate"/>
            </w:r>
            <w:r>
              <w:rPr>
                <w:webHidden/>
              </w:rPr>
              <w:t>1</w:t>
            </w:r>
            <w:r>
              <w:rPr>
                <w:webHidden/>
              </w:rPr>
              <w:fldChar w:fldCharType="end"/>
            </w:r>
          </w:hyperlink>
        </w:p>
        <w:p w14:paraId="08D0A19A" w14:textId="2F73B4E5" w:rsidR="00E96DA9" w:rsidRDefault="00E96DA9">
          <w:pPr>
            <w:pStyle w:val="TOC3"/>
            <w:rPr>
              <w:rFonts w:eastAsiaTheme="minorEastAsia"/>
              <w:lang w:eastAsia="en-AU"/>
            </w:rPr>
          </w:pPr>
          <w:hyperlink w:anchor="_Toc136859068" w:history="1">
            <w:r w:rsidRPr="00FC709A">
              <w:rPr>
                <w:rStyle w:val="Hyperlink"/>
              </w:rPr>
              <w:t>Planning Bill 2022</w:t>
            </w:r>
            <w:r>
              <w:rPr>
                <w:webHidden/>
              </w:rPr>
              <w:tab/>
            </w:r>
            <w:r>
              <w:rPr>
                <w:webHidden/>
              </w:rPr>
              <w:fldChar w:fldCharType="begin"/>
            </w:r>
            <w:r>
              <w:rPr>
                <w:webHidden/>
              </w:rPr>
              <w:instrText xml:space="preserve"> PAGEREF _Toc136859068 \h </w:instrText>
            </w:r>
            <w:r>
              <w:rPr>
                <w:webHidden/>
              </w:rPr>
            </w:r>
            <w:r>
              <w:rPr>
                <w:webHidden/>
              </w:rPr>
              <w:fldChar w:fldCharType="separate"/>
            </w:r>
            <w:r>
              <w:rPr>
                <w:webHidden/>
              </w:rPr>
              <w:t>1</w:t>
            </w:r>
            <w:r>
              <w:rPr>
                <w:webHidden/>
              </w:rPr>
              <w:fldChar w:fldCharType="end"/>
            </w:r>
          </w:hyperlink>
        </w:p>
        <w:p w14:paraId="46D4579A" w14:textId="03365845" w:rsidR="00E96DA9" w:rsidRDefault="00E96DA9">
          <w:pPr>
            <w:pStyle w:val="TOC2"/>
            <w:rPr>
              <w:rFonts w:eastAsiaTheme="minorEastAsia"/>
              <w:lang w:eastAsia="en-AU"/>
            </w:rPr>
          </w:pPr>
          <w:hyperlink w:anchor="_Toc136859069" w:history="1">
            <w:r w:rsidRPr="00FC709A">
              <w:rPr>
                <w:rStyle w:val="Hyperlink"/>
              </w:rPr>
              <w:t>Government Responses - Comment</w:t>
            </w:r>
            <w:r>
              <w:rPr>
                <w:webHidden/>
              </w:rPr>
              <w:tab/>
            </w:r>
            <w:r>
              <w:rPr>
                <w:webHidden/>
              </w:rPr>
              <w:fldChar w:fldCharType="begin"/>
            </w:r>
            <w:r>
              <w:rPr>
                <w:webHidden/>
              </w:rPr>
              <w:instrText xml:space="preserve"> PAGEREF _Toc136859069 \h </w:instrText>
            </w:r>
            <w:r>
              <w:rPr>
                <w:webHidden/>
              </w:rPr>
            </w:r>
            <w:r>
              <w:rPr>
                <w:webHidden/>
              </w:rPr>
              <w:fldChar w:fldCharType="separate"/>
            </w:r>
            <w:r>
              <w:rPr>
                <w:webHidden/>
              </w:rPr>
              <w:t>1</w:t>
            </w:r>
            <w:r>
              <w:rPr>
                <w:webHidden/>
              </w:rPr>
              <w:fldChar w:fldCharType="end"/>
            </w:r>
          </w:hyperlink>
        </w:p>
        <w:p w14:paraId="5B3193CC" w14:textId="53371382" w:rsidR="00E96DA9" w:rsidRDefault="00E96DA9">
          <w:pPr>
            <w:pStyle w:val="TOC3"/>
            <w:rPr>
              <w:rFonts w:eastAsiaTheme="minorEastAsia"/>
              <w:lang w:eastAsia="en-AU"/>
            </w:rPr>
          </w:pPr>
          <w:hyperlink w:anchor="_Toc136859070" w:history="1">
            <w:r w:rsidRPr="00FC709A">
              <w:rPr>
                <w:rStyle w:val="Hyperlink"/>
              </w:rPr>
              <w:t>Work Health and Safety Amendment Bill 2022</w:t>
            </w:r>
            <w:r>
              <w:rPr>
                <w:webHidden/>
              </w:rPr>
              <w:tab/>
            </w:r>
            <w:r>
              <w:rPr>
                <w:webHidden/>
              </w:rPr>
              <w:fldChar w:fldCharType="begin"/>
            </w:r>
            <w:r>
              <w:rPr>
                <w:webHidden/>
              </w:rPr>
              <w:instrText xml:space="preserve"> PAGEREF _Toc136859070 \h </w:instrText>
            </w:r>
            <w:r>
              <w:rPr>
                <w:webHidden/>
              </w:rPr>
            </w:r>
            <w:r>
              <w:rPr>
                <w:webHidden/>
              </w:rPr>
              <w:fldChar w:fldCharType="separate"/>
            </w:r>
            <w:r>
              <w:rPr>
                <w:webHidden/>
              </w:rPr>
              <w:t>1</w:t>
            </w:r>
            <w:r>
              <w:rPr>
                <w:webHidden/>
              </w:rPr>
              <w:fldChar w:fldCharType="end"/>
            </w:r>
          </w:hyperlink>
        </w:p>
        <w:p w14:paraId="17FFE5AF" w14:textId="3751C0E9" w:rsidR="00E96DA9" w:rsidRDefault="00E96DA9">
          <w:pPr>
            <w:pStyle w:val="TOC3"/>
            <w:rPr>
              <w:rFonts w:eastAsiaTheme="minorEastAsia"/>
              <w:lang w:eastAsia="en-AU"/>
            </w:rPr>
          </w:pPr>
          <w:hyperlink w:anchor="_Toc136859071" w:history="1">
            <w:r w:rsidRPr="00FC709A">
              <w:rPr>
                <w:rStyle w:val="Hyperlink"/>
              </w:rPr>
              <w:t>Health Infrastructure Enabling Bill 2023</w:t>
            </w:r>
            <w:r>
              <w:rPr>
                <w:webHidden/>
              </w:rPr>
              <w:tab/>
            </w:r>
            <w:r>
              <w:rPr>
                <w:webHidden/>
              </w:rPr>
              <w:fldChar w:fldCharType="begin"/>
            </w:r>
            <w:r>
              <w:rPr>
                <w:webHidden/>
              </w:rPr>
              <w:instrText xml:space="preserve"> PAGEREF _Toc136859071 \h </w:instrText>
            </w:r>
            <w:r>
              <w:rPr>
                <w:webHidden/>
              </w:rPr>
            </w:r>
            <w:r>
              <w:rPr>
                <w:webHidden/>
              </w:rPr>
              <w:fldChar w:fldCharType="separate"/>
            </w:r>
            <w:r>
              <w:rPr>
                <w:webHidden/>
              </w:rPr>
              <w:t>2</w:t>
            </w:r>
            <w:r>
              <w:rPr>
                <w:webHidden/>
              </w:rPr>
              <w:fldChar w:fldCharType="end"/>
            </w:r>
          </w:hyperlink>
        </w:p>
        <w:p w14:paraId="4F1B259E" w14:textId="23CD720B" w:rsidR="00E96DA9" w:rsidRDefault="00E96DA9">
          <w:pPr>
            <w:pStyle w:val="TOC2"/>
            <w:rPr>
              <w:rFonts w:eastAsiaTheme="minorEastAsia"/>
              <w:lang w:eastAsia="en-AU"/>
            </w:rPr>
          </w:pPr>
          <w:hyperlink w:anchor="_Toc136859072" w:history="1">
            <w:r w:rsidRPr="00FC709A">
              <w:rPr>
                <w:rStyle w:val="Hyperlink"/>
              </w:rPr>
              <w:t>Government Responses – No Comment</w:t>
            </w:r>
            <w:r>
              <w:rPr>
                <w:webHidden/>
              </w:rPr>
              <w:tab/>
            </w:r>
            <w:r>
              <w:rPr>
                <w:webHidden/>
              </w:rPr>
              <w:fldChar w:fldCharType="begin"/>
            </w:r>
            <w:r>
              <w:rPr>
                <w:webHidden/>
              </w:rPr>
              <w:instrText xml:space="preserve"> PAGEREF _Toc136859072 \h </w:instrText>
            </w:r>
            <w:r>
              <w:rPr>
                <w:webHidden/>
              </w:rPr>
            </w:r>
            <w:r>
              <w:rPr>
                <w:webHidden/>
              </w:rPr>
              <w:fldChar w:fldCharType="separate"/>
            </w:r>
            <w:r>
              <w:rPr>
                <w:webHidden/>
              </w:rPr>
              <w:t>4</w:t>
            </w:r>
            <w:r>
              <w:rPr>
                <w:webHidden/>
              </w:rPr>
              <w:fldChar w:fldCharType="end"/>
            </w:r>
          </w:hyperlink>
        </w:p>
        <w:p w14:paraId="5F7EFD55" w14:textId="2CFF71E8" w:rsidR="00E96DA9" w:rsidRDefault="00E96DA9">
          <w:pPr>
            <w:pStyle w:val="TOC1"/>
            <w:rPr>
              <w:rFonts w:asciiTheme="minorHAnsi" w:eastAsiaTheme="minorEastAsia" w:hAnsiTheme="minorHAnsi"/>
              <w:b w:val="0"/>
              <w:bCs w:val="0"/>
              <w:color w:val="auto"/>
              <w:w w:val="100"/>
              <w:sz w:val="22"/>
              <w:lang w:eastAsia="en-AU"/>
            </w:rPr>
          </w:pPr>
          <w:hyperlink w:anchor="_Toc136859073" w:history="1">
            <w:r w:rsidRPr="00FC709A">
              <w:rPr>
                <w:rStyle w:val="Hyperlink"/>
              </w:rPr>
              <w:t>2.</w:t>
            </w:r>
            <w:r>
              <w:rPr>
                <w:rFonts w:asciiTheme="minorHAnsi" w:eastAsiaTheme="minorEastAsia" w:hAnsiTheme="minorHAnsi"/>
                <w:b w:val="0"/>
                <w:bCs w:val="0"/>
                <w:color w:val="auto"/>
                <w:w w:val="100"/>
                <w:sz w:val="22"/>
                <w:lang w:eastAsia="en-AU"/>
              </w:rPr>
              <w:tab/>
            </w:r>
            <w:r w:rsidRPr="00FC709A">
              <w:rPr>
                <w:rStyle w:val="Hyperlink"/>
              </w:rPr>
              <w:t>Subordinate Legislation</w:t>
            </w:r>
            <w:r>
              <w:rPr>
                <w:webHidden/>
              </w:rPr>
              <w:tab/>
            </w:r>
            <w:r>
              <w:rPr>
                <w:webHidden/>
              </w:rPr>
              <w:fldChar w:fldCharType="begin"/>
            </w:r>
            <w:r>
              <w:rPr>
                <w:webHidden/>
              </w:rPr>
              <w:instrText xml:space="preserve"> PAGEREF _Toc136859073 \h </w:instrText>
            </w:r>
            <w:r>
              <w:rPr>
                <w:webHidden/>
              </w:rPr>
            </w:r>
            <w:r>
              <w:rPr>
                <w:webHidden/>
              </w:rPr>
              <w:fldChar w:fldCharType="separate"/>
            </w:r>
            <w:r>
              <w:rPr>
                <w:webHidden/>
              </w:rPr>
              <w:t>5</w:t>
            </w:r>
            <w:r>
              <w:rPr>
                <w:webHidden/>
              </w:rPr>
              <w:fldChar w:fldCharType="end"/>
            </w:r>
          </w:hyperlink>
        </w:p>
        <w:p w14:paraId="25C9850A" w14:textId="0A409807" w:rsidR="00E96DA9" w:rsidRDefault="00E96DA9">
          <w:pPr>
            <w:pStyle w:val="TOC2"/>
            <w:rPr>
              <w:rFonts w:eastAsiaTheme="minorEastAsia"/>
              <w:lang w:eastAsia="en-AU"/>
            </w:rPr>
          </w:pPr>
          <w:hyperlink w:anchor="_Toc136859074" w:history="1">
            <w:r w:rsidRPr="00FC709A">
              <w:rPr>
                <w:rStyle w:val="Hyperlink"/>
              </w:rPr>
              <w:t>Disallowable Instruments—No comment</w:t>
            </w:r>
            <w:r>
              <w:rPr>
                <w:webHidden/>
              </w:rPr>
              <w:tab/>
            </w:r>
            <w:r>
              <w:rPr>
                <w:webHidden/>
              </w:rPr>
              <w:fldChar w:fldCharType="begin"/>
            </w:r>
            <w:r>
              <w:rPr>
                <w:webHidden/>
              </w:rPr>
              <w:instrText xml:space="preserve"> PAGEREF _Toc136859074 \h </w:instrText>
            </w:r>
            <w:r>
              <w:rPr>
                <w:webHidden/>
              </w:rPr>
            </w:r>
            <w:r>
              <w:rPr>
                <w:webHidden/>
              </w:rPr>
              <w:fldChar w:fldCharType="separate"/>
            </w:r>
            <w:r>
              <w:rPr>
                <w:webHidden/>
              </w:rPr>
              <w:t>5</w:t>
            </w:r>
            <w:r>
              <w:rPr>
                <w:webHidden/>
              </w:rPr>
              <w:fldChar w:fldCharType="end"/>
            </w:r>
          </w:hyperlink>
        </w:p>
        <w:p w14:paraId="3F019E55" w14:textId="0CD0A4E6" w:rsidR="00E96DA9" w:rsidRDefault="00E96DA9">
          <w:pPr>
            <w:pStyle w:val="TOC2"/>
            <w:rPr>
              <w:rFonts w:eastAsiaTheme="minorEastAsia"/>
              <w:lang w:eastAsia="en-AU"/>
            </w:rPr>
          </w:pPr>
          <w:hyperlink w:anchor="_Toc136859075" w:history="1">
            <w:r w:rsidRPr="00FC709A">
              <w:rPr>
                <w:rStyle w:val="Hyperlink"/>
              </w:rPr>
              <w:t>Disallowable Instruments—Comment</w:t>
            </w:r>
            <w:r>
              <w:rPr>
                <w:webHidden/>
              </w:rPr>
              <w:tab/>
            </w:r>
            <w:r>
              <w:rPr>
                <w:webHidden/>
              </w:rPr>
              <w:fldChar w:fldCharType="begin"/>
            </w:r>
            <w:r>
              <w:rPr>
                <w:webHidden/>
              </w:rPr>
              <w:instrText xml:space="preserve"> PAGEREF _Toc136859075 \h </w:instrText>
            </w:r>
            <w:r>
              <w:rPr>
                <w:webHidden/>
              </w:rPr>
            </w:r>
            <w:r>
              <w:rPr>
                <w:webHidden/>
              </w:rPr>
              <w:fldChar w:fldCharType="separate"/>
            </w:r>
            <w:r>
              <w:rPr>
                <w:webHidden/>
              </w:rPr>
              <w:t>6</w:t>
            </w:r>
            <w:r>
              <w:rPr>
                <w:webHidden/>
              </w:rPr>
              <w:fldChar w:fldCharType="end"/>
            </w:r>
          </w:hyperlink>
        </w:p>
        <w:p w14:paraId="3C240A95" w14:textId="00555C06" w:rsidR="00E96DA9" w:rsidRDefault="00E96DA9">
          <w:pPr>
            <w:pStyle w:val="TOC3"/>
            <w:rPr>
              <w:rFonts w:eastAsiaTheme="minorEastAsia"/>
              <w:lang w:eastAsia="en-AU"/>
            </w:rPr>
          </w:pPr>
          <w:hyperlink w:anchor="_Toc136859076" w:history="1">
            <w:r w:rsidRPr="00FC709A">
              <w:rPr>
                <w:rStyle w:val="Hyperlink"/>
              </w:rPr>
              <w:t>Fees determinations / No Human Rights Issues</w:t>
            </w:r>
            <w:r>
              <w:rPr>
                <w:webHidden/>
              </w:rPr>
              <w:tab/>
            </w:r>
            <w:r>
              <w:rPr>
                <w:webHidden/>
              </w:rPr>
              <w:fldChar w:fldCharType="begin"/>
            </w:r>
            <w:r>
              <w:rPr>
                <w:webHidden/>
              </w:rPr>
              <w:instrText xml:space="preserve"> PAGEREF _Toc136859076 \h </w:instrText>
            </w:r>
            <w:r>
              <w:rPr>
                <w:webHidden/>
              </w:rPr>
            </w:r>
            <w:r>
              <w:rPr>
                <w:webHidden/>
              </w:rPr>
              <w:fldChar w:fldCharType="separate"/>
            </w:r>
            <w:r>
              <w:rPr>
                <w:webHidden/>
              </w:rPr>
              <w:t>6</w:t>
            </w:r>
            <w:r>
              <w:rPr>
                <w:webHidden/>
              </w:rPr>
              <w:fldChar w:fldCharType="end"/>
            </w:r>
          </w:hyperlink>
        </w:p>
        <w:p w14:paraId="4DB6B897" w14:textId="5107C069" w:rsidR="00E96DA9" w:rsidRDefault="00E96DA9">
          <w:pPr>
            <w:pStyle w:val="TOC3"/>
            <w:rPr>
              <w:rFonts w:eastAsiaTheme="minorEastAsia"/>
              <w:lang w:eastAsia="en-AU"/>
            </w:rPr>
          </w:pPr>
          <w:hyperlink w:anchor="_Toc136859077" w:history="1">
            <w:r w:rsidRPr="00FC709A">
              <w:rPr>
                <w:rStyle w:val="Hyperlink"/>
              </w:rPr>
              <w:t>Human Rights Issues</w:t>
            </w:r>
            <w:r>
              <w:rPr>
                <w:webHidden/>
              </w:rPr>
              <w:tab/>
            </w:r>
            <w:r>
              <w:rPr>
                <w:webHidden/>
              </w:rPr>
              <w:fldChar w:fldCharType="begin"/>
            </w:r>
            <w:r>
              <w:rPr>
                <w:webHidden/>
              </w:rPr>
              <w:instrText xml:space="preserve"> PAGEREF _Toc136859077 \h </w:instrText>
            </w:r>
            <w:r>
              <w:rPr>
                <w:webHidden/>
              </w:rPr>
            </w:r>
            <w:r>
              <w:rPr>
                <w:webHidden/>
              </w:rPr>
              <w:fldChar w:fldCharType="separate"/>
            </w:r>
            <w:r>
              <w:rPr>
                <w:webHidden/>
              </w:rPr>
              <w:t>8</w:t>
            </w:r>
            <w:r>
              <w:rPr>
                <w:webHidden/>
              </w:rPr>
              <w:fldChar w:fldCharType="end"/>
            </w:r>
          </w:hyperlink>
        </w:p>
        <w:p w14:paraId="75D4571D" w14:textId="798F72F1" w:rsidR="00E96DA9" w:rsidRDefault="00E96DA9">
          <w:pPr>
            <w:pStyle w:val="TOC3"/>
            <w:rPr>
              <w:rFonts w:eastAsiaTheme="minorEastAsia"/>
              <w:lang w:eastAsia="en-AU"/>
            </w:rPr>
          </w:pPr>
          <w:hyperlink w:anchor="_Toc136859078" w:history="1">
            <w:r w:rsidRPr="00FC709A">
              <w:rPr>
                <w:rStyle w:val="Hyperlink"/>
              </w:rPr>
              <w:t>No Human Rights Issues</w:t>
            </w:r>
            <w:r>
              <w:rPr>
                <w:webHidden/>
              </w:rPr>
              <w:tab/>
            </w:r>
            <w:r>
              <w:rPr>
                <w:webHidden/>
              </w:rPr>
              <w:fldChar w:fldCharType="begin"/>
            </w:r>
            <w:r>
              <w:rPr>
                <w:webHidden/>
              </w:rPr>
              <w:instrText xml:space="preserve"> PAGEREF _Toc136859078 \h </w:instrText>
            </w:r>
            <w:r>
              <w:rPr>
                <w:webHidden/>
              </w:rPr>
            </w:r>
            <w:r>
              <w:rPr>
                <w:webHidden/>
              </w:rPr>
              <w:fldChar w:fldCharType="separate"/>
            </w:r>
            <w:r>
              <w:rPr>
                <w:webHidden/>
              </w:rPr>
              <w:t>8</w:t>
            </w:r>
            <w:r>
              <w:rPr>
                <w:webHidden/>
              </w:rPr>
              <w:fldChar w:fldCharType="end"/>
            </w:r>
          </w:hyperlink>
        </w:p>
        <w:p w14:paraId="6E1EE0B4" w14:textId="21E28741" w:rsidR="00E96DA9" w:rsidRDefault="00E96DA9">
          <w:pPr>
            <w:pStyle w:val="TOC3"/>
            <w:rPr>
              <w:rFonts w:eastAsiaTheme="minorEastAsia"/>
              <w:lang w:eastAsia="en-AU"/>
            </w:rPr>
          </w:pPr>
          <w:hyperlink w:anchor="_Toc136859079" w:history="1">
            <w:r w:rsidRPr="00FC709A">
              <w:rPr>
                <w:rStyle w:val="Hyperlink"/>
              </w:rPr>
              <w:t>Human Rights Issues</w:t>
            </w:r>
            <w:r>
              <w:rPr>
                <w:webHidden/>
              </w:rPr>
              <w:tab/>
            </w:r>
            <w:r>
              <w:rPr>
                <w:webHidden/>
              </w:rPr>
              <w:fldChar w:fldCharType="begin"/>
            </w:r>
            <w:r>
              <w:rPr>
                <w:webHidden/>
              </w:rPr>
              <w:instrText xml:space="preserve"> PAGEREF _Toc136859079 \h </w:instrText>
            </w:r>
            <w:r>
              <w:rPr>
                <w:webHidden/>
              </w:rPr>
            </w:r>
            <w:r>
              <w:rPr>
                <w:webHidden/>
              </w:rPr>
              <w:fldChar w:fldCharType="separate"/>
            </w:r>
            <w:r>
              <w:rPr>
                <w:webHidden/>
              </w:rPr>
              <w:t>10</w:t>
            </w:r>
            <w:r>
              <w:rPr>
                <w:webHidden/>
              </w:rPr>
              <w:fldChar w:fldCharType="end"/>
            </w:r>
          </w:hyperlink>
        </w:p>
        <w:p w14:paraId="319F4C42" w14:textId="047F3BC0" w:rsidR="00E96DA9" w:rsidRDefault="00E96DA9">
          <w:pPr>
            <w:pStyle w:val="TOC3"/>
            <w:rPr>
              <w:rFonts w:eastAsiaTheme="minorEastAsia"/>
              <w:lang w:eastAsia="en-AU"/>
            </w:rPr>
          </w:pPr>
          <w:hyperlink w:anchor="_Toc136859080" w:history="1">
            <w:r w:rsidRPr="00FC709A">
              <w:rPr>
                <w:rStyle w:val="Hyperlink"/>
              </w:rPr>
              <w:t>Human Rights Issues</w:t>
            </w:r>
            <w:r>
              <w:rPr>
                <w:webHidden/>
              </w:rPr>
              <w:tab/>
            </w:r>
            <w:r>
              <w:rPr>
                <w:webHidden/>
              </w:rPr>
              <w:fldChar w:fldCharType="begin"/>
            </w:r>
            <w:r>
              <w:rPr>
                <w:webHidden/>
              </w:rPr>
              <w:instrText xml:space="preserve"> PAGEREF _Toc136859080 \h </w:instrText>
            </w:r>
            <w:r>
              <w:rPr>
                <w:webHidden/>
              </w:rPr>
            </w:r>
            <w:r>
              <w:rPr>
                <w:webHidden/>
              </w:rPr>
              <w:fldChar w:fldCharType="separate"/>
            </w:r>
            <w:r>
              <w:rPr>
                <w:webHidden/>
              </w:rPr>
              <w:t>11</w:t>
            </w:r>
            <w:r>
              <w:rPr>
                <w:webHidden/>
              </w:rPr>
              <w:fldChar w:fldCharType="end"/>
            </w:r>
          </w:hyperlink>
        </w:p>
        <w:p w14:paraId="473D44FC" w14:textId="489DF46D" w:rsidR="00E96DA9" w:rsidRDefault="00E96DA9">
          <w:pPr>
            <w:pStyle w:val="TOC2"/>
            <w:rPr>
              <w:rFonts w:eastAsiaTheme="minorEastAsia"/>
              <w:lang w:eastAsia="en-AU"/>
            </w:rPr>
          </w:pPr>
          <w:hyperlink w:anchor="_Toc136859081" w:history="1">
            <w:r w:rsidRPr="00FC709A">
              <w:rPr>
                <w:rStyle w:val="Hyperlink"/>
              </w:rPr>
              <w:t>Government Responses – No Comment</w:t>
            </w:r>
            <w:r>
              <w:rPr>
                <w:webHidden/>
              </w:rPr>
              <w:tab/>
            </w:r>
            <w:r>
              <w:rPr>
                <w:webHidden/>
              </w:rPr>
              <w:fldChar w:fldCharType="begin"/>
            </w:r>
            <w:r>
              <w:rPr>
                <w:webHidden/>
              </w:rPr>
              <w:instrText xml:space="preserve"> PAGEREF _Toc136859081 \h </w:instrText>
            </w:r>
            <w:r>
              <w:rPr>
                <w:webHidden/>
              </w:rPr>
            </w:r>
            <w:r>
              <w:rPr>
                <w:webHidden/>
              </w:rPr>
              <w:fldChar w:fldCharType="separate"/>
            </w:r>
            <w:r>
              <w:rPr>
                <w:webHidden/>
              </w:rPr>
              <w:t>16</w:t>
            </w:r>
            <w:r>
              <w:rPr>
                <w:webHidden/>
              </w:rPr>
              <w:fldChar w:fldCharType="end"/>
            </w:r>
          </w:hyperlink>
        </w:p>
        <w:p w14:paraId="148C5C8E" w14:textId="00982ADA" w:rsidR="00E96DA9" w:rsidRDefault="00E96DA9">
          <w:pPr>
            <w:pStyle w:val="TOC1"/>
            <w:rPr>
              <w:rFonts w:asciiTheme="minorHAnsi" w:eastAsiaTheme="minorEastAsia" w:hAnsiTheme="minorHAnsi"/>
              <w:b w:val="0"/>
              <w:bCs w:val="0"/>
              <w:color w:val="auto"/>
              <w:w w:val="100"/>
              <w:sz w:val="22"/>
              <w:lang w:eastAsia="en-AU"/>
            </w:rPr>
          </w:pPr>
          <w:hyperlink w:anchor="_Toc136859082" w:history="1">
            <w:r w:rsidRPr="00FC709A">
              <w:rPr>
                <w:rStyle w:val="Hyperlink"/>
              </w:rPr>
              <w:t>3.</w:t>
            </w:r>
            <w:r>
              <w:rPr>
                <w:rFonts w:asciiTheme="minorHAnsi" w:eastAsiaTheme="minorEastAsia" w:hAnsiTheme="minorHAnsi"/>
                <w:b w:val="0"/>
                <w:bCs w:val="0"/>
                <w:color w:val="auto"/>
                <w:w w:val="100"/>
                <w:sz w:val="22"/>
                <w:lang w:eastAsia="en-AU"/>
              </w:rPr>
              <w:tab/>
            </w:r>
            <w:r w:rsidRPr="00FC709A">
              <w:rPr>
                <w:rStyle w:val="Hyperlink"/>
              </w:rPr>
              <w:t>Outstanding responses</w:t>
            </w:r>
            <w:r>
              <w:rPr>
                <w:webHidden/>
              </w:rPr>
              <w:tab/>
            </w:r>
            <w:r>
              <w:rPr>
                <w:webHidden/>
              </w:rPr>
              <w:fldChar w:fldCharType="begin"/>
            </w:r>
            <w:r>
              <w:rPr>
                <w:webHidden/>
              </w:rPr>
              <w:instrText xml:space="preserve"> PAGEREF _Toc136859082 \h </w:instrText>
            </w:r>
            <w:r>
              <w:rPr>
                <w:webHidden/>
              </w:rPr>
            </w:r>
            <w:r>
              <w:rPr>
                <w:webHidden/>
              </w:rPr>
              <w:fldChar w:fldCharType="separate"/>
            </w:r>
            <w:r>
              <w:rPr>
                <w:webHidden/>
              </w:rPr>
              <w:t>17</w:t>
            </w:r>
            <w:r>
              <w:rPr>
                <w:webHidden/>
              </w:rPr>
              <w:fldChar w:fldCharType="end"/>
            </w:r>
          </w:hyperlink>
        </w:p>
        <w:p w14:paraId="67C7615D" w14:textId="650BD75F" w:rsidR="00E96DA9" w:rsidRDefault="00E96DA9">
          <w:pPr>
            <w:pStyle w:val="TOC2"/>
            <w:rPr>
              <w:rFonts w:eastAsiaTheme="minorEastAsia"/>
              <w:lang w:eastAsia="en-AU"/>
            </w:rPr>
          </w:pPr>
          <w:hyperlink w:anchor="_Toc136859083" w:history="1">
            <w:r w:rsidRPr="00FC709A">
              <w:rPr>
                <w:rStyle w:val="Hyperlink"/>
              </w:rPr>
              <w:t>Bills</w:t>
            </w:r>
            <w:r>
              <w:rPr>
                <w:webHidden/>
              </w:rPr>
              <w:tab/>
            </w:r>
            <w:r>
              <w:rPr>
                <w:webHidden/>
              </w:rPr>
              <w:fldChar w:fldCharType="begin"/>
            </w:r>
            <w:r>
              <w:rPr>
                <w:webHidden/>
              </w:rPr>
              <w:instrText xml:space="preserve"> PAGEREF _Toc136859083 \h </w:instrText>
            </w:r>
            <w:r>
              <w:rPr>
                <w:webHidden/>
              </w:rPr>
            </w:r>
            <w:r>
              <w:rPr>
                <w:webHidden/>
              </w:rPr>
              <w:fldChar w:fldCharType="separate"/>
            </w:r>
            <w:r>
              <w:rPr>
                <w:webHidden/>
              </w:rPr>
              <w:t>17</w:t>
            </w:r>
            <w:r>
              <w:rPr>
                <w:webHidden/>
              </w:rPr>
              <w:fldChar w:fldCharType="end"/>
            </w:r>
          </w:hyperlink>
        </w:p>
        <w:p w14:paraId="66EF2C50" w14:textId="72200B36" w:rsidR="00E96DA9" w:rsidRDefault="00E96DA9">
          <w:pPr>
            <w:pStyle w:val="TOC3"/>
            <w:rPr>
              <w:rFonts w:eastAsiaTheme="minorEastAsia"/>
              <w:lang w:eastAsia="en-AU"/>
            </w:rPr>
          </w:pPr>
          <w:hyperlink w:anchor="_Toc136859084" w:history="1">
            <w:r w:rsidRPr="00FC709A">
              <w:rPr>
                <w:rStyle w:val="Hyperlink"/>
              </w:rPr>
              <w:t>Report 12, dated 1 February 2022</w:t>
            </w:r>
            <w:r>
              <w:rPr>
                <w:webHidden/>
              </w:rPr>
              <w:tab/>
            </w:r>
            <w:r>
              <w:rPr>
                <w:webHidden/>
              </w:rPr>
              <w:fldChar w:fldCharType="begin"/>
            </w:r>
            <w:r>
              <w:rPr>
                <w:webHidden/>
              </w:rPr>
              <w:instrText xml:space="preserve"> PAGEREF _Toc136859084 \h </w:instrText>
            </w:r>
            <w:r>
              <w:rPr>
                <w:webHidden/>
              </w:rPr>
            </w:r>
            <w:r>
              <w:rPr>
                <w:webHidden/>
              </w:rPr>
              <w:fldChar w:fldCharType="separate"/>
            </w:r>
            <w:r>
              <w:rPr>
                <w:webHidden/>
              </w:rPr>
              <w:t>17</w:t>
            </w:r>
            <w:r>
              <w:rPr>
                <w:webHidden/>
              </w:rPr>
              <w:fldChar w:fldCharType="end"/>
            </w:r>
          </w:hyperlink>
        </w:p>
        <w:p w14:paraId="0083D8C0" w14:textId="1D4745BF" w:rsidR="00E96DA9" w:rsidRDefault="00E96DA9">
          <w:pPr>
            <w:pStyle w:val="TOC3"/>
            <w:rPr>
              <w:rFonts w:eastAsiaTheme="minorEastAsia"/>
              <w:lang w:eastAsia="en-AU"/>
            </w:rPr>
          </w:pPr>
          <w:hyperlink w:anchor="_Toc136859085" w:history="1">
            <w:r w:rsidRPr="00FC709A">
              <w:rPr>
                <w:rStyle w:val="Hyperlink"/>
              </w:rPr>
              <w:t>Report 28, dated 3 May 2023</w:t>
            </w:r>
            <w:r>
              <w:rPr>
                <w:webHidden/>
              </w:rPr>
              <w:tab/>
            </w:r>
            <w:r>
              <w:rPr>
                <w:webHidden/>
              </w:rPr>
              <w:fldChar w:fldCharType="begin"/>
            </w:r>
            <w:r>
              <w:rPr>
                <w:webHidden/>
              </w:rPr>
              <w:instrText xml:space="preserve"> PAGEREF _Toc136859085 \h </w:instrText>
            </w:r>
            <w:r>
              <w:rPr>
                <w:webHidden/>
              </w:rPr>
            </w:r>
            <w:r>
              <w:rPr>
                <w:webHidden/>
              </w:rPr>
              <w:fldChar w:fldCharType="separate"/>
            </w:r>
            <w:r>
              <w:rPr>
                <w:webHidden/>
              </w:rPr>
              <w:t>17</w:t>
            </w:r>
            <w:r>
              <w:rPr>
                <w:webHidden/>
              </w:rPr>
              <w:fldChar w:fldCharType="end"/>
            </w:r>
          </w:hyperlink>
        </w:p>
        <w:p w14:paraId="5D1EEF80" w14:textId="524F0E00" w:rsidR="00E96DA9" w:rsidRDefault="00E96DA9">
          <w:pPr>
            <w:pStyle w:val="TOC3"/>
            <w:rPr>
              <w:rFonts w:eastAsiaTheme="minorEastAsia"/>
              <w:lang w:eastAsia="en-AU"/>
            </w:rPr>
          </w:pPr>
          <w:hyperlink w:anchor="_Toc136859086" w:history="1">
            <w:r w:rsidRPr="00FC709A">
              <w:rPr>
                <w:rStyle w:val="Hyperlink"/>
              </w:rPr>
              <w:t>Report 29, dated 23 May 2023</w:t>
            </w:r>
            <w:r>
              <w:rPr>
                <w:webHidden/>
              </w:rPr>
              <w:tab/>
            </w:r>
            <w:r>
              <w:rPr>
                <w:webHidden/>
              </w:rPr>
              <w:fldChar w:fldCharType="begin"/>
            </w:r>
            <w:r>
              <w:rPr>
                <w:webHidden/>
              </w:rPr>
              <w:instrText xml:space="preserve"> PAGEREF _Toc136859086 \h </w:instrText>
            </w:r>
            <w:r>
              <w:rPr>
                <w:webHidden/>
              </w:rPr>
            </w:r>
            <w:r>
              <w:rPr>
                <w:webHidden/>
              </w:rPr>
              <w:fldChar w:fldCharType="separate"/>
            </w:r>
            <w:r>
              <w:rPr>
                <w:webHidden/>
              </w:rPr>
              <w:t>17</w:t>
            </w:r>
            <w:r>
              <w:rPr>
                <w:webHidden/>
              </w:rPr>
              <w:fldChar w:fldCharType="end"/>
            </w:r>
          </w:hyperlink>
        </w:p>
        <w:p w14:paraId="1E1CDF38" w14:textId="06D6F2B9"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93" w:name="_Toc79133347"/>
      <w:bookmarkStart w:id="94" w:name="_Hlk79475490"/>
      <w:r>
        <w:br w:type="page"/>
      </w:r>
    </w:p>
    <w:p w14:paraId="344C4F63" w14:textId="5C49D60C" w:rsidR="00B7541C" w:rsidRPr="00B7541C" w:rsidRDefault="00B7541C" w:rsidP="00B7541C">
      <w:pPr>
        <w:sectPr w:rsidR="00B7541C" w:rsidRPr="00B7541C" w:rsidSect="009F5A83">
          <w:footerReference w:type="default" r:id="rId17"/>
          <w:pgSz w:w="11906" w:h="16838"/>
          <w:pgMar w:top="1440" w:right="1440" w:bottom="1440" w:left="1440" w:header="708" w:footer="708" w:gutter="0"/>
          <w:pgNumType w:fmt="lowerRoman" w:start="1"/>
          <w:cols w:space="708"/>
          <w:docGrid w:linePitch="360"/>
        </w:sectPr>
      </w:pPr>
    </w:p>
    <w:p w14:paraId="1859149B" w14:textId="77777777" w:rsidR="0083141E" w:rsidRDefault="0083141E" w:rsidP="0083141E">
      <w:pPr>
        <w:pStyle w:val="Heading1"/>
        <w:numPr>
          <w:ilvl w:val="0"/>
          <w:numId w:val="11"/>
        </w:numPr>
      </w:pPr>
      <w:bookmarkStart w:id="95" w:name="_Toc108788084"/>
      <w:bookmarkStart w:id="96" w:name="_Hlk79571513"/>
      <w:bookmarkStart w:id="97" w:name="_Toc136859066"/>
      <w:bookmarkEnd w:id="93"/>
      <w:r>
        <w:lastRenderedPageBreak/>
        <w:t>Bills</w:t>
      </w:r>
      <w:bookmarkEnd w:id="95"/>
      <w:bookmarkEnd w:id="97"/>
    </w:p>
    <w:p w14:paraId="2C784EB5" w14:textId="77777777" w:rsidR="0083141E" w:rsidRDefault="0083141E" w:rsidP="0083141E">
      <w:pPr>
        <w:pStyle w:val="Heading2"/>
      </w:pPr>
      <w:bookmarkStart w:id="98" w:name="_Toc136859067"/>
      <w:r>
        <w:t>Proposed Amendment – No Comment</w:t>
      </w:r>
      <w:bookmarkEnd w:id="98"/>
    </w:p>
    <w:p w14:paraId="1E704BC6" w14:textId="77777777" w:rsidR="0083141E" w:rsidRDefault="0083141E" w:rsidP="0083141E">
      <w:pPr>
        <w:pStyle w:val="Heading3"/>
      </w:pPr>
      <w:bookmarkStart w:id="99" w:name="_Toc136859068"/>
      <w:r>
        <w:t>Planning Bill 2022</w:t>
      </w:r>
      <w:bookmarkEnd w:id="99"/>
    </w:p>
    <w:p w14:paraId="5517B27C" w14:textId="1B408499" w:rsidR="0083141E" w:rsidRDefault="0083141E" w:rsidP="0083141E">
      <w:pPr>
        <w:pStyle w:val="ListNumber2"/>
        <w:numPr>
          <w:ilvl w:val="1"/>
          <w:numId w:val="11"/>
        </w:numPr>
        <w:spacing w:line="280" w:lineRule="auto"/>
      </w:pPr>
      <w:r>
        <w:t>On 23 May 2023 the Committee received proposed amendments from Ms Clay MLA to the Planning Bill 2022. The proposed amendments include:</w:t>
      </w:r>
    </w:p>
    <w:p w14:paraId="09272ACC" w14:textId="77777777" w:rsidR="0083141E" w:rsidRDefault="0083141E" w:rsidP="0083141E">
      <w:pPr>
        <w:pStyle w:val="ListNumber3"/>
        <w:numPr>
          <w:ilvl w:val="2"/>
          <w:numId w:val="11"/>
        </w:numPr>
        <w:spacing w:line="280" w:lineRule="auto"/>
      </w:pPr>
      <w:r>
        <w:t xml:space="preserve">amending the objects clause to reinforce the objects of protecting and conserving aspects of the natural environment; </w:t>
      </w:r>
    </w:p>
    <w:p w14:paraId="3EA18F3A" w14:textId="77777777" w:rsidR="0083141E" w:rsidRDefault="0083141E" w:rsidP="0083141E">
      <w:pPr>
        <w:pStyle w:val="ListNumber3"/>
        <w:numPr>
          <w:ilvl w:val="2"/>
          <w:numId w:val="11"/>
        </w:numPr>
        <w:spacing w:line="280" w:lineRule="auto"/>
      </w:pPr>
      <w:r>
        <w:t>amending the principles of good planning which must be considered in developing planning strategies, plans and policies under the Bill by requiring planning outcomes to support the operation of environmental laws and inserting housing affordability principles;</w:t>
      </w:r>
    </w:p>
    <w:p w14:paraId="570089F9" w14:textId="0DE09C54" w:rsidR="0083141E" w:rsidRDefault="0083141E" w:rsidP="0083141E">
      <w:pPr>
        <w:pStyle w:val="ListNumber3"/>
        <w:numPr>
          <w:ilvl w:val="2"/>
          <w:numId w:val="11"/>
        </w:numPr>
        <w:spacing w:line="280" w:lineRule="auto"/>
      </w:pPr>
      <w:r>
        <w:t>amend</w:t>
      </w:r>
      <w:r w:rsidR="00E12785">
        <w:t>ing the</w:t>
      </w:r>
      <w:r>
        <w:t xml:space="preserve"> principles of good consultation to require engaging stakeholders directly affected by the subject of consultation under the Bill, and that consultation be well informed and undertaken early;</w:t>
      </w:r>
    </w:p>
    <w:p w14:paraId="4AB9F07F" w14:textId="63B4EF46" w:rsidR="0083141E" w:rsidRDefault="0083141E" w:rsidP="0083141E">
      <w:pPr>
        <w:pStyle w:val="ListNumber3"/>
        <w:numPr>
          <w:ilvl w:val="2"/>
          <w:numId w:val="11"/>
        </w:numPr>
        <w:spacing w:line="280" w:lineRule="auto"/>
      </w:pPr>
      <w:r>
        <w:t>extend</w:t>
      </w:r>
      <w:r w:rsidR="00E12785">
        <w:t>ing</w:t>
      </w:r>
      <w:r>
        <w:t xml:space="preserve"> the period for public consultation on draft and revised Environmental Impact Statements from 20 to 30 days;</w:t>
      </w:r>
    </w:p>
    <w:p w14:paraId="5A4C0636" w14:textId="77777777" w:rsidR="0083141E" w:rsidRDefault="0083141E" w:rsidP="0083141E">
      <w:pPr>
        <w:pStyle w:val="ListNumber3"/>
        <w:numPr>
          <w:ilvl w:val="2"/>
          <w:numId w:val="11"/>
        </w:numPr>
        <w:spacing w:line="280" w:lineRule="auto"/>
      </w:pPr>
      <w:r>
        <w:t>to require reasons be given for development approvals contrary to entity advice;</w:t>
      </w:r>
    </w:p>
    <w:p w14:paraId="319729CC" w14:textId="77777777" w:rsidR="0083141E" w:rsidRDefault="0083141E" w:rsidP="0083141E">
      <w:pPr>
        <w:pStyle w:val="ListNumber3"/>
        <w:numPr>
          <w:ilvl w:val="2"/>
          <w:numId w:val="11"/>
        </w:numPr>
        <w:spacing w:line="280" w:lineRule="auto"/>
      </w:pPr>
      <w:r>
        <w:t>to limit any declaration of territory priority projects to relate to significant infrastructure or facilities for which there has been sufficient consultation, and to make any declaration disallowable;</w:t>
      </w:r>
    </w:p>
    <w:p w14:paraId="0F2B4B55" w14:textId="77777777" w:rsidR="0083141E" w:rsidRDefault="0083141E" w:rsidP="0083141E">
      <w:pPr>
        <w:pStyle w:val="ListNumber3"/>
        <w:numPr>
          <w:ilvl w:val="2"/>
          <w:numId w:val="11"/>
        </w:numPr>
        <w:spacing w:line="280" w:lineRule="auto"/>
      </w:pPr>
      <w:r>
        <w:t xml:space="preserve">to include as protected matter for which offsets may be required a native species or ecological community protected under the </w:t>
      </w:r>
      <w:r>
        <w:rPr>
          <w:i/>
          <w:iCs/>
        </w:rPr>
        <w:t>Nature Conservation Act 2014</w:t>
      </w:r>
      <w:r>
        <w:t>; and</w:t>
      </w:r>
    </w:p>
    <w:p w14:paraId="0AF5B5A7" w14:textId="77777777" w:rsidR="0083141E" w:rsidRDefault="0083141E" w:rsidP="0083141E">
      <w:pPr>
        <w:pStyle w:val="ListNumber3"/>
        <w:numPr>
          <w:ilvl w:val="2"/>
          <w:numId w:val="11"/>
        </w:numPr>
        <w:spacing w:line="280" w:lineRule="auto"/>
      </w:pPr>
      <w:r>
        <w:t>to allow a subdivision design application in a future urban area to be subject to third party review in the ACT Civil and Administrative Tribunal.</w:t>
      </w:r>
    </w:p>
    <w:p w14:paraId="0F467CDF" w14:textId="77777777" w:rsidR="0083141E" w:rsidRDefault="0083141E" w:rsidP="0083141E">
      <w:pPr>
        <w:pStyle w:val="ListNumber2"/>
        <w:numPr>
          <w:ilvl w:val="1"/>
          <w:numId w:val="11"/>
        </w:numPr>
        <w:spacing w:line="280" w:lineRule="auto"/>
      </w:pPr>
      <w:r>
        <w:t>The Committee has no comments on these proposed amendments.</w:t>
      </w:r>
    </w:p>
    <w:p w14:paraId="1E312924" w14:textId="77777777" w:rsidR="0083141E" w:rsidRDefault="0083141E" w:rsidP="0083141E">
      <w:pPr>
        <w:pStyle w:val="Heading2"/>
      </w:pPr>
      <w:bookmarkStart w:id="100" w:name="_Toc136859069"/>
      <w:r>
        <w:t>Government Responses - Comment</w:t>
      </w:r>
      <w:bookmarkEnd w:id="100"/>
    </w:p>
    <w:p w14:paraId="5F041169" w14:textId="77777777" w:rsidR="0083141E" w:rsidRDefault="0083141E" w:rsidP="0083141E">
      <w:pPr>
        <w:pStyle w:val="Heading3"/>
      </w:pPr>
      <w:bookmarkStart w:id="101" w:name="_Toc136859070"/>
      <w:r>
        <w:t>Work Health and Safety Amendment Bill 2022</w:t>
      </w:r>
      <w:bookmarkEnd w:id="101"/>
    </w:p>
    <w:p w14:paraId="3A1CBFFD" w14:textId="125D3650" w:rsidR="0083141E" w:rsidRDefault="0083141E" w:rsidP="0083141E">
      <w:pPr>
        <w:pStyle w:val="ListNumber2"/>
        <w:numPr>
          <w:ilvl w:val="1"/>
          <w:numId w:val="11"/>
        </w:numPr>
        <w:spacing w:line="280" w:lineRule="auto"/>
      </w:pPr>
      <w:r>
        <w:t xml:space="preserve">The Committee first raised concerns about the </w:t>
      </w:r>
      <w:r>
        <w:rPr>
          <w:i/>
          <w:iCs/>
        </w:rPr>
        <w:t>Work Health and Safety Amendment Bill</w:t>
      </w:r>
      <w:r w:rsidR="00E12785">
        <w:rPr>
          <w:i/>
          <w:iCs/>
        </w:rPr>
        <w:t> </w:t>
      </w:r>
      <w:r>
        <w:rPr>
          <w:i/>
          <w:iCs/>
        </w:rPr>
        <w:t>2022</w:t>
      </w:r>
      <w:r>
        <w:t xml:space="preserve"> in its </w:t>
      </w:r>
      <w:r>
        <w:rPr>
          <w:i/>
          <w:iCs/>
        </w:rPr>
        <w:t>Scrutiny Report 23</w:t>
      </w:r>
      <w:r>
        <w:t>. The Committee asked the Chief Minister for further information regarding why the Bill will not have any substantive effect on the interpretation and application of the Act, and in any event why it was considered necessary to have the Bill commence prior to enactment.</w:t>
      </w:r>
    </w:p>
    <w:p w14:paraId="7BFE1463" w14:textId="77777777" w:rsidR="0083141E" w:rsidRDefault="0083141E" w:rsidP="0083141E">
      <w:pPr>
        <w:pStyle w:val="ListNumber2"/>
        <w:numPr>
          <w:ilvl w:val="1"/>
          <w:numId w:val="11"/>
        </w:numPr>
        <w:spacing w:line="280" w:lineRule="auto"/>
      </w:pPr>
      <w:r>
        <w:t xml:space="preserve">In his response received by the Committee on 23 February 2023, the Chief Minister stated that the retrospective commencement of the Bill was ‘not considered to be materially </w:t>
      </w:r>
      <w:r>
        <w:lastRenderedPageBreak/>
        <w:t xml:space="preserve">impactful on obligation bearers because the commencement is from the date of introduction in the Assembly, when the amendment in the Bill became publicly known.’ </w:t>
      </w:r>
    </w:p>
    <w:p w14:paraId="5D61251B" w14:textId="77777777" w:rsidR="0083141E" w:rsidRDefault="0083141E" w:rsidP="0083141E">
      <w:pPr>
        <w:pStyle w:val="ListNumber2"/>
        <w:numPr>
          <w:ilvl w:val="1"/>
          <w:numId w:val="11"/>
        </w:numPr>
        <w:spacing w:line="280" w:lineRule="auto"/>
      </w:pPr>
      <w:r>
        <w:t xml:space="preserve">In further comments published in its </w:t>
      </w:r>
      <w:r>
        <w:rPr>
          <w:i/>
          <w:iCs/>
        </w:rPr>
        <w:t>Scrutiny Report 26</w:t>
      </w:r>
      <w:r>
        <w:t>, the Committee reiterated its concerns over the retrospective operation of the Bill. The Committee stated:</w:t>
      </w:r>
    </w:p>
    <w:p w14:paraId="72D9627C" w14:textId="77777777" w:rsidR="0083141E" w:rsidRDefault="0083141E" w:rsidP="00E12785">
      <w:pPr>
        <w:pStyle w:val="Quote"/>
      </w:pPr>
      <w:r>
        <w:t>If the Bill has no substantive impact on rights and obligations under the WHS Act, then it is not clear why there is a need for the Bill to have retrospective effect. Introduction of the Bill in the Assembly would seem sufficient to have enhanced awareness of the operation of the WHS Act on the work of Members of the Assembly. To the extent the date of commencement of the Bill is important due to the substantive effect commencement of the Bill may have, a justification for that retrospective commencement should be provided.</w:t>
      </w:r>
    </w:p>
    <w:p w14:paraId="18A41B8C" w14:textId="77777777" w:rsidR="0083141E" w:rsidRDefault="0083141E" w:rsidP="0083141E">
      <w:pPr>
        <w:pStyle w:val="ListNumber2"/>
        <w:numPr>
          <w:ilvl w:val="1"/>
          <w:numId w:val="11"/>
        </w:numPr>
        <w:spacing w:line="280" w:lineRule="auto"/>
      </w:pPr>
      <w:r>
        <w:t>The Chief Minister responded to these further comments in a letter received by the Committee on 12 May 2023. In that further response, the Chief Minister stated:</w:t>
      </w:r>
    </w:p>
    <w:p w14:paraId="6AC17DEF" w14:textId="77777777" w:rsidR="0083141E" w:rsidRDefault="0083141E" w:rsidP="00E12785">
      <w:pPr>
        <w:pStyle w:val="Quote"/>
      </w:pPr>
      <w:r>
        <w:t xml:space="preserve">I refer the Committee to my response provided on 23 February 2023 in relation to Scrutiny Report 23, which addresses comments made on the commencement of the Bill. </w:t>
      </w:r>
    </w:p>
    <w:p w14:paraId="1C091CE2" w14:textId="77777777" w:rsidR="0083141E" w:rsidRDefault="0083141E" w:rsidP="00E12785">
      <w:pPr>
        <w:pStyle w:val="Quote"/>
      </w:pPr>
      <w:r>
        <w:t>I also take this opportunity to reiterate that the date chosen for commencement is not earlier than when the Bill and its provisions became publicly known. The commencement date was deliberately designed to ensure a timely response by Government to confirm, albeit clarifying in nature, that WHS laws have and will continue to apply to all Canberra workers and all Canberran workplaces, including the ACT Legislative Assembly.</w:t>
      </w:r>
    </w:p>
    <w:p w14:paraId="24A5C286" w14:textId="1F27EBF4" w:rsidR="0083141E" w:rsidRDefault="0083141E" w:rsidP="0083141E">
      <w:pPr>
        <w:pStyle w:val="ListNumber2"/>
        <w:numPr>
          <w:ilvl w:val="1"/>
          <w:numId w:val="11"/>
        </w:numPr>
        <w:spacing w:line="280" w:lineRule="auto"/>
      </w:pPr>
      <w:r>
        <w:t>In the Committee’s view this further response does not materially add to the Chief Minister’s first response or engage with the concerns raised by the Committee. In the Committee’s view, there has not been a sufficient justification provided for why the Bill should have retrospective effect. The Committee refers this comment to the Assembly for its consideration.</w:t>
      </w:r>
    </w:p>
    <w:p w14:paraId="06245FE8" w14:textId="0C3875BD" w:rsidR="0083141E" w:rsidRPr="0007046A" w:rsidRDefault="0083141E" w:rsidP="0083141E">
      <w:pPr>
        <w:pStyle w:val="ListNumber2"/>
        <w:numPr>
          <w:ilvl w:val="1"/>
          <w:numId w:val="11"/>
        </w:numPr>
        <w:spacing w:line="280" w:lineRule="auto"/>
        <w:rPr>
          <w:b/>
          <w:bCs w:val="0"/>
        </w:rPr>
      </w:pPr>
      <w:r w:rsidRPr="0007046A">
        <w:rPr>
          <w:b/>
          <w:bCs w:val="0"/>
        </w:rPr>
        <w:t xml:space="preserve">The Committee refers this comment to the Assembly, and does not require any further response from the Chief Minister. </w:t>
      </w:r>
    </w:p>
    <w:p w14:paraId="6D099CA3" w14:textId="0D92708F" w:rsidR="00867AAF" w:rsidRDefault="00867AAF" w:rsidP="00867AAF">
      <w:pPr>
        <w:pStyle w:val="Heading3"/>
      </w:pPr>
      <w:bookmarkStart w:id="102" w:name="_Toc136859071"/>
      <w:r>
        <w:t>Health Infrastructure Enabling Bill 2023</w:t>
      </w:r>
      <w:bookmarkEnd w:id="102"/>
    </w:p>
    <w:p w14:paraId="45F4D7DF" w14:textId="35D045CF" w:rsidR="00867AAF" w:rsidRDefault="00867AAF" w:rsidP="0083141E">
      <w:pPr>
        <w:pStyle w:val="ListNumber2"/>
        <w:numPr>
          <w:ilvl w:val="1"/>
          <w:numId w:val="11"/>
        </w:numPr>
        <w:spacing w:line="280" w:lineRule="auto"/>
      </w:pPr>
      <w:r>
        <w:t xml:space="preserve">On </w:t>
      </w:r>
      <w:r w:rsidR="00A76A87">
        <w:t>30</w:t>
      </w:r>
      <w:r>
        <w:t xml:space="preserve"> May 2023, the Committee received a response to its comments in </w:t>
      </w:r>
      <w:r>
        <w:rPr>
          <w:i/>
          <w:iCs/>
        </w:rPr>
        <w:t>Scrutiny Report 29</w:t>
      </w:r>
      <w:r>
        <w:t xml:space="preserve"> on the </w:t>
      </w:r>
      <w:r>
        <w:rPr>
          <w:i/>
          <w:iCs/>
        </w:rPr>
        <w:t>Health Infrastructure Enabling Bill 2023</w:t>
      </w:r>
      <w:r>
        <w:t>. The Committee thanks the Minister for her timely response.</w:t>
      </w:r>
      <w:r w:rsidR="00A76A87">
        <w:t xml:space="preserve"> The Bill was passed on 31 May 2023.</w:t>
      </w:r>
    </w:p>
    <w:p w14:paraId="438F7298" w14:textId="02DAF40E" w:rsidR="00867AAF" w:rsidRDefault="00867AAF" w:rsidP="0083141E">
      <w:pPr>
        <w:pStyle w:val="ListNumber2"/>
        <w:numPr>
          <w:ilvl w:val="1"/>
          <w:numId w:val="11"/>
        </w:numPr>
        <w:spacing w:line="280" w:lineRule="auto"/>
      </w:pPr>
      <w:r>
        <w:t xml:space="preserve">In its report, the Committee raised concerns about privacy protections in the Bill arising from the potential inconsistency between proposed subsections 22(2) and 22(3) of the Bill. The Committee referred to the example of the Territory keeping transferred information in breach of the </w:t>
      </w:r>
      <w:r>
        <w:rPr>
          <w:i/>
          <w:iCs/>
        </w:rPr>
        <w:t>Health Records (Access and Privacy) Act 1997</w:t>
      </w:r>
      <w:r>
        <w:t xml:space="preserve"> potentially being excused by the operation of proposed subsection 22(2). The Minister’s response states that the Bill will operate to confirm that territory privacy laws will apply to transferred material once </w:t>
      </w:r>
      <w:r>
        <w:lastRenderedPageBreak/>
        <w:t>provided by Calvary and to any material that Calvary continues to hold after the transfer. The Minister states that section 22 has been included to put beyond doubt that the transfer of information would be possible while providing assurance that any information or records would be protected.</w:t>
      </w:r>
    </w:p>
    <w:p w14:paraId="24D17D00" w14:textId="50A0413D" w:rsidR="00867AAF" w:rsidRDefault="00867AAF" w:rsidP="0083141E">
      <w:pPr>
        <w:pStyle w:val="ListNumber2"/>
        <w:numPr>
          <w:ilvl w:val="1"/>
          <w:numId w:val="11"/>
        </w:numPr>
        <w:spacing w:line="280" w:lineRule="auto"/>
      </w:pPr>
      <w:r>
        <w:t>The Committee remains concerned with the potential inconsistency between subsections 22(2) and 22(3) of the Bill. In its view, any potential limitation on the protection of privacy might be avoided by amending subsection 22(2) to make it clear that it only applies to the provision, receiving, keeping and using transferred information that is necessary for the purposes of the Bill.</w:t>
      </w:r>
    </w:p>
    <w:p w14:paraId="2EF3990D" w14:textId="6ECA5C1B" w:rsidR="00867AAF" w:rsidRDefault="00867AAF" w:rsidP="0083141E">
      <w:pPr>
        <w:pStyle w:val="ListNumber2"/>
        <w:numPr>
          <w:ilvl w:val="1"/>
          <w:numId w:val="11"/>
        </w:numPr>
        <w:spacing w:line="280" w:lineRule="auto"/>
      </w:pPr>
      <w:r>
        <w:t>The Committee also raised concerns over the potential operation of proposed section 21 of the Bill. In the Committee’s view, that provision will enable a related body corporate to be nominated by the Territory in writing without sufficiently defined criteria or accountability. In her response the Minister stated:</w:t>
      </w:r>
    </w:p>
    <w:p w14:paraId="643C7456" w14:textId="26C4B412" w:rsidR="00867AAF" w:rsidRDefault="00867AAF" w:rsidP="00867AAF">
      <w:pPr>
        <w:pStyle w:val="Quote"/>
      </w:pPr>
      <w:r>
        <w:t>As the Territory is unaware of the internal governance arrangements that Calvary and its associated entities may have in place, s 21 exists as a matter of prudence to address a contingency where Calvary itself does not have the ability to deliver the requested material, to allow the entity that has that material to deliver it.</w:t>
      </w:r>
    </w:p>
    <w:p w14:paraId="7574C21F" w14:textId="5BB533B7" w:rsidR="00867AAF" w:rsidRDefault="00867AAF" w:rsidP="0083141E">
      <w:pPr>
        <w:pStyle w:val="ListNumber2"/>
        <w:numPr>
          <w:ilvl w:val="1"/>
          <w:numId w:val="11"/>
        </w:numPr>
        <w:spacing w:line="280" w:lineRule="auto"/>
      </w:pPr>
      <w:r>
        <w:t>The Committee remains concerned that the potential scope of the proposed provision goes beyond the circumstances acknowledged by the Minister where the nominated entity has material which is to be transferred under the Bill. In its view, the scope of the discretion to nominate a related body corporate could be further limited to where Calvary has failed to provide access to requested material which it does not have or cannot access, and where there is a reasonable basis to believe that the nominated entity will be able to comply with the requirement. Alternatively or in addition, greater transparency should be provided over which related corporations have been nominated and the reasons for doing so, such as through any nomination being a notifiable instrument.</w:t>
      </w:r>
    </w:p>
    <w:p w14:paraId="518DD868" w14:textId="513207C1" w:rsidR="00867AAF" w:rsidRDefault="00867AAF" w:rsidP="0083141E">
      <w:pPr>
        <w:pStyle w:val="ListNumber2"/>
        <w:numPr>
          <w:ilvl w:val="1"/>
          <w:numId w:val="11"/>
        </w:numPr>
        <w:spacing w:line="280" w:lineRule="auto"/>
      </w:pPr>
      <w:r>
        <w:t xml:space="preserve">The Committee also raised concerns that regulations made under the Bill might exclude or otherwise not provide just terms for all acquisitions of property for the purposes of the </w:t>
      </w:r>
      <w:r>
        <w:rPr>
          <w:i/>
          <w:iCs/>
        </w:rPr>
        <w:t>Australian Capital Territory (Self-Government) Act 1988 (Cth)</w:t>
      </w:r>
      <w:r>
        <w:t>. In response the Minister has indicated that an amendment to section 10(3) has been proposed to make it clear that a Regulation may provide for any acquisition of property, and the draft regulation will enable any person who claims that an interest has been acquired to seek compensation. The Committee has not been provided with the proposed amendments to the Bill or draft regulations.</w:t>
      </w:r>
    </w:p>
    <w:p w14:paraId="0B1CEF20" w14:textId="35C815EF" w:rsidR="00867AAF" w:rsidRDefault="00867AAF" w:rsidP="0083141E">
      <w:pPr>
        <w:pStyle w:val="ListNumber2"/>
        <w:numPr>
          <w:ilvl w:val="1"/>
          <w:numId w:val="11"/>
        </w:numPr>
        <w:spacing w:line="280" w:lineRule="auto"/>
      </w:pPr>
      <w:r w:rsidRPr="00867AAF">
        <w:t xml:space="preserve">The Minister also indicated that subsections 8(4) and 9(4), which allow regulations to provide for interests otherwise taken to be acquired by the Territory to be dealt with in some other way, were included to </w:t>
      </w:r>
      <w:r w:rsidR="0007046A">
        <w:t>‘</w:t>
      </w:r>
      <w:r w:rsidRPr="00867AAF">
        <w:t>ensure that the interests mentioned in subsections 8(2) and 9(2) are dealt with fairly and appropriately.</w:t>
      </w:r>
      <w:r w:rsidR="0007046A">
        <w:t>’</w:t>
      </w:r>
      <w:r w:rsidRPr="00867AAF">
        <w:t xml:space="preserve"> The Committee remains concerned with the uncertain scope of subsections 8(4) and 9(4). In its view, those provisions could be amended to make it clear that they do not authorise regulations to provide for an acquisition of property for the purposes of the Self-Government Act for other than just terms</w:t>
      </w:r>
      <w:r>
        <w:t>.</w:t>
      </w:r>
    </w:p>
    <w:p w14:paraId="4AD59A8C" w14:textId="66BB9E01" w:rsidR="00867AAF" w:rsidRDefault="0007046A" w:rsidP="0083141E">
      <w:pPr>
        <w:pStyle w:val="ListNumber2"/>
        <w:numPr>
          <w:ilvl w:val="1"/>
          <w:numId w:val="11"/>
        </w:numPr>
        <w:spacing w:line="280" w:lineRule="auto"/>
      </w:pPr>
      <w:r>
        <w:lastRenderedPageBreak/>
        <w:t>The Committee also raised concerns with the acknowledgement and scope of various Henry VIII clauses which were included in the Bill. The Minister’s response states that they have been included to provide flexibility to allow clarification of a range of variable and presently uncertain issues which will depend on the information and associated documents gathered during the transition period. The Committee acknowledges the uncertainty associated with operation of the Bill but remains concerned with the potential use of Henry VIII clauses to potentially limit protections in primary legislation. Consideration should be given to limiting the scope of the particular clauses in question, including expressly limiting any modification of primary legislation to what is necessary to give effect to particular provisions in the Act.</w:t>
      </w:r>
    </w:p>
    <w:p w14:paraId="46A96BAC" w14:textId="69763077" w:rsidR="0007046A" w:rsidRPr="00FF5B7E" w:rsidRDefault="00FF5B7E" w:rsidP="0007046A">
      <w:pPr>
        <w:pStyle w:val="ListNumber2"/>
        <w:numPr>
          <w:ilvl w:val="1"/>
          <w:numId w:val="11"/>
        </w:numPr>
        <w:spacing w:line="280" w:lineRule="auto"/>
        <w:rPr>
          <w:b/>
          <w:bCs w:val="0"/>
        </w:rPr>
      </w:pPr>
      <w:r w:rsidRPr="00FF5B7E">
        <w:rPr>
          <w:b/>
          <w:bCs w:val="0"/>
        </w:rPr>
        <w:t>The Committee refers this comment to the Assembly.</w:t>
      </w:r>
    </w:p>
    <w:p w14:paraId="3C7FF6DC" w14:textId="77777777" w:rsidR="0083141E" w:rsidRDefault="0083141E" w:rsidP="0083141E">
      <w:pPr>
        <w:pStyle w:val="Heading2"/>
      </w:pPr>
      <w:bookmarkStart w:id="103" w:name="_Toc136859072"/>
      <w:r>
        <w:t>Government Responses – No Comment</w:t>
      </w:r>
      <w:bookmarkEnd w:id="103"/>
    </w:p>
    <w:p w14:paraId="142E3CE0" w14:textId="4287CC8D" w:rsidR="0083141E" w:rsidRDefault="0083141E" w:rsidP="0083141E">
      <w:pPr>
        <w:pStyle w:val="ListNumber2"/>
        <w:numPr>
          <w:ilvl w:val="1"/>
          <w:numId w:val="11"/>
        </w:numPr>
        <w:spacing w:line="280" w:lineRule="auto"/>
      </w:pPr>
      <w:r>
        <w:t>The Committee received response</w:t>
      </w:r>
      <w:r w:rsidR="001846C9">
        <w:t>s</w:t>
      </w:r>
      <w:r>
        <w:t xml:space="preserve"> to the Committee’s comments on the following Bill </w:t>
      </w:r>
      <w:r w:rsidR="001846C9">
        <w:t xml:space="preserve">and proposed amendments </w:t>
      </w:r>
      <w:r>
        <w:t>and has no further comments:</w:t>
      </w:r>
    </w:p>
    <w:p w14:paraId="4CE226E1" w14:textId="01109C74" w:rsidR="0083141E" w:rsidRPr="001846C9" w:rsidRDefault="0083141E" w:rsidP="0083141E">
      <w:pPr>
        <w:pStyle w:val="ListNumber3"/>
        <w:numPr>
          <w:ilvl w:val="2"/>
          <w:numId w:val="11"/>
        </w:numPr>
        <w:spacing w:line="280" w:lineRule="auto"/>
      </w:pPr>
      <w:r w:rsidRPr="001846C9">
        <w:t>Corrections and Sentencing Legislation Amendment Bill 2022</w:t>
      </w:r>
    </w:p>
    <w:p w14:paraId="754EAFC8" w14:textId="012C20C9" w:rsidR="001846C9" w:rsidRPr="00E12785" w:rsidRDefault="001846C9" w:rsidP="0083141E">
      <w:pPr>
        <w:pStyle w:val="ListNumber3"/>
        <w:numPr>
          <w:ilvl w:val="2"/>
          <w:numId w:val="11"/>
        </w:numPr>
        <w:spacing w:line="280" w:lineRule="auto"/>
      </w:pPr>
      <w:r>
        <w:t>Planning Bill 2022 – proposed Government amendments</w:t>
      </w:r>
    </w:p>
    <w:p w14:paraId="1AFA66D9" w14:textId="381F6829" w:rsidR="0083141E" w:rsidRPr="009B1965" w:rsidRDefault="0083141E" w:rsidP="0083141E">
      <w:pPr>
        <w:pStyle w:val="ListNumber2"/>
        <w:numPr>
          <w:ilvl w:val="1"/>
          <w:numId w:val="11"/>
        </w:numPr>
        <w:spacing w:line="280" w:lineRule="auto"/>
      </w:pPr>
      <w:r>
        <w:t>Th</w:t>
      </w:r>
      <w:r w:rsidR="001846C9">
        <w:t>ese</w:t>
      </w:r>
      <w:r>
        <w:t xml:space="preserve"> response</w:t>
      </w:r>
      <w:r w:rsidR="001846C9">
        <w:t>s</w:t>
      </w:r>
      <w:r>
        <w:t xml:space="preserve"> can be </w:t>
      </w:r>
      <w:r w:rsidRPr="009B1965">
        <w:t xml:space="preserve">viewed </w:t>
      </w:r>
      <w:hyperlink r:id="rId18" w:history="1">
        <w:r w:rsidRPr="009B1965">
          <w:rPr>
            <w:rStyle w:val="Hyperlink"/>
          </w:rPr>
          <w:t>online</w:t>
        </w:r>
      </w:hyperlink>
      <w:r w:rsidRPr="009B1965">
        <w:t>.</w:t>
      </w:r>
    </w:p>
    <w:p w14:paraId="134855E5" w14:textId="5E14A6BB" w:rsidR="009B1965" w:rsidRDefault="0083141E" w:rsidP="0083141E">
      <w:pPr>
        <w:pStyle w:val="ListNumber2"/>
        <w:numPr>
          <w:ilvl w:val="1"/>
          <w:numId w:val="11"/>
        </w:numPr>
        <w:spacing w:line="280" w:lineRule="auto"/>
      </w:pPr>
      <w:r>
        <w:t xml:space="preserve">The Committee wishes to thank the Minister for Corrections </w:t>
      </w:r>
      <w:r w:rsidR="001846C9">
        <w:t xml:space="preserve">and Minister for Planning and Land Management </w:t>
      </w:r>
      <w:r>
        <w:t xml:space="preserve">for </w:t>
      </w:r>
      <w:r w:rsidR="001846C9">
        <w:t>their</w:t>
      </w:r>
      <w:r>
        <w:t xml:space="preserve"> helpful response</w:t>
      </w:r>
      <w:r w:rsidR="001846C9">
        <w:t>s</w:t>
      </w:r>
      <w:r>
        <w:t>.</w:t>
      </w:r>
    </w:p>
    <w:p w14:paraId="1AB60AE5" w14:textId="77777777" w:rsidR="009B1965" w:rsidRDefault="009B1965">
      <w:pPr>
        <w:spacing w:line="259" w:lineRule="auto"/>
        <w:rPr>
          <w:rFonts w:cstheme="minorHAnsi"/>
          <w:bCs/>
          <w:color w:val="000000" w:themeColor="text1"/>
          <w:szCs w:val="20"/>
        </w:rPr>
      </w:pPr>
      <w:r>
        <w:br w:type="page"/>
      </w:r>
    </w:p>
    <w:p w14:paraId="0E4B08F0" w14:textId="7F8E2CED" w:rsidR="00BF3890" w:rsidRPr="00783B5C" w:rsidRDefault="00E12E39" w:rsidP="00E12E39">
      <w:pPr>
        <w:pStyle w:val="Heading1"/>
      </w:pPr>
      <w:bookmarkStart w:id="104" w:name="_Toc136859073"/>
      <w:r>
        <w:lastRenderedPageBreak/>
        <w:t>Subordinate Legislation</w:t>
      </w:r>
      <w:bookmarkEnd w:id="104"/>
    </w:p>
    <w:p w14:paraId="78427C93" w14:textId="30E19020" w:rsidR="00E12E39" w:rsidRDefault="00E12E39" w:rsidP="00FD01DA">
      <w:pPr>
        <w:pStyle w:val="Heading2"/>
      </w:pPr>
      <w:bookmarkStart w:id="105" w:name="_Toc136859074"/>
      <w:r>
        <w:t>Disallowable Instruments</w:t>
      </w:r>
      <w:r w:rsidR="00323C69">
        <w:t>—</w:t>
      </w:r>
      <w:r>
        <w:t>No comment</w:t>
      </w:r>
      <w:bookmarkEnd w:id="105"/>
    </w:p>
    <w:p w14:paraId="6B6ADDC4" w14:textId="7B1F70E9" w:rsidR="00E12E39" w:rsidRDefault="00E12E39" w:rsidP="00E12E39">
      <w:pPr>
        <w:pStyle w:val="ListNumber2"/>
      </w:pPr>
      <w:r>
        <w:t>The Committee has examined the following disallowable instruments and has no comments on them:</w:t>
      </w:r>
    </w:p>
    <w:p w14:paraId="25A29438" w14:textId="551B1024" w:rsidR="0083141E" w:rsidRPr="0083141E" w:rsidRDefault="0083141E" w:rsidP="0083141E">
      <w:pPr>
        <w:pStyle w:val="ListNumber2"/>
        <w:numPr>
          <w:ilvl w:val="2"/>
          <w:numId w:val="3"/>
        </w:numPr>
        <w:rPr>
          <w:b/>
          <w:bCs w:val="0"/>
        </w:rPr>
      </w:pPr>
      <w:bookmarkStart w:id="106" w:name="_Hlk132969604"/>
      <w:r w:rsidRPr="0083141E">
        <w:rPr>
          <w:b/>
          <w:bCs w:val="0"/>
        </w:rPr>
        <w:t xml:space="preserve">Disallowable Instrument DI2023-60 </w:t>
      </w:r>
      <w:r w:rsidRPr="0083141E">
        <w:t xml:space="preserve">being the Long Service Leave (Portable Schemes) Governing Board Appointment 2023 (No 1) made under section 79E of the </w:t>
      </w:r>
      <w:r w:rsidRPr="0083141E">
        <w:rPr>
          <w:i/>
          <w:iCs/>
        </w:rPr>
        <w:t>Long Service Leave (Portable Schemes) Act 2009</w:t>
      </w:r>
    </w:p>
    <w:p w14:paraId="691CE0C3" w14:textId="06970B53" w:rsidR="0083141E" w:rsidRPr="0083141E" w:rsidRDefault="0083141E" w:rsidP="0083141E">
      <w:pPr>
        <w:pStyle w:val="ListNumber2"/>
        <w:numPr>
          <w:ilvl w:val="2"/>
          <w:numId w:val="3"/>
        </w:numPr>
        <w:rPr>
          <w:b/>
          <w:bCs w:val="0"/>
          <w:i/>
          <w:iCs/>
        </w:rPr>
      </w:pPr>
      <w:r w:rsidRPr="0083141E">
        <w:rPr>
          <w:b/>
          <w:bCs w:val="0"/>
        </w:rPr>
        <w:t xml:space="preserve">Disallowable Instrument DI2023-61 </w:t>
      </w:r>
      <w:r w:rsidRPr="0083141E">
        <w:t xml:space="preserve">being the Long Service Leave (Portable Schemes) Governing Board Appointment 2023 (No 2) made under section 79E of the </w:t>
      </w:r>
      <w:r w:rsidRPr="0083141E">
        <w:rPr>
          <w:i/>
          <w:iCs/>
        </w:rPr>
        <w:t>Long Service Leave (Portable Schemes) Act 2009</w:t>
      </w:r>
    </w:p>
    <w:p w14:paraId="4F3C4415" w14:textId="0AD5C8D4" w:rsidR="0083141E" w:rsidRPr="0083141E" w:rsidRDefault="0083141E" w:rsidP="0083141E">
      <w:pPr>
        <w:pStyle w:val="ListNumber2"/>
        <w:numPr>
          <w:ilvl w:val="2"/>
          <w:numId w:val="3"/>
        </w:numPr>
      </w:pPr>
      <w:r w:rsidRPr="0083141E">
        <w:rPr>
          <w:b/>
          <w:bCs w:val="0"/>
        </w:rPr>
        <w:t xml:space="preserve">Disallowable Instrument DI2023-64 </w:t>
      </w:r>
      <w:r w:rsidRPr="0083141E">
        <w:t xml:space="preserve">being the Integrity Commission (Acting Commissioner) Appointment 2023 (No 1) made under sections 25 and 40 of the </w:t>
      </w:r>
      <w:r w:rsidRPr="0083141E">
        <w:rPr>
          <w:i/>
          <w:iCs/>
        </w:rPr>
        <w:t>Integrity Commission Act 2018</w:t>
      </w:r>
    </w:p>
    <w:p w14:paraId="560CC97F" w14:textId="315C8C72" w:rsidR="0083141E" w:rsidRPr="0083141E" w:rsidRDefault="0083141E" w:rsidP="0083141E">
      <w:pPr>
        <w:pStyle w:val="ListNumber2"/>
        <w:numPr>
          <w:ilvl w:val="2"/>
          <w:numId w:val="3"/>
        </w:numPr>
      </w:pPr>
      <w:r w:rsidRPr="0083141E">
        <w:rPr>
          <w:b/>
          <w:bCs w:val="0"/>
        </w:rPr>
        <w:t xml:space="preserve">Disallowable Instrument DI2023-66 </w:t>
      </w:r>
      <w:r w:rsidRPr="0083141E">
        <w:t xml:space="preserve">being the Crimes (Sentence Administration) (Sentence Administration Board) Appointment 2023 (No 1) made under section 174 of the </w:t>
      </w:r>
      <w:r w:rsidRPr="0083141E">
        <w:rPr>
          <w:i/>
          <w:iCs/>
        </w:rPr>
        <w:t>Crimes (Sentence Administration) Act 2005</w:t>
      </w:r>
    </w:p>
    <w:p w14:paraId="439AEE3E" w14:textId="52914147" w:rsidR="0083141E" w:rsidRPr="0083141E" w:rsidRDefault="0083141E" w:rsidP="0083141E">
      <w:pPr>
        <w:pStyle w:val="ListNumber2"/>
        <w:numPr>
          <w:ilvl w:val="2"/>
          <w:numId w:val="3"/>
        </w:numPr>
        <w:rPr>
          <w:b/>
          <w:bCs w:val="0"/>
        </w:rPr>
      </w:pPr>
      <w:r w:rsidRPr="0083141E">
        <w:rPr>
          <w:b/>
          <w:bCs w:val="0"/>
        </w:rPr>
        <w:t xml:space="preserve">Disallowable Instrument DI2023-70 </w:t>
      </w:r>
      <w:r w:rsidRPr="0083141E">
        <w:t xml:space="preserve">being the Veterinary Practice (Board) Appointment 2023 (No 1) made under section 93 of the </w:t>
      </w:r>
      <w:r w:rsidRPr="0083141E">
        <w:rPr>
          <w:i/>
          <w:iCs/>
        </w:rPr>
        <w:t>Veterinary Practice Act 2018</w:t>
      </w:r>
    </w:p>
    <w:p w14:paraId="29B2A9F3" w14:textId="05588865" w:rsidR="0083141E" w:rsidRPr="0083141E" w:rsidRDefault="0083141E" w:rsidP="0083141E">
      <w:pPr>
        <w:pStyle w:val="ListNumber2"/>
        <w:numPr>
          <w:ilvl w:val="2"/>
          <w:numId w:val="3"/>
        </w:numPr>
        <w:rPr>
          <w:b/>
          <w:bCs w:val="0"/>
        </w:rPr>
      </w:pPr>
      <w:r w:rsidRPr="0083141E">
        <w:rPr>
          <w:b/>
          <w:bCs w:val="0"/>
        </w:rPr>
        <w:t xml:space="preserve">Disallowable Instrument DI2023-71 </w:t>
      </w:r>
      <w:r w:rsidRPr="0083141E">
        <w:t xml:space="preserve">being the ACT Teacher Quality Institute Board Appointment 2023 (No 1) made under sections 14 and 15 of the </w:t>
      </w:r>
      <w:r w:rsidRPr="0083141E">
        <w:rPr>
          <w:i/>
          <w:iCs/>
        </w:rPr>
        <w:t>ACT Teacher Quality Institute Act 2010</w:t>
      </w:r>
      <w:r w:rsidRPr="0083141E">
        <w:t xml:space="preserve"> and sections 78 and 79 of the </w:t>
      </w:r>
      <w:r w:rsidRPr="0083141E">
        <w:rPr>
          <w:i/>
          <w:iCs/>
        </w:rPr>
        <w:t>Financial Management Act 1996</w:t>
      </w:r>
    </w:p>
    <w:p w14:paraId="462E988F" w14:textId="4598828B" w:rsidR="0083141E" w:rsidRPr="0083141E" w:rsidRDefault="0083141E" w:rsidP="0083141E">
      <w:pPr>
        <w:pStyle w:val="ListNumber2"/>
        <w:numPr>
          <w:ilvl w:val="2"/>
          <w:numId w:val="3"/>
        </w:numPr>
        <w:rPr>
          <w:b/>
          <w:bCs w:val="0"/>
        </w:rPr>
      </w:pPr>
      <w:r w:rsidRPr="0083141E">
        <w:rPr>
          <w:b/>
          <w:bCs w:val="0"/>
        </w:rPr>
        <w:t xml:space="preserve">Disallowable Instrument DI2023-72 </w:t>
      </w:r>
      <w:r w:rsidRPr="0083141E">
        <w:t xml:space="preserve">being the Crimes (Sentence Administration) (Sentence Administration Board) Appointment 2023 (No 2) made under section 174 of the </w:t>
      </w:r>
      <w:r w:rsidRPr="0083141E">
        <w:rPr>
          <w:i/>
          <w:iCs/>
        </w:rPr>
        <w:t>Crimes (Sentence Administration) Act 2005</w:t>
      </w:r>
    </w:p>
    <w:p w14:paraId="049F7228" w14:textId="7086777D" w:rsidR="0083141E" w:rsidRPr="0083141E" w:rsidRDefault="0083141E" w:rsidP="0083141E">
      <w:pPr>
        <w:pStyle w:val="ListNumber2"/>
        <w:numPr>
          <w:ilvl w:val="2"/>
          <w:numId w:val="3"/>
        </w:numPr>
      </w:pPr>
      <w:r w:rsidRPr="0083141E">
        <w:rPr>
          <w:b/>
          <w:bCs w:val="0"/>
        </w:rPr>
        <w:t xml:space="preserve">Disallowable Instrument DI2023-73 </w:t>
      </w:r>
      <w:r w:rsidRPr="0083141E">
        <w:t xml:space="preserve">being the Crimes (Sentence Administration) (Sentence Administration Board) Appointment 2023 (No 3) made under section 174 of the </w:t>
      </w:r>
      <w:r w:rsidRPr="0083141E">
        <w:rPr>
          <w:i/>
          <w:iCs/>
        </w:rPr>
        <w:t>Crimes (Sentence Administration) Act 2005</w:t>
      </w:r>
    </w:p>
    <w:p w14:paraId="73EB1197" w14:textId="041127EC" w:rsidR="0083141E" w:rsidRPr="0083141E" w:rsidRDefault="0083141E" w:rsidP="0083141E">
      <w:pPr>
        <w:pStyle w:val="ListNumber2"/>
        <w:numPr>
          <w:ilvl w:val="2"/>
          <w:numId w:val="3"/>
        </w:numPr>
        <w:rPr>
          <w:b/>
          <w:bCs w:val="0"/>
        </w:rPr>
      </w:pPr>
      <w:r w:rsidRPr="0083141E">
        <w:rPr>
          <w:b/>
          <w:bCs w:val="0"/>
        </w:rPr>
        <w:t xml:space="preserve">Disallowable Instrument DI2023-74 </w:t>
      </w:r>
      <w:r w:rsidRPr="0083141E">
        <w:t xml:space="preserve">being the Crimes (Sentence Administration) (Sentence Administration Board) Appointment 2023 (No 4) made under section 174 of the </w:t>
      </w:r>
      <w:r w:rsidRPr="0083141E">
        <w:rPr>
          <w:i/>
          <w:iCs/>
        </w:rPr>
        <w:t>Crimes (Sentence Administration) Act 2005</w:t>
      </w:r>
    </w:p>
    <w:p w14:paraId="1C0EBC61" w14:textId="0580549A" w:rsidR="0083141E" w:rsidRPr="0083141E" w:rsidRDefault="0083141E" w:rsidP="0083141E">
      <w:pPr>
        <w:pStyle w:val="ListNumber2"/>
        <w:numPr>
          <w:ilvl w:val="2"/>
          <w:numId w:val="3"/>
        </w:numPr>
        <w:rPr>
          <w:b/>
          <w:bCs w:val="0"/>
        </w:rPr>
      </w:pPr>
      <w:r w:rsidRPr="0083141E">
        <w:rPr>
          <w:b/>
          <w:bCs w:val="0"/>
        </w:rPr>
        <w:t xml:space="preserve">Disallowable Instrument DI2023-75 </w:t>
      </w:r>
      <w:r w:rsidRPr="0083141E">
        <w:t xml:space="preserve">being the Crimes (Sentence Administration) (Sentence Administration Board) Appointment 2023 (No 5) made under s section 174 of the </w:t>
      </w:r>
      <w:r w:rsidRPr="0083141E">
        <w:rPr>
          <w:i/>
          <w:iCs/>
        </w:rPr>
        <w:t>Crimes (Sentence Administration) Act 2005</w:t>
      </w:r>
    </w:p>
    <w:p w14:paraId="7C5D85B7" w14:textId="7A3BDDB5" w:rsidR="0083141E" w:rsidRPr="0083141E" w:rsidRDefault="0083141E" w:rsidP="0083141E">
      <w:pPr>
        <w:pStyle w:val="ListNumber2"/>
        <w:numPr>
          <w:ilvl w:val="2"/>
          <w:numId w:val="3"/>
        </w:numPr>
        <w:rPr>
          <w:b/>
          <w:bCs w:val="0"/>
        </w:rPr>
      </w:pPr>
      <w:r w:rsidRPr="0083141E">
        <w:rPr>
          <w:b/>
          <w:bCs w:val="0"/>
        </w:rPr>
        <w:t xml:space="preserve">Disallowable Instrument DI2023-76 </w:t>
      </w:r>
      <w:r w:rsidRPr="0083141E">
        <w:t xml:space="preserve">being the Crimes (Sentence Administration) (Sentence Administration Board) Appointment 2023 (No 6) made under section 174 of the </w:t>
      </w:r>
      <w:r w:rsidRPr="0083141E">
        <w:rPr>
          <w:i/>
          <w:iCs/>
        </w:rPr>
        <w:t>Crimes (Sentence Administration) Act 2005</w:t>
      </w:r>
    </w:p>
    <w:p w14:paraId="2ADFAB54" w14:textId="4824142D" w:rsidR="0083141E" w:rsidRPr="0083141E" w:rsidRDefault="0083141E" w:rsidP="0083141E">
      <w:pPr>
        <w:pStyle w:val="ListNumber2"/>
        <w:numPr>
          <w:ilvl w:val="2"/>
          <w:numId w:val="3"/>
        </w:numPr>
      </w:pPr>
      <w:r w:rsidRPr="0083141E">
        <w:rPr>
          <w:b/>
          <w:bCs w:val="0"/>
        </w:rPr>
        <w:lastRenderedPageBreak/>
        <w:t xml:space="preserve">Disallowable Instrument DI2023-77 </w:t>
      </w:r>
      <w:r w:rsidRPr="0083141E">
        <w:t xml:space="preserve">being the Crimes (Sentence Administration) (Sentence Administration Board) Appointment 2023 (No 7) made under section 174 of the </w:t>
      </w:r>
      <w:r w:rsidRPr="0083141E">
        <w:rPr>
          <w:i/>
          <w:iCs/>
        </w:rPr>
        <w:t>Crimes (Sentence Administration) Act 2005</w:t>
      </w:r>
    </w:p>
    <w:p w14:paraId="61BC7414" w14:textId="7490870A" w:rsidR="0083141E" w:rsidRPr="0083141E" w:rsidRDefault="0083141E" w:rsidP="0083141E">
      <w:pPr>
        <w:pStyle w:val="ListNumber2"/>
        <w:numPr>
          <w:ilvl w:val="2"/>
          <w:numId w:val="3"/>
        </w:numPr>
      </w:pPr>
      <w:r w:rsidRPr="0083141E">
        <w:rPr>
          <w:b/>
          <w:bCs w:val="0"/>
        </w:rPr>
        <w:t xml:space="preserve">Disallowable Instrument DI2023-78 </w:t>
      </w:r>
      <w:r w:rsidRPr="0083141E">
        <w:t xml:space="preserve">being the Crimes (Sentence Administration) (Sentence Administration Board) Appointment 2023 (No 8) made under section 174 of the </w:t>
      </w:r>
      <w:r w:rsidRPr="0083141E">
        <w:rPr>
          <w:i/>
          <w:iCs/>
        </w:rPr>
        <w:t>Crimes (Sentence Administration) Act 2005</w:t>
      </w:r>
    </w:p>
    <w:p w14:paraId="15BE16CF" w14:textId="54A68B0E" w:rsidR="0083141E" w:rsidRPr="005622C3" w:rsidRDefault="0083141E" w:rsidP="0083141E">
      <w:pPr>
        <w:pStyle w:val="ListNumber2"/>
        <w:numPr>
          <w:ilvl w:val="2"/>
          <w:numId w:val="3"/>
        </w:numPr>
        <w:rPr>
          <w:b/>
          <w:bCs w:val="0"/>
        </w:rPr>
      </w:pPr>
      <w:r w:rsidRPr="005622C3">
        <w:rPr>
          <w:b/>
          <w:bCs w:val="0"/>
        </w:rPr>
        <w:t>Disallowable Instrument DI2023-</w:t>
      </w:r>
      <w:r w:rsidR="00C02A60" w:rsidRPr="005622C3">
        <w:rPr>
          <w:b/>
          <w:bCs w:val="0"/>
        </w:rPr>
        <w:t>79</w:t>
      </w:r>
      <w:r w:rsidRPr="005622C3">
        <w:rPr>
          <w:b/>
          <w:bCs w:val="0"/>
        </w:rPr>
        <w:t xml:space="preserve"> </w:t>
      </w:r>
      <w:r w:rsidRPr="005622C3">
        <w:t xml:space="preserve">being the Crimes (Sentence Administration) (Sentence Administration Board) Appointment 2023 (No 9) made under section 174 of the </w:t>
      </w:r>
      <w:r w:rsidRPr="005622C3">
        <w:rPr>
          <w:i/>
          <w:iCs/>
        </w:rPr>
        <w:t>Crimes (Sentence Administration) Act 2005</w:t>
      </w:r>
    </w:p>
    <w:p w14:paraId="387DBA1F" w14:textId="7ABFE5EF" w:rsidR="0083141E" w:rsidRPr="0083141E" w:rsidRDefault="0083141E" w:rsidP="0083141E">
      <w:pPr>
        <w:pStyle w:val="ListNumber2"/>
        <w:numPr>
          <w:ilvl w:val="2"/>
          <w:numId w:val="3"/>
        </w:numPr>
        <w:rPr>
          <w:b/>
          <w:bCs w:val="0"/>
        </w:rPr>
      </w:pPr>
      <w:r w:rsidRPr="005622C3">
        <w:rPr>
          <w:b/>
          <w:bCs w:val="0"/>
        </w:rPr>
        <w:t xml:space="preserve">Disallowable Instrument DI2023-80 </w:t>
      </w:r>
      <w:r w:rsidRPr="005622C3">
        <w:t>being the Crimes (Sentence Administration) (Sentence Administration Board) Appointment 2023 (No</w:t>
      </w:r>
      <w:r w:rsidRPr="0083141E">
        <w:t xml:space="preserve"> 10) made under section 174 of the </w:t>
      </w:r>
      <w:r w:rsidRPr="0083141E">
        <w:rPr>
          <w:i/>
          <w:iCs/>
        </w:rPr>
        <w:t>Crimes (Sentence Administration) Act 2005</w:t>
      </w:r>
    </w:p>
    <w:p w14:paraId="4A5A1692" w14:textId="4CD673DE" w:rsidR="0083141E" w:rsidRPr="0083141E" w:rsidRDefault="0083141E" w:rsidP="0083141E">
      <w:pPr>
        <w:pStyle w:val="ListNumber2"/>
        <w:numPr>
          <w:ilvl w:val="2"/>
          <w:numId w:val="3"/>
        </w:numPr>
      </w:pPr>
      <w:r w:rsidRPr="0083141E">
        <w:rPr>
          <w:b/>
          <w:bCs w:val="0"/>
        </w:rPr>
        <w:t xml:space="preserve">Disallowable Instrument DI2023-81 </w:t>
      </w:r>
      <w:r w:rsidRPr="0083141E">
        <w:t xml:space="preserve">being the Crimes (Sentence Administration) (Sentence Administration Board) Appointment 2023 (No 11) made under section 174 of the </w:t>
      </w:r>
      <w:r w:rsidRPr="0083141E">
        <w:rPr>
          <w:i/>
          <w:iCs/>
        </w:rPr>
        <w:t>Crimes (Sentence Administration) Act 2005</w:t>
      </w:r>
    </w:p>
    <w:p w14:paraId="24CB5D29" w14:textId="69039FFC" w:rsidR="0083141E" w:rsidRPr="0083141E" w:rsidRDefault="0083141E" w:rsidP="005830CA">
      <w:pPr>
        <w:pStyle w:val="ListNumber2"/>
        <w:numPr>
          <w:ilvl w:val="2"/>
          <w:numId w:val="3"/>
        </w:numPr>
      </w:pPr>
      <w:r w:rsidRPr="0083141E">
        <w:rPr>
          <w:b/>
          <w:bCs w:val="0"/>
        </w:rPr>
        <w:t xml:space="preserve"> Disallowable Instrument DI2023-88 </w:t>
      </w:r>
      <w:r w:rsidRPr="0083141E">
        <w:t xml:space="preserve">being the Motor Accident Injuries Levy Determination 2023 (No 1) made under section 490 of the </w:t>
      </w:r>
      <w:r w:rsidRPr="0083141E">
        <w:rPr>
          <w:i/>
          <w:iCs/>
        </w:rPr>
        <w:t>Motor Accident Injuries Act 2019</w:t>
      </w:r>
    </w:p>
    <w:p w14:paraId="3EDB5272" w14:textId="3EEE886C" w:rsidR="00E12E39" w:rsidRDefault="00E12E39" w:rsidP="00FD01DA">
      <w:pPr>
        <w:pStyle w:val="Heading2"/>
      </w:pPr>
      <w:bookmarkStart w:id="107" w:name="_Toc136859075"/>
      <w:bookmarkEnd w:id="106"/>
      <w:r>
        <w:t>Disallowable Instruments</w:t>
      </w:r>
      <w:r w:rsidR="009823E6">
        <w:t>—</w:t>
      </w:r>
      <w:r>
        <w:t>Comment</w:t>
      </w:r>
      <w:bookmarkEnd w:id="107"/>
    </w:p>
    <w:p w14:paraId="5820EA04" w14:textId="052DC7D8" w:rsidR="00E12E39" w:rsidRDefault="00E12E39" w:rsidP="00E12E39">
      <w:pPr>
        <w:pStyle w:val="ListNumber2"/>
      </w:pPr>
      <w:r>
        <w:t>The Committee has examined the following disallowable instruments and offers these comments on them:</w:t>
      </w:r>
    </w:p>
    <w:p w14:paraId="6512419C" w14:textId="38869EDE" w:rsidR="00E11CC8" w:rsidRDefault="0083141E" w:rsidP="00A07946">
      <w:pPr>
        <w:pStyle w:val="Heading3"/>
      </w:pPr>
      <w:bookmarkStart w:id="108" w:name="_Hlk118033655"/>
      <w:bookmarkStart w:id="109" w:name="_Toc136859076"/>
      <w:r w:rsidRPr="0083141E">
        <w:t>Fees determinations / No Human Rights Issues</w:t>
      </w:r>
      <w:bookmarkEnd w:id="108"/>
      <w:bookmarkEnd w:id="109"/>
    </w:p>
    <w:p w14:paraId="173E7552" w14:textId="17CE9A54" w:rsidR="00B170F4" w:rsidRPr="00B170F4" w:rsidRDefault="00B170F4" w:rsidP="00B170F4">
      <w:pPr>
        <w:pStyle w:val="ListNumber2"/>
        <w:numPr>
          <w:ilvl w:val="2"/>
          <w:numId w:val="3"/>
        </w:numPr>
        <w:rPr>
          <w:b/>
          <w:bCs w:val="0"/>
        </w:rPr>
      </w:pPr>
      <w:r w:rsidRPr="00B170F4">
        <w:rPr>
          <w:b/>
          <w:bCs w:val="0"/>
        </w:rPr>
        <w:t xml:space="preserve">Disallowable Instrument DI2023-54 </w:t>
      </w:r>
      <w:r w:rsidRPr="00B170F4">
        <w:t xml:space="preserve">being the Road Transport (General) Vehicle Registration and Related Fees Determination 2023 (No 1) made under section 96 of the </w:t>
      </w:r>
      <w:r w:rsidRPr="00B170F4">
        <w:rPr>
          <w:i/>
          <w:iCs/>
        </w:rPr>
        <w:t>Road Transport (General) Act 1999</w:t>
      </w:r>
    </w:p>
    <w:p w14:paraId="52278130" w14:textId="6C888347" w:rsidR="00B170F4" w:rsidRPr="00B170F4" w:rsidRDefault="00B170F4" w:rsidP="00B170F4">
      <w:pPr>
        <w:pStyle w:val="ListNumber2"/>
        <w:numPr>
          <w:ilvl w:val="2"/>
          <w:numId w:val="3"/>
        </w:numPr>
      </w:pPr>
      <w:r w:rsidRPr="00B170F4">
        <w:rPr>
          <w:b/>
          <w:bCs w:val="0"/>
        </w:rPr>
        <w:t xml:space="preserve">Disallowable Instrument DI2023-55 </w:t>
      </w:r>
      <w:r w:rsidRPr="00B170F4">
        <w:t xml:space="preserve">being the Road Transport (General) Driver Licence and Related Fees Determination 2023 (No 1) made under section 96 of the </w:t>
      </w:r>
      <w:r w:rsidRPr="00B170F4">
        <w:rPr>
          <w:i/>
          <w:iCs/>
        </w:rPr>
        <w:t>Road Transport (General) Act 1999</w:t>
      </w:r>
    </w:p>
    <w:p w14:paraId="5093E355" w14:textId="1DB90C0E" w:rsidR="00B170F4" w:rsidRPr="00B170F4" w:rsidRDefault="00B170F4" w:rsidP="00B170F4">
      <w:pPr>
        <w:pStyle w:val="ListNumber2"/>
        <w:numPr>
          <w:ilvl w:val="2"/>
          <w:numId w:val="3"/>
        </w:numPr>
        <w:rPr>
          <w:i/>
          <w:iCs/>
        </w:rPr>
      </w:pPr>
      <w:r w:rsidRPr="00B170F4">
        <w:rPr>
          <w:b/>
          <w:bCs w:val="0"/>
        </w:rPr>
        <w:t xml:space="preserve">Disallowable Instrument DI2023-56 </w:t>
      </w:r>
      <w:r w:rsidRPr="00B170F4">
        <w:t xml:space="preserve">being the Road Transport (General) Numberplate Fees Determination 2023 (No 1) made under section 96 of the </w:t>
      </w:r>
      <w:r w:rsidRPr="00B170F4">
        <w:rPr>
          <w:i/>
          <w:iCs/>
        </w:rPr>
        <w:t>Road Transport (General) Act 1999</w:t>
      </w:r>
    </w:p>
    <w:p w14:paraId="54850600" w14:textId="556662F7" w:rsidR="00B170F4" w:rsidRPr="00B170F4" w:rsidRDefault="00B170F4" w:rsidP="00B170F4">
      <w:pPr>
        <w:pStyle w:val="ListNumber2"/>
        <w:numPr>
          <w:ilvl w:val="2"/>
          <w:numId w:val="3"/>
        </w:numPr>
        <w:rPr>
          <w:b/>
          <w:bCs w:val="0"/>
        </w:rPr>
      </w:pPr>
      <w:r w:rsidRPr="00B170F4">
        <w:rPr>
          <w:b/>
          <w:bCs w:val="0"/>
        </w:rPr>
        <w:t xml:space="preserve">Disallowable Instrument DI2023-57 </w:t>
      </w:r>
      <w:r w:rsidRPr="00B170F4">
        <w:t xml:space="preserve">being the Road Transport (General) Refund and Dishonoured Payments Fees Determination 2023 (No 1) made under section 96 of the </w:t>
      </w:r>
      <w:r w:rsidRPr="00B170F4">
        <w:rPr>
          <w:i/>
          <w:iCs/>
        </w:rPr>
        <w:t>Road Transport (General) Act 1999</w:t>
      </w:r>
    </w:p>
    <w:p w14:paraId="0E440AD7" w14:textId="4A76A05D" w:rsidR="00B170F4" w:rsidRPr="00B170F4" w:rsidRDefault="00B170F4" w:rsidP="00B170F4">
      <w:pPr>
        <w:pStyle w:val="ListNumber2"/>
        <w:numPr>
          <w:ilvl w:val="2"/>
          <w:numId w:val="3"/>
        </w:numPr>
        <w:rPr>
          <w:i/>
          <w:iCs/>
        </w:rPr>
      </w:pPr>
      <w:r w:rsidRPr="00B170F4">
        <w:rPr>
          <w:b/>
          <w:bCs w:val="0"/>
        </w:rPr>
        <w:t xml:space="preserve">Disallowable Instrument DI2023-58 </w:t>
      </w:r>
      <w:r w:rsidRPr="00B170F4">
        <w:t xml:space="preserve">being the Road Transport (General) Fees for Publications Determination 2023 (No 1) made under section 96 of the </w:t>
      </w:r>
      <w:r w:rsidRPr="00B170F4">
        <w:rPr>
          <w:i/>
          <w:iCs/>
        </w:rPr>
        <w:t>Road Transport (General) Act 1999</w:t>
      </w:r>
    </w:p>
    <w:p w14:paraId="63608F9A" w14:textId="505461AF" w:rsidR="00B170F4" w:rsidRPr="00B170F4" w:rsidRDefault="00B170F4" w:rsidP="00B170F4">
      <w:pPr>
        <w:pStyle w:val="ListNumber2"/>
        <w:numPr>
          <w:ilvl w:val="2"/>
          <w:numId w:val="3"/>
        </w:numPr>
        <w:rPr>
          <w:i/>
          <w:iCs/>
        </w:rPr>
      </w:pPr>
      <w:r w:rsidRPr="00B170F4">
        <w:rPr>
          <w:b/>
          <w:bCs w:val="0"/>
        </w:rPr>
        <w:lastRenderedPageBreak/>
        <w:t xml:space="preserve">Disallowable Instrument DI2023-83 </w:t>
      </w:r>
      <w:r w:rsidRPr="00B170F4">
        <w:t xml:space="preserve">being the Road Transport (General) Pay Parking Area Fees Determination 2023 (No 1) made under section 96 of the </w:t>
      </w:r>
      <w:r w:rsidRPr="00B170F4">
        <w:rPr>
          <w:i/>
          <w:iCs/>
        </w:rPr>
        <w:t>Road Transport (General) Act 1999</w:t>
      </w:r>
    </w:p>
    <w:p w14:paraId="742842E6" w14:textId="3FF8052B" w:rsidR="00B170F4" w:rsidRPr="00B170F4" w:rsidRDefault="00B170F4" w:rsidP="00B170F4">
      <w:pPr>
        <w:pStyle w:val="ListNumber2"/>
        <w:numPr>
          <w:ilvl w:val="2"/>
          <w:numId w:val="3"/>
        </w:numPr>
      </w:pPr>
      <w:r w:rsidRPr="00B170F4">
        <w:rPr>
          <w:b/>
          <w:bCs w:val="0"/>
        </w:rPr>
        <w:t xml:space="preserve">Disallowable Instrument DI2023-84 </w:t>
      </w:r>
      <w:r w:rsidRPr="00B170F4">
        <w:t xml:space="preserve">being the Road Transport (General) Pay Parking Permit Fees Determination 2023 (No 1) made under section 96 of the </w:t>
      </w:r>
      <w:r w:rsidRPr="00B170F4">
        <w:rPr>
          <w:i/>
          <w:iCs/>
        </w:rPr>
        <w:t>Road Transport (General) Act 1999</w:t>
      </w:r>
    </w:p>
    <w:p w14:paraId="2F5EDB26" w14:textId="7ABF37F9" w:rsidR="00B170F4" w:rsidRDefault="00B170F4" w:rsidP="005D5C25">
      <w:pPr>
        <w:pStyle w:val="ListNumber2"/>
      </w:pPr>
      <w:r>
        <w:t xml:space="preserve">Each </w:t>
      </w:r>
      <w:r w:rsidRPr="00B170F4">
        <w:t xml:space="preserve">of the instruments mentioned above is made under section 96 of the </w:t>
      </w:r>
      <w:r w:rsidRPr="00E12785">
        <w:rPr>
          <w:i/>
          <w:iCs/>
        </w:rPr>
        <w:t>Road Transport (General) Act 1999</w:t>
      </w:r>
      <w:r w:rsidRPr="00B170F4">
        <w:t xml:space="preserve">, setting fees and charges for various elements of that Act. The Committee notes, with approval, that each instrument (or its explanatory statement) meets the Committee’s expectations in relation to fees instruments – as set out in its document titled </w:t>
      </w:r>
      <w:hyperlink r:id="rId19" w:history="1">
        <w:r w:rsidRPr="00B170F4">
          <w:rPr>
            <w:rStyle w:val="Hyperlink"/>
            <w:i/>
          </w:rPr>
          <w:t>Subordinate legislation—Technical and stylistic standards—Tips/Traps</w:t>
        </w:r>
      </w:hyperlink>
      <w:r w:rsidRPr="00B170F4">
        <w:rPr>
          <w:vertAlign w:val="superscript"/>
        </w:rPr>
        <w:footnoteReference w:id="1"/>
      </w:r>
      <w:r w:rsidRPr="00B170F4">
        <w:t xml:space="preserve"> – in that the ‘old’ and ‘new’ fees are identified, together with the magnitude of the increases and the reasons for the increases. The Committee’s expectations in this regard are also noted</w:t>
      </w:r>
      <w:r>
        <w:t>.</w:t>
      </w:r>
    </w:p>
    <w:p w14:paraId="0A6A7006" w14:textId="4AFB69F7" w:rsidR="00B170F4" w:rsidRDefault="00B170F4" w:rsidP="005D5C25">
      <w:pPr>
        <w:pStyle w:val="ListNumber2"/>
      </w:pPr>
      <w:r w:rsidRPr="00B170F4">
        <w:t>While various situation-specific changes are identified, the Committee notes that the overall explanation for the increases are exemplified by this statement, in the explanatory statement for the first instrument mentioned above</w:t>
      </w:r>
      <w:r>
        <w:t>:</w:t>
      </w:r>
    </w:p>
    <w:p w14:paraId="755015CB" w14:textId="30977258" w:rsidR="00B170F4" w:rsidRDefault="00B170F4" w:rsidP="00B170F4">
      <w:pPr>
        <w:pStyle w:val="Quote"/>
      </w:pPr>
      <w:r>
        <w:t>Light vehicle registration and other registration related road transport fees and charges have been increased by the estimated 2022-23 wage price index of 3.75%, rounded down to the nearest ten cents in accordance with advice provided by ACT Treasury. The short-term registration surcharges (payable for registration periods of less than 12 months) have not been changed and remain at $10.</w:t>
      </w:r>
    </w:p>
    <w:p w14:paraId="2A1CFD8D" w14:textId="3BCA057D" w:rsidR="00B170F4" w:rsidRDefault="00B170F4" w:rsidP="00B170F4">
      <w:pPr>
        <w:pStyle w:val="Quote"/>
      </w:pPr>
      <w:r>
        <w:t>Indexing fees and charges annually maintains the real cost of the product or service being provided.</w:t>
      </w:r>
    </w:p>
    <w:p w14:paraId="61EA11D5" w14:textId="78CD3238" w:rsidR="00A52C2C" w:rsidRDefault="00B170F4" w:rsidP="00A52C2C">
      <w:pPr>
        <w:pStyle w:val="ListNumber2"/>
      </w:pPr>
      <w:r>
        <w:rPr>
          <w:bCs w:val="0"/>
        </w:rPr>
        <w:t>Similar statements appear in the explanatory statements for each of the other instruments mentioned above</w:t>
      </w:r>
      <w:r w:rsidR="00A52C2C">
        <w:t>.</w:t>
      </w:r>
    </w:p>
    <w:p w14:paraId="6BBAFF7A" w14:textId="19FBB9AA" w:rsidR="00A52C2C" w:rsidRPr="00B170F4" w:rsidRDefault="00B170F4" w:rsidP="00A52C2C">
      <w:pPr>
        <w:pStyle w:val="ListNumber2"/>
      </w:pPr>
      <w:r>
        <w:rPr>
          <w:bCs w:val="0"/>
        </w:rPr>
        <w:t>The Committee also notes that each of the explanatory statements for the instruments mentioned above contains the following statement about human rights issues:</w:t>
      </w:r>
    </w:p>
    <w:p w14:paraId="46638637" w14:textId="44551EA6" w:rsidR="00B170F4" w:rsidRDefault="00B170F4" w:rsidP="00B170F4">
      <w:pPr>
        <w:pStyle w:val="Quote"/>
      </w:pPr>
      <w:r>
        <w:t>There are not considered to be any human rights or climate change implications arising from this instrument.</w:t>
      </w:r>
    </w:p>
    <w:p w14:paraId="66278918" w14:textId="77777777" w:rsidR="00C15DF3" w:rsidRPr="00C15DF3" w:rsidRDefault="00C15DF3" w:rsidP="00C15DF3">
      <w:pPr>
        <w:pStyle w:val="ListNumber2"/>
        <w:rPr>
          <w:b/>
          <w:bCs w:val="0"/>
        </w:rPr>
      </w:pPr>
      <w:r w:rsidRPr="00C15DF3">
        <w:rPr>
          <w:b/>
          <w:bCs w:val="0"/>
        </w:rPr>
        <w:t>The Committee draws the attention of the Legislative Assembly to the discussion of human rights issues in the explanatory statements for the instruments mentioned above.</w:t>
      </w:r>
    </w:p>
    <w:p w14:paraId="15C33C48" w14:textId="1FC480E5" w:rsidR="00C15DF3" w:rsidRDefault="00C15DF3" w:rsidP="00C15DF3">
      <w:pPr>
        <w:pStyle w:val="ListNumber2"/>
        <w:rPr>
          <w:b/>
          <w:bCs w:val="0"/>
        </w:rPr>
      </w:pPr>
      <w:r w:rsidRPr="00C15DF3">
        <w:rPr>
          <w:b/>
          <w:bCs w:val="0"/>
        </w:rPr>
        <w:t>This comment does not require a response from the Minister.</w:t>
      </w:r>
    </w:p>
    <w:p w14:paraId="6E24CE43" w14:textId="1D988ACA" w:rsidR="00C15DF3" w:rsidRDefault="00B170F4" w:rsidP="00A07946">
      <w:pPr>
        <w:pStyle w:val="Heading3"/>
      </w:pPr>
      <w:bookmarkStart w:id="110" w:name="_Toc136859077"/>
      <w:r w:rsidRPr="00B170F4">
        <w:lastRenderedPageBreak/>
        <w:t>Human Rights Issues</w:t>
      </w:r>
      <w:bookmarkEnd w:id="110"/>
    </w:p>
    <w:p w14:paraId="1509C62C" w14:textId="2BB0EA23" w:rsidR="00C15DF3" w:rsidRPr="00B170F4" w:rsidRDefault="00B170F4" w:rsidP="00855AA7">
      <w:pPr>
        <w:pStyle w:val="ListNumber2"/>
        <w:numPr>
          <w:ilvl w:val="2"/>
          <w:numId w:val="3"/>
        </w:numPr>
        <w:rPr>
          <w:i/>
          <w:iCs/>
        </w:rPr>
      </w:pPr>
      <w:r w:rsidRPr="00B170F4">
        <w:rPr>
          <w:b/>
          <w:bCs w:val="0"/>
        </w:rPr>
        <w:t xml:space="preserve">Disallowable Instrument DI2023-62 </w:t>
      </w:r>
      <w:r w:rsidRPr="00B170F4">
        <w:t xml:space="preserve">being the Electronic Conveyancing National Law (ACT) Operating Requirements 2023 made under sections 22 and 25 of the </w:t>
      </w:r>
      <w:r w:rsidRPr="00B170F4">
        <w:rPr>
          <w:i/>
          <w:iCs/>
        </w:rPr>
        <w:t>Electronic Conveyancing National Law (ACT</w:t>
      </w:r>
      <w:r>
        <w:rPr>
          <w:i/>
          <w:iCs/>
        </w:rPr>
        <w:t>)</w:t>
      </w:r>
      <w:r w:rsidR="00855AA7" w:rsidRPr="00B170F4">
        <w:rPr>
          <w:i/>
          <w:iCs/>
        </w:rPr>
        <w:t>.</w:t>
      </w:r>
    </w:p>
    <w:p w14:paraId="330433C4" w14:textId="12D4A071" w:rsidR="00C15DF3" w:rsidRDefault="00B170F4" w:rsidP="00C15DF3">
      <w:pPr>
        <w:pStyle w:val="ListNumber2"/>
      </w:pPr>
      <w:r>
        <w:rPr>
          <w:rFonts w:eastAsia="Calibri"/>
        </w:rPr>
        <w:t xml:space="preserve">This instrument is made under section 22 of the </w:t>
      </w:r>
      <w:r>
        <w:rPr>
          <w:rFonts w:eastAsia="Calibri"/>
          <w:i/>
          <w:iCs/>
        </w:rPr>
        <w:t>Electronic Conveyancing National Law (ACT)</w:t>
      </w:r>
      <w:r>
        <w:rPr>
          <w:rFonts w:eastAsia="Calibri"/>
        </w:rPr>
        <w:t xml:space="preserve">, which deals with electronic conveyancing, as part of a </w:t>
      </w:r>
      <w:r w:rsidR="00E12785">
        <w:rPr>
          <w:rFonts w:eastAsia="Calibri"/>
        </w:rPr>
        <w:t>n</w:t>
      </w:r>
      <w:r>
        <w:rPr>
          <w:rFonts w:eastAsia="Calibri"/>
        </w:rPr>
        <w:t>ational scheme. It amends the Electronic Conveyancing National Law (ACT) Operating Requirements (</w:t>
      </w:r>
      <w:r w:rsidRPr="00B170F4">
        <w:rPr>
          <w:rFonts w:eastAsia="Calibri"/>
        </w:rPr>
        <w:t>Operating Requirements) relating to the operation of an Electronic Lodgement Network (ELN) by Electronic Lodgement Network Operators (ELNOs). The explanatory statement</w:t>
      </w:r>
      <w:r>
        <w:rPr>
          <w:rFonts w:eastAsia="Calibri"/>
        </w:rPr>
        <w:t xml:space="preserve"> for the instrument states</w:t>
      </w:r>
      <w:r w:rsidR="00C15DF3">
        <w:t>:</w:t>
      </w:r>
    </w:p>
    <w:p w14:paraId="0A89F471" w14:textId="070D7261" w:rsidR="00C15DF3" w:rsidRPr="00F5432D" w:rsidRDefault="00B170F4" w:rsidP="00B170F4">
      <w:pPr>
        <w:pStyle w:val="Quote"/>
        <w:rPr>
          <w:rFonts w:eastAsia="Times New Roman" w:cstheme="minorHAnsi"/>
          <w:color w:val="7F7F7F" w:themeColor="text1" w:themeTint="80"/>
          <w:lang w:eastAsia="en-AU"/>
        </w:rPr>
      </w:pPr>
      <w:r>
        <w:t>The Operating Requirements made by this instrument have adopted in full the Model Operating Requirements Version 6.2 developed and approved by the Australian Registrars' National Electronic Conveyancing Council (ARNECC). The Model Operating Requirements (MOR) have been determined by ARNECC for promulgation by each Registrar before coming into effect in that jurisdiction as Operating Requirements</w:t>
      </w:r>
      <w:r w:rsidR="00C15DF3" w:rsidRPr="00F5432D">
        <w:rPr>
          <w:rFonts w:eastAsia="Times New Roman" w:cstheme="minorHAnsi"/>
          <w:color w:val="7F7F7F" w:themeColor="text1" w:themeTint="80"/>
          <w:lang w:eastAsia="en-AU"/>
        </w:rPr>
        <w:t>.</w:t>
      </w:r>
    </w:p>
    <w:p w14:paraId="2B748FBB" w14:textId="7D3BEC66" w:rsidR="00C15DF3" w:rsidRDefault="00B170F4" w:rsidP="00C15DF3">
      <w:pPr>
        <w:pStyle w:val="ListNumber2"/>
      </w:pPr>
      <w:r>
        <w:t>The explanatory statement for the instrument addresses human rights issues</w:t>
      </w:r>
      <w:r w:rsidR="00F5432D" w:rsidRPr="00F5432D">
        <w:t>:</w:t>
      </w:r>
    </w:p>
    <w:p w14:paraId="7FA0E94B" w14:textId="77777777" w:rsidR="00B170F4" w:rsidRPr="00A76A87" w:rsidRDefault="00B170F4" w:rsidP="00A76A87">
      <w:pPr>
        <w:pStyle w:val="Quote"/>
        <w:rPr>
          <w:b/>
          <w:bCs/>
        </w:rPr>
      </w:pPr>
      <w:r w:rsidRPr="00A76A87">
        <w:rPr>
          <w:b/>
          <w:bCs/>
        </w:rPr>
        <w:t xml:space="preserve">Human Rights </w:t>
      </w:r>
    </w:p>
    <w:p w14:paraId="4FA233D8" w14:textId="119B9ED8" w:rsidR="00C15DF3" w:rsidRPr="00F077E2" w:rsidRDefault="00B170F4" w:rsidP="00A76A87">
      <w:pPr>
        <w:pStyle w:val="Quote"/>
        <w:rPr>
          <w:bCs/>
        </w:rPr>
      </w:pPr>
      <w:r w:rsidRPr="00F077E2">
        <w:rPr>
          <w:bCs/>
        </w:rPr>
        <w:t xml:space="preserve">Section 12 of the </w:t>
      </w:r>
      <w:r w:rsidRPr="00F077E2">
        <w:rPr>
          <w:bCs/>
          <w:i/>
          <w:iCs/>
        </w:rPr>
        <w:t>Human Rights Act 2004</w:t>
      </w:r>
      <w:r w:rsidRPr="00F077E2">
        <w:rPr>
          <w:bCs/>
        </w:rPr>
        <w:t xml:space="preserve"> (HRA) provides that everyone has the right not to have his or her privacy, family, home or correspondence interfered with unlawfully or arbitrarily and not to have his or her reputation unlawfully attacked. The ELN contains personal information of individuals for the purpose of lodging land title registry instruments and other documents. However, the proposed change to the Operating Requirements is minor and it provides solely for the existing fee setting rules for ELNOs to continue for a further 12 months. As such, it does not engage or limit the right to privacy in section 12 or other rights under the HRA</w:t>
      </w:r>
      <w:r w:rsidR="00C15DF3" w:rsidRPr="00F077E2">
        <w:rPr>
          <w:bCs/>
        </w:rPr>
        <w:t>.</w:t>
      </w:r>
    </w:p>
    <w:p w14:paraId="1A51A616" w14:textId="77777777" w:rsidR="00F077E2" w:rsidRPr="00C15DF3" w:rsidRDefault="00F077E2" w:rsidP="00F077E2">
      <w:pPr>
        <w:pStyle w:val="ListNumber2"/>
        <w:rPr>
          <w:b/>
          <w:bCs w:val="0"/>
        </w:rPr>
      </w:pPr>
      <w:r w:rsidRPr="00C15DF3">
        <w:rPr>
          <w:b/>
          <w:bCs w:val="0"/>
        </w:rPr>
        <w:t>The Committee draws the attention of the Legislative Assembly to the discussion of human rights issues in the explanatory statements for the instruments mentioned above.</w:t>
      </w:r>
    </w:p>
    <w:p w14:paraId="495D4C0B" w14:textId="77777777" w:rsidR="00F077E2" w:rsidRDefault="00F077E2" w:rsidP="00F077E2">
      <w:pPr>
        <w:pStyle w:val="ListNumber2"/>
        <w:rPr>
          <w:b/>
          <w:bCs w:val="0"/>
        </w:rPr>
      </w:pPr>
      <w:r w:rsidRPr="00C15DF3">
        <w:rPr>
          <w:b/>
          <w:bCs w:val="0"/>
        </w:rPr>
        <w:t>This comment does not require a response from the Minister.</w:t>
      </w:r>
    </w:p>
    <w:p w14:paraId="66A76825" w14:textId="6E743871" w:rsidR="00C15DF3" w:rsidRDefault="00C15DF3" w:rsidP="00A07946">
      <w:pPr>
        <w:pStyle w:val="Heading3"/>
      </w:pPr>
      <w:r w:rsidRPr="0084252C">
        <w:rPr>
          <w:rFonts w:asciiTheme="minorHAnsi" w:hAnsiTheme="minorHAnsi" w:cstheme="minorHAnsi"/>
          <w:color w:val="000000" w:themeColor="text1"/>
          <w:sz w:val="22"/>
          <w:szCs w:val="22"/>
        </w:rPr>
        <w:t xml:space="preserve"> </w:t>
      </w:r>
      <w:bookmarkStart w:id="111" w:name="_Toc136859078"/>
      <w:r w:rsidR="00F077E2" w:rsidRPr="00F077E2">
        <w:t>No Human Rights Issues</w:t>
      </w:r>
      <w:bookmarkEnd w:id="111"/>
    </w:p>
    <w:p w14:paraId="32233E1C" w14:textId="28B7314F" w:rsidR="00F077E2" w:rsidRPr="00F077E2" w:rsidRDefault="00F077E2" w:rsidP="00F077E2">
      <w:pPr>
        <w:pStyle w:val="ListNumber2"/>
        <w:numPr>
          <w:ilvl w:val="2"/>
          <w:numId w:val="3"/>
        </w:numPr>
        <w:rPr>
          <w:i/>
          <w:iCs/>
        </w:rPr>
      </w:pPr>
      <w:r w:rsidRPr="00F077E2">
        <w:rPr>
          <w:b/>
          <w:bCs w:val="0"/>
        </w:rPr>
        <w:t xml:space="preserve">Disallowable Instrument DI2023-63 </w:t>
      </w:r>
      <w:r w:rsidRPr="00F077E2">
        <w:t xml:space="preserve">being the Road Transport (General) Application of Road Transport Legislation Declaration 2023 (No 5) made under section 13 of the </w:t>
      </w:r>
      <w:r w:rsidRPr="00F077E2">
        <w:rPr>
          <w:i/>
          <w:iCs/>
        </w:rPr>
        <w:t>Road Transport (General) Act 1999</w:t>
      </w:r>
    </w:p>
    <w:p w14:paraId="3F534243" w14:textId="0AC8F9FF" w:rsidR="00C15DF3" w:rsidRPr="00F077E2" w:rsidRDefault="00F077E2" w:rsidP="00F077E2">
      <w:pPr>
        <w:pStyle w:val="ListNumber2"/>
        <w:numPr>
          <w:ilvl w:val="2"/>
          <w:numId w:val="3"/>
        </w:numPr>
      </w:pPr>
      <w:r w:rsidRPr="00F077E2">
        <w:rPr>
          <w:b/>
          <w:bCs w:val="0"/>
        </w:rPr>
        <w:t xml:space="preserve">Disallowable Instrument DI2023-87 </w:t>
      </w:r>
      <w:r w:rsidRPr="00F077E2">
        <w:t xml:space="preserve">being the Road Transport (General) Concession Determination 2023 (No 2) made under section 96 of the </w:t>
      </w:r>
      <w:r w:rsidRPr="00F077E2">
        <w:rPr>
          <w:i/>
          <w:iCs/>
        </w:rPr>
        <w:t>Road Transport (General) Act 1999</w:t>
      </w:r>
    </w:p>
    <w:p w14:paraId="444D13CA" w14:textId="7DAF3C01" w:rsidR="00C15DF3" w:rsidRDefault="00F077E2" w:rsidP="00C15DF3">
      <w:pPr>
        <w:pStyle w:val="ListNumber2"/>
        <w:rPr>
          <w:szCs w:val="22"/>
        </w:rPr>
      </w:pPr>
      <w:r>
        <w:lastRenderedPageBreak/>
        <w:t xml:space="preserve">The first instrument mentioned above is made under section 13 of the </w:t>
      </w:r>
      <w:r>
        <w:rPr>
          <w:i/>
          <w:iCs/>
        </w:rPr>
        <w:t>Road Transport (General) Act 1999</w:t>
      </w:r>
      <w:r>
        <w:t>, which allows the Minister to declare that the road transport legislation, or a provision of the road transport legislation, does not apply to a vehicle, person or animal in a place or circumstance stated in the declaration. The explanatory statement for the instrument states</w:t>
      </w:r>
      <w:r w:rsidR="00C15DF3">
        <w:rPr>
          <w:szCs w:val="22"/>
        </w:rPr>
        <w:t>:</w:t>
      </w:r>
    </w:p>
    <w:p w14:paraId="5409E4B2" w14:textId="77777777" w:rsidR="00F077E2" w:rsidRPr="00F077E2" w:rsidRDefault="00F077E2" w:rsidP="00F077E2">
      <w:pPr>
        <w:autoSpaceDE w:val="0"/>
        <w:autoSpaceDN w:val="0"/>
        <w:adjustRightInd w:val="0"/>
        <w:spacing w:before="120" w:after="120"/>
        <w:ind w:left="1440"/>
        <w:rPr>
          <w:rFonts w:ascii="Calibri" w:eastAsia="Calibri" w:hAnsi="Calibri" w:cs="Calibri"/>
          <w:bCs/>
          <w:color w:val="7F7F7F" w:themeColor="text1" w:themeTint="80"/>
          <w:szCs w:val="20"/>
        </w:rPr>
      </w:pPr>
      <w:r w:rsidRPr="00F077E2">
        <w:rPr>
          <w:rFonts w:ascii="Calibri" w:eastAsia="Calibri" w:hAnsi="Calibri" w:cs="Calibri"/>
          <w:bCs/>
          <w:color w:val="7F7F7F" w:themeColor="text1" w:themeTint="80"/>
          <w:szCs w:val="20"/>
        </w:rPr>
        <w:t xml:space="preserve">The purpose of this instrument is to allow an accredited operator to provide hire car and bus services using vehicles that are not registered as hire cars under ACT road transport legislation, and drivers who are not licensed to drive hire cars under the ACT road transport legislation, to provide ground transportation for the USA Special Visitors Program from 10 May 2023 to 26 May 2023. All drivers will hold an Australian Driver Licence required to drive the class of vehicle or be permitted to drive that class of vehicle in accordance with a valid exemption. Further, all vehicles will be registered under ACT road transport legislation or an equivalent law in another jurisdictions. </w:t>
      </w:r>
    </w:p>
    <w:p w14:paraId="1762ADAC" w14:textId="6E927E0D" w:rsidR="00C15DF3" w:rsidRPr="00F077E2" w:rsidRDefault="00F077E2" w:rsidP="00F077E2">
      <w:pPr>
        <w:autoSpaceDE w:val="0"/>
        <w:autoSpaceDN w:val="0"/>
        <w:adjustRightInd w:val="0"/>
        <w:spacing w:before="120" w:after="120"/>
        <w:ind w:left="1440"/>
        <w:rPr>
          <w:rFonts w:ascii="Calibri" w:eastAsia="Calibri" w:hAnsi="Calibri" w:cs="Calibri"/>
          <w:bCs/>
          <w:color w:val="7F7F7F" w:themeColor="text1" w:themeTint="80"/>
          <w:szCs w:val="20"/>
        </w:rPr>
      </w:pPr>
      <w:r w:rsidRPr="00F077E2">
        <w:rPr>
          <w:rFonts w:ascii="Calibri" w:eastAsia="Calibri" w:hAnsi="Calibri" w:cs="Calibri"/>
          <w:bCs/>
          <w:color w:val="7F7F7F" w:themeColor="text1" w:themeTint="80"/>
          <w:szCs w:val="20"/>
        </w:rPr>
        <w:t>This instrument provides that certain parts of the road transport legislation do not apply to a designated vehicle or the driver of a designated vehicle, while transporting members of the USA Special Visitors Program from 10 May 2023 to 26 May 2023</w:t>
      </w:r>
      <w:r>
        <w:rPr>
          <w:rFonts w:ascii="Calibri" w:eastAsia="Calibri" w:hAnsi="Calibri" w:cs="Calibri"/>
          <w:bCs/>
          <w:color w:val="7F7F7F" w:themeColor="text1" w:themeTint="80"/>
          <w:szCs w:val="20"/>
        </w:rPr>
        <w:t>.</w:t>
      </w:r>
    </w:p>
    <w:p w14:paraId="78236FB9" w14:textId="0C8D96E8" w:rsidR="00C15DF3" w:rsidRDefault="00F077E2" w:rsidP="00C15DF3">
      <w:pPr>
        <w:pStyle w:val="ListNumber2"/>
      </w:pPr>
      <w:r>
        <w:t xml:space="preserve">The second instrument mentioned above is made under section 96 of the </w:t>
      </w:r>
      <w:r>
        <w:rPr>
          <w:i/>
          <w:iCs/>
        </w:rPr>
        <w:t>Road Transport (General) Act 1999</w:t>
      </w:r>
      <w:r>
        <w:t>, which allows the Minister to determine fees, charges and other amounts payable under the ACT road transport legislation.</w:t>
      </w:r>
      <w:r>
        <w:rPr>
          <w:i/>
          <w:iCs/>
        </w:rPr>
        <w:t xml:space="preserve"> </w:t>
      </w:r>
      <w:r>
        <w:t>The explanatory statement for the instrument states</w:t>
      </w:r>
      <w:r w:rsidR="00811FC8">
        <w:t>:</w:t>
      </w:r>
    </w:p>
    <w:p w14:paraId="7F4C533A" w14:textId="4C78B962" w:rsidR="00F077E2" w:rsidRDefault="00F077E2" w:rsidP="00F077E2">
      <w:pPr>
        <w:pStyle w:val="Quote"/>
      </w:pPr>
      <w:bookmarkStart w:id="112" w:name="_Hlk126652905"/>
      <w:r>
        <w:t>On 1 February 2023 the Chief Minister and Minister for Climate Action, and the Minister for Energy and Emissions Reduction jointly announced that vehicles coming off the 2-years free registration concession would transition to the lowest weight category from 25 May 2023 with the remainder of the light vehicle fleet transitioning from the weight-based system to an emissions-based system from 1 July 2024</w:t>
      </w:r>
      <w:bookmarkEnd w:id="112"/>
      <w:r>
        <w:t>. They also announced holders of ACT Service Access and Low Income Health Care cards will receive a 100% concession on motor vehicle registration from 1 July 2023 and new registration concessions for plug-in hybrid and hybrid vehicles of 40% and 20% commencing from 1 July 2023.</w:t>
      </w:r>
    </w:p>
    <w:p w14:paraId="78CD6D1E" w14:textId="3A12891B" w:rsidR="00811FC8" w:rsidRPr="00F312E9" w:rsidRDefault="00F077E2" w:rsidP="00F077E2">
      <w:pPr>
        <w:pStyle w:val="Quote"/>
        <w:rPr>
          <w:color w:val="7F7F7F" w:themeColor="text1" w:themeTint="80"/>
        </w:rPr>
      </w:pPr>
      <w:r>
        <w:t>Amendments described below vary the threshold that provides discount for some vehicles with tailpipe emissions of less than 130g/km of CO</w:t>
      </w:r>
      <w:r>
        <w:rPr>
          <w:vertAlign w:val="subscript"/>
        </w:rPr>
        <w:t>2</w:t>
      </w:r>
      <w:r>
        <w:t>. Following advice from ACT Treasury, the threshold has been modified to include vehicles with tail pipe emissions of no more than 130g/km of CO</w:t>
      </w:r>
      <w:r>
        <w:rPr>
          <w:vertAlign w:val="subscript"/>
        </w:rPr>
        <w:t>2</w:t>
      </w:r>
      <w:r w:rsidR="00811FC8" w:rsidRPr="00F312E9">
        <w:rPr>
          <w:color w:val="7F7F7F" w:themeColor="text1" w:themeTint="80"/>
        </w:rPr>
        <w:t>.</w:t>
      </w:r>
    </w:p>
    <w:p w14:paraId="6ADE69F9" w14:textId="1103119D" w:rsidR="00F077E2" w:rsidRPr="00F077E2" w:rsidRDefault="00F077E2" w:rsidP="00F077E2">
      <w:pPr>
        <w:pStyle w:val="ListNumber2"/>
      </w:pPr>
      <w:r w:rsidRPr="00F077E2">
        <w:t>The Committee notes that the explanatory statements for each of the instruments mentioned above go on to state that there are no human rights implications arising from the instrument.</w:t>
      </w:r>
    </w:p>
    <w:p w14:paraId="71945716" w14:textId="77777777" w:rsidR="00F077E2" w:rsidRPr="00F077E2" w:rsidRDefault="00F077E2" w:rsidP="00F077E2">
      <w:pPr>
        <w:pStyle w:val="ListNumber2"/>
        <w:rPr>
          <w:b/>
          <w:bCs w:val="0"/>
        </w:rPr>
      </w:pPr>
      <w:r w:rsidRPr="00F077E2">
        <w:rPr>
          <w:b/>
          <w:bCs w:val="0"/>
        </w:rPr>
        <w:t>The Committee draws the attention of the Legislative Assembly to the discussion of human rights issues in the explanatory statements for the instruments mentioned above.</w:t>
      </w:r>
    </w:p>
    <w:p w14:paraId="02821627" w14:textId="2AB8F86D" w:rsidR="00C15DF3" w:rsidRPr="00A734E9" w:rsidRDefault="00F077E2" w:rsidP="00F077E2">
      <w:pPr>
        <w:pStyle w:val="ListNumber2"/>
        <w:rPr>
          <w:b/>
        </w:rPr>
      </w:pPr>
      <w:r w:rsidRPr="00F077E2">
        <w:rPr>
          <w:b/>
          <w:bCs w:val="0"/>
        </w:rPr>
        <w:t>This comment does not require a response from the Minister.</w:t>
      </w:r>
    </w:p>
    <w:p w14:paraId="53989914" w14:textId="77777777" w:rsidR="00C15DF3" w:rsidRDefault="00C15DF3" w:rsidP="00A07946">
      <w:pPr>
        <w:pStyle w:val="Heading3"/>
      </w:pPr>
      <w:bookmarkStart w:id="113" w:name="_Hlk132805630"/>
      <w:bookmarkStart w:id="114" w:name="_Toc136859079"/>
      <w:r>
        <w:lastRenderedPageBreak/>
        <w:t>Human Rights Issues</w:t>
      </w:r>
      <w:bookmarkEnd w:id="114"/>
    </w:p>
    <w:bookmarkEnd w:id="113"/>
    <w:p w14:paraId="763268A7" w14:textId="77777777" w:rsidR="00F077E2" w:rsidRPr="00F077E2" w:rsidRDefault="00F077E2" w:rsidP="00F077E2">
      <w:pPr>
        <w:pStyle w:val="ListNumber2"/>
        <w:numPr>
          <w:ilvl w:val="2"/>
          <w:numId w:val="3"/>
        </w:numPr>
        <w:rPr>
          <w:b/>
          <w:bCs w:val="0"/>
        </w:rPr>
      </w:pPr>
      <w:r w:rsidRPr="00F077E2">
        <w:rPr>
          <w:b/>
          <w:bCs w:val="0"/>
        </w:rPr>
        <w:t xml:space="preserve">Disallowable Instrument DI2023-82 </w:t>
      </w:r>
      <w:r w:rsidRPr="00F077E2">
        <w:t xml:space="preserve">being the Public Place Names (Kingston) Determination 2023 (No. 1) made under section 3 of the </w:t>
      </w:r>
      <w:r w:rsidRPr="00F077E2">
        <w:rPr>
          <w:i/>
          <w:iCs/>
        </w:rPr>
        <w:t>Public Place Names Act 1989</w:t>
      </w:r>
      <w:r w:rsidRPr="00F077E2">
        <w:t xml:space="preserve"> determines the name of a public place in the Division of Kingston </w:t>
      </w:r>
    </w:p>
    <w:p w14:paraId="06E5D7F1" w14:textId="77777777" w:rsidR="00F077E2" w:rsidRPr="00F077E2" w:rsidRDefault="00F077E2" w:rsidP="00F077E2">
      <w:pPr>
        <w:pStyle w:val="ListNumber2"/>
        <w:numPr>
          <w:ilvl w:val="2"/>
          <w:numId w:val="3"/>
        </w:numPr>
      </w:pPr>
      <w:r w:rsidRPr="00F077E2">
        <w:rPr>
          <w:b/>
          <w:bCs w:val="0"/>
        </w:rPr>
        <w:t xml:space="preserve">Disallowable Instrument DI2023-85 </w:t>
      </w:r>
      <w:r w:rsidRPr="00F077E2">
        <w:t xml:space="preserve">being the Public Place Names (Campbell) Determination 2023 made under section 3 of the </w:t>
      </w:r>
      <w:r w:rsidRPr="00F077E2">
        <w:rPr>
          <w:i/>
          <w:iCs/>
        </w:rPr>
        <w:t>Public Place Names Act 1989</w:t>
      </w:r>
      <w:r w:rsidRPr="00F077E2">
        <w:t xml:space="preserve"> determines the names of a public place in the Division of Campbell</w:t>
      </w:r>
    </w:p>
    <w:p w14:paraId="203575FA" w14:textId="2E756B09" w:rsidR="00C15DF3" w:rsidRPr="00F077E2" w:rsidRDefault="00F077E2" w:rsidP="00F077E2">
      <w:pPr>
        <w:pStyle w:val="ListNumber2"/>
        <w:numPr>
          <w:ilvl w:val="2"/>
          <w:numId w:val="3"/>
        </w:numPr>
      </w:pPr>
      <w:r w:rsidRPr="00F077E2">
        <w:rPr>
          <w:b/>
          <w:bCs w:val="0"/>
        </w:rPr>
        <w:t xml:space="preserve">Disallowable Instrument DI2023-86 </w:t>
      </w:r>
      <w:r w:rsidRPr="00F077E2">
        <w:t xml:space="preserve">being the Public Place Names (Spence) Determination 2023 made under section 3 of the </w:t>
      </w:r>
      <w:r w:rsidRPr="00F077E2">
        <w:rPr>
          <w:i/>
          <w:iCs/>
        </w:rPr>
        <w:t>Public Place Names Act 1989</w:t>
      </w:r>
      <w:r w:rsidRPr="00F077E2">
        <w:t xml:space="preserve"> determines the names of a public place in the Division of Spence</w:t>
      </w:r>
    </w:p>
    <w:p w14:paraId="51DA14C0" w14:textId="66420900" w:rsidR="00811FC8" w:rsidRPr="00F077E2" w:rsidRDefault="00F077E2" w:rsidP="00811FC8">
      <w:pPr>
        <w:pStyle w:val="ListNumber2"/>
      </w:pPr>
      <w:r>
        <w:rPr>
          <w:bCs w:val="0"/>
        </w:rPr>
        <w:t xml:space="preserve">The instruments mentioned above are made under section 3 of the </w:t>
      </w:r>
      <w:r>
        <w:rPr>
          <w:i/>
        </w:rPr>
        <w:t>Public Place Names Act 1989</w:t>
      </w:r>
      <w:r>
        <w:rPr>
          <w:iCs/>
        </w:rPr>
        <w:t>. The first and second instruments name public places in Kingston and Campbell, respectively. The third instrument relates to the name of the Division of Spence, itself. The explanatory statement for the instrument states:</w:t>
      </w:r>
    </w:p>
    <w:p w14:paraId="486B411E" w14:textId="77777777" w:rsidR="00F077E2" w:rsidRDefault="00F077E2" w:rsidP="00F077E2">
      <w:pPr>
        <w:pStyle w:val="Quote"/>
      </w:pPr>
      <w:r>
        <w:t xml:space="preserve">The </w:t>
      </w:r>
      <w:r>
        <w:rPr>
          <w:i/>
          <w:iCs/>
        </w:rPr>
        <w:t>Public Place Names (Spence) Determination 2023</w:t>
      </w:r>
      <w:r>
        <w:t xml:space="preserve"> (the </w:t>
      </w:r>
      <w:r>
        <w:rPr>
          <w:b/>
        </w:rPr>
        <w:t>determination</w:t>
      </w:r>
      <w:r>
        <w:t>) revokes the determination of the Minister for State for the Interior of 5 October 1972 of the name for the Division of Spence, published in Commonwealth Gazette No. 103 dated 2 November 1972.</w:t>
      </w:r>
    </w:p>
    <w:p w14:paraId="55ADEE2B" w14:textId="77777777" w:rsidR="00F077E2" w:rsidRDefault="00F077E2" w:rsidP="00F077E2">
      <w:pPr>
        <w:pStyle w:val="Quote"/>
      </w:pPr>
      <w:r>
        <w:t>The origin and significance information in the 1972 determination relating to Spence, is revoked and re-made in the determination, to co-name the division to recognise two separate people.</w:t>
      </w:r>
    </w:p>
    <w:p w14:paraId="0C96D266" w14:textId="77777777" w:rsidR="00F077E2" w:rsidRDefault="00F077E2" w:rsidP="00F077E2">
      <w:pPr>
        <w:pStyle w:val="Quote"/>
      </w:pPr>
      <w:r>
        <w:t xml:space="preserve">The determination provides for equal recognition of both William Guthrie Spence (1846–1926) and Catherine Helen Spence (1825–1910), two significant leaders in Australian history. The location of the division is indicated in the diagram in the schedule to the determination. </w:t>
      </w:r>
    </w:p>
    <w:p w14:paraId="080B7320" w14:textId="6688B50D" w:rsidR="00F077E2" w:rsidRPr="00F077E2" w:rsidRDefault="00F077E2" w:rsidP="00811FC8">
      <w:pPr>
        <w:pStyle w:val="ListNumber2"/>
      </w:pPr>
      <w:r>
        <w:rPr>
          <w:bCs w:val="0"/>
        </w:rPr>
        <w:t>The Committee notes that the explanatory statements for each of the determinations address human rights issues. As an example, the explanatory statement for the first instrument states:</w:t>
      </w:r>
    </w:p>
    <w:p w14:paraId="09F1E2BD" w14:textId="77777777" w:rsidR="00F077E2" w:rsidRPr="00F077E2" w:rsidRDefault="00F077E2" w:rsidP="00F077E2">
      <w:pPr>
        <w:pStyle w:val="Quote"/>
        <w:rPr>
          <w:u w:val="single"/>
        </w:rPr>
      </w:pPr>
      <w:r w:rsidRPr="00F077E2">
        <w:rPr>
          <w:u w:val="single"/>
        </w:rPr>
        <w:t>Human Rights</w:t>
      </w:r>
    </w:p>
    <w:p w14:paraId="1F942828" w14:textId="77777777" w:rsidR="00F077E2" w:rsidRDefault="00F077E2" w:rsidP="00F077E2">
      <w:pPr>
        <w:pStyle w:val="Quote"/>
      </w:pPr>
      <w:r>
        <w:t xml:space="preserve">Section 12 of the </w:t>
      </w:r>
      <w:r>
        <w:rPr>
          <w:i/>
          <w:iCs/>
        </w:rPr>
        <w:t>Human Rights Act 2004</w:t>
      </w:r>
      <w:r>
        <w:t xml:space="preserve"> creates a right to privacy and reputation. </w:t>
      </w:r>
    </w:p>
    <w:p w14:paraId="11D5428D" w14:textId="77777777" w:rsidR="00F077E2" w:rsidRDefault="00F077E2" w:rsidP="00F077E2">
      <w:pPr>
        <w:pStyle w:val="Quote"/>
      </w:pPr>
      <w:r>
        <w:t>Conceivably, the naming of a place has the potential to infringe the right to privacy and reputation of a person after whom a place is named. In this case the process through which places are named ensures that this right is not infringed and that only appropriate information is included in a determination. This process includes the consultation described above. Additionally, in relation to places named after people, only the names of deceased persons are determined.</w:t>
      </w:r>
    </w:p>
    <w:p w14:paraId="4AADBD5F" w14:textId="618EC2B0" w:rsidR="00F077E2" w:rsidRPr="00F077E2" w:rsidRDefault="00F077E2" w:rsidP="00811FC8">
      <w:pPr>
        <w:pStyle w:val="ListNumber2"/>
      </w:pPr>
      <w:r>
        <w:rPr>
          <w:bCs w:val="0"/>
        </w:rPr>
        <w:lastRenderedPageBreak/>
        <w:t>Similar statements appear in the explanatory statements for the second and third instruments mentioned above.</w:t>
      </w:r>
    </w:p>
    <w:p w14:paraId="3CCFD738" w14:textId="439FDC30" w:rsidR="00F077E2" w:rsidRPr="00F077E2" w:rsidRDefault="00F077E2" w:rsidP="00811FC8">
      <w:pPr>
        <w:pStyle w:val="ListNumber2"/>
        <w:rPr>
          <w:b/>
          <w:bCs w:val="0"/>
        </w:rPr>
      </w:pPr>
      <w:r w:rsidRPr="00F077E2">
        <w:rPr>
          <w:rFonts w:ascii="Calibri" w:hAnsi="Calibri" w:cs="Calibri"/>
          <w:b/>
          <w:bCs w:val="0"/>
          <w:lang w:eastAsia="en-AU"/>
        </w:rPr>
        <w:t>The Committee draws the attention of the Legislative Assembly to the discussion of human rights issues in the explanatory statements for the instruments mentioned above.</w:t>
      </w:r>
    </w:p>
    <w:p w14:paraId="66CEEC1C" w14:textId="1F2DE8A1" w:rsidR="00864F2E" w:rsidRDefault="00F077E2" w:rsidP="00811FC8">
      <w:pPr>
        <w:pStyle w:val="ListNumber2"/>
        <w:rPr>
          <w:rFonts w:ascii="Calibri" w:hAnsi="Calibri" w:cs="Calibri"/>
          <w:b/>
          <w:bCs w:val="0"/>
          <w:lang w:eastAsia="en-AU"/>
        </w:rPr>
      </w:pPr>
      <w:r w:rsidRPr="00F077E2">
        <w:rPr>
          <w:rFonts w:ascii="Calibri" w:hAnsi="Calibri" w:cs="Calibri"/>
          <w:b/>
          <w:bCs w:val="0"/>
          <w:lang w:eastAsia="en-AU"/>
        </w:rPr>
        <w:t>This comment does not require a response from the Minister.</w:t>
      </w:r>
    </w:p>
    <w:p w14:paraId="738B20FF" w14:textId="77777777" w:rsidR="00001385" w:rsidRDefault="00001385" w:rsidP="00001385">
      <w:pPr>
        <w:pStyle w:val="Heading3"/>
      </w:pPr>
      <w:bookmarkStart w:id="115" w:name="_Toc136859080"/>
      <w:r>
        <w:t>Human Rights Issues</w:t>
      </w:r>
      <w:bookmarkEnd w:id="115"/>
    </w:p>
    <w:p w14:paraId="1B928085" w14:textId="359EC99D" w:rsidR="00001385" w:rsidRPr="00001385" w:rsidRDefault="00001385" w:rsidP="00001385">
      <w:pPr>
        <w:pStyle w:val="ListNumber2"/>
        <w:numPr>
          <w:ilvl w:val="2"/>
          <w:numId w:val="3"/>
        </w:numPr>
      </w:pPr>
      <w:r w:rsidRPr="00001385">
        <w:rPr>
          <w:b/>
          <w:bCs w:val="0"/>
        </w:rPr>
        <w:t xml:space="preserve">Disallowable Instrument DI2023-92 </w:t>
      </w:r>
      <w:r w:rsidRPr="00001385">
        <w:t xml:space="preserve">being the Housing Assistance (Public Rental Housing Assistance) Program 2023 (No 1) made under section 19 (1) of the </w:t>
      </w:r>
      <w:r w:rsidRPr="00001385">
        <w:rPr>
          <w:i/>
          <w:iCs/>
        </w:rPr>
        <w:t>Housing Assistance Act 2007</w:t>
      </w:r>
    </w:p>
    <w:p w14:paraId="5E593592" w14:textId="77777777" w:rsidR="00001385" w:rsidRPr="00001385" w:rsidRDefault="00001385" w:rsidP="00001385">
      <w:pPr>
        <w:pStyle w:val="ListNumber2"/>
        <w:numPr>
          <w:ilvl w:val="2"/>
          <w:numId w:val="3"/>
        </w:numPr>
        <w:rPr>
          <w:b/>
          <w:bCs w:val="0"/>
        </w:rPr>
      </w:pPr>
      <w:r w:rsidRPr="00001385">
        <w:rPr>
          <w:b/>
          <w:bCs w:val="0"/>
        </w:rPr>
        <w:t xml:space="preserve">Disallowable Instrument DI2023-93 </w:t>
      </w:r>
      <w:r w:rsidRPr="00001385">
        <w:t xml:space="preserve">being the Housing Assistance (Review of Entitlement to Housing Assistance) Operational Guideline 2023 (No 1) made under section 21 (1) of the </w:t>
      </w:r>
      <w:r w:rsidRPr="00001385">
        <w:rPr>
          <w:i/>
          <w:iCs/>
        </w:rPr>
        <w:t>Housing Assistance Act 2007</w:t>
      </w:r>
      <w:r w:rsidRPr="00001385">
        <w:t xml:space="preserve"> determines the guidelines for intervening in the business of a registered housing provider</w:t>
      </w:r>
    </w:p>
    <w:p w14:paraId="1F691847" w14:textId="0C9557A0" w:rsidR="00001385" w:rsidRPr="00001385" w:rsidRDefault="00001385" w:rsidP="00001385">
      <w:pPr>
        <w:pStyle w:val="ListNumber2"/>
        <w:numPr>
          <w:ilvl w:val="2"/>
          <w:numId w:val="3"/>
        </w:numPr>
        <w:rPr>
          <w:b/>
          <w:bCs w:val="0"/>
        </w:rPr>
      </w:pPr>
      <w:r w:rsidRPr="00001385">
        <w:rPr>
          <w:b/>
          <w:bCs w:val="0"/>
        </w:rPr>
        <w:t xml:space="preserve">Disallowable Instrument DI2023-94 </w:t>
      </w:r>
      <w:r w:rsidRPr="00001385">
        <w:t xml:space="preserve">being the Housing Assistance (Review of Entitlement to Housing Assistance) Determination 2023 (No 1) made under section 20 (1) of the </w:t>
      </w:r>
      <w:bookmarkStart w:id="116" w:name="_Hlk136362215"/>
      <w:r w:rsidRPr="00001385">
        <w:rPr>
          <w:i/>
          <w:iCs/>
        </w:rPr>
        <w:t>Housing Assistance Act 2007</w:t>
      </w:r>
      <w:bookmarkEnd w:id="116"/>
    </w:p>
    <w:p w14:paraId="3F4227A7" w14:textId="38284E84" w:rsidR="00001385" w:rsidRPr="00001385" w:rsidRDefault="00001385" w:rsidP="00811FC8">
      <w:pPr>
        <w:pStyle w:val="ListNumber2"/>
        <w:rPr>
          <w:rFonts w:ascii="Calibri" w:hAnsi="Calibri" w:cs="Calibri"/>
          <w:lang w:eastAsia="en-AU"/>
        </w:rPr>
      </w:pPr>
      <w:r w:rsidRPr="00001385">
        <w:t>Each of the instruments mentioned above is made under the</w:t>
      </w:r>
      <w:r w:rsidRPr="00001385">
        <w:rPr>
          <w:i/>
          <w:iCs/>
        </w:rPr>
        <w:t xml:space="preserve"> Housing Assistance Act 2007</w:t>
      </w:r>
      <w:r w:rsidRPr="00001385">
        <w:t>.</w:t>
      </w:r>
      <w:r w:rsidR="0032149C">
        <w:t xml:space="preserve"> </w:t>
      </w:r>
      <w:r w:rsidRPr="00001385">
        <w:t>The instruments relate to the ‘housing assistance program’, defined in section 18 of the Housing Assistance Act as including the following:</w:t>
      </w:r>
    </w:p>
    <w:p w14:paraId="452CE3C6" w14:textId="77777777" w:rsidR="00001385" w:rsidRDefault="00001385" w:rsidP="00001385">
      <w:pPr>
        <w:pStyle w:val="Quote"/>
      </w:pPr>
      <w:r>
        <w:t>(a)     the kind of assistance that may be provided under the program;</w:t>
      </w:r>
    </w:p>
    <w:p w14:paraId="662B0130" w14:textId="77777777" w:rsidR="00001385" w:rsidRDefault="00001385" w:rsidP="00001385">
      <w:pPr>
        <w:pStyle w:val="Quote"/>
      </w:pPr>
      <w:r>
        <w:t>(b)     the eligibility criteria for assistance under the program;</w:t>
      </w:r>
    </w:p>
    <w:p w14:paraId="1AD97B9C" w14:textId="77777777" w:rsidR="00001385" w:rsidRDefault="00001385" w:rsidP="00001385">
      <w:pPr>
        <w:pStyle w:val="Quote"/>
      </w:pPr>
      <w:r>
        <w:t>(c)     how decisions of the housing commissioner under the program may be reviewed.</w:t>
      </w:r>
    </w:p>
    <w:p w14:paraId="5ACFFEB6" w14:textId="16E13355" w:rsidR="00001385" w:rsidRDefault="00001385" w:rsidP="00811FC8">
      <w:pPr>
        <w:pStyle w:val="ListNumber2"/>
        <w:rPr>
          <w:rFonts w:ascii="Calibri" w:hAnsi="Calibri" w:cs="Calibri"/>
          <w:lang w:eastAsia="en-AU"/>
        </w:rPr>
      </w:pPr>
      <w:r>
        <w:rPr>
          <w:rFonts w:ascii="Calibri" w:hAnsi="Calibri" w:cs="Calibri"/>
          <w:lang w:eastAsia="en-AU"/>
        </w:rPr>
        <w:t xml:space="preserve">The first instrument mentioned above is made under subsection 19(1) of the Housing Assistance Act, which allows the Minister to approve a housing assistance program, in this case the </w:t>
      </w:r>
      <w:r>
        <w:rPr>
          <w:rFonts w:ascii="Calibri" w:hAnsi="Calibri" w:cs="Calibri"/>
          <w:i/>
          <w:iCs/>
          <w:lang w:eastAsia="en-AU"/>
        </w:rPr>
        <w:t xml:space="preserve">Housing Assistance (Public Rental Housing Assistance) Program 2023 </w:t>
      </w:r>
      <w:r>
        <w:rPr>
          <w:rFonts w:ascii="Calibri" w:hAnsi="Calibri" w:cs="Calibri"/>
          <w:lang w:eastAsia="en-AU"/>
        </w:rPr>
        <w:t>(</w:t>
      </w:r>
      <w:r w:rsidRPr="00001385">
        <w:rPr>
          <w:rFonts w:ascii="Calibri" w:hAnsi="Calibri" w:cs="Calibri"/>
          <w:lang w:eastAsia="en-AU"/>
        </w:rPr>
        <w:t>Program</w:t>
      </w:r>
      <w:r>
        <w:rPr>
          <w:rFonts w:ascii="Calibri" w:hAnsi="Calibri" w:cs="Calibri"/>
          <w:lang w:eastAsia="en-AU"/>
        </w:rPr>
        <w:t>).  The explanatory statement for the instrument states:</w:t>
      </w:r>
    </w:p>
    <w:p w14:paraId="587AF9D4" w14:textId="2971CE00" w:rsidR="00001385" w:rsidRPr="00001385" w:rsidRDefault="00001385" w:rsidP="00001385">
      <w:pPr>
        <w:pStyle w:val="Quote"/>
        <w:rPr>
          <w:rFonts w:ascii="Calibri" w:hAnsi="Calibri" w:cs="Calibri"/>
          <w:lang w:eastAsia="en-AU"/>
        </w:rPr>
      </w:pPr>
      <w:r>
        <w:t>This instrument outlines eligibility criteria for housing assistance to those people in the Territory who are most in need. This instrument also outlines how community rental housing assistance (including affordable housing assistance) is provided by the Territory and other community housing providers.</w:t>
      </w:r>
    </w:p>
    <w:p w14:paraId="0DF89505" w14:textId="22E9A71D" w:rsidR="00001385" w:rsidRPr="00001385" w:rsidRDefault="00001385" w:rsidP="00811FC8">
      <w:pPr>
        <w:pStyle w:val="ListNumber2"/>
        <w:rPr>
          <w:rFonts w:ascii="Calibri" w:hAnsi="Calibri" w:cs="Calibri"/>
          <w:lang w:eastAsia="en-AU"/>
        </w:rPr>
      </w:pPr>
      <w:r>
        <w:rPr>
          <w:rFonts w:eastAsia="Times New Roman"/>
          <w:bCs w:val="0"/>
          <w:iCs/>
        </w:rPr>
        <w:t>The second instrument mentioned above is made under subsection 21(1) of the Housing Assistance Act, which allows the housing commissioner to make guidelines for the management or operation of an approved housing assistance program, including in relation to a ‘relevant matter’ (as defined in subsection 20(3)).  The explanatory statement for the second instrument states:</w:t>
      </w:r>
    </w:p>
    <w:p w14:paraId="78BCC804" w14:textId="0888285A" w:rsidR="00001385" w:rsidRPr="00001385" w:rsidRDefault="00001385" w:rsidP="00001385">
      <w:pPr>
        <w:pStyle w:val="Quote"/>
        <w:rPr>
          <w:rFonts w:ascii="Calibri" w:hAnsi="Calibri" w:cs="Calibri"/>
          <w:lang w:eastAsia="en-AU"/>
        </w:rPr>
      </w:pPr>
      <w:r>
        <w:lastRenderedPageBreak/>
        <w:t>This operational guideline is made to provide additional guidance on procedures to be followed when the housing commissioner reviews a tenant’s ongoing eligibility for housing assistance under section 25 of the [Housing Assistance Act] and clause 31 of the [</w:t>
      </w:r>
      <w:r>
        <w:rPr>
          <w:i/>
          <w:iCs/>
        </w:rPr>
        <w:t>Housing Assistance (Public Rental Housing Assistance) Program 2023].</w:t>
      </w:r>
    </w:p>
    <w:p w14:paraId="633FA5EE" w14:textId="36CF9F7E" w:rsidR="00001385" w:rsidRPr="00001385" w:rsidRDefault="00001385" w:rsidP="00811FC8">
      <w:pPr>
        <w:pStyle w:val="ListNumber2"/>
        <w:rPr>
          <w:rFonts w:ascii="Calibri" w:hAnsi="Calibri" w:cs="Calibri"/>
          <w:bCs w:val="0"/>
          <w:lang w:eastAsia="en-AU"/>
        </w:rPr>
      </w:pPr>
      <w:r w:rsidRPr="00001385">
        <w:rPr>
          <w:rFonts w:eastAsia="Times New Roman"/>
          <w:bCs w:val="0"/>
          <w:iCs/>
        </w:rPr>
        <w:t>The third instrument mentioned above is made under subsection 20(1) of the Housing Assistance Act, which allows the housing commissioner to make determinations for a housing assistance plan, including on a ‘relevant matter’, defined (in subsection 20(3)) as:</w:t>
      </w:r>
    </w:p>
    <w:p w14:paraId="3480C46E" w14:textId="77777777" w:rsidR="00001385" w:rsidRDefault="00001385" w:rsidP="00001385">
      <w:pPr>
        <w:pStyle w:val="Quote"/>
      </w:pPr>
      <w:r>
        <w:t>(a)     the review of a person's entitlement to </w:t>
      </w:r>
      <w:hyperlink r:id="rId20" w:anchor="housing_assistance" w:history="1">
        <w:r>
          <w:rPr>
            <w:rStyle w:val="Hyperlink"/>
          </w:rPr>
          <w:t>housing assistance</w:t>
        </w:r>
      </w:hyperlink>
      <w:r>
        <w:t>; or</w:t>
      </w:r>
    </w:p>
    <w:p w14:paraId="4AFC860E" w14:textId="77777777" w:rsidR="00001385" w:rsidRDefault="00001385" w:rsidP="00001385">
      <w:pPr>
        <w:pStyle w:val="Quote"/>
      </w:pPr>
      <w:r>
        <w:t>(b)     requiring a person receiving </w:t>
      </w:r>
      <w:hyperlink r:id="rId21" w:anchor="housing_assistance" w:history="1">
        <w:r>
          <w:rPr>
            <w:rStyle w:val="Hyperlink"/>
          </w:rPr>
          <w:t>housing assistance</w:t>
        </w:r>
      </w:hyperlink>
      <w:r>
        <w:t> to move to alternate premises; or</w:t>
      </w:r>
    </w:p>
    <w:p w14:paraId="15152F27" w14:textId="5B0A0A3D" w:rsidR="00001385" w:rsidRDefault="00001385" w:rsidP="00001385">
      <w:pPr>
        <w:pStyle w:val="Quote"/>
        <w:rPr>
          <w:rFonts w:ascii="Calibri" w:hAnsi="Calibri" w:cs="Calibri"/>
          <w:bCs/>
          <w:lang w:eastAsia="en-AU"/>
        </w:rPr>
      </w:pPr>
      <w:r>
        <w:t> (c)     eligibility for temporary </w:t>
      </w:r>
      <w:hyperlink r:id="rId22" w:anchor="housing_assistance" w:history="1">
        <w:r w:rsidRPr="00001385">
          <w:rPr>
            <w:rStyle w:val="Hyperlink"/>
          </w:rPr>
          <w:t>housing assistance</w:t>
        </w:r>
      </w:hyperlink>
      <w:r>
        <w:t>.</w:t>
      </w:r>
    </w:p>
    <w:p w14:paraId="1C980D70" w14:textId="54813F86" w:rsidR="00001385" w:rsidRPr="00001385" w:rsidRDefault="00001385" w:rsidP="00811FC8">
      <w:pPr>
        <w:pStyle w:val="ListNumber2"/>
        <w:rPr>
          <w:rFonts w:ascii="Calibri" w:hAnsi="Calibri" w:cs="Calibri"/>
          <w:bCs w:val="0"/>
          <w:lang w:eastAsia="en-AU"/>
        </w:rPr>
      </w:pPr>
      <w:r>
        <w:rPr>
          <w:rFonts w:eastAsia="Times New Roman"/>
          <w:bCs w:val="0"/>
          <w:iCs/>
        </w:rPr>
        <w:t>The explanatory statement for the third instrument states that it deals with a ‘relevant matter’, being the review of a person’s entitlement for housing assistance.</w:t>
      </w:r>
      <w:r w:rsidR="0032149C">
        <w:rPr>
          <w:rFonts w:eastAsia="Times New Roman"/>
          <w:bCs w:val="0"/>
          <w:iCs/>
        </w:rPr>
        <w:t xml:space="preserve"> </w:t>
      </w:r>
      <w:r>
        <w:rPr>
          <w:rFonts w:eastAsia="Times New Roman"/>
          <w:bCs w:val="0"/>
          <w:iCs/>
        </w:rPr>
        <w:t>It goes on to state:</w:t>
      </w:r>
    </w:p>
    <w:p w14:paraId="30993182" w14:textId="25549481" w:rsidR="00001385" w:rsidRDefault="00001385" w:rsidP="00001385">
      <w:pPr>
        <w:pStyle w:val="Quote"/>
      </w:pPr>
      <w:r>
        <w:t>Clause 31 of the [</w:t>
      </w:r>
      <w:r>
        <w:rPr>
          <w:i/>
          <w:iCs/>
        </w:rPr>
        <w:t>Housing Assistance (Public Rental Housing Assistance) Program 2023</w:t>
      </w:r>
      <w:r>
        <w:t>] enables the housing commissioner to periodically review the housing assistance provided to tenants.</w:t>
      </w:r>
      <w:r w:rsidR="0032149C">
        <w:t xml:space="preserve"> </w:t>
      </w:r>
      <w:r>
        <w:t>It specifically enables the housing commissioner to withdraw housing assistance provided under the Program where:</w:t>
      </w:r>
    </w:p>
    <w:p w14:paraId="000D1CE6" w14:textId="77777777" w:rsidR="00001385" w:rsidRDefault="00001385" w:rsidP="00001385">
      <w:pPr>
        <w:pStyle w:val="Quote"/>
        <w:numPr>
          <w:ilvl w:val="0"/>
          <w:numId w:val="32"/>
        </w:numPr>
      </w:pPr>
      <w:r>
        <w:t>a tenant’s household income is sufficient for them to access and sustain an alternative tenure; or</w:t>
      </w:r>
    </w:p>
    <w:p w14:paraId="121A60C6" w14:textId="77777777" w:rsidR="00001385" w:rsidRDefault="00001385" w:rsidP="00001385">
      <w:pPr>
        <w:pStyle w:val="Quote"/>
        <w:numPr>
          <w:ilvl w:val="0"/>
          <w:numId w:val="32"/>
        </w:numPr>
      </w:pPr>
      <w:r>
        <w:t xml:space="preserve">a tenant has been absent from the dwelling for a period of 6 months or more. </w:t>
      </w:r>
    </w:p>
    <w:p w14:paraId="654D0B2D" w14:textId="1BA92F6A" w:rsidR="00001385" w:rsidRPr="00001385" w:rsidRDefault="00001385" w:rsidP="00811FC8">
      <w:pPr>
        <w:pStyle w:val="ListNumber2"/>
        <w:rPr>
          <w:rFonts w:ascii="Calibri" w:hAnsi="Calibri" w:cs="Calibri"/>
          <w:bCs w:val="0"/>
          <w:lang w:eastAsia="en-AU"/>
        </w:rPr>
      </w:pPr>
      <w:r>
        <w:rPr>
          <w:rFonts w:eastAsia="Times New Roman"/>
          <w:bCs w:val="0"/>
          <w:iCs/>
        </w:rPr>
        <w:t>It is important to note that the exercise of a power under section 20 or 21, by the housing commissioner, in relation to a ‘relevant matter’ is by disallowable instrument, bringing these instruments within the Committee’s scrutiny jurisdiction.</w:t>
      </w:r>
      <w:r w:rsidR="0032149C">
        <w:rPr>
          <w:rFonts w:eastAsia="Times New Roman"/>
          <w:bCs w:val="0"/>
          <w:iCs/>
        </w:rPr>
        <w:t xml:space="preserve"> </w:t>
      </w:r>
      <w:r>
        <w:rPr>
          <w:rFonts w:eastAsia="Times New Roman"/>
          <w:bCs w:val="0"/>
          <w:iCs/>
        </w:rPr>
        <w:t>Similarly, the approval of a housing assistance program, by the Minister, is by disallowable instrument.</w:t>
      </w:r>
    </w:p>
    <w:p w14:paraId="31F452BC" w14:textId="0AF0E1AD" w:rsidR="00001385" w:rsidRDefault="00001385" w:rsidP="00811FC8">
      <w:pPr>
        <w:pStyle w:val="ListNumber2"/>
        <w:rPr>
          <w:rFonts w:ascii="Calibri" w:hAnsi="Calibri" w:cs="Calibri"/>
          <w:bCs w:val="0"/>
          <w:lang w:eastAsia="en-AU"/>
        </w:rPr>
      </w:pPr>
      <w:r>
        <w:rPr>
          <w:rFonts w:eastAsia="Times New Roman"/>
          <w:bCs w:val="0"/>
          <w:iCs/>
        </w:rPr>
        <w:t>The Committee notes that the explanatory statement for each of the three instruments mentioned above discusses human rights issues.</w:t>
      </w:r>
      <w:r w:rsidR="0032149C">
        <w:rPr>
          <w:rFonts w:eastAsia="Times New Roman"/>
          <w:bCs w:val="0"/>
          <w:iCs/>
        </w:rPr>
        <w:t xml:space="preserve"> </w:t>
      </w:r>
      <w:r>
        <w:rPr>
          <w:rFonts w:eastAsia="Times New Roman"/>
          <w:bCs w:val="0"/>
          <w:iCs/>
        </w:rPr>
        <w:t>The explanatory statement for the first instrument states:</w:t>
      </w:r>
    </w:p>
    <w:p w14:paraId="5866317E" w14:textId="77777777" w:rsidR="00001385" w:rsidRDefault="00001385" w:rsidP="00001385">
      <w:pPr>
        <w:pStyle w:val="Quote"/>
      </w:pPr>
      <w:r>
        <w:t xml:space="preserve">Human Rights </w:t>
      </w:r>
    </w:p>
    <w:p w14:paraId="63858B75" w14:textId="77777777" w:rsidR="00001385" w:rsidRDefault="00001385" w:rsidP="00001385">
      <w:pPr>
        <w:pStyle w:val="Quote"/>
      </w:pPr>
      <w:r>
        <w:t xml:space="preserve">Human right analysis within this explanatory statement deals only with amendments to the Program. </w:t>
      </w:r>
    </w:p>
    <w:p w14:paraId="1543FBCC" w14:textId="77777777" w:rsidR="00001385" w:rsidRDefault="00001385" w:rsidP="00001385">
      <w:pPr>
        <w:pStyle w:val="Quote"/>
      </w:pPr>
      <w:r>
        <w:t xml:space="preserve">This instrument engages the following rights under the </w:t>
      </w:r>
      <w:r>
        <w:rPr>
          <w:i/>
          <w:iCs/>
        </w:rPr>
        <w:t>Human Rights Act 2004</w:t>
      </w:r>
      <w:r>
        <w:t xml:space="preserve"> (HRA). </w:t>
      </w:r>
    </w:p>
    <w:p w14:paraId="6C1F70FC" w14:textId="77777777" w:rsidR="00001385" w:rsidRDefault="00001385" w:rsidP="00001385">
      <w:pPr>
        <w:pStyle w:val="Quote"/>
      </w:pPr>
      <w:r>
        <w:t>•</w:t>
      </w:r>
      <w:r>
        <w:tab/>
        <w:t>Right to recognition and equality before the law (section 8)</w:t>
      </w:r>
    </w:p>
    <w:p w14:paraId="0D3E7660" w14:textId="77777777" w:rsidR="00001385" w:rsidRDefault="00001385" w:rsidP="00001385">
      <w:pPr>
        <w:pStyle w:val="Quote"/>
      </w:pPr>
      <w:r>
        <w:lastRenderedPageBreak/>
        <w:t>•</w:t>
      </w:r>
      <w:r>
        <w:tab/>
        <w:t>Right to the protection of family and children (section 11)</w:t>
      </w:r>
    </w:p>
    <w:p w14:paraId="4B84B7BC" w14:textId="304FFA0C" w:rsidR="00001385" w:rsidRDefault="00001385" w:rsidP="00001385">
      <w:pPr>
        <w:pStyle w:val="Quote"/>
        <w:rPr>
          <w:rFonts w:ascii="Calibri" w:hAnsi="Calibri" w:cs="Calibri"/>
          <w:bCs/>
          <w:lang w:eastAsia="en-AU"/>
        </w:rPr>
      </w:pPr>
      <w:r>
        <w:t>•</w:t>
      </w:r>
      <w:r>
        <w:tab/>
        <w:t>Right to privacy and reputation (section 12).</w:t>
      </w:r>
    </w:p>
    <w:p w14:paraId="2E63B62B" w14:textId="77E60C68" w:rsidR="00001385" w:rsidRPr="00001385" w:rsidRDefault="00001385" w:rsidP="00811FC8">
      <w:pPr>
        <w:pStyle w:val="ListNumber2"/>
        <w:rPr>
          <w:rFonts w:ascii="Calibri" w:hAnsi="Calibri" w:cs="Calibri"/>
          <w:bCs w:val="0"/>
          <w:lang w:eastAsia="en-AU"/>
        </w:rPr>
      </w:pPr>
      <w:r>
        <w:rPr>
          <w:rFonts w:eastAsia="Times New Roman"/>
          <w:bCs w:val="0"/>
          <w:iCs/>
        </w:rPr>
        <w:t>The explanatory statement identifies the power in clause 28 of the Program as limiting a tenant’s right to privacy, by allowing the housing commissioner to require a tenant to transfer to an alternative dwelling:</w:t>
      </w:r>
    </w:p>
    <w:p w14:paraId="5E43AAAD" w14:textId="77777777" w:rsidR="00001385" w:rsidRDefault="00001385" w:rsidP="00001385">
      <w:pPr>
        <w:pStyle w:val="Quote"/>
      </w:pPr>
      <w:r>
        <w:t>•</w:t>
      </w:r>
      <w:r>
        <w:tab/>
        <w:t>where the physical condition of the property is likely to cause harm to the household or the public; or</w:t>
      </w:r>
    </w:p>
    <w:p w14:paraId="64F7A8FB" w14:textId="77777777" w:rsidR="00001385" w:rsidRDefault="00001385" w:rsidP="00001385">
      <w:pPr>
        <w:pStyle w:val="Quote"/>
      </w:pPr>
      <w:r>
        <w:t>•</w:t>
      </w:r>
      <w:r>
        <w:tab/>
        <w:t>in the interests of community harmony; or</w:t>
      </w:r>
    </w:p>
    <w:p w14:paraId="0C1A81E0" w14:textId="77777777" w:rsidR="00001385" w:rsidRDefault="00001385" w:rsidP="00001385">
      <w:pPr>
        <w:pStyle w:val="Quote"/>
      </w:pPr>
      <w:r>
        <w:t>•</w:t>
      </w:r>
      <w:r>
        <w:tab/>
        <w:t>for the purpose of repair, renovation, disposal or redevelopment; or</w:t>
      </w:r>
    </w:p>
    <w:p w14:paraId="6FF515EF" w14:textId="77777777" w:rsidR="00001385" w:rsidRDefault="00001385" w:rsidP="00001385">
      <w:pPr>
        <w:pStyle w:val="Quote"/>
      </w:pPr>
      <w:r>
        <w:t>•</w:t>
      </w:r>
      <w:r>
        <w:tab/>
        <w:t xml:space="preserve">for the efficient use or management of the public housing stock (see. subclause 28(3)). </w:t>
      </w:r>
    </w:p>
    <w:p w14:paraId="4F76E8B1" w14:textId="0F905C51" w:rsidR="00001385" w:rsidRPr="00001385" w:rsidRDefault="00001385" w:rsidP="00811FC8">
      <w:pPr>
        <w:pStyle w:val="ListNumber2"/>
        <w:rPr>
          <w:rFonts w:ascii="Calibri" w:hAnsi="Calibri" w:cs="Calibri"/>
          <w:bCs w:val="0"/>
          <w:lang w:eastAsia="en-AU"/>
        </w:rPr>
      </w:pPr>
      <w:r>
        <w:rPr>
          <w:rFonts w:eastAsia="Times New Roman"/>
          <w:bCs w:val="0"/>
          <w:iCs/>
        </w:rPr>
        <w:t>The explanatory statement goes on:</w:t>
      </w:r>
    </w:p>
    <w:p w14:paraId="30323950" w14:textId="6EA98233" w:rsidR="00001385" w:rsidRDefault="00001385" w:rsidP="00001385">
      <w:pPr>
        <w:pStyle w:val="Quote"/>
        <w:rPr>
          <w:rFonts w:ascii="Calibri" w:hAnsi="Calibri" w:cs="Calibri"/>
          <w:bCs/>
          <w:lang w:eastAsia="en-AU"/>
        </w:rPr>
      </w:pPr>
      <w:r>
        <w:t>The ability to require a transfer for the efficient use of stock is new (i.e. the other grounds to require a transfer existed in the 2013 version of the Program). This amendment may limit a tenant’s right to privacy and home, by creating additional grounds in which the housing commissioner may require a transfer.</w:t>
      </w:r>
    </w:p>
    <w:p w14:paraId="030B9F32" w14:textId="4878508D" w:rsidR="00001385" w:rsidRPr="00001385" w:rsidRDefault="00001385" w:rsidP="00811FC8">
      <w:pPr>
        <w:pStyle w:val="ListNumber2"/>
        <w:rPr>
          <w:rFonts w:ascii="Calibri" w:hAnsi="Calibri" w:cs="Calibri"/>
          <w:bCs w:val="0"/>
          <w:lang w:eastAsia="en-AU"/>
        </w:rPr>
      </w:pPr>
      <w:r>
        <w:rPr>
          <w:rFonts w:eastAsia="Times New Roman"/>
          <w:bCs w:val="0"/>
          <w:iCs/>
        </w:rPr>
        <w:t>A detailed discussion and justification of the limitation of rights follows, including the following:</w:t>
      </w:r>
    </w:p>
    <w:p w14:paraId="396E979E" w14:textId="32F1F8E0" w:rsidR="00CE0019" w:rsidRDefault="00CE0019" w:rsidP="00CE0019">
      <w:pPr>
        <w:pStyle w:val="Quote"/>
      </w:pPr>
      <w:r>
        <w:t>There is a rational connection between allowing the housing commissioner to require a tenant transfer to a property with fewer bedrooms, or other housing with the limitation on the right to privacy and home. Enabling the housing commissioner to require such transfers, ensures a tenant receives an appropriate dwelling to which they are entitled, and to which matches their needs.</w:t>
      </w:r>
    </w:p>
    <w:p w14:paraId="4AB70C2F" w14:textId="2775A1A5" w:rsidR="00001385" w:rsidRDefault="00CE0019" w:rsidP="00CE0019">
      <w:pPr>
        <w:pStyle w:val="Quote"/>
        <w:rPr>
          <w:rFonts w:ascii="Calibri" w:hAnsi="Calibri" w:cs="Calibri"/>
          <w:bCs/>
          <w:lang w:eastAsia="en-AU"/>
        </w:rPr>
      </w:pPr>
      <w:r>
        <w:t>The housing commissioner can request an existing tenant to transfer where the tenant’s household composition or needs change. In this instance, the housing commissioner may request a transfer to a property with fewer bedrooms, in order to re-allocate underutilised stock to eligible applicants on the public housing wait list.</w:t>
      </w:r>
    </w:p>
    <w:p w14:paraId="3FD5DB0B" w14:textId="2E369F6E" w:rsidR="00CE0019" w:rsidRPr="00CE0019" w:rsidRDefault="00CE0019" w:rsidP="00811FC8">
      <w:pPr>
        <w:pStyle w:val="ListNumber2"/>
        <w:rPr>
          <w:rFonts w:ascii="Calibri" w:hAnsi="Calibri" w:cs="Calibri"/>
          <w:bCs w:val="0"/>
          <w:lang w:eastAsia="en-AU"/>
        </w:rPr>
      </w:pPr>
      <w:r>
        <w:rPr>
          <w:rFonts w:eastAsia="Times New Roman"/>
          <w:bCs w:val="0"/>
          <w:iCs/>
        </w:rPr>
        <w:t>The discussion concludes:</w:t>
      </w:r>
    </w:p>
    <w:p w14:paraId="008EFDAE" w14:textId="344BDE40" w:rsidR="00CE0019" w:rsidRPr="00CE0019" w:rsidRDefault="00CE0019" w:rsidP="00CE0019">
      <w:pPr>
        <w:pStyle w:val="Quote"/>
        <w:rPr>
          <w:rFonts w:ascii="Calibri" w:hAnsi="Calibri" w:cs="Calibri"/>
          <w:lang w:eastAsia="en-AU"/>
        </w:rPr>
      </w:pPr>
      <w:r>
        <w:t xml:space="preserve">The effectiveness of the housing assistance program is reliant on the ability for the housing commissioner to manage a limited housing portfolio and ensure that properties allocated under the program and achieving their intended purpose. To enable the effective utilisation of stock and to continue allocating dwellings to people in need on the public housing waitlist, the housing commissioner must have the authority to withdraw or cancel assistance where a tenant is absent. However, the safeguards described above ensure that the tenant’s individual </w:t>
      </w:r>
      <w:r>
        <w:lastRenderedPageBreak/>
        <w:t>circumstances can be considered as well, contributing to the proportionality of this measure.</w:t>
      </w:r>
    </w:p>
    <w:p w14:paraId="5D9A1B82" w14:textId="3108B802" w:rsidR="00CE0019" w:rsidRPr="00CE0019" w:rsidRDefault="00CE0019" w:rsidP="00811FC8">
      <w:pPr>
        <w:pStyle w:val="ListNumber2"/>
        <w:rPr>
          <w:rFonts w:ascii="Calibri" w:hAnsi="Calibri" w:cs="Calibri"/>
          <w:bCs w:val="0"/>
          <w:lang w:eastAsia="en-AU"/>
        </w:rPr>
      </w:pPr>
      <w:r>
        <w:rPr>
          <w:rFonts w:eastAsia="Times New Roman"/>
          <w:bCs w:val="0"/>
          <w:iCs/>
        </w:rPr>
        <w:t>The explanatory statement for the second instrument discusses human rights issues by reference to the same three human rights.</w:t>
      </w:r>
      <w:r w:rsidR="0032149C">
        <w:rPr>
          <w:rFonts w:eastAsia="Times New Roman"/>
          <w:bCs w:val="0"/>
          <w:iCs/>
        </w:rPr>
        <w:t xml:space="preserve"> </w:t>
      </w:r>
      <w:r>
        <w:rPr>
          <w:rFonts w:eastAsia="Times New Roman"/>
          <w:bCs w:val="0"/>
          <w:iCs/>
        </w:rPr>
        <w:t>It states:</w:t>
      </w:r>
    </w:p>
    <w:p w14:paraId="22CADE8B" w14:textId="578B483B" w:rsidR="00CE0019" w:rsidRDefault="00CE0019" w:rsidP="00CE0019">
      <w:pPr>
        <w:pStyle w:val="Quote"/>
      </w:pPr>
      <w:r>
        <w:t>Amendments to the Program and the Determination may limit the right to privacy and home by withdrawing a person’s entitlement to housing assistance.</w:t>
      </w:r>
      <w:r w:rsidR="0032149C">
        <w:t xml:space="preserve"> </w:t>
      </w:r>
      <w:r>
        <w:t>It may limit protection of the family unit if the ability of the family to remain living together in their family home is impacted by the withdrawal of housing assistance. Finally, it may limit and the right to equality before the law as this provision may have a disproportionate impact on certain vulnerable cohorts such as incarcerated people.</w:t>
      </w:r>
    </w:p>
    <w:p w14:paraId="462629C7" w14:textId="2507E4A9" w:rsidR="00CE0019" w:rsidRDefault="00CE0019" w:rsidP="00CE0019">
      <w:pPr>
        <w:pStyle w:val="Quote"/>
        <w:rPr>
          <w:rFonts w:ascii="Calibri" w:hAnsi="Calibri" w:cs="Calibri"/>
          <w:bCs/>
          <w:lang w:eastAsia="en-AU"/>
        </w:rPr>
      </w:pPr>
      <w:r>
        <w:t>This instrument supports the operation of the Program to address inequity of access to housing for disadvantaged groups by allowing the housing commissioner to recover possession of a dwelling if the tenant is found to not be eligible for ongoing housing assistance. The effectiveness of the housing assistance program is reliant on the ability of the housing commissioner to manage a limited housing portfolio and ensure that properties allocated under the Program are used for their intended purpose and provided to eligible people in need.</w:t>
      </w:r>
    </w:p>
    <w:p w14:paraId="26AB23A3" w14:textId="1983E481" w:rsidR="00CE0019" w:rsidRPr="00CE0019" w:rsidRDefault="00CE0019" w:rsidP="00811FC8">
      <w:pPr>
        <w:pStyle w:val="ListNumber2"/>
        <w:rPr>
          <w:rFonts w:ascii="Calibri" w:hAnsi="Calibri" w:cs="Calibri"/>
          <w:bCs w:val="0"/>
          <w:lang w:eastAsia="en-AU"/>
        </w:rPr>
      </w:pPr>
      <w:r>
        <w:rPr>
          <w:rFonts w:eastAsia="Times New Roman"/>
          <w:bCs w:val="0"/>
          <w:iCs/>
        </w:rPr>
        <w:t>After further discussion and justification, the explanatory statement for the second instrument states:</w:t>
      </w:r>
    </w:p>
    <w:p w14:paraId="5534ADAD" w14:textId="77777777" w:rsidR="00CE0019" w:rsidRDefault="00CE0019" w:rsidP="00CE0019">
      <w:pPr>
        <w:pStyle w:val="Quote"/>
      </w:pPr>
      <w:r>
        <w:t xml:space="preserve">The effectiveness of the housing assistance program is reliant on the ability for the housing commissioner to manage a limited housing portfolio and ensure that properties allocated under the program and achieving their intended purpose. </w:t>
      </w:r>
    </w:p>
    <w:p w14:paraId="73E1F13E" w14:textId="6B07D788" w:rsidR="00CE0019" w:rsidRDefault="00CE0019" w:rsidP="00CE0019">
      <w:pPr>
        <w:pStyle w:val="Quote"/>
        <w:rPr>
          <w:rFonts w:ascii="Calibri" w:hAnsi="Calibri" w:cs="Calibri"/>
          <w:bCs/>
          <w:lang w:eastAsia="en-AU"/>
        </w:rPr>
      </w:pPr>
      <w:r>
        <w:t>To enable the effective utilisation of stock and to continue allocating dwellings to people in need on the public housing waitlist, the housing commissioner must have the authority to withdraw or cancel assistance where a tenant is absent. However, safeguards as outlined in this Operational Guideline, ensure that tenant’s individual circumstances can be considered and make clear the rights of the tenant to seek an internal and external review of the housing commissioner’s decision.</w:t>
      </w:r>
    </w:p>
    <w:p w14:paraId="68FDEFCA" w14:textId="407978A9" w:rsidR="00CE0019" w:rsidRPr="00CE0019" w:rsidRDefault="00CE0019" w:rsidP="00811FC8">
      <w:pPr>
        <w:pStyle w:val="ListNumber2"/>
        <w:rPr>
          <w:rFonts w:ascii="Calibri" w:hAnsi="Calibri" w:cs="Calibri"/>
          <w:bCs w:val="0"/>
          <w:lang w:eastAsia="en-AU"/>
        </w:rPr>
      </w:pPr>
      <w:r>
        <w:rPr>
          <w:rFonts w:eastAsia="Times New Roman"/>
          <w:bCs w:val="0"/>
          <w:iCs/>
        </w:rPr>
        <w:t>The explanatory statement for the third instrument mentioned above discusses human rights issues by reference to the same three rights as the first two instruments.</w:t>
      </w:r>
      <w:r w:rsidR="0032149C">
        <w:rPr>
          <w:rFonts w:eastAsia="Times New Roman"/>
          <w:bCs w:val="0"/>
          <w:iCs/>
        </w:rPr>
        <w:t xml:space="preserve"> </w:t>
      </w:r>
      <w:r>
        <w:rPr>
          <w:rFonts w:eastAsia="Times New Roman"/>
          <w:bCs w:val="0"/>
          <w:iCs/>
        </w:rPr>
        <w:t>It identifies clause 31 of the Program as the focus of human rights concerns:</w:t>
      </w:r>
    </w:p>
    <w:p w14:paraId="26D4A862" w14:textId="07F14F34" w:rsidR="00CE0019" w:rsidRDefault="00CE0019" w:rsidP="00CE0019">
      <w:pPr>
        <w:pStyle w:val="Quote"/>
      </w:pPr>
      <w:r>
        <w:t>Clause 31 of the Program enables the housing commissioner to review a tenant’s ongoing entitlement for housing assistance. The clause has been amended to include the ability for the housing commissioner to find, upon review, a tenant is no longer eligible for housing assistance where they have been absent from the dwelling for a period of 6 months or more.</w:t>
      </w:r>
    </w:p>
    <w:p w14:paraId="4F783D94" w14:textId="6271058B" w:rsidR="00CE0019" w:rsidRDefault="00CE0019" w:rsidP="00CE0019">
      <w:pPr>
        <w:pStyle w:val="ListNumber2"/>
      </w:pPr>
      <w:r>
        <w:rPr>
          <w:lang w:eastAsia="en-AU"/>
        </w:rPr>
        <w:t>The explanatory statement goes on:</w:t>
      </w:r>
    </w:p>
    <w:p w14:paraId="53E2D1AB" w14:textId="0026282F" w:rsidR="00CE0019" w:rsidRDefault="00CE0019" w:rsidP="00CE0019">
      <w:pPr>
        <w:pStyle w:val="Quote"/>
      </w:pPr>
      <w:r>
        <w:lastRenderedPageBreak/>
        <w:t>This amendment may limit several rights to privacy and home, protection of the family unit and be indirectly discriminatory. It may limit the right to privacy and home by withdrawing a person’s entitlement to housing assistance and limit protection of the family unit if the ability of the family to remain living together in their family home is impacted by the withdrawal of housing assistance.</w:t>
      </w:r>
      <w:r w:rsidR="0032149C">
        <w:t xml:space="preserve"> </w:t>
      </w:r>
      <w:r>
        <w:t xml:space="preserve">Finally, it may also limit and the right to equality before the law as this provision may have a disproportionate impact on certain vulnerable cohorts such as incarcerated people. </w:t>
      </w:r>
    </w:p>
    <w:p w14:paraId="3F925DE6" w14:textId="77777777" w:rsidR="00CE0019" w:rsidRDefault="00CE0019" w:rsidP="00CE0019">
      <w:pPr>
        <w:pStyle w:val="Quote"/>
      </w:pPr>
      <w:bookmarkStart w:id="117" w:name="_Hlk132890077"/>
      <w:bookmarkStart w:id="118" w:name="_Hlk132895383"/>
      <w:r>
        <w:t>This Determination supports the operation of the Program to address inequity of access to housing for disadvantaged groups by allowing the housing commissioner to recover possession of a dwelling if the tenant is found to not be eligible for ongoing housing assistance.</w:t>
      </w:r>
      <w:bookmarkEnd w:id="117"/>
      <w:r>
        <w:t xml:space="preserve"> The effectiveness of the housing assistance program is reliant on the ability of the housing commissioner to manage a limited housing portfolio and ensure that properties allocated under the Program are used for their intended purpose - to provide assistance to eligible people in need.</w:t>
      </w:r>
    </w:p>
    <w:bookmarkEnd w:id="118"/>
    <w:p w14:paraId="24EE8794" w14:textId="6D2903B0" w:rsidR="00CE0019" w:rsidRPr="00CE0019" w:rsidRDefault="00CE0019" w:rsidP="00CE0019">
      <w:pPr>
        <w:pStyle w:val="Quote"/>
      </w:pPr>
      <w:r>
        <w:t>The Program expands the grounds in which the housing commissioner may find a tenant to be ineligible for ongoing housing assistance. Upon a review of eligibility, the housing commissioner may withdraw or cancel the assistance provided to a tenant who has been absent from their dwelling for a period of 6 months or more (long-term absence).</w:t>
      </w:r>
    </w:p>
    <w:p w14:paraId="5BE550F1" w14:textId="7E5CCDC1" w:rsidR="00CE0019" w:rsidRPr="00CE0019" w:rsidRDefault="00CE0019" w:rsidP="00811FC8">
      <w:pPr>
        <w:pStyle w:val="ListNumber2"/>
        <w:rPr>
          <w:rFonts w:ascii="Calibri" w:hAnsi="Calibri" w:cs="Calibri"/>
          <w:bCs w:val="0"/>
          <w:lang w:eastAsia="en-AU"/>
        </w:rPr>
      </w:pPr>
      <w:r>
        <w:rPr>
          <w:lang w:eastAsia="en-AU"/>
        </w:rPr>
        <w:t>The explanatory statement goes on:</w:t>
      </w:r>
    </w:p>
    <w:p w14:paraId="7CB89D0E" w14:textId="77777777" w:rsidR="00CE0019" w:rsidRDefault="00CE0019" w:rsidP="00CE0019">
      <w:pPr>
        <w:pStyle w:val="Quote"/>
      </w:pPr>
      <w:r>
        <w:t xml:space="preserve">At all times, housing commissioner will take the interests of children into consideration when seeking to withdraw or cancel housing assistance, primarily where the absent tenant is caregiver or kin. Where the withdrawal or cancellation of a tenant’s entitlement to housing assistance may affect the family unit or rights of children, the Program allows for the housing commissioner to provide immediate temporary housing assistance due to a tenancy breakdown for any remaining residents at the dwelling. </w:t>
      </w:r>
    </w:p>
    <w:p w14:paraId="516E0B6F" w14:textId="77777777" w:rsidR="00CE0019" w:rsidRDefault="00CE0019" w:rsidP="00CE0019">
      <w:pPr>
        <w:pStyle w:val="Quote"/>
      </w:pPr>
      <w:r>
        <w:t>As a procedural safeguard, should a tenant disagree with outcome of their eligibility review, they may seek an administrative review process of the housing commissioner’s decision. During a period of review a tenant continues to have the right to occupy the dwelling and receive assistance from the housing commissioner. Consistent with the RTA [presumably ‘</w:t>
      </w:r>
      <w:r>
        <w:rPr>
          <w:i/>
          <w:iCs/>
        </w:rPr>
        <w:t>Residential Tenancies Act 1997</w:t>
      </w:r>
      <w:r>
        <w:t>’] the housing commissioner may only issue a notice to vacate (</w:t>
      </w:r>
      <w:r>
        <w:rPr>
          <w:b/>
          <w:bCs/>
        </w:rPr>
        <w:t>NTV</w:t>
      </w:r>
      <w:r>
        <w:t xml:space="preserve">) under the RTA after a review of the tenant’s entitlement for housing assistance and any administrative review processes have been completed. </w:t>
      </w:r>
    </w:p>
    <w:p w14:paraId="05B98A27" w14:textId="77777777" w:rsidR="00CE0019" w:rsidRDefault="00CE0019" w:rsidP="00CE0019">
      <w:pPr>
        <w:pStyle w:val="Quote"/>
      </w:pPr>
      <w:r>
        <w:t>Further a tenant may seek a review of the housing commissioner’s decision through the Administrative and Civil Tribunal (</w:t>
      </w:r>
      <w:r>
        <w:rPr>
          <w:b/>
          <w:bCs/>
        </w:rPr>
        <w:t>ACAT</w:t>
      </w:r>
      <w:r>
        <w:t>).</w:t>
      </w:r>
    </w:p>
    <w:p w14:paraId="6AA4C973" w14:textId="77777777" w:rsidR="00CE0019" w:rsidRDefault="00CE0019" w:rsidP="00CE0019">
      <w:pPr>
        <w:pStyle w:val="ListNumber2"/>
        <w:rPr>
          <w:b/>
          <w:bCs w:val="0"/>
        </w:rPr>
      </w:pPr>
      <w:r>
        <w:rPr>
          <w:b/>
          <w:bCs w:val="0"/>
          <w:lang w:eastAsia="en-AU"/>
        </w:rPr>
        <w:t>The Committee draws the attention of the Legislative Assembly to the discussion of human rights issues in the explanatory statements for the instruments mentioned above.</w:t>
      </w:r>
    </w:p>
    <w:p w14:paraId="4ED12867" w14:textId="77777777" w:rsidR="00CE0019" w:rsidRDefault="00CE0019" w:rsidP="00CE0019">
      <w:pPr>
        <w:pStyle w:val="ListNumber2"/>
        <w:rPr>
          <w:rFonts w:ascii="Calibri" w:hAnsi="Calibri" w:cs="Calibri"/>
          <w:b/>
          <w:bCs w:val="0"/>
          <w:lang w:eastAsia="en-AU"/>
        </w:rPr>
      </w:pPr>
      <w:r>
        <w:rPr>
          <w:rFonts w:ascii="Calibri" w:hAnsi="Calibri" w:cs="Calibri"/>
          <w:b/>
          <w:bCs w:val="0"/>
          <w:lang w:eastAsia="en-AU"/>
        </w:rPr>
        <w:t>This comment does not require a response from the Minister.</w:t>
      </w:r>
    </w:p>
    <w:p w14:paraId="546786DC" w14:textId="77777777" w:rsidR="009B1965" w:rsidRDefault="00864F2E" w:rsidP="009B1965">
      <w:pPr>
        <w:pStyle w:val="Heading2"/>
      </w:pPr>
      <w:r>
        <w:rPr>
          <w:rFonts w:ascii="Calibri" w:hAnsi="Calibri" w:cs="Calibri"/>
          <w:bCs/>
          <w:lang w:eastAsia="en-AU"/>
        </w:rPr>
        <w:br w:type="page"/>
      </w:r>
      <w:bookmarkStart w:id="119" w:name="_Toc136859081"/>
      <w:r w:rsidR="009B1965">
        <w:lastRenderedPageBreak/>
        <w:t>Government Responses – No Comment</w:t>
      </w:r>
      <w:bookmarkEnd w:id="119"/>
    </w:p>
    <w:p w14:paraId="43BD4BE5" w14:textId="77777777" w:rsidR="009B1965" w:rsidRDefault="009B1965" w:rsidP="009B1965">
      <w:pPr>
        <w:pStyle w:val="ListNumber2"/>
      </w:pPr>
      <w:r>
        <w:t>The Committee received a response to the Committee’s comments on the following instrument and has no further comments:</w:t>
      </w:r>
    </w:p>
    <w:p w14:paraId="501573D9" w14:textId="3BF08748" w:rsidR="009B1965" w:rsidRPr="005B1346" w:rsidRDefault="009B1965" w:rsidP="009B1965">
      <w:pPr>
        <w:pStyle w:val="ListNumber2"/>
        <w:numPr>
          <w:ilvl w:val="2"/>
          <w:numId w:val="3"/>
        </w:numPr>
        <w:rPr>
          <w:b/>
          <w:bCs w:val="0"/>
        </w:rPr>
      </w:pPr>
      <w:r w:rsidRPr="005B1346">
        <w:rPr>
          <w:b/>
          <w:bCs w:val="0"/>
        </w:rPr>
        <w:t xml:space="preserve">Disallowable Instrument </w:t>
      </w:r>
      <w:r w:rsidRPr="009B1965">
        <w:rPr>
          <w:b/>
          <w:bCs w:val="0"/>
          <w:lang w:val="en-US" w:eastAsia="en-AU"/>
        </w:rPr>
        <w:t>DI2023-15</w:t>
      </w:r>
      <w:r>
        <w:rPr>
          <w:lang w:val="en-US" w:eastAsia="en-AU"/>
        </w:rPr>
        <w:t xml:space="preserve"> being the Domestic Animals (Temporary Variation of Prohibited Areas—Glebe Park) Declaration 2023</w:t>
      </w:r>
      <w:r w:rsidRPr="005B1346">
        <w:t>.</w:t>
      </w:r>
    </w:p>
    <w:p w14:paraId="3B5F5D21" w14:textId="77777777" w:rsidR="009B1965" w:rsidRDefault="009B1965" w:rsidP="009B1965">
      <w:pPr>
        <w:pStyle w:val="ListNumber2"/>
      </w:pPr>
      <w:r>
        <w:t xml:space="preserve">This response can be viewed </w:t>
      </w:r>
      <w:hyperlink r:id="rId23" w:anchor="tab1813250-3id" w:history="1">
        <w:r w:rsidRPr="005B1346">
          <w:rPr>
            <w:color w:val="0070C0"/>
            <w:u w:val="single"/>
          </w:rPr>
          <w:t>online</w:t>
        </w:r>
      </w:hyperlink>
      <w:r>
        <w:t xml:space="preserve">. </w:t>
      </w:r>
    </w:p>
    <w:p w14:paraId="7A902CB3" w14:textId="534F7FE7" w:rsidR="009B1965" w:rsidRDefault="009B1965" w:rsidP="00A76A87">
      <w:pPr>
        <w:pStyle w:val="ListNumber2"/>
        <w:rPr>
          <w:lang w:eastAsia="en-AU"/>
        </w:rPr>
      </w:pPr>
      <w:r>
        <w:rPr>
          <w:lang w:eastAsia="en-AU"/>
        </w:rPr>
        <w:t xml:space="preserve">The Committee wishes to thank </w:t>
      </w:r>
      <w:r w:rsidRPr="005B1346">
        <w:rPr>
          <w:lang w:eastAsia="en-AU"/>
        </w:rPr>
        <w:t>the Minister for Transport and City Services for his helpful</w:t>
      </w:r>
      <w:r>
        <w:rPr>
          <w:lang w:eastAsia="en-AU"/>
        </w:rPr>
        <w:t xml:space="preserve"> response.</w:t>
      </w:r>
    </w:p>
    <w:p w14:paraId="2BEA9E21" w14:textId="77777777" w:rsidR="009B1965" w:rsidRDefault="009B1965">
      <w:pPr>
        <w:spacing w:line="259" w:lineRule="auto"/>
      </w:pPr>
      <w:r>
        <w:br w:type="page"/>
      </w:r>
    </w:p>
    <w:p w14:paraId="2C6FAD13" w14:textId="77777777" w:rsidR="00864F2E" w:rsidRDefault="00864F2E" w:rsidP="009B1965">
      <w:pPr>
        <w:spacing w:line="259" w:lineRule="auto"/>
        <w:rPr>
          <w:rFonts w:ascii="Calibri" w:hAnsi="Calibri" w:cs="Calibri"/>
          <w:b/>
          <w:color w:val="000000" w:themeColor="text1"/>
          <w:szCs w:val="20"/>
          <w:lang w:eastAsia="en-AU"/>
        </w:rPr>
      </w:pPr>
    </w:p>
    <w:p w14:paraId="67960E4A" w14:textId="166DBA7D" w:rsidR="001825E5" w:rsidRDefault="00BF3890" w:rsidP="00E20157">
      <w:pPr>
        <w:pStyle w:val="Heading1"/>
      </w:pPr>
      <w:bookmarkStart w:id="120" w:name="_Toc136859082"/>
      <w:bookmarkEnd w:id="94"/>
      <w:bookmarkEnd w:id="96"/>
      <w:r>
        <w:t>Outstanding re</w:t>
      </w:r>
      <w:r w:rsidR="009306BB">
        <w:t>s</w:t>
      </w:r>
      <w:r>
        <w:t>ponses</w:t>
      </w:r>
      <w:bookmarkEnd w:id="120"/>
    </w:p>
    <w:p w14:paraId="2C2D7D4D" w14:textId="2533C6C5" w:rsidR="00BF3890" w:rsidRPr="00C86F23" w:rsidRDefault="00BF3890" w:rsidP="00FD01DA">
      <w:pPr>
        <w:pStyle w:val="Heading2"/>
      </w:pPr>
      <w:bookmarkStart w:id="121" w:name="_Toc505005688"/>
      <w:bookmarkStart w:id="122" w:name="_Toc505153779"/>
      <w:bookmarkStart w:id="123" w:name="_Toc508283444"/>
      <w:bookmarkStart w:id="124" w:name="_Toc510081804"/>
      <w:bookmarkStart w:id="125" w:name="_Toc511812230"/>
      <w:bookmarkStart w:id="126" w:name="_Toc512240173"/>
      <w:bookmarkStart w:id="127" w:name="_Toc513192173"/>
      <w:bookmarkStart w:id="128" w:name="_Toc514832434"/>
      <w:bookmarkStart w:id="129" w:name="_Toc514837980"/>
      <w:bookmarkStart w:id="130" w:name="_Toc514838144"/>
      <w:bookmarkStart w:id="131" w:name="_Toc514943619"/>
      <w:bookmarkStart w:id="132" w:name="_Toc515352064"/>
      <w:bookmarkStart w:id="133" w:name="_Toc518297261"/>
      <w:bookmarkStart w:id="134" w:name="_Toc519520755"/>
      <w:bookmarkStart w:id="135" w:name="_Toc520188735"/>
      <w:bookmarkStart w:id="136" w:name="_Toc521054338"/>
      <w:bookmarkStart w:id="137" w:name="_Toc521054410"/>
      <w:bookmarkStart w:id="138" w:name="_Toc523814181"/>
      <w:bookmarkStart w:id="139" w:name="_Toc523900477"/>
      <w:bookmarkStart w:id="140" w:name="_Toc526855826"/>
      <w:bookmarkStart w:id="141" w:name="_Toc528155854"/>
      <w:bookmarkStart w:id="142" w:name="_Toc528157213"/>
      <w:bookmarkStart w:id="143" w:name="_Toc528310867"/>
      <w:bookmarkStart w:id="144" w:name="_Toc529974547"/>
      <w:bookmarkStart w:id="145" w:name="_Toc530039442"/>
      <w:bookmarkStart w:id="146" w:name="_Toc536527689"/>
      <w:bookmarkStart w:id="147" w:name="_Toc536527863"/>
      <w:bookmarkStart w:id="148" w:name="_Toc536615405"/>
      <w:bookmarkStart w:id="149" w:name="_Toc172184"/>
      <w:bookmarkStart w:id="150" w:name="_Toc506087"/>
      <w:bookmarkStart w:id="151" w:name="_Toc965832"/>
      <w:bookmarkStart w:id="152" w:name="_Toc6211048"/>
      <w:bookmarkStart w:id="153" w:name="_Toc9500017"/>
      <w:bookmarkStart w:id="154" w:name="_Toc14334625"/>
      <w:bookmarkStart w:id="155" w:name="_Toc14775975"/>
      <w:bookmarkStart w:id="156" w:name="_Toc15285040"/>
      <w:bookmarkStart w:id="157" w:name="_Toc15630677"/>
      <w:bookmarkStart w:id="158" w:name="_Toc18415350"/>
      <w:bookmarkStart w:id="159" w:name="_Toc18487717"/>
      <w:bookmarkStart w:id="160" w:name="_Toc19708407"/>
      <w:bookmarkStart w:id="161" w:name="_Toc20131698"/>
      <w:bookmarkStart w:id="162" w:name="_Toc21595465"/>
      <w:bookmarkStart w:id="163" w:name="_Toc22025468"/>
      <w:bookmarkStart w:id="164" w:name="_Toc24463733"/>
      <w:bookmarkStart w:id="165" w:name="_Toc24617731"/>
      <w:bookmarkStart w:id="166" w:name="_Toc25050804"/>
      <w:bookmarkStart w:id="167" w:name="_Toc31202278"/>
      <w:bookmarkStart w:id="168" w:name="_Toc32390211"/>
      <w:bookmarkStart w:id="169" w:name="_Toc32566855"/>
      <w:bookmarkStart w:id="170" w:name="_Toc35437959"/>
      <w:bookmarkStart w:id="171" w:name="_Toc38270552"/>
      <w:bookmarkStart w:id="172" w:name="_Toc38362407"/>
      <w:bookmarkStart w:id="173" w:name="_Toc38442400"/>
      <w:bookmarkStart w:id="174" w:name="_Toc38976339"/>
      <w:bookmarkStart w:id="175" w:name="_Toc40693261"/>
      <w:bookmarkStart w:id="176" w:name="_Toc41570939"/>
      <w:bookmarkStart w:id="177" w:name="_Toc42875016"/>
      <w:bookmarkStart w:id="178" w:name="_Toc44074228"/>
      <w:bookmarkStart w:id="179" w:name="_Toc44323945"/>
      <w:bookmarkStart w:id="180" w:name="_Toc80613276"/>
      <w:bookmarkStart w:id="181" w:name="_Toc80701782"/>
      <w:bookmarkStart w:id="182" w:name="_Toc83302237"/>
      <w:bookmarkStart w:id="183" w:name="_Toc86229569"/>
      <w:bookmarkStart w:id="184" w:name="_Toc88029471"/>
      <w:bookmarkStart w:id="185" w:name="_Toc136859083"/>
      <w:r w:rsidRPr="00C86F23">
        <w:t>Bills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33170E65" w14:textId="77777777" w:rsidR="00196FAB" w:rsidRPr="00C86F23" w:rsidRDefault="00196FAB" w:rsidP="00196FAB">
      <w:pPr>
        <w:pStyle w:val="Heading3"/>
      </w:pPr>
      <w:bookmarkStart w:id="186" w:name="_Toc130810366"/>
      <w:bookmarkStart w:id="187" w:name="_Toc136859084"/>
      <w:r w:rsidRPr="00C86F23">
        <w:t>Report 12, dated 1 February 2022</w:t>
      </w:r>
      <w:bookmarkEnd w:id="186"/>
      <w:bookmarkEnd w:id="187"/>
    </w:p>
    <w:p w14:paraId="169001AD" w14:textId="77777777" w:rsidR="00196FAB" w:rsidRPr="00C86F23" w:rsidRDefault="00196FAB" w:rsidP="00196FAB">
      <w:pPr>
        <w:pStyle w:val="Heading4"/>
      </w:pPr>
      <w:r w:rsidRPr="00C86F23">
        <w:t xml:space="preserve">Bills </w:t>
      </w:r>
    </w:p>
    <w:p w14:paraId="2D9CFA2E" w14:textId="77777777" w:rsidR="00196FAB" w:rsidRPr="00C86F23" w:rsidRDefault="00196FAB" w:rsidP="00196FAB">
      <w:pPr>
        <w:pStyle w:val="ListBullet2"/>
        <w:numPr>
          <w:ilvl w:val="0"/>
          <w:numId w:val="6"/>
        </w:numPr>
        <w:spacing w:line="280" w:lineRule="auto"/>
      </w:pPr>
      <w:r w:rsidRPr="00C86F23">
        <w:t>Electoral Amendment Bill 2021</w:t>
      </w:r>
    </w:p>
    <w:p w14:paraId="2F724E60" w14:textId="77777777" w:rsidR="00C86F23" w:rsidRDefault="00C86F23" w:rsidP="009B1965">
      <w:pPr>
        <w:pStyle w:val="Heading3"/>
        <w:spacing w:before="240"/>
      </w:pPr>
      <w:bookmarkStart w:id="188" w:name="_Toc136859085"/>
      <w:r>
        <w:t>Report 28, dated 3 May 2023</w:t>
      </w:r>
      <w:bookmarkEnd w:id="188"/>
    </w:p>
    <w:p w14:paraId="4F358095" w14:textId="77777777" w:rsidR="00C86F23" w:rsidRDefault="00C86F23" w:rsidP="00C86F23">
      <w:pPr>
        <w:pStyle w:val="Heading4"/>
      </w:pPr>
      <w:r>
        <w:t>Bills</w:t>
      </w:r>
    </w:p>
    <w:p w14:paraId="5292A773" w14:textId="77777777" w:rsidR="00C86F23" w:rsidRDefault="00C86F23" w:rsidP="00C86F23">
      <w:pPr>
        <w:pStyle w:val="ListBullet2"/>
        <w:numPr>
          <w:ilvl w:val="0"/>
          <w:numId w:val="6"/>
        </w:numPr>
        <w:spacing w:line="280" w:lineRule="auto"/>
      </w:pPr>
      <w:r w:rsidRPr="00D57347">
        <w:t>Human Rights Commission Amendment Bill 2023</w:t>
      </w:r>
    </w:p>
    <w:p w14:paraId="5F2EC004" w14:textId="77777777" w:rsidR="00C86F23" w:rsidRPr="00D57347" w:rsidRDefault="00C86F23" w:rsidP="00C86F23">
      <w:pPr>
        <w:pStyle w:val="ListBullet2"/>
        <w:numPr>
          <w:ilvl w:val="0"/>
          <w:numId w:val="6"/>
        </w:numPr>
        <w:spacing w:line="280" w:lineRule="auto"/>
      </w:pPr>
      <w:r>
        <w:t>Modern Slavery Legislation Amendment Bill 2023</w:t>
      </w:r>
    </w:p>
    <w:p w14:paraId="1B03F0A5" w14:textId="77777777" w:rsidR="00A30D50" w:rsidRDefault="00A30D50" w:rsidP="009B1965">
      <w:pPr>
        <w:pStyle w:val="Heading3"/>
        <w:spacing w:before="240"/>
      </w:pPr>
      <w:bookmarkStart w:id="189" w:name="_Toc136859086"/>
      <w:r>
        <w:t>Report 29, dated 23 May 2023</w:t>
      </w:r>
      <w:bookmarkEnd w:id="189"/>
    </w:p>
    <w:p w14:paraId="0133B82C" w14:textId="77777777" w:rsidR="00A30D50" w:rsidRDefault="00A30D50" w:rsidP="00A30D50">
      <w:pPr>
        <w:pStyle w:val="Heading4"/>
      </w:pPr>
      <w:r>
        <w:t>Bills</w:t>
      </w:r>
    </w:p>
    <w:p w14:paraId="382D1560" w14:textId="77777777" w:rsidR="00A30D50" w:rsidRDefault="00A30D50" w:rsidP="00A30D50">
      <w:pPr>
        <w:pStyle w:val="ListBullet2"/>
        <w:numPr>
          <w:ilvl w:val="0"/>
          <w:numId w:val="6"/>
        </w:numPr>
        <w:spacing w:line="280" w:lineRule="auto"/>
      </w:pPr>
      <w:r>
        <w:t>Biosecurity</w:t>
      </w:r>
      <w:r w:rsidRPr="00D57347">
        <w:t xml:space="preserve"> Bill 2023</w:t>
      </w:r>
    </w:p>
    <w:p w14:paraId="0BC7CA8C" w14:textId="77777777" w:rsidR="00A30D50" w:rsidRDefault="00A30D50" w:rsidP="00A30D50">
      <w:pPr>
        <w:pStyle w:val="ListBullet2"/>
        <w:numPr>
          <w:ilvl w:val="0"/>
          <w:numId w:val="6"/>
        </w:numPr>
        <w:spacing w:line="280" w:lineRule="auto"/>
      </w:pPr>
      <w:r>
        <w:t>Justice (Age of Criminal Responsibility) Legislation Amendment Bill 2023</w:t>
      </w:r>
    </w:p>
    <w:p w14:paraId="679974F4" w14:textId="3C959282" w:rsidR="00EB3179" w:rsidRDefault="00EB3179" w:rsidP="00BF3890"/>
    <w:p w14:paraId="06511F62" w14:textId="79FBD518" w:rsidR="00186961" w:rsidRDefault="00186961" w:rsidP="00186961"/>
    <w:p w14:paraId="4D2B0383" w14:textId="301558D7" w:rsidR="00BA3F12" w:rsidRDefault="00BA3F12" w:rsidP="00186961"/>
    <w:p w14:paraId="3DFDED66" w14:textId="77777777" w:rsidR="00C72ADD" w:rsidRDefault="00C72ADD" w:rsidP="00186961"/>
    <w:p w14:paraId="712DA088" w14:textId="77777777" w:rsidR="00186961" w:rsidRDefault="00186961" w:rsidP="00186961">
      <w:pPr>
        <w:spacing w:after="0" w:line="240" w:lineRule="auto"/>
      </w:pPr>
      <w:r>
        <w:t xml:space="preserve">Peter Cain MLA </w:t>
      </w:r>
    </w:p>
    <w:p w14:paraId="7E746881" w14:textId="43135A4B" w:rsidR="00186961" w:rsidRDefault="00186961" w:rsidP="00186961">
      <w:pPr>
        <w:spacing w:after="0" w:line="240" w:lineRule="auto"/>
      </w:pPr>
      <w:r>
        <w:t xml:space="preserve">Chair </w:t>
      </w:r>
    </w:p>
    <w:p w14:paraId="1F9D3E0E" w14:textId="5F07DB18" w:rsidR="001D2063" w:rsidRPr="00EB3179" w:rsidRDefault="009306BB" w:rsidP="00BF3890">
      <w:r>
        <w:t xml:space="preserve">   </w:t>
      </w:r>
      <w:r w:rsidR="00A30D50">
        <w:t>June</w:t>
      </w:r>
      <w:r w:rsidR="00186961">
        <w:t xml:space="preserve"> 202</w:t>
      </w:r>
      <w:r w:rsidR="00684FCA">
        <w:t>3</w:t>
      </w:r>
    </w:p>
    <w:sectPr w:rsidR="001D2063" w:rsidRPr="00EB3179" w:rsidSect="00603367">
      <w:footerReference w:type="even" r:id="rId24"/>
      <w:footerReference w:type="default" r:id="rId2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A410909-56A9-4A38-A30C-142D52507A25}"/>
    <w:embedBold r:id="rId2" w:fontKey="{AEDDEB1A-A018-4ECF-9F4A-3E881B7537B5}"/>
    <w:embedItalic r:id="rId3" w:fontKey="{F2C6B51F-2AF0-4D4F-BF14-AE29AB388418}"/>
    <w:embedBoldItalic r:id="rId4" w:fontKey="{0FE92CD6-95D4-45B3-9701-6994E4C61C1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95F80017-88E3-48E7-9F72-CC12DDBEAB3E}"/>
    <w:embedBold r:id="rId6" w:fontKey="{0972DE0F-BFFA-469F-A6A8-2536E3DA2812}"/>
  </w:font>
  <w:font w:name="Montserrat SemiBold">
    <w:altName w:val="Calibri"/>
    <w:panose1 w:val="00000700000000000000"/>
    <w:charset w:val="00"/>
    <w:family w:val="auto"/>
    <w:pitch w:val="variable"/>
    <w:sig w:usb0="2000020F" w:usb1="00000003" w:usb2="00000000" w:usb3="00000000" w:csb0="00000197" w:csb1="00000000"/>
    <w:embedRegular r:id="rId7" w:fontKey="{4D415F49-E7D1-4346-8D17-AA65E5D45858}"/>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embedRegular r:id="rId8" w:subsetted="1" w:fontKey="{5B57CF7D-0E83-4760-8153-3B3C3A974BD2}"/>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4210C96B"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E96DA9">
      <w:rPr>
        <w:rFonts w:ascii="Montserrat SemiBold" w:hAnsi="Montserrat SemiBold" w:cstheme="majorHAnsi"/>
        <w:noProof/>
        <w:color w:val="2F5496"/>
        <w:w w:val="90"/>
        <w:sz w:val="18"/>
        <w:szCs w:val="18"/>
      </w:rPr>
      <w:t>Scrutiny Report 30</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25555379"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25F61">
      <w:rPr>
        <w:rFonts w:ascii="Montserrat SemiBold" w:hAnsi="Montserrat SemiBold" w:cstheme="majorHAnsi"/>
        <w:noProof/>
        <w:color w:val="2F5496"/>
        <w:w w:val="90"/>
        <w:sz w:val="18"/>
        <w:szCs w:val="18"/>
      </w:rPr>
      <w:t>Scrutiny Report 29</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46B4DE41"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E96DA9">
      <w:rPr>
        <w:rFonts w:cstheme="minorHAnsi"/>
        <w:noProof/>
        <w:color w:val="404040" w:themeColor="text1" w:themeTint="BF"/>
      </w:rPr>
      <w:t>Standing Committee on Justice and Community Safety (Legislative Scrutiny Role)</w:t>
    </w:r>
    <w:r w:rsidR="00E96DA9">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3A3F94BC" w:rsidR="00836FFE" w:rsidRPr="00C8358A" w:rsidRDefault="00F72960"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4658D5E3"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A76A87">
      <w:rPr>
        <w:rFonts w:cstheme="minorHAnsi"/>
        <w:noProof/>
        <w:color w:val="404040" w:themeColor="text1" w:themeTint="BF"/>
      </w:rPr>
      <w:t>June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400A8CFA"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96DA9">
      <w:rPr>
        <w:rFonts w:ascii="Montserrat SemiBold" w:hAnsi="Montserrat SemiBold" w:cstheme="majorHAnsi"/>
        <w:noProof/>
        <w:color w:val="2F5496"/>
        <w:w w:val="90"/>
        <w:sz w:val="18"/>
        <w:szCs w:val="18"/>
      </w:rPr>
      <w:t>Scrutiny Report 30</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75DB03CB"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96DA9">
      <w:rPr>
        <w:rFonts w:ascii="Montserrat SemiBold" w:hAnsi="Montserrat SemiBold" w:cstheme="majorHAnsi"/>
        <w:noProof/>
        <w:color w:val="2F5496"/>
        <w:w w:val="90"/>
        <w:sz w:val="18"/>
        <w:szCs w:val="18"/>
      </w:rPr>
      <w:t>Scrutiny Report 30</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1A744506"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96DA9">
      <w:rPr>
        <w:rFonts w:ascii="Montserrat SemiBold" w:hAnsi="Montserrat SemiBold" w:cstheme="majorHAnsi"/>
        <w:noProof/>
        <w:color w:val="2F5496"/>
        <w:w w:val="90"/>
        <w:sz w:val="18"/>
        <w:szCs w:val="18"/>
      </w:rPr>
      <w:t>Scrutiny Report 30</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4ED259CB" w14:textId="77777777" w:rsidR="00B170F4" w:rsidRDefault="00B170F4" w:rsidP="00B170F4">
      <w:pPr>
        <w:pStyle w:val="FootnoteText"/>
        <w:spacing w:before="120"/>
      </w:pPr>
      <w:r>
        <w:rPr>
          <w:rStyle w:val="FootnoteReference"/>
        </w:rPr>
        <w:footnoteRef/>
      </w:r>
      <w:r>
        <w:t xml:space="preserve"> </w:t>
      </w:r>
      <w:hyperlink r:id="rId1" w:history="1">
        <w:r>
          <w:rPr>
            <w:rStyle w:val="Hyperlink"/>
            <w:szCs w:val="18"/>
          </w:rPr>
          <w:t>https://www.parliament.act.gov.au/__data/assets/pdf_file/0007/434347/Subordinate-Legislation-Technical-and-Stylistic-Standards-Revised-March-2022.pdf</w:t>
        </w:r>
      </w:hyperlink>
      <w:r>
        <w:rPr>
          <w:color w:val="000000"/>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CFDEB" w14:textId="77777777" w:rsidR="00E96DA9" w:rsidRDefault="00E96D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6F74B" w14:textId="77777777" w:rsidR="00E96DA9" w:rsidRDefault="00E96D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D20D4D8"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715BD3"/>
    <w:multiLevelType w:val="multilevel"/>
    <w:tmpl w:val="44806D12"/>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4" w15:restartNumberingAfterBreak="0">
    <w:nsid w:val="1E445C3A"/>
    <w:multiLevelType w:val="hybridMultilevel"/>
    <w:tmpl w:val="96582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BA75B3"/>
    <w:multiLevelType w:val="hybridMultilevel"/>
    <w:tmpl w:val="6352A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AD4CDA"/>
    <w:multiLevelType w:val="hybridMultilevel"/>
    <w:tmpl w:val="43D0CE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BD7F31"/>
    <w:multiLevelType w:val="hybridMultilevel"/>
    <w:tmpl w:val="FB023848"/>
    <w:lvl w:ilvl="0" w:tplc="CBA4CEB2">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8" w15:restartNumberingAfterBreak="0">
    <w:nsid w:val="29F675F9"/>
    <w:multiLevelType w:val="hybridMultilevel"/>
    <w:tmpl w:val="CC242506"/>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96092C"/>
    <w:multiLevelType w:val="hybridMultilevel"/>
    <w:tmpl w:val="39EA217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42C94E40"/>
    <w:multiLevelType w:val="hybridMultilevel"/>
    <w:tmpl w:val="AB6CFC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D5018F"/>
    <w:multiLevelType w:val="multilevel"/>
    <w:tmpl w:val="62107DBC"/>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lvl>
    <w:lvl w:ilvl="3">
      <w:start w:val="1"/>
      <w:numFmt w:val="lowerRoman"/>
      <w:lvlText w:val="%4)"/>
      <w:lvlJc w:val="left"/>
      <w:pPr>
        <w:ind w:left="1985" w:hanging="567"/>
      </w:pPr>
    </w:lvl>
    <w:lvl w:ilvl="4">
      <w:start w:val="1"/>
      <w:numFmt w:val="decimal"/>
      <w:lvlText w:val="%5)"/>
      <w:lvlJc w:val="left"/>
      <w:pPr>
        <w:ind w:left="2552" w:hanging="567"/>
      </w:pPr>
    </w:lvl>
    <w:lvl w:ilvl="5">
      <w:start w:val="1"/>
      <w:numFmt w:val="upperLetter"/>
      <w:lvlText w:val="%6)"/>
      <w:lvlJc w:val="left"/>
      <w:pPr>
        <w:ind w:left="3119" w:hanging="567"/>
      </w:pPr>
    </w:lvl>
    <w:lvl w:ilvl="6">
      <w:start w:val="1"/>
      <w:numFmt w:val="upperRoman"/>
      <w:lvlText w:val="%7)"/>
      <w:lvlJc w:val="left"/>
      <w:pPr>
        <w:ind w:left="3686" w:hanging="567"/>
      </w:pPr>
    </w:lvl>
    <w:lvl w:ilvl="7">
      <w:start w:val="1"/>
      <w:numFmt w:val="none"/>
      <w:lvlText w:val=""/>
      <w:lvlJc w:val="left"/>
      <w:pPr>
        <w:ind w:left="1701" w:hanging="1701"/>
      </w:pPr>
    </w:lvl>
    <w:lvl w:ilvl="8">
      <w:start w:val="1"/>
      <w:numFmt w:val="none"/>
      <w:lvlText w:val=""/>
      <w:lvlJc w:val="left"/>
      <w:pPr>
        <w:ind w:left="1701" w:hanging="1701"/>
      </w:pPr>
    </w:lvl>
  </w:abstractNum>
  <w:abstractNum w:abstractNumId="13" w15:restartNumberingAfterBreak="0">
    <w:nsid w:val="5C155AFC"/>
    <w:multiLevelType w:val="multilevel"/>
    <w:tmpl w:val="BB4E128A"/>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4"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B6854BC"/>
    <w:multiLevelType w:val="hybridMultilevel"/>
    <w:tmpl w:val="2020C412"/>
    <w:lvl w:ilvl="0" w:tplc="5AC24A6A">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6" w15:restartNumberingAfterBreak="0">
    <w:nsid w:val="70C62DE1"/>
    <w:multiLevelType w:val="hybridMultilevel"/>
    <w:tmpl w:val="BC0CC866"/>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cs="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cs="Courier New" w:hint="default"/>
      </w:rPr>
    </w:lvl>
    <w:lvl w:ilvl="8" w:tplc="0C090005">
      <w:start w:val="1"/>
      <w:numFmt w:val="bullet"/>
      <w:lvlText w:val=""/>
      <w:lvlJc w:val="left"/>
      <w:pPr>
        <w:ind w:left="7614" w:hanging="360"/>
      </w:pPr>
      <w:rPr>
        <w:rFonts w:ascii="Wingdings" w:hAnsi="Wingdings" w:hint="default"/>
      </w:rPr>
    </w:lvl>
  </w:abstractNum>
  <w:num w:numId="1" w16cid:durableId="967861297">
    <w:abstractNumId w:val="1"/>
  </w:num>
  <w:num w:numId="2" w16cid:durableId="404229888">
    <w:abstractNumId w:val="11"/>
  </w:num>
  <w:num w:numId="3" w16cid:durableId="1209992874">
    <w:abstractNumId w:val="13"/>
  </w:num>
  <w:num w:numId="4" w16cid:durableId="468671968">
    <w:abstractNumId w:val="4"/>
  </w:num>
  <w:num w:numId="5" w16cid:durableId="1935699779">
    <w:abstractNumId w:val="6"/>
  </w:num>
  <w:num w:numId="6" w16cid:durableId="1991590714">
    <w:abstractNumId w:val="8"/>
  </w:num>
  <w:num w:numId="7" w16cid:durableId="417486762">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6817829">
    <w:abstractNumId w:val="5"/>
  </w:num>
  <w:num w:numId="9" w16cid:durableId="1389957681">
    <w:abstractNumId w:val="12"/>
  </w:num>
  <w:num w:numId="10" w16cid:durableId="498693074">
    <w:abstractNumId w:val="3"/>
  </w:num>
  <w:num w:numId="11" w16cid:durableId="16557938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48273214">
    <w:abstractNumId w:val="9"/>
  </w:num>
  <w:num w:numId="13" w16cid:durableId="237638333">
    <w:abstractNumId w:val="1"/>
  </w:num>
  <w:num w:numId="14" w16cid:durableId="1323007012">
    <w:abstractNumId w:val="1"/>
  </w:num>
  <w:num w:numId="15" w16cid:durableId="390035667">
    <w:abstractNumId w:val="1"/>
  </w:num>
  <w:num w:numId="16" w16cid:durableId="930773291">
    <w:abstractNumId w:val="1"/>
  </w:num>
  <w:num w:numId="17" w16cid:durableId="119691845">
    <w:abstractNumId w:val="1"/>
  </w:num>
  <w:num w:numId="18" w16cid:durableId="1539077652">
    <w:abstractNumId w:val="1"/>
  </w:num>
  <w:num w:numId="19" w16cid:durableId="870842378">
    <w:abstractNumId w:val="1"/>
  </w:num>
  <w:num w:numId="20" w16cid:durableId="1687634903">
    <w:abstractNumId w:val="1"/>
  </w:num>
  <w:num w:numId="21" w16cid:durableId="1425567729">
    <w:abstractNumId w:val="1"/>
  </w:num>
  <w:num w:numId="22" w16cid:durableId="1290165982">
    <w:abstractNumId w:val="1"/>
  </w:num>
  <w:num w:numId="23" w16cid:durableId="2013481572">
    <w:abstractNumId w:val="0"/>
  </w:num>
  <w:num w:numId="24" w16cid:durableId="328867211">
    <w:abstractNumId w:val="15"/>
  </w:num>
  <w:num w:numId="25" w16cid:durableId="23291419">
    <w:abstractNumId w:val="1"/>
  </w:num>
  <w:num w:numId="26" w16cid:durableId="1022589855">
    <w:abstractNumId w:val="1"/>
  </w:num>
  <w:num w:numId="27" w16cid:durableId="411896627">
    <w:abstractNumId w:val="1"/>
  </w:num>
  <w:num w:numId="28" w16cid:durableId="1141576083">
    <w:abstractNumId w:val="7"/>
  </w:num>
  <w:num w:numId="29" w16cid:durableId="1180850453">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7511864">
    <w:abstractNumId w:val="1"/>
  </w:num>
  <w:num w:numId="31" w16cid:durableId="1548369622">
    <w:abstractNumId w:val="16"/>
  </w:num>
  <w:num w:numId="32" w16cid:durableId="1349680584">
    <w:abstractNumId w:val="10"/>
  </w:num>
  <w:num w:numId="33" w16cid:durableId="947002704">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1385"/>
    <w:rsid w:val="00012A01"/>
    <w:rsid w:val="00024F1A"/>
    <w:rsid w:val="00030FBC"/>
    <w:rsid w:val="00034056"/>
    <w:rsid w:val="00047DD3"/>
    <w:rsid w:val="00056855"/>
    <w:rsid w:val="0006752F"/>
    <w:rsid w:val="0007046A"/>
    <w:rsid w:val="00070E76"/>
    <w:rsid w:val="000C6DDC"/>
    <w:rsid w:val="000F42DF"/>
    <w:rsid w:val="00121179"/>
    <w:rsid w:val="00123781"/>
    <w:rsid w:val="00142406"/>
    <w:rsid w:val="0014714E"/>
    <w:rsid w:val="00156E52"/>
    <w:rsid w:val="00172FBB"/>
    <w:rsid w:val="001738A0"/>
    <w:rsid w:val="00173A66"/>
    <w:rsid w:val="0018105F"/>
    <w:rsid w:val="001825E5"/>
    <w:rsid w:val="001846C9"/>
    <w:rsid w:val="0018634C"/>
    <w:rsid w:val="00186961"/>
    <w:rsid w:val="001905E4"/>
    <w:rsid w:val="001929A7"/>
    <w:rsid w:val="0019545D"/>
    <w:rsid w:val="00196AD1"/>
    <w:rsid w:val="00196FAB"/>
    <w:rsid w:val="001A220B"/>
    <w:rsid w:val="001A2EDD"/>
    <w:rsid w:val="001A529E"/>
    <w:rsid w:val="001B13A0"/>
    <w:rsid w:val="001B2507"/>
    <w:rsid w:val="001B2622"/>
    <w:rsid w:val="001B3C02"/>
    <w:rsid w:val="001C13BE"/>
    <w:rsid w:val="001C7708"/>
    <w:rsid w:val="001D10CD"/>
    <w:rsid w:val="001D2063"/>
    <w:rsid w:val="001D22FC"/>
    <w:rsid w:val="001D737A"/>
    <w:rsid w:val="001F30D0"/>
    <w:rsid w:val="00205761"/>
    <w:rsid w:val="002101BE"/>
    <w:rsid w:val="00214315"/>
    <w:rsid w:val="00216BB7"/>
    <w:rsid w:val="0023239C"/>
    <w:rsid w:val="00250DD6"/>
    <w:rsid w:val="002A0C7F"/>
    <w:rsid w:val="002A33D1"/>
    <w:rsid w:val="002A5B08"/>
    <w:rsid w:val="002B4077"/>
    <w:rsid w:val="002B6F86"/>
    <w:rsid w:val="002C0BBA"/>
    <w:rsid w:val="002E6083"/>
    <w:rsid w:val="0032149C"/>
    <w:rsid w:val="00323C69"/>
    <w:rsid w:val="00344DF6"/>
    <w:rsid w:val="00362801"/>
    <w:rsid w:val="0036775A"/>
    <w:rsid w:val="003824EA"/>
    <w:rsid w:val="00387938"/>
    <w:rsid w:val="00396940"/>
    <w:rsid w:val="003C3CF9"/>
    <w:rsid w:val="003D6126"/>
    <w:rsid w:val="00402758"/>
    <w:rsid w:val="004108F2"/>
    <w:rsid w:val="00425F61"/>
    <w:rsid w:val="004508F1"/>
    <w:rsid w:val="00456DCF"/>
    <w:rsid w:val="0045759B"/>
    <w:rsid w:val="004608D6"/>
    <w:rsid w:val="0046189E"/>
    <w:rsid w:val="00471E8B"/>
    <w:rsid w:val="00483210"/>
    <w:rsid w:val="004E40B6"/>
    <w:rsid w:val="004E5149"/>
    <w:rsid w:val="00510D89"/>
    <w:rsid w:val="0051686C"/>
    <w:rsid w:val="00525DDB"/>
    <w:rsid w:val="00525ED8"/>
    <w:rsid w:val="0053759F"/>
    <w:rsid w:val="005622C3"/>
    <w:rsid w:val="005B1346"/>
    <w:rsid w:val="005D0971"/>
    <w:rsid w:val="005D1067"/>
    <w:rsid w:val="00603039"/>
    <w:rsid w:val="00603367"/>
    <w:rsid w:val="006043AE"/>
    <w:rsid w:val="00623507"/>
    <w:rsid w:val="00624316"/>
    <w:rsid w:val="006323F8"/>
    <w:rsid w:val="0064416A"/>
    <w:rsid w:val="00647E8B"/>
    <w:rsid w:val="006718E3"/>
    <w:rsid w:val="0068014A"/>
    <w:rsid w:val="00684FCA"/>
    <w:rsid w:val="0068593C"/>
    <w:rsid w:val="006A4F70"/>
    <w:rsid w:val="006A7A61"/>
    <w:rsid w:val="006B28A8"/>
    <w:rsid w:val="006C194B"/>
    <w:rsid w:val="006D1243"/>
    <w:rsid w:val="006E1E47"/>
    <w:rsid w:val="006F04A2"/>
    <w:rsid w:val="00700A3A"/>
    <w:rsid w:val="0074595F"/>
    <w:rsid w:val="007469DE"/>
    <w:rsid w:val="00751514"/>
    <w:rsid w:val="00751998"/>
    <w:rsid w:val="00757C24"/>
    <w:rsid w:val="00763C40"/>
    <w:rsid w:val="00777CC8"/>
    <w:rsid w:val="0078151A"/>
    <w:rsid w:val="00783B5C"/>
    <w:rsid w:val="00792238"/>
    <w:rsid w:val="00792CC2"/>
    <w:rsid w:val="00792E03"/>
    <w:rsid w:val="007959F7"/>
    <w:rsid w:val="007A6EB9"/>
    <w:rsid w:val="007A7A8B"/>
    <w:rsid w:val="007C1747"/>
    <w:rsid w:val="007C371D"/>
    <w:rsid w:val="007C3F24"/>
    <w:rsid w:val="007F4C62"/>
    <w:rsid w:val="00804756"/>
    <w:rsid w:val="00811FC8"/>
    <w:rsid w:val="0083141E"/>
    <w:rsid w:val="00836FFE"/>
    <w:rsid w:val="008379EB"/>
    <w:rsid w:val="00855AA7"/>
    <w:rsid w:val="00864F2E"/>
    <w:rsid w:val="00867AAF"/>
    <w:rsid w:val="00877A94"/>
    <w:rsid w:val="00894462"/>
    <w:rsid w:val="008A6130"/>
    <w:rsid w:val="008B0877"/>
    <w:rsid w:val="008B350E"/>
    <w:rsid w:val="008B6C91"/>
    <w:rsid w:val="008C6AB7"/>
    <w:rsid w:val="008D72C9"/>
    <w:rsid w:val="008E750D"/>
    <w:rsid w:val="008F6D17"/>
    <w:rsid w:val="00917B49"/>
    <w:rsid w:val="009276CD"/>
    <w:rsid w:val="009306BB"/>
    <w:rsid w:val="009350F2"/>
    <w:rsid w:val="0094145F"/>
    <w:rsid w:val="00956C6E"/>
    <w:rsid w:val="009661FD"/>
    <w:rsid w:val="00976637"/>
    <w:rsid w:val="009823E6"/>
    <w:rsid w:val="00992CD2"/>
    <w:rsid w:val="009A2EDC"/>
    <w:rsid w:val="009B1965"/>
    <w:rsid w:val="009B4EFF"/>
    <w:rsid w:val="009C2830"/>
    <w:rsid w:val="009F3C9C"/>
    <w:rsid w:val="009F40CC"/>
    <w:rsid w:val="009F5A83"/>
    <w:rsid w:val="00A05604"/>
    <w:rsid w:val="00A070D4"/>
    <w:rsid w:val="00A07946"/>
    <w:rsid w:val="00A146A0"/>
    <w:rsid w:val="00A15179"/>
    <w:rsid w:val="00A16FB2"/>
    <w:rsid w:val="00A17F80"/>
    <w:rsid w:val="00A217C6"/>
    <w:rsid w:val="00A23A3E"/>
    <w:rsid w:val="00A30D50"/>
    <w:rsid w:val="00A443AB"/>
    <w:rsid w:val="00A52C2C"/>
    <w:rsid w:val="00A67677"/>
    <w:rsid w:val="00A71EFF"/>
    <w:rsid w:val="00A76A87"/>
    <w:rsid w:val="00A80815"/>
    <w:rsid w:val="00AA719E"/>
    <w:rsid w:val="00AB55C7"/>
    <w:rsid w:val="00AD6ED3"/>
    <w:rsid w:val="00AE0EAF"/>
    <w:rsid w:val="00AE6E38"/>
    <w:rsid w:val="00AF7746"/>
    <w:rsid w:val="00B053AB"/>
    <w:rsid w:val="00B170F4"/>
    <w:rsid w:val="00B21A37"/>
    <w:rsid w:val="00B50D75"/>
    <w:rsid w:val="00B658D4"/>
    <w:rsid w:val="00B7541C"/>
    <w:rsid w:val="00B808E4"/>
    <w:rsid w:val="00B949D1"/>
    <w:rsid w:val="00BA3F12"/>
    <w:rsid w:val="00BB1735"/>
    <w:rsid w:val="00BC0651"/>
    <w:rsid w:val="00BC35B6"/>
    <w:rsid w:val="00BC61B9"/>
    <w:rsid w:val="00BD1C7B"/>
    <w:rsid w:val="00BE0AB2"/>
    <w:rsid w:val="00BF3890"/>
    <w:rsid w:val="00BF47BB"/>
    <w:rsid w:val="00C02510"/>
    <w:rsid w:val="00C02A60"/>
    <w:rsid w:val="00C12C84"/>
    <w:rsid w:val="00C15DF3"/>
    <w:rsid w:val="00C16DCB"/>
    <w:rsid w:val="00C21E49"/>
    <w:rsid w:val="00C72ADD"/>
    <w:rsid w:val="00C8358A"/>
    <w:rsid w:val="00C837A0"/>
    <w:rsid w:val="00C86F23"/>
    <w:rsid w:val="00C87BA0"/>
    <w:rsid w:val="00C924CE"/>
    <w:rsid w:val="00C9695F"/>
    <w:rsid w:val="00CB5E57"/>
    <w:rsid w:val="00CC013B"/>
    <w:rsid w:val="00CC4BE7"/>
    <w:rsid w:val="00CD73BC"/>
    <w:rsid w:val="00CE0019"/>
    <w:rsid w:val="00CE44E2"/>
    <w:rsid w:val="00CE7F52"/>
    <w:rsid w:val="00D11F22"/>
    <w:rsid w:val="00D139EE"/>
    <w:rsid w:val="00D23E3A"/>
    <w:rsid w:val="00D3070C"/>
    <w:rsid w:val="00D376C4"/>
    <w:rsid w:val="00D56727"/>
    <w:rsid w:val="00D7159D"/>
    <w:rsid w:val="00D97152"/>
    <w:rsid w:val="00DA7289"/>
    <w:rsid w:val="00DD0188"/>
    <w:rsid w:val="00DE56A4"/>
    <w:rsid w:val="00DF6430"/>
    <w:rsid w:val="00DF689D"/>
    <w:rsid w:val="00E11576"/>
    <w:rsid w:val="00E11CC8"/>
    <w:rsid w:val="00E12092"/>
    <w:rsid w:val="00E12785"/>
    <w:rsid w:val="00E12E39"/>
    <w:rsid w:val="00E16824"/>
    <w:rsid w:val="00E20157"/>
    <w:rsid w:val="00E20929"/>
    <w:rsid w:val="00E26635"/>
    <w:rsid w:val="00E30B82"/>
    <w:rsid w:val="00E81E7D"/>
    <w:rsid w:val="00E84638"/>
    <w:rsid w:val="00E879B9"/>
    <w:rsid w:val="00E93618"/>
    <w:rsid w:val="00E96DA9"/>
    <w:rsid w:val="00EA57EC"/>
    <w:rsid w:val="00EB00DE"/>
    <w:rsid w:val="00EB3179"/>
    <w:rsid w:val="00EB5C39"/>
    <w:rsid w:val="00ED3906"/>
    <w:rsid w:val="00EE5AEE"/>
    <w:rsid w:val="00EE5B62"/>
    <w:rsid w:val="00EF64D1"/>
    <w:rsid w:val="00EF68D7"/>
    <w:rsid w:val="00F06C1C"/>
    <w:rsid w:val="00F077E2"/>
    <w:rsid w:val="00F101AB"/>
    <w:rsid w:val="00F312E9"/>
    <w:rsid w:val="00F4685A"/>
    <w:rsid w:val="00F5432D"/>
    <w:rsid w:val="00F55B41"/>
    <w:rsid w:val="00F64542"/>
    <w:rsid w:val="00F72960"/>
    <w:rsid w:val="00F746ED"/>
    <w:rsid w:val="00F7656C"/>
    <w:rsid w:val="00F873F4"/>
    <w:rsid w:val="00F9280D"/>
    <w:rsid w:val="00F93BC5"/>
    <w:rsid w:val="00FB72F9"/>
    <w:rsid w:val="00FD01DA"/>
    <w:rsid w:val="00FD5EC1"/>
    <w:rsid w:val="00FE46F2"/>
    <w:rsid w:val="00FF173A"/>
    <w:rsid w:val="00FF2043"/>
    <w:rsid w:val="00FF5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FD01DA"/>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FD01DA"/>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4E40B6"/>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paragraph" w:customStyle="1" w:styleId="Bodycopy">
    <w:name w:val="Body copy"/>
    <w:qFormat/>
    <w:rsid w:val="00992CD2"/>
    <w:pPr>
      <w:widowControl w:val="0"/>
      <w:tabs>
        <w:tab w:val="left" w:pos="1276"/>
      </w:tabs>
      <w:spacing w:before="200" w:after="200" w:line="300" w:lineRule="exact"/>
    </w:pPr>
    <w:rPr>
      <w:rFonts w:ascii="Calibri" w:eastAsia="Times New Roman" w:hAnsi="Calibri" w:cs="Calibri"/>
      <w:color w:val="000000"/>
      <w:szCs w:val="20"/>
      <w:lang w:eastAsia="en-AU"/>
    </w:rPr>
  </w:style>
  <w:style w:type="paragraph" w:customStyle="1" w:styleId="Paper">
    <w:name w:val="Paper"/>
    <w:uiPriority w:val="99"/>
    <w:rsid w:val="00C15DF3"/>
    <w:pPr>
      <w:spacing w:after="120" w:line="24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C15DF3"/>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Revision">
    <w:name w:val="Revision"/>
    <w:hidden/>
    <w:uiPriority w:val="99"/>
    <w:semiHidden/>
    <w:rsid w:val="00B808E4"/>
    <w:pPr>
      <w:spacing w:after="0" w:line="240" w:lineRule="auto"/>
    </w:pPr>
  </w:style>
  <w:style w:type="paragraph" w:customStyle="1" w:styleId="CS-Paragraphnumbering">
    <w:name w:val="CS - Paragraph numbering"/>
    <w:basedOn w:val="Normal"/>
    <w:rsid w:val="00A07946"/>
    <w:pPr>
      <w:numPr>
        <w:numId w:val="12"/>
      </w:numPr>
      <w:spacing w:after="120" w:line="276" w:lineRule="auto"/>
      <w:ind w:right="-45"/>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91435">
      <w:bodyDiv w:val="1"/>
      <w:marLeft w:val="0"/>
      <w:marRight w:val="0"/>
      <w:marTop w:val="0"/>
      <w:marBottom w:val="0"/>
      <w:divBdr>
        <w:top w:val="none" w:sz="0" w:space="0" w:color="auto"/>
        <w:left w:val="none" w:sz="0" w:space="0" w:color="auto"/>
        <w:bottom w:val="none" w:sz="0" w:space="0" w:color="auto"/>
        <w:right w:val="none" w:sz="0" w:space="0" w:color="auto"/>
      </w:divBdr>
    </w:div>
    <w:div w:id="145822895">
      <w:bodyDiv w:val="1"/>
      <w:marLeft w:val="0"/>
      <w:marRight w:val="0"/>
      <w:marTop w:val="0"/>
      <w:marBottom w:val="0"/>
      <w:divBdr>
        <w:top w:val="none" w:sz="0" w:space="0" w:color="auto"/>
        <w:left w:val="none" w:sz="0" w:space="0" w:color="auto"/>
        <w:bottom w:val="none" w:sz="0" w:space="0" w:color="auto"/>
        <w:right w:val="none" w:sz="0" w:space="0" w:color="auto"/>
      </w:divBdr>
    </w:div>
    <w:div w:id="179856032">
      <w:bodyDiv w:val="1"/>
      <w:marLeft w:val="0"/>
      <w:marRight w:val="0"/>
      <w:marTop w:val="0"/>
      <w:marBottom w:val="0"/>
      <w:divBdr>
        <w:top w:val="none" w:sz="0" w:space="0" w:color="auto"/>
        <w:left w:val="none" w:sz="0" w:space="0" w:color="auto"/>
        <w:bottom w:val="none" w:sz="0" w:space="0" w:color="auto"/>
        <w:right w:val="none" w:sz="0" w:space="0" w:color="auto"/>
      </w:divBdr>
    </w:div>
    <w:div w:id="182135749">
      <w:bodyDiv w:val="1"/>
      <w:marLeft w:val="0"/>
      <w:marRight w:val="0"/>
      <w:marTop w:val="0"/>
      <w:marBottom w:val="0"/>
      <w:divBdr>
        <w:top w:val="none" w:sz="0" w:space="0" w:color="auto"/>
        <w:left w:val="none" w:sz="0" w:space="0" w:color="auto"/>
        <w:bottom w:val="none" w:sz="0" w:space="0" w:color="auto"/>
        <w:right w:val="none" w:sz="0" w:space="0" w:color="auto"/>
      </w:divBdr>
    </w:div>
    <w:div w:id="182715653">
      <w:bodyDiv w:val="1"/>
      <w:marLeft w:val="0"/>
      <w:marRight w:val="0"/>
      <w:marTop w:val="0"/>
      <w:marBottom w:val="0"/>
      <w:divBdr>
        <w:top w:val="none" w:sz="0" w:space="0" w:color="auto"/>
        <w:left w:val="none" w:sz="0" w:space="0" w:color="auto"/>
        <w:bottom w:val="none" w:sz="0" w:space="0" w:color="auto"/>
        <w:right w:val="none" w:sz="0" w:space="0" w:color="auto"/>
      </w:divBdr>
    </w:div>
    <w:div w:id="218978504">
      <w:bodyDiv w:val="1"/>
      <w:marLeft w:val="0"/>
      <w:marRight w:val="0"/>
      <w:marTop w:val="0"/>
      <w:marBottom w:val="0"/>
      <w:divBdr>
        <w:top w:val="none" w:sz="0" w:space="0" w:color="auto"/>
        <w:left w:val="none" w:sz="0" w:space="0" w:color="auto"/>
        <w:bottom w:val="none" w:sz="0" w:space="0" w:color="auto"/>
        <w:right w:val="none" w:sz="0" w:space="0" w:color="auto"/>
      </w:divBdr>
    </w:div>
    <w:div w:id="238098287">
      <w:bodyDiv w:val="1"/>
      <w:marLeft w:val="0"/>
      <w:marRight w:val="0"/>
      <w:marTop w:val="0"/>
      <w:marBottom w:val="0"/>
      <w:divBdr>
        <w:top w:val="none" w:sz="0" w:space="0" w:color="auto"/>
        <w:left w:val="none" w:sz="0" w:space="0" w:color="auto"/>
        <w:bottom w:val="none" w:sz="0" w:space="0" w:color="auto"/>
        <w:right w:val="none" w:sz="0" w:space="0" w:color="auto"/>
      </w:divBdr>
    </w:div>
    <w:div w:id="278491307">
      <w:bodyDiv w:val="1"/>
      <w:marLeft w:val="0"/>
      <w:marRight w:val="0"/>
      <w:marTop w:val="0"/>
      <w:marBottom w:val="0"/>
      <w:divBdr>
        <w:top w:val="none" w:sz="0" w:space="0" w:color="auto"/>
        <w:left w:val="none" w:sz="0" w:space="0" w:color="auto"/>
        <w:bottom w:val="none" w:sz="0" w:space="0" w:color="auto"/>
        <w:right w:val="none" w:sz="0" w:space="0" w:color="auto"/>
      </w:divBdr>
    </w:div>
    <w:div w:id="304895831">
      <w:bodyDiv w:val="1"/>
      <w:marLeft w:val="0"/>
      <w:marRight w:val="0"/>
      <w:marTop w:val="0"/>
      <w:marBottom w:val="0"/>
      <w:divBdr>
        <w:top w:val="none" w:sz="0" w:space="0" w:color="auto"/>
        <w:left w:val="none" w:sz="0" w:space="0" w:color="auto"/>
        <w:bottom w:val="none" w:sz="0" w:space="0" w:color="auto"/>
        <w:right w:val="none" w:sz="0" w:space="0" w:color="auto"/>
      </w:divBdr>
    </w:div>
    <w:div w:id="309141659">
      <w:bodyDiv w:val="1"/>
      <w:marLeft w:val="0"/>
      <w:marRight w:val="0"/>
      <w:marTop w:val="0"/>
      <w:marBottom w:val="0"/>
      <w:divBdr>
        <w:top w:val="none" w:sz="0" w:space="0" w:color="auto"/>
        <w:left w:val="none" w:sz="0" w:space="0" w:color="auto"/>
        <w:bottom w:val="none" w:sz="0" w:space="0" w:color="auto"/>
        <w:right w:val="none" w:sz="0" w:space="0" w:color="auto"/>
      </w:divBdr>
    </w:div>
    <w:div w:id="313721972">
      <w:bodyDiv w:val="1"/>
      <w:marLeft w:val="0"/>
      <w:marRight w:val="0"/>
      <w:marTop w:val="0"/>
      <w:marBottom w:val="0"/>
      <w:divBdr>
        <w:top w:val="none" w:sz="0" w:space="0" w:color="auto"/>
        <w:left w:val="none" w:sz="0" w:space="0" w:color="auto"/>
        <w:bottom w:val="none" w:sz="0" w:space="0" w:color="auto"/>
        <w:right w:val="none" w:sz="0" w:space="0" w:color="auto"/>
      </w:divBdr>
    </w:div>
    <w:div w:id="392973979">
      <w:bodyDiv w:val="1"/>
      <w:marLeft w:val="0"/>
      <w:marRight w:val="0"/>
      <w:marTop w:val="0"/>
      <w:marBottom w:val="0"/>
      <w:divBdr>
        <w:top w:val="none" w:sz="0" w:space="0" w:color="auto"/>
        <w:left w:val="none" w:sz="0" w:space="0" w:color="auto"/>
        <w:bottom w:val="none" w:sz="0" w:space="0" w:color="auto"/>
        <w:right w:val="none" w:sz="0" w:space="0" w:color="auto"/>
      </w:divBdr>
    </w:div>
    <w:div w:id="403989932">
      <w:bodyDiv w:val="1"/>
      <w:marLeft w:val="0"/>
      <w:marRight w:val="0"/>
      <w:marTop w:val="0"/>
      <w:marBottom w:val="0"/>
      <w:divBdr>
        <w:top w:val="none" w:sz="0" w:space="0" w:color="auto"/>
        <w:left w:val="none" w:sz="0" w:space="0" w:color="auto"/>
        <w:bottom w:val="none" w:sz="0" w:space="0" w:color="auto"/>
        <w:right w:val="none" w:sz="0" w:space="0" w:color="auto"/>
      </w:divBdr>
    </w:div>
    <w:div w:id="520120373">
      <w:bodyDiv w:val="1"/>
      <w:marLeft w:val="0"/>
      <w:marRight w:val="0"/>
      <w:marTop w:val="0"/>
      <w:marBottom w:val="0"/>
      <w:divBdr>
        <w:top w:val="none" w:sz="0" w:space="0" w:color="auto"/>
        <w:left w:val="none" w:sz="0" w:space="0" w:color="auto"/>
        <w:bottom w:val="none" w:sz="0" w:space="0" w:color="auto"/>
        <w:right w:val="none" w:sz="0" w:space="0" w:color="auto"/>
      </w:divBdr>
    </w:div>
    <w:div w:id="573006473">
      <w:bodyDiv w:val="1"/>
      <w:marLeft w:val="0"/>
      <w:marRight w:val="0"/>
      <w:marTop w:val="0"/>
      <w:marBottom w:val="0"/>
      <w:divBdr>
        <w:top w:val="none" w:sz="0" w:space="0" w:color="auto"/>
        <w:left w:val="none" w:sz="0" w:space="0" w:color="auto"/>
        <w:bottom w:val="none" w:sz="0" w:space="0" w:color="auto"/>
        <w:right w:val="none" w:sz="0" w:space="0" w:color="auto"/>
      </w:divBdr>
    </w:div>
    <w:div w:id="605189022">
      <w:bodyDiv w:val="1"/>
      <w:marLeft w:val="0"/>
      <w:marRight w:val="0"/>
      <w:marTop w:val="0"/>
      <w:marBottom w:val="0"/>
      <w:divBdr>
        <w:top w:val="none" w:sz="0" w:space="0" w:color="auto"/>
        <w:left w:val="none" w:sz="0" w:space="0" w:color="auto"/>
        <w:bottom w:val="none" w:sz="0" w:space="0" w:color="auto"/>
        <w:right w:val="none" w:sz="0" w:space="0" w:color="auto"/>
      </w:divBdr>
    </w:div>
    <w:div w:id="688527793">
      <w:bodyDiv w:val="1"/>
      <w:marLeft w:val="0"/>
      <w:marRight w:val="0"/>
      <w:marTop w:val="0"/>
      <w:marBottom w:val="0"/>
      <w:divBdr>
        <w:top w:val="none" w:sz="0" w:space="0" w:color="auto"/>
        <w:left w:val="none" w:sz="0" w:space="0" w:color="auto"/>
        <w:bottom w:val="none" w:sz="0" w:space="0" w:color="auto"/>
        <w:right w:val="none" w:sz="0" w:space="0" w:color="auto"/>
      </w:divBdr>
    </w:div>
    <w:div w:id="757944886">
      <w:bodyDiv w:val="1"/>
      <w:marLeft w:val="0"/>
      <w:marRight w:val="0"/>
      <w:marTop w:val="0"/>
      <w:marBottom w:val="0"/>
      <w:divBdr>
        <w:top w:val="none" w:sz="0" w:space="0" w:color="auto"/>
        <w:left w:val="none" w:sz="0" w:space="0" w:color="auto"/>
        <w:bottom w:val="none" w:sz="0" w:space="0" w:color="auto"/>
        <w:right w:val="none" w:sz="0" w:space="0" w:color="auto"/>
      </w:divBdr>
    </w:div>
    <w:div w:id="830414098">
      <w:bodyDiv w:val="1"/>
      <w:marLeft w:val="0"/>
      <w:marRight w:val="0"/>
      <w:marTop w:val="0"/>
      <w:marBottom w:val="0"/>
      <w:divBdr>
        <w:top w:val="none" w:sz="0" w:space="0" w:color="auto"/>
        <w:left w:val="none" w:sz="0" w:space="0" w:color="auto"/>
        <w:bottom w:val="none" w:sz="0" w:space="0" w:color="auto"/>
        <w:right w:val="none" w:sz="0" w:space="0" w:color="auto"/>
      </w:divBdr>
    </w:div>
    <w:div w:id="971012593">
      <w:bodyDiv w:val="1"/>
      <w:marLeft w:val="0"/>
      <w:marRight w:val="0"/>
      <w:marTop w:val="0"/>
      <w:marBottom w:val="0"/>
      <w:divBdr>
        <w:top w:val="none" w:sz="0" w:space="0" w:color="auto"/>
        <w:left w:val="none" w:sz="0" w:space="0" w:color="auto"/>
        <w:bottom w:val="none" w:sz="0" w:space="0" w:color="auto"/>
        <w:right w:val="none" w:sz="0" w:space="0" w:color="auto"/>
      </w:divBdr>
    </w:div>
    <w:div w:id="1028137782">
      <w:bodyDiv w:val="1"/>
      <w:marLeft w:val="0"/>
      <w:marRight w:val="0"/>
      <w:marTop w:val="0"/>
      <w:marBottom w:val="0"/>
      <w:divBdr>
        <w:top w:val="none" w:sz="0" w:space="0" w:color="auto"/>
        <w:left w:val="none" w:sz="0" w:space="0" w:color="auto"/>
        <w:bottom w:val="none" w:sz="0" w:space="0" w:color="auto"/>
        <w:right w:val="none" w:sz="0" w:space="0" w:color="auto"/>
      </w:divBdr>
    </w:div>
    <w:div w:id="1083187408">
      <w:bodyDiv w:val="1"/>
      <w:marLeft w:val="0"/>
      <w:marRight w:val="0"/>
      <w:marTop w:val="0"/>
      <w:marBottom w:val="0"/>
      <w:divBdr>
        <w:top w:val="none" w:sz="0" w:space="0" w:color="auto"/>
        <w:left w:val="none" w:sz="0" w:space="0" w:color="auto"/>
        <w:bottom w:val="none" w:sz="0" w:space="0" w:color="auto"/>
        <w:right w:val="none" w:sz="0" w:space="0" w:color="auto"/>
      </w:divBdr>
    </w:div>
    <w:div w:id="1100030510">
      <w:bodyDiv w:val="1"/>
      <w:marLeft w:val="0"/>
      <w:marRight w:val="0"/>
      <w:marTop w:val="0"/>
      <w:marBottom w:val="0"/>
      <w:divBdr>
        <w:top w:val="none" w:sz="0" w:space="0" w:color="auto"/>
        <w:left w:val="none" w:sz="0" w:space="0" w:color="auto"/>
        <w:bottom w:val="none" w:sz="0" w:space="0" w:color="auto"/>
        <w:right w:val="none" w:sz="0" w:space="0" w:color="auto"/>
      </w:divBdr>
    </w:div>
    <w:div w:id="1147748102">
      <w:bodyDiv w:val="1"/>
      <w:marLeft w:val="0"/>
      <w:marRight w:val="0"/>
      <w:marTop w:val="0"/>
      <w:marBottom w:val="0"/>
      <w:divBdr>
        <w:top w:val="none" w:sz="0" w:space="0" w:color="auto"/>
        <w:left w:val="none" w:sz="0" w:space="0" w:color="auto"/>
        <w:bottom w:val="none" w:sz="0" w:space="0" w:color="auto"/>
        <w:right w:val="none" w:sz="0" w:space="0" w:color="auto"/>
      </w:divBdr>
    </w:div>
    <w:div w:id="1184127781">
      <w:bodyDiv w:val="1"/>
      <w:marLeft w:val="0"/>
      <w:marRight w:val="0"/>
      <w:marTop w:val="0"/>
      <w:marBottom w:val="0"/>
      <w:divBdr>
        <w:top w:val="none" w:sz="0" w:space="0" w:color="auto"/>
        <w:left w:val="none" w:sz="0" w:space="0" w:color="auto"/>
        <w:bottom w:val="none" w:sz="0" w:space="0" w:color="auto"/>
        <w:right w:val="none" w:sz="0" w:space="0" w:color="auto"/>
      </w:divBdr>
    </w:div>
    <w:div w:id="1339380471">
      <w:bodyDiv w:val="1"/>
      <w:marLeft w:val="0"/>
      <w:marRight w:val="0"/>
      <w:marTop w:val="0"/>
      <w:marBottom w:val="0"/>
      <w:divBdr>
        <w:top w:val="none" w:sz="0" w:space="0" w:color="auto"/>
        <w:left w:val="none" w:sz="0" w:space="0" w:color="auto"/>
        <w:bottom w:val="none" w:sz="0" w:space="0" w:color="auto"/>
        <w:right w:val="none" w:sz="0" w:space="0" w:color="auto"/>
      </w:divBdr>
    </w:div>
    <w:div w:id="1352029560">
      <w:bodyDiv w:val="1"/>
      <w:marLeft w:val="0"/>
      <w:marRight w:val="0"/>
      <w:marTop w:val="0"/>
      <w:marBottom w:val="0"/>
      <w:divBdr>
        <w:top w:val="none" w:sz="0" w:space="0" w:color="auto"/>
        <w:left w:val="none" w:sz="0" w:space="0" w:color="auto"/>
        <w:bottom w:val="none" w:sz="0" w:space="0" w:color="auto"/>
        <w:right w:val="none" w:sz="0" w:space="0" w:color="auto"/>
      </w:divBdr>
    </w:div>
    <w:div w:id="1357462686">
      <w:bodyDiv w:val="1"/>
      <w:marLeft w:val="0"/>
      <w:marRight w:val="0"/>
      <w:marTop w:val="0"/>
      <w:marBottom w:val="0"/>
      <w:divBdr>
        <w:top w:val="none" w:sz="0" w:space="0" w:color="auto"/>
        <w:left w:val="none" w:sz="0" w:space="0" w:color="auto"/>
        <w:bottom w:val="none" w:sz="0" w:space="0" w:color="auto"/>
        <w:right w:val="none" w:sz="0" w:space="0" w:color="auto"/>
      </w:divBdr>
    </w:div>
    <w:div w:id="1492526376">
      <w:bodyDiv w:val="1"/>
      <w:marLeft w:val="0"/>
      <w:marRight w:val="0"/>
      <w:marTop w:val="0"/>
      <w:marBottom w:val="0"/>
      <w:divBdr>
        <w:top w:val="none" w:sz="0" w:space="0" w:color="auto"/>
        <w:left w:val="none" w:sz="0" w:space="0" w:color="auto"/>
        <w:bottom w:val="none" w:sz="0" w:space="0" w:color="auto"/>
        <w:right w:val="none" w:sz="0" w:space="0" w:color="auto"/>
      </w:divBdr>
    </w:div>
    <w:div w:id="1526406957">
      <w:bodyDiv w:val="1"/>
      <w:marLeft w:val="0"/>
      <w:marRight w:val="0"/>
      <w:marTop w:val="0"/>
      <w:marBottom w:val="0"/>
      <w:divBdr>
        <w:top w:val="none" w:sz="0" w:space="0" w:color="auto"/>
        <w:left w:val="none" w:sz="0" w:space="0" w:color="auto"/>
        <w:bottom w:val="none" w:sz="0" w:space="0" w:color="auto"/>
        <w:right w:val="none" w:sz="0" w:space="0" w:color="auto"/>
      </w:divBdr>
    </w:div>
    <w:div w:id="1580215557">
      <w:bodyDiv w:val="1"/>
      <w:marLeft w:val="0"/>
      <w:marRight w:val="0"/>
      <w:marTop w:val="0"/>
      <w:marBottom w:val="0"/>
      <w:divBdr>
        <w:top w:val="none" w:sz="0" w:space="0" w:color="auto"/>
        <w:left w:val="none" w:sz="0" w:space="0" w:color="auto"/>
        <w:bottom w:val="none" w:sz="0" w:space="0" w:color="auto"/>
        <w:right w:val="none" w:sz="0" w:space="0" w:color="auto"/>
      </w:divBdr>
    </w:div>
    <w:div w:id="1598126720">
      <w:bodyDiv w:val="1"/>
      <w:marLeft w:val="0"/>
      <w:marRight w:val="0"/>
      <w:marTop w:val="0"/>
      <w:marBottom w:val="0"/>
      <w:divBdr>
        <w:top w:val="none" w:sz="0" w:space="0" w:color="auto"/>
        <w:left w:val="none" w:sz="0" w:space="0" w:color="auto"/>
        <w:bottom w:val="none" w:sz="0" w:space="0" w:color="auto"/>
        <w:right w:val="none" w:sz="0" w:space="0" w:color="auto"/>
      </w:divBdr>
    </w:div>
    <w:div w:id="1668511818">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887791579">
      <w:bodyDiv w:val="1"/>
      <w:marLeft w:val="0"/>
      <w:marRight w:val="0"/>
      <w:marTop w:val="0"/>
      <w:marBottom w:val="0"/>
      <w:divBdr>
        <w:top w:val="none" w:sz="0" w:space="0" w:color="auto"/>
        <w:left w:val="none" w:sz="0" w:space="0" w:color="auto"/>
        <w:bottom w:val="none" w:sz="0" w:space="0" w:color="auto"/>
        <w:right w:val="none" w:sz="0" w:space="0" w:color="auto"/>
      </w:divBdr>
    </w:div>
    <w:div w:id="1920826649">
      <w:bodyDiv w:val="1"/>
      <w:marLeft w:val="0"/>
      <w:marRight w:val="0"/>
      <w:marTop w:val="0"/>
      <w:marBottom w:val="0"/>
      <w:divBdr>
        <w:top w:val="none" w:sz="0" w:space="0" w:color="auto"/>
        <w:left w:val="none" w:sz="0" w:space="0" w:color="auto"/>
        <w:bottom w:val="none" w:sz="0" w:space="0" w:color="auto"/>
        <w:right w:val="none" w:sz="0" w:space="0" w:color="auto"/>
      </w:divBdr>
    </w:div>
    <w:div w:id="212908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arliament.act.gov.au/parliamentary-business/in-committees/committees/JCS_Scrutiny/responses-to-comments-on-bill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lassic.austlii.edu.au/au/legis/act/consol_act/haa2007207/s7.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hyperlink" Target="http://classic.austlii.edu.au/au/legis/act/consol_act/haa2007207/s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mailto:scrutiny@parliament.act.gov.au" TargetMode="External"/><Relationship Id="rId23" Type="http://schemas.openxmlformats.org/officeDocument/2006/relationships/hyperlink" Target="https://www.parliament.act.gov.au/parliamentary-business/in-committees/committees/JCS_Scrutiny"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parliament.act.gov.au/__data/assets/pdf_file/0007/434347/Subordinate-Legislation-Technical-and-Stylistic-Standards.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JCS_Scrutiny" TargetMode="External"/><Relationship Id="rId22" Type="http://schemas.openxmlformats.org/officeDocument/2006/relationships/hyperlink" Target="http://classic.austlii.edu.au/au/legis/act/consol_act/haa2007207/s7.html"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parliament.act.gov.au/__data/assets/pdf_file/0007/434347/Subordinate-Legislation-Technical-and-Stylistic-Standards-Revised-March-2022.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ontserrat SemiBold">
    <w:altName w:val="Calibri"/>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193F55"/>
    <w:rsid w:val="002A06B3"/>
    <w:rsid w:val="002B26EB"/>
    <w:rsid w:val="00361766"/>
    <w:rsid w:val="003D5807"/>
    <w:rsid w:val="00465034"/>
    <w:rsid w:val="0055485C"/>
    <w:rsid w:val="007E61D1"/>
    <w:rsid w:val="00970294"/>
    <w:rsid w:val="00CF42C5"/>
    <w:rsid w:val="00F21BD5"/>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D0C19-0D7E-4878-B366-FD2067583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6768</Words>
  <Characters>38583</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45261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Mickelson, Kate</cp:lastModifiedBy>
  <cp:revision>4</cp:revision>
  <cp:lastPrinted>2023-05-23T03:37:00Z</cp:lastPrinted>
  <dcterms:created xsi:type="dcterms:W3CDTF">2023-06-05T02:03:00Z</dcterms:created>
  <dcterms:modified xsi:type="dcterms:W3CDTF">2023-06-05T02:04:00Z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2023-06-05T02:03:21Z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a2574555-0e30-4a68-ba4b-b334715937d0</vt:lpwstr>
  </property>
  <property fmtid="{D5CDD505-2E9C-101B-9397-08002B2CF9AE}" pid="8" name="MSIP_Label_69af8531-eb46-4968-8cb3-105d2f5ea87e_ContentBits">
    <vt:lpwstr>0</vt:lpwstr>
  </property>
</Properties>
</file>