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DD974AB" w:rsidR="00C02510" w:rsidRPr="00C8358A" w:rsidRDefault="00C02510" w:rsidP="00C8358A">
      <w:pPr>
        <w:pStyle w:val="Cover-Committeename"/>
        <w:ind w:left="1701"/>
      </w:pPr>
      <w:bookmarkStart w:id="0" w:name="_Toc79133346"/>
      <w:r w:rsidRPr="00C8358A">
        <w:t xml:space="preserve">Standing Committee on </w:t>
      </w:r>
      <w:r w:rsidR="00AC2F71">
        <w:t>Economy and Gender and Economic Equality</w:t>
      </w:r>
    </w:p>
    <w:p w14:paraId="6F1D36AD" w14:textId="40A0F946" w:rsidR="0075417C" w:rsidRDefault="00C02510" w:rsidP="0075417C">
      <w:pPr>
        <w:pStyle w:val="Title"/>
        <w:ind w:right="-46"/>
      </w:pPr>
      <w:r w:rsidRPr="00C8358A">
        <w:t xml:space="preserve">Inquiry </w:t>
      </w:r>
      <w:r w:rsidR="00AC2F71" w:rsidRPr="00AC2F71">
        <w:t>into Long Service Leave (Portable Schemes) Amendment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26056575"/>
      <w:r>
        <w:lastRenderedPageBreak/>
        <w:t>About the</w:t>
      </w:r>
      <w:r w:rsidR="00A23A3E">
        <w:t xml:space="preserve"> committee</w:t>
      </w:r>
      <w:bookmarkEnd w:id="1"/>
    </w:p>
    <w:p w14:paraId="5F0FD841" w14:textId="4E43C4A1" w:rsidR="00123781" w:rsidRDefault="00D23E3A" w:rsidP="00D90ED8">
      <w:pPr>
        <w:pStyle w:val="Heading2"/>
      </w:pPr>
      <w:bookmarkStart w:id="2" w:name="_Toc126056576"/>
      <w:r>
        <w:t>Establishing resolution</w:t>
      </w:r>
      <w:bookmarkEnd w:id="2"/>
    </w:p>
    <w:p w14:paraId="31BA8D18" w14:textId="77777777" w:rsidR="00391414" w:rsidRPr="00762E3F" w:rsidRDefault="00391414" w:rsidP="00391414">
      <w:pPr>
        <w:rPr>
          <w:sz w:val="21"/>
          <w:szCs w:val="21"/>
        </w:rPr>
      </w:pPr>
      <w:r w:rsidRPr="00762E3F">
        <w:rPr>
          <w:sz w:val="21"/>
          <w:szCs w:val="21"/>
        </w:rPr>
        <w:t xml:space="preserve">The Assembly established the </w:t>
      </w:r>
      <w:r w:rsidRPr="00762E3F">
        <w:rPr>
          <w:sz w:val="21"/>
          <w:szCs w:val="21"/>
        </w:rPr>
        <w:fldChar w:fldCharType="begin"/>
      </w:r>
      <w:r w:rsidRPr="00762E3F">
        <w:rPr>
          <w:sz w:val="21"/>
          <w:szCs w:val="21"/>
        </w:rPr>
        <w:instrText xml:space="preserve"> STYLEREF  "Cover - Committee name"  \* MERGEFORMAT </w:instrText>
      </w:r>
      <w:r w:rsidRPr="00762E3F">
        <w:rPr>
          <w:sz w:val="21"/>
          <w:szCs w:val="21"/>
        </w:rPr>
        <w:fldChar w:fldCharType="separate"/>
      </w:r>
      <w:r w:rsidRPr="00762E3F">
        <w:rPr>
          <w:noProof/>
          <w:sz w:val="21"/>
          <w:szCs w:val="21"/>
        </w:rPr>
        <w:t>Standing Committee on Economy and Gender and Economic Equality</w:t>
      </w:r>
      <w:r w:rsidRPr="00762E3F">
        <w:rPr>
          <w:noProof/>
          <w:sz w:val="21"/>
          <w:szCs w:val="21"/>
        </w:rPr>
        <w:fldChar w:fldCharType="end"/>
      </w:r>
      <w:r w:rsidRPr="00762E3F">
        <w:rPr>
          <w:sz w:val="21"/>
          <w:szCs w:val="21"/>
        </w:rPr>
        <w:t xml:space="preserve"> on 2</w:t>
      </w:r>
      <w:r>
        <w:rPr>
          <w:sz w:val="21"/>
          <w:szCs w:val="21"/>
        </w:rPr>
        <w:t> </w:t>
      </w:r>
      <w:r w:rsidRPr="00762E3F">
        <w:rPr>
          <w:sz w:val="21"/>
          <w:szCs w:val="21"/>
        </w:rPr>
        <w:t xml:space="preserve">December 2020. </w:t>
      </w:r>
    </w:p>
    <w:p w14:paraId="45ECD4C3" w14:textId="77777777" w:rsidR="00391414" w:rsidRDefault="00391414" w:rsidP="00391414">
      <w:pPr>
        <w:spacing w:after="120"/>
        <w:rPr>
          <w:sz w:val="21"/>
          <w:szCs w:val="21"/>
        </w:rPr>
        <w:sectPr w:rsidR="00391414"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r w:rsidRPr="00762E3F">
        <w:rPr>
          <w:sz w:val="21"/>
          <w:szCs w:val="21"/>
        </w:rPr>
        <w:t>The Committee is responsible for the following areas:</w:t>
      </w:r>
    </w:p>
    <w:p w14:paraId="60A4B4FB" w14:textId="77777777" w:rsidR="00391414" w:rsidRPr="00762E3F" w:rsidRDefault="00391414" w:rsidP="00391414">
      <w:pPr>
        <w:pStyle w:val="ListParagraph"/>
        <w:numPr>
          <w:ilvl w:val="0"/>
          <w:numId w:val="14"/>
        </w:numPr>
        <w:rPr>
          <w:sz w:val="21"/>
          <w:szCs w:val="21"/>
        </w:rPr>
      </w:pPr>
      <w:r w:rsidRPr="00762E3F">
        <w:rPr>
          <w:sz w:val="21"/>
          <w:szCs w:val="21"/>
        </w:rPr>
        <w:t>Chief Minister’s Responsibilities</w:t>
      </w:r>
    </w:p>
    <w:p w14:paraId="29BFE73D" w14:textId="77777777" w:rsidR="00391414" w:rsidRPr="00762E3F" w:rsidRDefault="00391414" w:rsidP="00391414">
      <w:pPr>
        <w:pStyle w:val="ListParagraph"/>
        <w:numPr>
          <w:ilvl w:val="0"/>
          <w:numId w:val="14"/>
        </w:numPr>
        <w:rPr>
          <w:sz w:val="21"/>
          <w:szCs w:val="21"/>
        </w:rPr>
      </w:pPr>
      <w:r w:rsidRPr="00762E3F">
        <w:rPr>
          <w:sz w:val="21"/>
          <w:szCs w:val="21"/>
        </w:rPr>
        <w:t>Economic development and diversification</w:t>
      </w:r>
    </w:p>
    <w:p w14:paraId="4216D1C6" w14:textId="77777777" w:rsidR="00391414" w:rsidRPr="00762E3F" w:rsidRDefault="00391414" w:rsidP="00391414">
      <w:pPr>
        <w:pStyle w:val="ListParagraph"/>
        <w:numPr>
          <w:ilvl w:val="0"/>
          <w:numId w:val="14"/>
        </w:numPr>
        <w:rPr>
          <w:sz w:val="21"/>
          <w:szCs w:val="21"/>
        </w:rPr>
      </w:pPr>
      <w:r w:rsidRPr="00762E3F">
        <w:rPr>
          <w:sz w:val="21"/>
          <w:szCs w:val="21"/>
        </w:rPr>
        <w:t>Tourism</w:t>
      </w:r>
    </w:p>
    <w:p w14:paraId="007A5EC4" w14:textId="77777777" w:rsidR="00391414" w:rsidRPr="00762E3F" w:rsidRDefault="00391414" w:rsidP="00391414">
      <w:pPr>
        <w:pStyle w:val="ListParagraph"/>
        <w:numPr>
          <w:ilvl w:val="0"/>
          <w:numId w:val="14"/>
        </w:numPr>
        <w:rPr>
          <w:sz w:val="21"/>
          <w:szCs w:val="21"/>
        </w:rPr>
      </w:pPr>
      <w:r w:rsidRPr="00762E3F">
        <w:rPr>
          <w:sz w:val="21"/>
          <w:szCs w:val="21"/>
        </w:rPr>
        <w:t>Industrial relations and workplace safety</w:t>
      </w:r>
    </w:p>
    <w:p w14:paraId="719243C4" w14:textId="77777777" w:rsidR="00391414" w:rsidRPr="00762E3F" w:rsidRDefault="00391414" w:rsidP="00391414">
      <w:pPr>
        <w:pStyle w:val="ListParagraph"/>
        <w:numPr>
          <w:ilvl w:val="0"/>
          <w:numId w:val="14"/>
        </w:numPr>
        <w:rPr>
          <w:sz w:val="21"/>
          <w:szCs w:val="21"/>
        </w:rPr>
      </w:pPr>
      <w:r w:rsidRPr="00762E3F">
        <w:rPr>
          <w:sz w:val="21"/>
          <w:szCs w:val="21"/>
        </w:rPr>
        <w:t>Social impacts and outcomes of economic policies including gender considerations (excluding Office for Women)</w:t>
      </w:r>
    </w:p>
    <w:p w14:paraId="133EA9BF" w14:textId="77777777" w:rsidR="00391414" w:rsidRPr="00762E3F" w:rsidRDefault="00391414" w:rsidP="00391414">
      <w:pPr>
        <w:pStyle w:val="ListParagraph"/>
        <w:numPr>
          <w:ilvl w:val="0"/>
          <w:numId w:val="14"/>
        </w:numPr>
        <w:rPr>
          <w:sz w:val="21"/>
          <w:szCs w:val="21"/>
        </w:rPr>
      </w:pPr>
      <w:r w:rsidRPr="00762E3F">
        <w:rPr>
          <w:sz w:val="21"/>
          <w:szCs w:val="21"/>
        </w:rPr>
        <w:t>Minister of State responsibilities (excluding Justice and Community Safety Directorate reporting areas)</w:t>
      </w:r>
    </w:p>
    <w:p w14:paraId="6602C6D9" w14:textId="77777777" w:rsidR="00391414" w:rsidRPr="00762E3F" w:rsidRDefault="00391414" w:rsidP="00391414">
      <w:pPr>
        <w:pStyle w:val="ListParagraph"/>
        <w:numPr>
          <w:ilvl w:val="0"/>
          <w:numId w:val="14"/>
        </w:numPr>
        <w:rPr>
          <w:sz w:val="21"/>
          <w:szCs w:val="21"/>
        </w:rPr>
      </w:pPr>
      <w:r w:rsidRPr="00762E3F">
        <w:rPr>
          <w:sz w:val="21"/>
          <w:szCs w:val="21"/>
        </w:rPr>
        <w:t>Business and better regulation</w:t>
      </w:r>
    </w:p>
    <w:p w14:paraId="701BB0C9" w14:textId="77777777" w:rsidR="00391414" w:rsidRDefault="00391414" w:rsidP="00F92B96">
      <w:pPr>
        <w:pStyle w:val="ListParagraph"/>
        <w:numPr>
          <w:ilvl w:val="0"/>
          <w:numId w:val="14"/>
        </w:numPr>
        <w:spacing w:before="120"/>
        <w:rPr>
          <w:sz w:val="21"/>
          <w:szCs w:val="21"/>
        </w:rPr>
        <w:sectPr w:rsidR="00391414" w:rsidSect="00391414">
          <w:type w:val="continuous"/>
          <w:pgSz w:w="11906" w:h="16838"/>
          <w:pgMar w:top="1440" w:right="1440" w:bottom="1440" w:left="1440" w:header="708" w:footer="708" w:gutter="0"/>
          <w:pgNumType w:fmt="lowerRoman" w:start="1"/>
          <w:cols w:num="2" w:space="708"/>
          <w:docGrid w:linePitch="360"/>
        </w:sectPr>
      </w:pPr>
      <w:r w:rsidRPr="00391414">
        <w:rPr>
          <w:sz w:val="21"/>
          <w:szCs w:val="21"/>
        </w:rPr>
        <w:t>Arts</w:t>
      </w:r>
    </w:p>
    <w:p w14:paraId="3371C029" w14:textId="77777777" w:rsidR="00391414" w:rsidRDefault="00391414" w:rsidP="00F92B96">
      <w:pPr>
        <w:pStyle w:val="ListParagraph"/>
        <w:numPr>
          <w:ilvl w:val="0"/>
          <w:numId w:val="14"/>
        </w:numPr>
        <w:spacing w:before="120"/>
        <w:rPr>
          <w:sz w:val="4"/>
          <w:szCs w:val="4"/>
        </w:rPr>
        <w:sectPr w:rsidR="00391414" w:rsidSect="00391414">
          <w:type w:val="continuous"/>
          <w:pgSz w:w="11906" w:h="16838"/>
          <w:pgMar w:top="1440" w:right="1440" w:bottom="1440" w:left="1440" w:header="708" w:footer="708" w:gutter="0"/>
          <w:pgNumType w:fmt="lowerRoman" w:start="1"/>
          <w:cols w:space="708"/>
          <w:docGrid w:linePitch="360"/>
        </w:sectPr>
      </w:pPr>
    </w:p>
    <w:p w14:paraId="159ACC87" w14:textId="5F4AB37F" w:rsidR="00391414" w:rsidRPr="00391414" w:rsidRDefault="00391414" w:rsidP="00F92B96">
      <w:pPr>
        <w:pStyle w:val="ListParagraph"/>
        <w:numPr>
          <w:ilvl w:val="0"/>
          <w:numId w:val="14"/>
        </w:numPr>
        <w:spacing w:before="120"/>
        <w:rPr>
          <w:sz w:val="4"/>
          <w:szCs w:val="4"/>
        </w:rPr>
      </w:pPr>
    </w:p>
    <w:p w14:paraId="6EA52378" w14:textId="77777777" w:rsidR="00391414" w:rsidRPr="00762E3F" w:rsidRDefault="00391414" w:rsidP="00391414">
      <w:pPr>
        <w:spacing w:before="120"/>
        <w:rPr>
          <w:sz w:val="21"/>
          <w:szCs w:val="21"/>
        </w:rPr>
      </w:pPr>
      <w:r w:rsidRPr="00762E3F">
        <w:rPr>
          <w:sz w:val="21"/>
          <w:szCs w:val="21"/>
        </w:rPr>
        <w:t xml:space="preserve">You can read the full establishing resolution </w:t>
      </w:r>
      <w:hyperlink r:id="rId17" w:history="1">
        <w:r w:rsidRPr="00762E3F">
          <w:rPr>
            <w:rStyle w:val="Hyperlink"/>
            <w:sz w:val="21"/>
            <w:szCs w:val="21"/>
          </w:rPr>
          <w:t>on our website.</w:t>
        </w:r>
      </w:hyperlink>
    </w:p>
    <w:p w14:paraId="595A8310" w14:textId="483BEB84" w:rsidR="00A23A3E" w:rsidRDefault="00A23A3E" w:rsidP="00D90ED8">
      <w:pPr>
        <w:pStyle w:val="Heading2"/>
      </w:pPr>
      <w:bookmarkStart w:id="3" w:name="_Toc126056577"/>
      <w:r>
        <w:t>Committee members</w:t>
      </w:r>
      <w:bookmarkEnd w:id="3"/>
    </w:p>
    <w:p w14:paraId="76AABD66" w14:textId="77777777" w:rsidR="00391414" w:rsidRPr="00762E3F" w:rsidRDefault="00391414" w:rsidP="00391414">
      <w:pPr>
        <w:pStyle w:val="List"/>
        <w:rPr>
          <w:sz w:val="21"/>
          <w:szCs w:val="21"/>
        </w:rPr>
      </w:pPr>
      <w:r w:rsidRPr="00762E3F">
        <w:rPr>
          <w:sz w:val="21"/>
          <w:szCs w:val="21"/>
        </w:rPr>
        <w:t>Leanne Castley MLA, Chair</w:t>
      </w:r>
    </w:p>
    <w:p w14:paraId="0F30E4FF" w14:textId="77777777" w:rsidR="00391414" w:rsidRPr="00762E3F" w:rsidRDefault="00391414" w:rsidP="00391414">
      <w:pPr>
        <w:pStyle w:val="List"/>
        <w:rPr>
          <w:sz w:val="21"/>
          <w:szCs w:val="21"/>
        </w:rPr>
      </w:pPr>
      <w:r w:rsidRPr="00762E3F">
        <w:rPr>
          <w:sz w:val="21"/>
          <w:szCs w:val="21"/>
        </w:rPr>
        <w:t>Suzanne Orr MLA, Deputy Chair</w:t>
      </w:r>
    </w:p>
    <w:p w14:paraId="61CDD6B0" w14:textId="77777777" w:rsidR="00391414" w:rsidRPr="00762E3F" w:rsidRDefault="00391414" w:rsidP="00391414">
      <w:pPr>
        <w:pStyle w:val="List"/>
        <w:rPr>
          <w:sz w:val="21"/>
          <w:szCs w:val="21"/>
        </w:rPr>
      </w:pPr>
      <w:r w:rsidRPr="00762E3F">
        <w:rPr>
          <w:sz w:val="21"/>
          <w:szCs w:val="21"/>
        </w:rPr>
        <w:t>Johnathan Davis MLA</w:t>
      </w:r>
    </w:p>
    <w:p w14:paraId="4764FEB1" w14:textId="764355CB" w:rsidR="00A23A3E" w:rsidRDefault="00A23A3E" w:rsidP="00D90ED8">
      <w:pPr>
        <w:pStyle w:val="Heading2"/>
      </w:pPr>
      <w:bookmarkStart w:id="4" w:name="_Toc126056578"/>
      <w:r>
        <w:t>Secretariat</w:t>
      </w:r>
      <w:bookmarkEnd w:id="4"/>
    </w:p>
    <w:p w14:paraId="75E4C002" w14:textId="535E0075" w:rsidR="00A23A3E" w:rsidRDefault="00391414" w:rsidP="00391414">
      <w:pPr>
        <w:pStyle w:val="List"/>
        <w:tabs>
          <w:tab w:val="left" w:pos="3962"/>
        </w:tabs>
      </w:pPr>
      <w:r>
        <w:t>Sophie Milne</w:t>
      </w:r>
      <w:r w:rsidR="00A23A3E" w:rsidRPr="00A23A3E">
        <w:t>, Committee Secretary</w:t>
      </w:r>
      <w:r>
        <w:tab/>
      </w:r>
    </w:p>
    <w:p w14:paraId="58447539" w14:textId="49570380" w:rsidR="00391414" w:rsidRPr="00A23A3E" w:rsidRDefault="00391414" w:rsidP="00391414">
      <w:pPr>
        <w:pStyle w:val="List"/>
        <w:tabs>
          <w:tab w:val="left" w:pos="3962"/>
        </w:tabs>
      </w:pPr>
      <w:r w:rsidRPr="00762E3F">
        <w:rPr>
          <w:sz w:val="21"/>
          <w:szCs w:val="21"/>
        </w:rPr>
        <w:t>Nick Byrne, Assistant Secretary</w:t>
      </w:r>
    </w:p>
    <w:p w14:paraId="671A7017" w14:textId="0AFAAF71" w:rsidR="00A23A3E" w:rsidRDefault="00391414" w:rsidP="00A23A3E">
      <w:pPr>
        <w:pStyle w:val="List"/>
      </w:pPr>
      <w:r>
        <w:t>Batool Abbas</w:t>
      </w:r>
      <w:r w:rsidR="00A23A3E" w:rsidRPr="00A23A3E">
        <w:t>, Administrative Assistant</w:t>
      </w:r>
    </w:p>
    <w:p w14:paraId="5BE4FC1F" w14:textId="77777777" w:rsidR="00A23A3E" w:rsidRDefault="00A23A3E" w:rsidP="00D90ED8">
      <w:pPr>
        <w:pStyle w:val="Heading2"/>
      </w:pPr>
      <w:bookmarkStart w:id="5" w:name="_Toc126056579"/>
      <w:r>
        <w:t>Contact us</w:t>
      </w:r>
      <w:bookmarkEnd w:id="5"/>
    </w:p>
    <w:p w14:paraId="132C72E3" w14:textId="77777777" w:rsidR="00391414" w:rsidRPr="00762E3F" w:rsidRDefault="00391414" w:rsidP="00391414">
      <w:pPr>
        <w:ind w:left="1134" w:hanging="1134"/>
        <w:rPr>
          <w:sz w:val="21"/>
          <w:szCs w:val="21"/>
        </w:rPr>
      </w:pPr>
      <w:r w:rsidRPr="00762E3F">
        <w:rPr>
          <w:b/>
          <w:bCs/>
          <w:sz w:val="21"/>
          <w:szCs w:val="21"/>
        </w:rPr>
        <w:t>Mail</w:t>
      </w:r>
      <w:r w:rsidRPr="00762E3F">
        <w:rPr>
          <w:sz w:val="21"/>
          <w:szCs w:val="21"/>
        </w:rPr>
        <w:tab/>
      </w:r>
      <w:r w:rsidRPr="00762E3F">
        <w:rPr>
          <w:sz w:val="21"/>
          <w:szCs w:val="21"/>
        </w:rPr>
        <w:fldChar w:fldCharType="begin"/>
      </w:r>
      <w:r w:rsidRPr="00762E3F">
        <w:rPr>
          <w:sz w:val="21"/>
          <w:szCs w:val="21"/>
        </w:rPr>
        <w:instrText xml:space="preserve"> STYLEREF  "Cover - Committee name"  \* MERGEFORMAT </w:instrText>
      </w:r>
      <w:r w:rsidRPr="00762E3F">
        <w:rPr>
          <w:sz w:val="21"/>
          <w:szCs w:val="21"/>
        </w:rPr>
        <w:fldChar w:fldCharType="separate"/>
      </w:r>
      <w:r w:rsidRPr="00762E3F">
        <w:rPr>
          <w:noProof/>
          <w:sz w:val="21"/>
          <w:szCs w:val="21"/>
        </w:rPr>
        <w:t>Standing Committee on Economy and Gender and Economic Equality</w:t>
      </w:r>
      <w:r w:rsidRPr="00762E3F">
        <w:rPr>
          <w:noProof/>
          <w:sz w:val="21"/>
          <w:szCs w:val="21"/>
        </w:rPr>
        <w:fldChar w:fldCharType="end"/>
      </w:r>
      <w:r w:rsidRPr="00762E3F">
        <w:rPr>
          <w:sz w:val="21"/>
          <w:szCs w:val="21"/>
        </w:rPr>
        <w:br/>
        <w:t>Legislative Assembly for the Australian Capital Territory</w:t>
      </w:r>
      <w:r w:rsidRPr="00762E3F">
        <w:rPr>
          <w:sz w:val="21"/>
          <w:szCs w:val="21"/>
        </w:rPr>
        <w:br/>
        <w:t>GPO Box 1020</w:t>
      </w:r>
      <w:r w:rsidRPr="00762E3F">
        <w:rPr>
          <w:sz w:val="21"/>
          <w:szCs w:val="21"/>
        </w:rPr>
        <w:br/>
        <w:t>CANBERRA ACT 2601</w:t>
      </w:r>
    </w:p>
    <w:p w14:paraId="2B402ADC" w14:textId="77777777" w:rsidR="00391414" w:rsidRPr="00762E3F" w:rsidRDefault="00391414" w:rsidP="00391414">
      <w:pPr>
        <w:ind w:left="1134" w:hanging="1134"/>
        <w:rPr>
          <w:sz w:val="21"/>
          <w:szCs w:val="21"/>
        </w:rPr>
      </w:pPr>
      <w:r w:rsidRPr="00762E3F">
        <w:rPr>
          <w:b/>
          <w:bCs/>
          <w:sz w:val="21"/>
          <w:szCs w:val="21"/>
        </w:rPr>
        <w:t>Phone</w:t>
      </w:r>
      <w:r w:rsidRPr="00762E3F">
        <w:rPr>
          <w:b/>
          <w:bCs/>
          <w:sz w:val="21"/>
          <w:szCs w:val="21"/>
        </w:rPr>
        <w:tab/>
      </w:r>
      <w:r w:rsidRPr="00762E3F">
        <w:rPr>
          <w:sz w:val="21"/>
          <w:szCs w:val="21"/>
        </w:rPr>
        <w:t>(02) 6205 0435</w:t>
      </w:r>
    </w:p>
    <w:p w14:paraId="57B8FCD5" w14:textId="77777777" w:rsidR="00391414" w:rsidRPr="00762E3F" w:rsidRDefault="00391414" w:rsidP="00391414">
      <w:pPr>
        <w:ind w:left="1134" w:hanging="1134"/>
        <w:rPr>
          <w:sz w:val="21"/>
          <w:szCs w:val="21"/>
        </w:rPr>
      </w:pPr>
      <w:r w:rsidRPr="00762E3F">
        <w:rPr>
          <w:b/>
          <w:bCs/>
          <w:sz w:val="21"/>
          <w:szCs w:val="21"/>
        </w:rPr>
        <w:t>Email</w:t>
      </w:r>
      <w:r w:rsidRPr="00762E3F">
        <w:rPr>
          <w:sz w:val="21"/>
          <w:szCs w:val="21"/>
        </w:rPr>
        <w:tab/>
        <w:t xml:space="preserve">LACommitteeEGEE@parliament.act.gov.au </w:t>
      </w:r>
    </w:p>
    <w:p w14:paraId="6EC85915" w14:textId="77777777" w:rsidR="00391414" w:rsidRPr="00762E3F" w:rsidRDefault="00391414" w:rsidP="00391414">
      <w:pPr>
        <w:spacing w:line="259" w:lineRule="auto"/>
        <w:ind w:left="1134" w:hanging="1134"/>
        <w:rPr>
          <w:sz w:val="21"/>
          <w:szCs w:val="21"/>
        </w:rPr>
      </w:pPr>
      <w:r w:rsidRPr="00762E3F">
        <w:rPr>
          <w:b/>
          <w:bCs/>
          <w:sz w:val="21"/>
          <w:szCs w:val="21"/>
        </w:rPr>
        <w:t>Website</w:t>
      </w:r>
      <w:r w:rsidRPr="00762E3F">
        <w:rPr>
          <w:b/>
          <w:bCs/>
          <w:sz w:val="21"/>
          <w:szCs w:val="21"/>
        </w:rPr>
        <w:tab/>
      </w:r>
      <w:hyperlink r:id="rId18" w:history="1">
        <w:r w:rsidRPr="00762E3F">
          <w:rPr>
            <w:rStyle w:val="Hyperlink"/>
            <w:sz w:val="21"/>
            <w:szCs w:val="21"/>
          </w:rPr>
          <w:t>parliament.act.gov.au/parliamentary-business/in-committees</w:t>
        </w:r>
      </w:hyperlink>
      <w:r w:rsidRPr="00762E3F">
        <w:rPr>
          <w:rStyle w:val="Hyperlink"/>
          <w:sz w:val="21"/>
          <w:szCs w:val="21"/>
        </w:rPr>
        <w:t>/committees/egee</w:t>
      </w:r>
    </w:p>
    <w:p w14:paraId="5BCE2563" w14:textId="77777777" w:rsidR="00ED3906" w:rsidRDefault="00ED3906">
      <w:pPr>
        <w:spacing w:line="259" w:lineRule="auto"/>
      </w:pPr>
      <w:r>
        <w:br w:type="page"/>
      </w:r>
    </w:p>
    <w:p w14:paraId="4DCCDF3E" w14:textId="58388FB5" w:rsidR="00ED3906" w:rsidRDefault="006718E3" w:rsidP="009F5A83">
      <w:pPr>
        <w:pStyle w:val="Heading1nonumber"/>
      </w:pPr>
      <w:bookmarkStart w:id="6" w:name="_Toc126056580"/>
      <w:r>
        <w:lastRenderedPageBreak/>
        <w:t>About this inquiry</w:t>
      </w:r>
      <w:bookmarkEnd w:id="6"/>
    </w:p>
    <w:p w14:paraId="7F5F9D37" w14:textId="1458A272" w:rsidR="00170124" w:rsidRDefault="00170124" w:rsidP="00170124">
      <w:r>
        <w:t xml:space="preserve">The </w:t>
      </w:r>
      <w:r w:rsidRPr="00170124">
        <w:t>Long Service Leave (Portable Schemes) Amendment Bill 2022</w:t>
      </w:r>
      <w:r>
        <w:t xml:space="preserve"> was presented in the Assembly on 22 November 2022. It was then referred to the </w:t>
      </w:r>
      <w:fldSimple w:instr=" STYLEREF  &quot;Cover - Committee name&quot;  \* MERGEFORMAT ">
        <w:r>
          <w:rPr>
            <w:noProof/>
          </w:rPr>
          <w:t>Standing Committee on Economy and Gender and Economic Equality</w:t>
        </w:r>
      </w:fldSimple>
      <w:r>
        <w:t xml:space="preserve"> as required by clause 5 of the establishing resolution. This clause allows committees to inquire into and report on bills within two months of their presentation. </w:t>
      </w:r>
    </w:p>
    <w:p w14:paraId="121F550D" w14:textId="6C2C28BC" w:rsidR="00B1332A" w:rsidRDefault="00170124" w:rsidP="00170124">
      <w:r>
        <w:t>The committee decided to inquire into the bill on 8 December 2022.</w:t>
      </w:r>
      <w:r w:rsidR="00B1332A">
        <w:br/>
      </w:r>
    </w:p>
    <w:p w14:paraId="2C5C4E14" w14:textId="5A75EE6E" w:rsidR="00170124" w:rsidRDefault="00B1332A" w:rsidP="00B1332A">
      <w:pPr>
        <w:pStyle w:val="Heading2"/>
      </w:pPr>
      <w:r>
        <w:br w:type="column"/>
      </w:r>
      <w:bookmarkStart w:id="7" w:name="_Toc126056581"/>
      <w:r>
        <w:lastRenderedPageBreak/>
        <w:t>Terms of Reference</w:t>
      </w:r>
      <w:bookmarkEnd w:id="7"/>
    </w:p>
    <w:p w14:paraId="10680081" w14:textId="77777777" w:rsidR="00B1332A" w:rsidRPr="00B1332A" w:rsidRDefault="00B1332A" w:rsidP="00B1332A">
      <w:pPr>
        <w:spacing w:after="0" w:line="240" w:lineRule="auto"/>
        <w:rPr>
          <w:rFonts w:ascii="Calibri" w:eastAsia="Times New Roman" w:hAnsi="Calibri" w:cs="Times New Roman"/>
          <w:szCs w:val="24"/>
        </w:rPr>
      </w:pPr>
      <w:r w:rsidRPr="00B1332A">
        <w:rPr>
          <w:rFonts w:ascii="Calibri" w:eastAsia="Times New Roman" w:hAnsi="Calibri" w:cs="Times New Roman"/>
          <w:szCs w:val="24"/>
        </w:rPr>
        <w:t xml:space="preserve">At its meeting on 2 December 2020 (amended 4 August 2022), the Legislative Assembly resolved that: </w:t>
      </w:r>
    </w:p>
    <w:p w14:paraId="00E817C7" w14:textId="77777777" w:rsidR="00B1332A" w:rsidRPr="00B1332A" w:rsidRDefault="00B1332A" w:rsidP="00B1332A">
      <w:pPr>
        <w:spacing w:after="0" w:line="240" w:lineRule="auto"/>
        <w:rPr>
          <w:rFonts w:ascii="Calibri" w:eastAsia="Times New Roman" w:hAnsi="Calibri" w:cs="Times New Roman"/>
          <w:szCs w:val="24"/>
        </w:rPr>
      </w:pPr>
    </w:p>
    <w:p w14:paraId="62E4E8A2" w14:textId="77777777" w:rsidR="00B1332A" w:rsidRPr="00B1332A" w:rsidRDefault="00B1332A" w:rsidP="00B1332A">
      <w:pPr>
        <w:spacing w:after="0" w:line="240" w:lineRule="auto"/>
        <w:ind w:left="720"/>
        <w:rPr>
          <w:rFonts w:ascii="Calibri" w:eastAsia="Times New Roman" w:hAnsi="Calibri" w:cs="Times New Roman"/>
          <w:szCs w:val="24"/>
        </w:rPr>
      </w:pPr>
      <w:r w:rsidRPr="00B1332A">
        <w:rPr>
          <w:rFonts w:ascii="Calibri" w:eastAsia="Times New Roman" w:hAnsi="Calibri" w:cs="Times New Roman"/>
          <w:szCs w:val="24"/>
        </w:rPr>
        <w:t>‘all bills presented to the Assembly stand referred to the relevant standing committee for inquiry and report within two months from the presentation of the bill, except for those bills introduced in the last sitting week of the calendar year where the committee shall report in two months. Within 21 days of the presentation of the bill in the Assembly, the committee must decide whether or not to undertake an inquiry, and shall inform the Speaker of its decision, the Speaker must then arrange for all members to be notified. In the event that the subject matter of the bill makes it unclear which committee it should be referred to, the Speaker will determine the appropriate committee.’</w:t>
      </w:r>
    </w:p>
    <w:p w14:paraId="02BD89AA" w14:textId="77777777" w:rsidR="00B1332A" w:rsidRPr="00B1332A" w:rsidRDefault="00B1332A" w:rsidP="00B1332A">
      <w:pPr>
        <w:spacing w:after="0" w:line="240" w:lineRule="auto"/>
        <w:ind w:left="720"/>
        <w:rPr>
          <w:rFonts w:ascii="Calibri" w:eastAsia="Times New Roman" w:hAnsi="Calibri" w:cs="Times New Roman"/>
          <w:szCs w:val="24"/>
        </w:rPr>
      </w:pPr>
    </w:p>
    <w:p w14:paraId="3C56F289" w14:textId="77777777" w:rsidR="00B1332A" w:rsidRPr="00B1332A" w:rsidRDefault="00B1332A" w:rsidP="00B1332A">
      <w:pPr>
        <w:spacing w:after="0" w:line="240" w:lineRule="auto"/>
        <w:rPr>
          <w:rFonts w:ascii="Calibri" w:eastAsia="Times New Roman" w:hAnsi="Calibri" w:cs="Times New Roman"/>
          <w:szCs w:val="24"/>
        </w:rPr>
      </w:pPr>
      <w:r w:rsidRPr="00B1332A">
        <w:rPr>
          <w:rFonts w:ascii="Calibri" w:eastAsia="Times New Roman" w:hAnsi="Calibri" w:cs="Times New Roman"/>
          <w:szCs w:val="24"/>
        </w:rPr>
        <w:t xml:space="preserve">The </w:t>
      </w:r>
      <w:hyperlink r:id="rId19" w:history="1">
        <w:r w:rsidRPr="00B1332A">
          <w:rPr>
            <w:rFonts w:ascii="Calibri" w:eastAsia="Times New Roman" w:hAnsi="Calibri" w:cs="Times New Roman"/>
            <w:color w:val="0563C1"/>
            <w:szCs w:val="24"/>
            <w:u w:val="single"/>
          </w:rPr>
          <w:t>Long Service Leave (Portable Schemes) Amendment Bill 2022</w:t>
        </w:r>
      </w:hyperlink>
      <w:r w:rsidRPr="00B1332A">
        <w:rPr>
          <w:rFonts w:ascii="Calibri" w:eastAsia="Times New Roman" w:hAnsi="Calibri" w:cs="Times New Roman"/>
          <w:szCs w:val="24"/>
        </w:rPr>
        <w:t xml:space="preserve"> was presented in the Assembly on 22 November 2022, and referred to the Standing Committee on Economy and Gender and Economic Equality on 23 November 2022. The Committee resolved to undertake an inquiry into the Bill and to report back by 23 January 2023.</w:t>
      </w:r>
    </w:p>
    <w:p w14:paraId="7948C86D" w14:textId="77777777" w:rsidR="00B1332A" w:rsidRPr="00B1332A" w:rsidRDefault="00B1332A" w:rsidP="00B1332A">
      <w:pPr>
        <w:pStyle w:val="ListContinue"/>
      </w:pPr>
    </w:p>
    <w:p w14:paraId="7397D7AD" w14:textId="77777777" w:rsidR="00C170E6" w:rsidRDefault="00C170E6" w:rsidP="00C170E6">
      <w:pPr>
        <w:spacing w:line="259" w:lineRule="auto"/>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CA7846E" w14:textId="77777777" w:rsidR="005B49A0" w:rsidRDefault="005B49A0" w:rsidP="005B49A0">
          <w:pPr>
            <w:pStyle w:val="TOCHeading"/>
          </w:pPr>
          <w:r>
            <w:t>Contents</w:t>
          </w:r>
        </w:p>
        <w:p w14:paraId="2CAFF577" w14:textId="2733368C" w:rsidR="005B49A0" w:rsidRDefault="005B49A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6056575" w:history="1">
            <w:r w:rsidRPr="00627AF7">
              <w:rPr>
                <w:rStyle w:val="Hyperlink"/>
              </w:rPr>
              <w:t>About the committee</w:t>
            </w:r>
            <w:r>
              <w:rPr>
                <w:webHidden/>
              </w:rPr>
              <w:tab/>
            </w:r>
            <w:r>
              <w:rPr>
                <w:webHidden/>
              </w:rPr>
              <w:fldChar w:fldCharType="begin"/>
            </w:r>
            <w:r>
              <w:rPr>
                <w:webHidden/>
              </w:rPr>
              <w:instrText xml:space="preserve"> PAGEREF _Toc126056575 \h </w:instrText>
            </w:r>
            <w:r>
              <w:rPr>
                <w:webHidden/>
              </w:rPr>
            </w:r>
            <w:r>
              <w:rPr>
                <w:webHidden/>
              </w:rPr>
              <w:fldChar w:fldCharType="separate"/>
            </w:r>
            <w:r>
              <w:rPr>
                <w:webHidden/>
              </w:rPr>
              <w:t>i</w:t>
            </w:r>
            <w:r>
              <w:rPr>
                <w:webHidden/>
              </w:rPr>
              <w:fldChar w:fldCharType="end"/>
            </w:r>
          </w:hyperlink>
        </w:p>
        <w:p w14:paraId="75688EF3" w14:textId="33101474" w:rsidR="005B49A0" w:rsidRDefault="001715FE">
          <w:pPr>
            <w:pStyle w:val="TOC2"/>
            <w:rPr>
              <w:rFonts w:eastAsiaTheme="minorEastAsia"/>
              <w:lang w:eastAsia="en-AU"/>
            </w:rPr>
          </w:pPr>
          <w:hyperlink w:anchor="_Toc126056576" w:history="1">
            <w:r w:rsidR="005B49A0" w:rsidRPr="00627AF7">
              <w:rPr>
                <w:rStyle w:val="Hyperlink"/>
              </w:rPr>
              <w:t>Establishing resolution</w:t>
            </w:r>
            <w:r w:rsidR="005B49A0">
              <w:rPr>
                <w:webHidden/>
              </w:rPr>
              <w:tab/>
            </w:r>
            <w:r w:rsidR="005B49A0">
              <w:rPr>
                <w:webHidden/>
              </w:rPr>
              <w:fldChar w:fldCharType="begin"/>
            </w:r>
            <w:r w:rsidR="005B49A0">
              <w:rPr>
                <w:webHidden/>
              </w:rPr>
              <w:instrText xml:space="preserve"> PAGEREF _Toc126056576 \h </w:instrText>
            </w:r>
            <w:r w:rsidR="005B49A0">
              <w:rPr>
                <w:webHidden/>
              </w:rPr>
            </w:r>
            <w:r w:rsidR="005B49A0">
              <w:rPr>
                <w:webHidden/>
              </w:rPr>
              <w:fldChar w:fldCharType="separate"/>
            </w:r>
            <w:r w:rsidR="005B49A0">
              <w:rPr>
                <w:webHidden/>
              </w:rPr>
              <w:t>i</w:t>
            </w:r>
            <w:r w:rsidR="005B49A0">
              <w:rPr>
                <w:webHidden/>
              </w:rPr>
              <w:fldChar w:fldCharType="end"/>
            </w:r>
          </w:hyperlink>
        </w:p>
        <w:p w14:paraId="4740ED5F" w14:textId="3298B6FF" w:rsidR="005B49A0" w:rsidRDefault="001715FE">
          <w:pPr>
            <w:pStyle w:val="TOC2"/>
            <w:rPr>
              <w:rFonts w:eastAsiaTheme="minorEastAsia"/>
              <w:lang w:eastAsia="en-AU"/>
            </w:rPr>
          </w:pPr>
          <w:hyperlink w:anchor="_Toc126056577" w:history="1">
            <w:r w:rsidR="005B49A0" w:rsidRPr="00627AF7">
              <w:rPr>
                <w:rStyle w:val="Hyperlink"/>
              </w:rPr>
              <w:t>Committee members</w:t>
            </w:r>
            <w:r w:rsidR="005B49A0">
              <w:rPr>
                <w:webHidden/>
              </w:rPr>
              <w:tab/>
            </w:r>
            <w:r w:rsidR="005B49A0">
              <w:rPr>
                <w:webHidden/>
              </w:rPr>
              <w:fldChar w:fldCharType="begin"/>
            </w:r>
            <w:r w:rsidR="005B49A0">
              <w:rPr>
                <w:webHidden/>
              </w:rPr>
              <w:instrText xml:space="preserve"> PAGEREF _Toc126056577 \h </w:instrText>
            </w:r>
            <w:r w:rsidR="005B49A0">
              <w:rPr>
                <w:webHidden/>
              </w:rPr>
            </w:r>
            <w:r w:rsidR="005B49A0">
              <w:rPr>
                <w:webHidden/>
              </w:rPr>
              <w:fldChar w:fldCharType="separate"/>
            </w:r>
            <w:r w:rsidR="005B49A0">
              <w:rPr>
                <w:webHidden/>
              </w:rPr>
              <w:t>i</w:t>
            </w:r>
            <w:r w:rsidR="005B49A0">
              <w:rPr>
                <w:webHidden/>
              </w:rPr>
              <w:fldChar w:fldCharType="end"/>
            </w:r>
          </w:hyperlink>
        </w:p>
        <w:p w14:paraId="20DF4156" w14:textId="5B7CDB6B" w:rsidR="005B49A0" w:rsidRDefault="001715FE">
          <w:pPr>
            <w:pStyle w:val="TOC2"/>
            <w:rPr>
              <w:rFonts w:eastAsiaTheme="minorEastAsia"/>
              <w:lang w:eastAsia="en-AU"/>
            </w:rPr>
          </w:pPr>
          <w:hyperlink w:anchor="_Toc126056578" w:history="1">
            <w:r w:rsidR="005B49A0" w:rsidRPr="00627AF7">
              <w:rPr>
                <w:rStyle w:val="Hyperlink"/>
              </w:rPr>
              <w:t>Secretariat</w:t>
            </w:r>
            <w:r w:rsidR="005B49A0">
              <w:rPr>
                <w:webHidden/>
              </w:rPr>
              <w:tab/>
            </w:r>
            <w:r w:rsidR="005B49A0">
              <w:rPr>
                <w:webHidden/>
              </w:rPr>
              <w:fldChar w:fldCharType="begin"/>
            </w:r>
            <w:r w:rsidR="005B49A0">
              <w:rPr>
                <w:webHidden/>
              </w:rPr>
              <w:instrText xml:space="preserve"> PAGEREF _Toc126056578 \h </w:instrText>
            </w:r>
            <w:r w:rsidR="005B49A0">
              <w:rPr>
                <w:webHidden/>
              </w:rPr>
            </w:r>
            <w:r w:rsidR="005B49A0">
              <w:rPr>
                <w:webHidden/>
              </w:rPr>
              <w:fldChar w:fldCharType="separate"/>
            </w:r>
            <w:r w:rsidR="005B49A0">
              <w:rPr>
                <w:webHidden/>
              </w:rPr>
              <w:t>i</w:t>
            </w:r>
            <w:r w:rsidR="005B49A0">
              <w:rPr>
                <w:webHidden/>
              </w:rPr>
              <w:fldChar w:fldCharType="end"/>
            </w:r>
          </w:hyperlink>
        </w:p>
        <w:p w14:paraId="2FDA4255" w14:textId="672E93DE" w:rsidR="005B49A0" w:rsidRDefault="001715FE">
          <w:pPr>
            <w:pStyle w:val="TOC2"/>
            <w:rPr>
              <w:rFonts w:eastAsiaTheme="minorEastAsia"/>
              <w:lang w:eastAsia="en-AU"/>
            </w:rPr>
          </w:pPr>
          <w:hyperlink w:anchor="_Toc126056579" w:history="1">
            <w:r w:rsidR="005B49A0" w:rsidRPr="00627AF7">
              <w:rPr>
                <w:rStyle w:val="Hyperlink"/>
              </w:rPr>
              <w:t>Contact us</w:t>
            </w:r>
            <w:r w:rsidR="005B49A0">
              <w:rPr>
                <w:webHidden/>
              </w:rPr>
              <w:tab/>
            </w:r>
            <w:r w:rsidR="005B49A0">
              <w:rPr>
                <w:webHidden/>
              </w:rPr>
              <w:fldChar w:fldCharType="begin"/>
            </w:r>
            <w:r w:rsidR="005B49A0">
              <w:rPr>
                <w:webHidden/>
              </w:rPr>
              <w:instrText xml:space="preserve"> PAGEREF _Toc126056579 \h </w:instrText>
            </w:r>
            <w:r w:rsidR="005B49A0">
              <w:rPr>
                <w:webHidden/>
              </w:rPr>
            </w:r>
            <w:r w:rsidR="005B49A0">
              <w:rPr>
                <w:webHidden/>
              </w:rPr>
              <w:fldChar w:fldCharType="separate"/>
            </w:r>
            <w:r w:rsidR="005B49A0">
              <w:rPr>
                <w:webHidden/>
              </w:rPr>
              <w:t>i</w:t>
            </w:r>
            <w:r w:rsidR="005B49A0">
              <w:rPr>
                <w:webHidden/>
              </w:rPr>
              <w:fldChar w:fldCharType="end"/>
            </w:r>
          </w:hyperlink>
        </w:p>
        <w:p w14:paraId="632F724C" w14:textId="1E86AAFD" w:rsidR="005B49A0" w:rsidRDefault="001715FE">
          <w:pPr>
            <w:pStyle w:val="TOC1"/>
            <w:rPr>
              <w:rFonts w:asciiTheme="minorHAnsi" w:eastAsiaTheme="minorEastAsia" w:hAnsiTheme="minorHAnsi"/>
              <w:b w:val="0"/>
              <w:bCs w:val="0"/>
              <w:color w:val="auto"/>
              <w:w w:val="100"/>
              <w:sz w:val="22"/>
              <w:lang w:eastAsia="en-AU"/>
            </w:rPr>
          </w:pPr>
          <w:hyperlink w:anchor="_Toc126056580" w:history="1">
            <w:r w:rsidR="005B49A0" w:rsidRPr="00627AF7">
              <w:rPr>
                <w:rStyle w:val="Hyperlink"/>
              </w:rPr>
              <w:t>About this inquiry</w:t>
            </w:r>
            <w:r w:rsidR="005B49A0">
              <w:rPr>
                <w:webHidden/>
              </w:rPr>
              <w:tab/>
            </w:r>
            <w:r w:rsidR="005B49A0">
              <w:rPr>
                <w:webHidden/>
              </w:rPr>
              <w:fldChar w:fldCharType="begin"/>
            </w:r>
            <w:r w:rsidR="005B49A0">
              <w:rPr>
                <w:webHidden/>
              </w:rPr>
              <w:instrText xml:space="preserve"> PAGEREF _Toc126056580 \h </w:instrText>
            </w:r>
            <w:r w:rsidR="005B49A0">
              <w:rPr>
                <w:webHidden/>
              </w:rPr>
            </w:r>
            <w:r w:rsidR="005B49A0">
              <w:rPr>
                <w:webHidden/>
              </w:rPr>
              <w:fldChar w:fldCharType="separate"/>
            </w:r>
            <w:r w:rsidR="005B49A0">
              <w:rPr>
                <w:webHidden/>
              </w:rPr>
              <w:t>ii</w:t>
            </w:r>
            <w:r w:rsidR="005B49A0">
              <w:rPr>
                <w:webHidden/>
              </w:rPr>
              <w:fldChar w:fldCharType="end"/>
            </w:r>
          </w:hyperlink>
        </w:p>
        <w:p w14:paraId="2E40A906" w14:textId="3B154950" w:rsidR="005B49A0" w:rsidRDefault="001715FE">
          <w:pPr>
            <w:pStyle w:val="TOC2"/>
            <w:rPr>
              <w:rFonts w:eastAsiaTheme="minorEastAsia"/>
              <w:lang w:eastAsia="en-AU"/>
            </w:rPr>
          </w:pPr>
          <w:hyperlink w:anchor="_Toc126056581" w:history="1">
            <w:r w:rsidR="005B49A0" w:rsidRPr="00627AF7">
              <w:rPr>
                <w:rStyle w:val="Hyperlink"/>
              </w:rPr>
              <w:t>Terms of Reference</w:t>
            </w:r>
            <w:r w:rsidR="005B49A0">
              <w:rPr>
                <w:webHidden/>
              </w:rPr>
              <w:tab/>
            </w:r>
            <w:r w:rsidR="005B49A0">
              <w:rPr>
                <w:webHidden/>
              </w:rPr>
              <w:fldChar w:fldCharType="begin"/>
            </w:r>
            <w:r w:rsidR="005B49A0">
              <w:rPr>
                <w:webHidden/>
              </w:rPr>
              <w:instrText xml:space="preserve"> PAGEREF _Toc126056581 \h </w:instrText>
            </w:r>
            <w:r w:rsidR="005B49A0">
              <w:rPr>
                <w:webHidden/>
              </w:rPr>
            </w:r>
            <w:r w:rsidR="005B49A0">
              <w:rPr>
                <w:webHidden/>
              </w:rPr>
              <w:fldChar w:fldCharType="separate"/>
            </w:r>
            <w:r w:rsidR="005B49A0">
              <w:rPr>
                <w:webHidden/>
              </w:rPr>
              <w:t>iii</w:t>
            </w:r>
            <w:r w:rsidR="005B49A0">
              <w:rPr>
                <w:webHidden/>
              </w:rPr>
              <w:fldChar w:fldCharType="end"/>
            </w:r>
          </w:hyperlink>
        </w:p>
        <w:p w14:paraId="01A115BD" w14:textId="7ECA4210" w:rsidR="005B49A0" w:rsidRDefault="001715FE">
          <w:pPr>
            <w:pStyle w:val="TOC1"/>
            <w:rPr>
              <w:rFonts w:asciiTheme="minorHAnsi" w:eastAsiaTheme="minorEastAsia" w:hAnsiTheme="minorHAnsi"/>
              <w:b w:val="0"/>
              <w:bCs w:val="0"/>
              <w:color w:val="auto"/>
              <w:w w:val="100"/>
              <w:sz w:val="22"/>
              <w:lang w:eastAsia="en-AU"/>
            </w:rPr>
          </w:pPr>
          <w:hyperlink w:anchor="_Toc126056582" w:history="1">
            <w:r w:rsidR="005B49A0" w:rsidRPr="00627AF7">
              <w:rPr>
                <w:rStyle w:val="Hyperlink"/>
              </w:rPr>
              <w:t>Acronyms</w:t>
            </w:r>
            <w:r w:rsidR="005B49A0">
              <w:rPr>
                <w:webHidden/>
              </w:rPr>
              <w:tab/>
            </w:r>
            <w:r w:rsidR="005B49A0">
              <w:rPr>
                <w:webHidden/>
              </w:rPr>
              <w:fldChar w:fldCharType="begin"/>
            </w:r>
            <w:r w:rsidR="005B49A0">
              <w:rPr>
                <w:webHidden/>
              </w:rPr>
              <w:instrText xml:space="preserve"> PAGEREF _Toc126056582 \h </w:instrText>
            </w:r>
            <w:r w:rsidR="005B49A0">
              <w:rPr>
                <w:webHidden/>
              </w:rPr>
            </w:r>
            <w:r w:rsidR="005B49A0">
              <w:rPr>
                <w:webHidden/>
              </w:rPr>
              <w:fldChar w:fldCharType="separate"/>
            </w:r>
            <w:r w:rsidR="005B49A0">
              <w:rPr>
                <w:webHidden/>
              </w:rPr>
              <w:t>i</w:t>
            </w:r>
            <w:r w:rsidR="005B49A0">
              <w:rPr>
                <w:webHidden/>
              </w:rPr>
              <w:fldChar w:fldCharType="end"/>
            </w:r>
          </w:hyperlink>
        </w:p>
        <w:p w14:paraId="1BCB9CE0" w14:textId="597F9027" w:rsidR="005B49A0" w:rsidRDefault="001715FE">
          <w:pPr>
            <w:pStyle w:val="TOC1"/>
            <w:rPr>
              <w:rFonts w:asciiTheme="minorHAnsi" w:eastAsiaTheme="minorEastAsia" w:hAnsiTheme="minorHAnsi"/>
              <w:b w:val="0"/>
              <w:bCs w:val="0"/>
              <w:color w:val="auto"/>
              <w:w w:val="100"/>
              <w:sz w:val="22"/>
              <w:lang w:eastAsia="en-AU"/>
            </w:rPr>
          </w:pPr>
          <w:hyperlink w:anchor="_Toc126056583" w:history="1">
            <w:r w:rsidR="005B49A0" w:rsidRPr="00627AF7">
              <w:rPr>
                <w:rStyle w:val="Hyperlink"/>
              </w:rPr>
              <w:t>Recommendations</w:t>
            </w:r>
            <w:r w:rsidR="005B49A0">
              <w:rPr>
                <w:webHidden/>
              </w:rPr>
              <w:tab/>
            </w:r>
            <w:r w:rsidR="005B49A0">
              <w:rPr>
                <w:webHidden/>
              </w:rPr>
              <w:fldChar w:fldCharType="begin"/>
            </w:r>
            <w:r w:rsidR="005B49A0">
              <w:rPr>
                <w:webHidden/>
              </w:rPr>
              <w:instrText xml:space="preserve"> PAGEREF _Toc126056583 \h </w:instrText>
            </w:r>
            <w:r w:rsidR="005B49A0">
              <w:rPr>
                <w:webHidden/>
              </w:rPr>
            </w:r>
            <w:r w:rsidR="005B49A0">
              <w:rPr>
                <w:webHidden/>
              </w:rPr>
              <w:fldChar w:fldCharType="separate"/>
            </w:r>
            <w:r w:rsidR="005B49A0">
              <w:rPr>
                <w:webHidden/>
              </w:rPr>
              <w:t>ii</w:t>
            </w:r>
            <w:r w:rsidR="005B49A0">
              <w:rPr>
                <w:webHidden/>
              </w:rPr>
              <w:fldChar w:fldCharType="end"/>
            </w:r>
          </w:hyperlink>
        </w:p>
        <w:p w14:paraId="6D4DED1A" w14:textId="28013A79" w:rsidR="005B49A0" w:rsidRDefault="001715FE">
          <w:pPr>
            <w:pStyle w:val="TOC1"/>
            <w:rPr>
              <w:rFonts w:asciiTheme="minorHAnsi" w:eastAsiaTheme="minorEastAsia" w:hAnsiTheme="minorHAnsi"/>
              <w:b w:val="0"/>
              <w:bCs w:val="0"/>
              <w:color w:val="auto"/>
              <w:w w:val="100"/>
              <w:sz w:val="22"/>
              <w:lang w:eastAsia="en-AU"/>
            </w:rPr>
          </w:pPr>
          <w:hyperlink w:anchor="_Toc126056584" w:history="1">
            <w:r w:rsidR="005B49A0" w:rsidRPr="00627AF7">
              <w:rPr>
                <w:rStyle w:val="Hyperlink"/>
              </w:rPr>
              <w:t>1.</w:t>
            </w:r>
            <w:r w:rsidR="005B49A0">
              <w:rPr>
                <w:rFonts w:asciiTheme="minorHAnsi" w:eastAsiaTheme="minorEastAsia" w:hAnsiTheme="minorHAnsi"/>
                <w:b w:val="0"/>
                <w:bCs w:val="0"/>
                <w:color w:val="auto"/>
                <w:w w:val="100"/>
                <w:sz w:val="22"/>
                <w:lang w:eastAsia="en-AU"/>
              </w:rPr>
              <w:tab/>
            </w:r>
            <w:r w:rsidR="005B49A0" w:rsidRPr="00627AF7">
              <w:rPr>
                <w:rStyle w:val="Hyperlink"/>
              </w:rPr>
              <w:t>Introduction</w:t>
            </w:r>
            <w:r w:rsidR="005B49A0">
              <w:rPr>
                <w:webHidden/>
              </w:rPr>
              <w:tab/>
            </w:r>
            <w:r w:rsidR="005B49A0">
              <w:rPr>
                <w:webHidden/>
              </w:rPr>
              <w:fldChar w:fldCharType="begin"/>
            </w:r>
            <w:r w:rsidR="005B49A0">
              <w:rPr>
                <w:webHidden/>
              </w:rPr>
              <w:instrText xml:space="preserve"> PAGEREF _Toc126056584 \h </w:instrText>
            </w:r>
            <w:r w:rsidR="005B49A0">
              <w:rPr>
                <w:webHidden/>
              </w:rPr>
            </w:r>
            <w:r w:rsidR="005B49A0">
              <w:rPr>
                <w:webHidden/>
              </w:rPr>
              <w:fldChar w:fldCharType="separate"/>
            </w:r>
            <w:r w:rsidR="005B49A0">
              <w:rPr>
                <w:webHidden/>
              </w:rPr>
              <w:t>1</w:t>
            </w:r>
            <w:r w:rsidR="005B49A0">
              <w:rPr>
                <w:webHidden/>
              </w:rPr>
              <w:fldChar w:fldCharType="end"/>
            </w:r>
          </w:hyperlink>
        </w:p>
        <w:p w14:paraId="618DFED5" w14:textId="52AD438C" w:rsidR="005B49A0" w:rsidRDefault="001715FE">
          <w:pPr>
            <w:pStyle w:val="TOC2"/>
            <w:rPr>
              <w:rFonts w:eastAsiaTheme="minorEastAsia"/>
              <w:lang w:eastAsia="en-AU"/>
            </w:rPr>
          </w:pPr>
          <w:hyperlink w:anchor="_Toc126056585" w:history="1">
            <w:r w:rsidR="005B49A0" w:rsidRPr="00627AF7">
              <w:rPr>
                <w:rStyle w:val="Hyperlink"/>
              </w:rPr>
              <w:t>Conduct of the Inquiry</w:t>
            </w:r>
            <w:r w:rsidR="005B49A0">
              <w:rPr>
                <w:webHidden/>
              </w:rPr>
              <w:tab/>
            </w:r>
            <w:r w:rsidR="005B49A0">
              <w:rPr>
                <w:webHidden/>
              </w:rPr>
              <w:fldChar w:fldCharType="begin"/>
            </w:r>
            <w:r w:rsidR="005B49A0">
              <w:rPr>
                <w:webHidden/>
              </w:rPr>
              <w:instrText xml:space="preserve"> PAGEREF _Toc126056585 \h </w:instrText>
            </w:r>
            <w:r w:rsidR="005B49A0">
              <w:rPr>
                <w:webHidden/>
              </w:rPr>
            </w:r>
            <w:r w:rsidR="005B49A0">
              <w:rPr>
                <w:webHidden/>
              </w:rPr>
              <w:fldChar w:fldCharType="separate"/>
            </w:r>
            <w:r w:rsidR="005B49A0">
              <w:rPr>
                <w:webHidden/>
              </w:rPr>
              <w:t>1</w:t>
            </w:r>
            <w:r w:rsidR="005B49A0">
              <w:rPr>
                <w:webHidden/>
              </w:rPr>
              <w:fldChar w:fldCharType="end"/>
            </w:r>
          </w:hyperlink>
        </w:p>
        <w:p w14:paraId="1F7627B1" w14:textId="657F92A9" w:rsidR="005B49A0" w:rsidRDefault="001715FE">
          <w:pPr>
            <w:pStyle w:val="TOC2"/>
            <w:rPr>
              <w:rFonts w:eastAsiaTheme="minorEastAsia"/>
              <w:lang w:eastAsia="en-AU"/>
            </w:rPr>
          </w:pPr>
          <w:hyperlink w:anchor="_Toc126056586" w:history="1">
            <w:r w:rsidR="005B49A0" w:rsidRPr="00627AF7">
              <w:rPr>
                <w:rStyle w:val="Hyperlink"/>
              </w:rPr>
              <w:t>Legislative History</w:t>
            </w:r>
            <w:r w:rsidR="005B49A0">
              <w:rPr>
                <w:webHidden/>
              </w:rPr>
              <w:tab/>
            </w:r>
            <w:r w:rsidR="005B49A0">
              <w:rPr>
                <w:webHidden/>
              </w:rPr>
              <w:fldChar w:fldCharType="begin"/>
            </w:r>
            <w:r w:rsidR="005B49A0">
              <w:rPr>
                <w:webHidden/>
              </w:rPr>
              <w:instrText xml:space="preserve"> PAGEREF _Toc126056586 \h </w:instrText>
            </w:r>
            <w:r w:rsidR="005B49A0">
              <w:rPr>
                <w:webHidden/>
              </w:rPr>
            </w:r>
            <w:r w:rsidR="005B49A0">
              <w:rPr>
                <w:webHidden/>
              </w:rPr>
              <w:fldChar w:fldCharType="separate"/>
            </w:r>
            <w:r w:rsidR="005B49A0">
              <w:rPr>
                <w:webHidden/>
              </w:rPr>
              <w:t>1</w:t>
            </w:r>
            <w:r w:rsidR="005B49A0">
              <w:rPr>
                <w:webHidden/>
              </w:rPr>
              <w:fldChar w:fldCharType="end"/>
            </w:r>
          </w:hyperlink>
        </w:p>
        <w:p w14:paraId="12DD83E0" w14:textId="4D165F53" w:rsidR="005B49A0" w:rsidRDefault="001715FE">
          <w:pPr>
            <w:pStyle w:val="TOC1"/>
            <w:rPr>
              <w:rFonts w:asciiTheme="minorHAnsi" w:eastAsiaTheme="minorEastAsia" w:hAnsiTheme="minorHAnsi"/>
              <w:b w:val="0"/>
              <w:bCs w:val="0"/>
              <w:color w:val="auto"/>
              <w:w w:val="100"/>
              <w:sz w:val="22"/>
              <w:lang w:eastAsia="en-AU"/>
            </w:rPr>
          </w:pPr>
          <w:hyperlink w:anchor="_Toc126056587" w:history="1">
            <w:r w:rsidR="005B49A0" w:rsidRPr="00627AF7">
              <w:rPr>
                <w:rStyle w:val="Hyperlink"/>
              </w:rPr>
              <w:t>2.</w:t>
            </w:r>
            <w:r w:rsidR="005B49A0">
              <w:rPr>
                <w:rFonts w:asciiTheme="minorHAnsi" w:eastAsiaTheme="minorEastAsia" w:hAnsiTheme="minorHAnsi"/>
                <w:b w:val="0"/>
                <w:bCs w:val="0"/>
                <w:color w:val="auto"/>
                <w:w w:val="100"/>
                <w:sz w:val="22"/>
                <w:lang w:eastAsia="en-AU"/>
              </w:rPr>
              <w:tab/>
            </w:r>
            <w:r w:rsidR="005B49A0" w:rsidRPr="00627AF7">
              <w:rPr>
                <w:rStyle w:val="Hyperlink"/>
              </w:rPr>
              <w:t>The Bill</w:t>
            </w:r>
            <w:r w:rsidR="005B49A0">
              <w:rPr>
                <w:webHidden/>
              </w:rPr>
              <w:tab/>
            </w:r>
            <w:r w:rsidR="005B49A0">
              <w:rPr>
                <w:webHidden/>
              </w:rPr>
              <w:fldChar w:fldCharType="begin"/>
            </w:r>
            <w:r w:rsidR="005B49A0">
              <w:rPr>
                <w:webHidden/>
              </w:rPr>
              <w:instrText xml:space="preserve"> PAGEREF _Toc126056587 \h </w:instrText>
            </w:r>
            <w:r w:rsidR="005B49A0">
              <w:rPr>
                <w:webHidden/>
              </w:rPr>
            </w:r>
            <w:r w:rsidR="005B49A0">
              <w:rPr>
                <w:webHidden/>
              </w:rPr>
              <w:fldChar w:fldCharType="separate"/>
            </w:r>
            <w:r w:rsidR="005B49A0">
              <w:rPr>
                <w:webHidden/>
              </w:rPr>
              <w:t>3</w:t>
            </w:r>
            <w:r w:rsidR="005B49A0">
              <w:rPr>
                <w:webHidden/>
              </w:rPr>
              <w:fldChar w:fldCharType="end"/>
            </w:r>
          </w:hyperlink>
        </w:p>
        <w:p w14:paraId="5718E24B" w14:textId="2E662A3B" w:rsidR="005B49A0" w:rsidRDefault="001715FE">
          <w:pPr>
            <w:pStyle w:val="TOC2"/>
            <w:rPr>
              <w:rFonts w:eastAsiaTheme="minorEastAsia"/>
              <w:lang w:eastAsia="en-AU"/>
            </w:rPr>
          </w:pPr>
          <w:hyperlink w:anchor="_Toc126056588" w:history="1">
            <w:r w:rsidR="005B49A0" w:rsidRPr="00627AF7">
              <w:rPr>
                <w:rStyle w:val="Hyperlink"/>
              </w:rPr>
              <w:t>Advantages</w:t>
            </w:r>
            <w:r w:rsidR="005B49A0">
              <w:rPr>
                <w:webHidden/>
              </w:rPr>
              <w:tab/>
            </w:r>
            <w:r w:rsidR="005B49A0">
              <w:rPr>
                <w:webHidden/>
              </w:rPr>
              <w:fldChar w:fldCharType="begin"/>
            </w:r>
            <w:r w:rsidR="005B49A0">
              <w:rPr>
                <w:webHidden/>
              </w:rPr>
              <w:instrText xml:space="preserve"> PAGEREF _Toc126056588 \h </w:instrText>
            </w:r>
            <w:r w:rsidR="005B49A0">
              <w:rPr>
                <w:webHidden/>
              </w:rPr>
            </w:r>
            <w:r w:rsidR="005B49A0">
              <w:rPr>
                <w:webHidden/>
              </w:rPr>
              <w:fldChar w:fldCharType="separate"/>
            </w:r>
            <w:r w:rsidR="005B49A0">
              <w:rPr>
                <w:webHidden/>
              </w:rPr>
              <w:t>4</w:t>
            </w:r>
            <w:r w:rsidR="005B49A0">
              <w:rPr>
                <w:webHidden/>
              </w:rPr>
              <w:fldChar w:fldCharType="end"/>
            </w:r>
          </w:hyperlink>
        </w:p>
        <w:p w14:paraId="70AE40BE" w14:textId="5C7623D0" w:rsidR="005B49A0" w:rsidRDefault="001715FE">
          <w:pPr>
            <w:pStyle w:val="TOC3"/>
            <w:rPr>
              <w:rFonts w:eastAsiaTheme="minorEastAsia"/>
              <w:lang w:eastAsia="en-AU"/>
            </w:rPr>
          </w:pPr>
          <w:hyperlink w:anchor="_Toc126056589" w:history="1">
            <w:r w:rsidR="005B49A0" w:rsidRPr="00627AF7">
              <w:rPr>
                <w:rStyle w:val="Hyperlink"/>
              </w:rPr>
              <w:t>Employee wellbeing</w:t>
            </w:r>
            <w:r w:rsidR="005B49A0">
              <w:rPr>
                <w:webHidden/>
              </w:rPr>
              <w:tab/>
            </w:r>
            <w:r w:rsidR="005B49A0">
              <w:rPr>
                <w:webHidden/>
              </w:rPr>
              <w:fldChar w:fldCharType="begin"/>
            </w:r>
            <w:r w:rsidR="005B49A0">
              <w:rPr>
                <w:webHidden/>
              </w:rPr>
              <w:instrText xml:space="preserve"> PAGEREF _Toc126056589 \h </w:instrText>
            </w:r>
            <w:r w:rsidR="005B49A0">
              <w:rPr>
                <w:webHidden/>
              </w:rPr>
            </w:r>
            <w:r w:rsidR="005B49A0">
              <w:rPr>
                <w:webHidden/>
              </w:rPr>
              <w:fldChar w:fldCharType="separate"/>
            </w:r>
            <w:r w:rsidR="005B49A0">
              <w:rPr>
                <w:webHidden/>
              </w:rPr>
              <w:t>4</w:t>
            </w:r>
            <w:r w:rsidR="005B49A0">
              <w:rPr>
                <w:webHidden/>
              </w:rPr>
              <w:fldChar w:fldCharType="end"/>
            </w:r>
          </w:hyperlink>
        </w:p>
        <w:p w14:paraId="67F6AFA2" w14:textId="71A0B1FE" w:rsidR="005B49A0" w:rsidRDefault="001715FE">
          <w:pPr>
            <w:pStyle w:val="TOC3"/>
            <w:rPr>
              <w:rFonts w:eastAsiaTheme="minorEastAsia"/>
              <w:lang w:eastAsia="en-AU"/>
            </w:rPr>
          </w:pPr>
          <w:hyperlink w:anchor="_Toc126056590" w:history="1">
            <w:r w:rsidR="005B49A0" w:rsidRPr="00627AF7">
              <w:rPr>
                <w:rStyle w:val="Hyperlink"/>
              </w:rPr>
              <w:t>Equity</w:t>
            </w:r>
            <w:r w:rsidR="005B49A0">
              <w:rPr>
                <w:webHidden/>
              </w:rPr>
              <w:tab/>
            </w:r>
            <w:r w:rsidR="005B49A0">
              <w:rPr>
                <w:webHidden/>
              </w:rPr>
              <w:fldChar w:fldCharType="begin"/>
            </w:r>
            <w:r w:rsidR="005B49A0">
              <w:rPr>
                <w:webHidden/>
              </w:rPr>
              <w:instrText xml:space="preserve"> PAGEREF _Toc126056590 \h </w:instrText>
            </w:r>
            <w:r w:rsidR="005B49A0">
              <w:rPr>
                <w:webHidden/>
              </w:rPr>
            </w:r>
            <w:r w:rsidR="005B49A0">
              <w:rPr>
                <w:webHidden/>
              </w:rPr>
              <w:fldChar w:fldCharType="separate"/>
            </w:r>
            <w:r w:rsidR="005B49A0">
              <w:rPr>
                <w:webHidden/>
              </w:rPr>
              <w:t>4</w:t>
            </w:r>
            <w:r w:rsidR="005B49A0">
              <w:rPr>
                <w:webHidden/>
              </w:rPr>
              <w:fldChar w:fldCharType="end"/>
            </w:r>
          </w:hyperlink>
        </w:p>
        <w:p w14:paraId="7DBCC85E" w14:textId="15819752" w:rsidR="005B49A0" w:rsidRDefault="001715FE">
          <w:pPr>
            <w:pStyle w:val="TOC3"/>
            <w:rPr>
              <w:rFonts w:eastAsiaTheme="minorEastAsia"/>
              <w:lang w:eastAsia="en-AU"/>
            </w:rPr>
          </w:pPr>
          <w:hyperlink w:anchor="_Toc126056591" w:history="1">
            <w:r w:rsidR="005B49A0" w:rsidRPr="00627AF7">
              <w:rPr>
                <w:rStyle w:val="Hyperlink"/>
              </w:rPr>
              <w:t>Employee attraction and retention</w:t>
            </w:r>
            <w:r w:rsidR="005B49A0">
              <w:rPr>
                <w:webHidden/>
              </w:rPr>
              <w:tab/>
            </w:r>
            <w:r w:rsidR="005B49A0">
              <w:rPr>
                <w:webHidden/>
              </w:rPr>
              <w:fldChar w:fldCharType="begin"/>
            </w:r>
            <w:r w:rsidR="005B49A0">
              <w:rPr>
                <w:webHidden/>
              </w:rPr>
              <w:instrText xml:space="preserve"> PAGEREF _Toc126056591 \h </w:instrText>
            </w:r>
            <w:r w:rsidR="005B49A0">
              <w:rPr>
                <w:webHidden/>
              </w:rPr>
            </w:r>
            <w:r w:rsidR="005B49A0">
              <w:rPr>
                <w:webHidden/>
              </w:rPr>
              <w:fldChar w:fldCharType="separate"/>
            </w:r>
            <w:r w:rsidR="005B49A0">
              <w:rPr>
                <w:webHidden/>
              </w:rPr>
              <w:t>5</w:t>
            </w:r>
            <w:r w:rsidR="005B49A0">
              <w:rPr>
                <w:webHidden/>
              </w:rPr>
              <w:fldChar w:fldCharType="end"/>
            </w:r>
          </w:hyperlink>
        </w:p>
        <w:p w14:paraId="4E5FBB47" w14:textId="3370A466" w:rsidR="005B49A0" w:rsidRDefault="001715FE">
          <w:pPr>
            <w:pStyle w:val="TOC3"/>
            <w:rPr>
              <w:rFonts w:eastAsiaTheme="minorEastAsia"/>
              <w:lang w:eastAsia="en-AU"/>
            </w:rPr>
          </w:pPr>
          <w:hyperlink w:anchor="_Toc126056592" w:history="1">
            <w:r w:rsidR="005B49A0" w:rsidRPr="00627AF7">
              <w:rPr>
                <w:rStyle w:val="Hyperlink"/>
              </w:rPr>
              <w:t>Other benefits</w:t>
            </w:r>
            <w:r w:rsidR="005B49A0">
              <w:rPr>
                <w:webHidden/>
              </w:rPr>
              <w:tab/>
            </w:r>
            <w:r w:rsidR="005B49A0">
              <w:rPr>
                <w:webHidden/>
              </w:rPr>
              <w:fldChar w:fldCharType="begin"/>
            </w:r>
            <w:r w:rsidR="005B49A0">
              <w:rPr>
                <w:webHidden/>
              </w:rPr>
              <w:instrText xml:space="preserve"> PAGEREF _Toc126056592 \h </w:instrText>
            </w:r>
            <w:r w:rsidR="005B49A0">
              <w:rPr>
                <w:webHidden/>
              </w:rPr>
            </w:r>
            <w:r w:rsidR="005B49A0">
              <w:rPr>
                <w:webHidden/>
              </w:rPr>
              <w:fldChar w:fldCharType="separate"/>
            </w:r>
            <w:r w:rsidR="005B49A0">
              <w:rPr>
                <w:webHidden/>
              </w:rPr>
              <w:t>5</w:t>
            </w:r>
            <w:r w:rsidR="005B49A0">
              <w:rPr>
                <w:webHidden/>
              </w:rPr>
              <w:fldChar w:fldCharType="end"/>
            </w:r>
          </w:hyperlink>
        </w:p>
        <w:p w14:paraId="49A079D2" w14:textId="41DEEE89" w:rsidR="005B49A0" w:rsidRDefault="001715FE">
          <w:pPr>
            <w:pStyle w:val="TOC2"/>
            <w:rPr>
              <w:rFonts w:eastAsiaTheme="minorEastAsia"/>
              <w:lang w:eastAsia="en-AU"/>
            </w:rPr>
          </w:pPr>
          <w:hyperlink w:anchor="_Toc126056593" w:history="1">
            <w:r w:rsidR="005B49A0" w:rsidRPr="00627AF7">
              <w:rPr>
                <w:rStyle w:val="Hyperlink"/>
              </w:rPr>
              <w:t>Disadvantages</w:t>
            </w:r>
            <w:r w:rsidR="005B49A0">
              <w:rPr>
                <w:webHidden/>
              </w:rPr>
              <w:tab/>
            </w:r>
            <w:r w:rsidR="005B49A0">
              <w:rPr>
                <w:webHidden/>
              </w:rPr>
              <w:fldChar w:fldCharType="begin"/>
            </w:r>
            <w:r w:rsidR="005B49A0">
              <w:rPr>
                <w:webHidden/>
              </w:rPr>
              <w:instrText xml:space="preserve"> PAGEREF _Toc126056593 \h </w:instrText>
            </w:r>
            <w:r w:rsidR="005B49A0">
              <w:rPr>
                <w:webHidden/>
              </w:rPr>
            </w:r>
            <w:r w:rsidR="005B49A0">
              <w:rPr>
                <w:webHidden/>
              </w:rPr>
              <w:fldChar w:fldCharType="separate"/>
            </w:r>
            <w:r w:rsidR="005B49A0">
              <w:rPr>
                <w:webHidden/>
              </w:rPr>
              <w:t>5</w:t>
            </w:r>
            <w:r w:rsidR="005B49A0">
              <w:rPr>
                <w:webHidden/>
              </w:rPr>
              <w:fldChar w:fldCharType="end"/>
            </w:r>
          </w:hyperlink>
        </w:p>
        <w:p w14:paraId="2C6E3DC3" w14:textId="73D959DE" w:rsidR="005B49A0" w:rsidRDefault="001715FE">
          <w:pPr>
            <w:pStyle w:val="TOC3"/>
            <w:rPr>
              <w:rFonts w:eastAsiaTheme="minorEastAsia"/>
              <w:lang w:eastAsia="en-AU"/>
            </w:rPr>
          </w:pPr>
          <w:hyperlink w:anchor="_Toc126056594" w:history="1">
            <w:r w:rsidR="005B49A0" w:rsidRPr="00627AF7">
              <w:rPr>
                <w:rStyle w:val="Hyperlink"/>
              </w:rPr>
              <w:t>Staff turnover</w:t>
            </w:r>
            <w:r w:rsidR="005B49A0">
              <w:rPr>
                <w:webHidden/>
              </w:rPr>
              <w:tab/>
            </w:r>
            <w:r w:rsidR="005B49A0">
              <w:rPr>
                <w:webHidden/>
              </w:rPr>
              <w:fldChar w:fldCharType="begin"/>
            </w:r>
            <w:r w:rsidR="005B49A0">
              <w:rPr>
                <w:webHidden/>
              </w:rPr>
              <w:instrText xml:space="preserve"> PAGEREF _Toc126056594 \h </w:instrText>
            </w:r>
            <w:r w:rsidR="005B49A0">
              <w:rPr>
                <w:webHidden/>
              </w:rPr>
            </w:r>
            <w:r w:rsidR="005B49A0">
              <w:rPr>
                <w:webHidden/>
              </w:rPr>
              <w:fldChar w:fldCharType="separate"/>
            </w:r>
            <w:r w:rsidR="005B49A0">
              <w:rPr>
                <w:webHidden/>
              </w:rPr>
              <w:t>5</w:t>
            </w:r>
            <w:r w:rsidR="005B49A0">
              <w:rPr>
                <w:webHidden/>
              </w:rPr>
              <w:fldChar w:fldCharType="end"/>
            </w:r>
          </w:hyperlink>
        </w:p>
        <w:p w14:paraId="1C443ED4" w14:textId="7EA6BD6B" w:rsidR="005B49A0" w:rsidRDefault="001715FE">
          <w:pPr>
            <w:pStyle w:val="TOC3"/>
            <w:rPr>
              <w:rFonts w:eastAsiaTheme="minorEastAsia"/>
              <w:lang w:eastAsia="en-AU"/>
            </w:rPr>
          </w:pPr>
          <w:hyperlink w:anchor="_Toc126056595" w:history="1">
            <w:r w:rsidR="005B49A0" w:rsidRPr="00627AF7">
              <w:rPr>
                <w:rStyle w:val="Hyperlink"/>
              </w:rPr>
              <w:t>Cost to employers</w:t>
            </w:r>
            <w:r w:rsidR="005B49A0">
              <w:rPr>
                <w:webHidden/>
              </w:rPr>
              <w:tab/>
            </w:r>
            <w:r w:rsidR="005B49A0">
              <w:rPr>
                <w:webHidden/>
              </w:rPr>
              <w:fldChar w:fldCharType="begin"/>
            </w:r>
            <w:r w:rsidR="005B49A0">
              <w:rPr>
                <w:webHidden/>
              </w:rPr>
              <w:instrText xml:space="preserve"> PAGEREF _Toc126056595 \h </w:instrText>
            </w:r>
            <w:r w:rsidR="005B49A0">
              <w:rPr>
                <w:webHidden/>
              </w:rPr>
            </w:r>
            <w:r w:rsidR="005B49A0">
              <w:rPr>
                <w:webHidden/>
              </w:rPr>
              <w:fldChar w:fldCharType="separate"/>
            </w:r>
            <w:r w:rsidR="005B49A0">
              <w:rPr>
                <w:webHidden/>
              </w:rPr>
              <w:t>6</w:t>
            </w:r>
            <w:r w:rsidR="005B49A0">
              <w:rPr>
                <w:webHidden/>
              </w:rPr>
              <w:fldChar w:fldCharType="end"/>
            </w:r>
          </w:hyperlink>
        </w:p>
        <w:p w14:paraId="012B0E75" w14:textId="421FD793" w:rsidR="005B49A0" w:rsidRDefault="001715FE">
          <w:pPr>
            <w:pStyle w:val="TOC3"/>
            <w:rPr>
              <w:rFonts w:eastAsiaTheme="minorEastAsia"/>
              <w:lang w:eastAsia="en-AU"/>
            </w:rPr>
          </w:pPr>
          <w:hyperlink w:anchor="_Toc126056596" w:history="1">
            <w:r w:rsidR="005B49A0" w:rsidRPr="00627AF7">
              <w:rPr>
                <w:rStyle w:val="Hyperlink"/>
              </w:rPr>
              <w:t>Administrative burden on employers</w:t>
            </w:r>
            <w:r w:rsidR="005B49A0">
              <w:rPr>
                <w:webHidden/>
              </w:rPr>
              <w:tab/>
            </w:r>
            <w:r w:rsidR="005B49A0">
              <w:rPr>
                <w:webHidden/>
              </w:rPr>
              <w:fldChar w:fldCharType="begin"/>
            </w:r>
            <w:r w:rsidR="005B49A0">
              <w:rPr>
                <w:webHidden/>
              </w:rPr>
              <w:instrText xml:space="preserve"> PAGEREF _Toc126056596 \h </w:instrText>
            </w:r>
            <w:r w:rsidR="005B49A0">
              <w:rPr>
                <w:webHidden/>
              </w:rPr>
            </w:r>
            <w:r w:rsidR="005B49A0">
              <w:rPr>
                <w:webHidden/>
              </w:rPr>
              <w:fldChar w:fldCharType="separate"/>
            </w:r>
            <w:r w:rsidR="005B49A0">
              <w:rPr>
                <w:webHidden/>
              </w:rPr>
              <w:t>7</w:t>
            </w:r>
            <w:r w:rsidR="005B49A0">
              <w:rPr>
                <w:webHidden/>
              </w:rPr>
              <w:fldChar w:fldCharType="end"/>
            </w:r>
          </w:hyperlink>
        </w:p>
        <w:p w14:paraId="6BD63DE6" w14:textId="6D88543B" w:rsidR="005B49A0" w:rsidRDefault="001715FE">
          <w:pPr>
            <w:pStyle w:val="TOC3"/>
            <w:rPr>
              <w:rFonts w:eastAsiaTheme="minorEastAsia"/>
              <w:lang w:eastAsia="en-AU"/>
            </w:rPr>
          </w:pPr>
          <w:hyperlink w:anchor="_Toc126056597" w:history="1">
            <w:r w:rsidR="005B49A0" w:rsidRPr="00627AF7">
              <w:rPr>
                <w:rStyle w:val="Hyperlink"/>
              </w:rPr>
              <w:t>Voluntary labour mobility</w:t>
            </w:r>
            <w:r w:rsidR="005B49A0">
              <w:rPr>
                <w:webHidden/>
              </w:rPr>
              <w:tab/>
            </w:r>
            <w:r w:rsidR="005B49A0">
              <w:rPr>
                <w:webHidden/>
              </w:rPr>
              <w:fldChar w:fldCharType="begin"/>
            </w:r>
            <w:r w:rsidR="005B49A0">
              <w:rPr>
                <w:webHidden/>
              </w:rPr>
              <w:instrText xml:space="preserve"> PAGEREF _Toc126056597 \h </w:instrText>
            </w:r>
            <w:r w:rsidR="005B49A0">
              <w:rPr>
                <w:webHidden/>
              </w:rPr>
            </w:r>
            <w:r w:rsidR="005B49A0">
              <w:rPr>
                <w:webHidden/>
              </w:rPr>
              <w:fldChar w:fldCharType="separate"/>
            </w:r>
            <w:r w:rsidR="005B49A0">
              <w:rPr>
                <w:webHidden/>
              </w:rPr>
              <w:t>7</w:t>
            </w:r>
            <w:r w:rsidR="005B49A0">
              <w:rPr>
                <w:webHidden/>
              </w:rPr>
              <w:fldChar w:fldCharType="end"/>
            </w:r>
          </w:hyperlink>
        </w:p>
        <w:p w14:paraId="15117E85" w14:textId="6DB406F7" w:rsidR="005B49A0" w:rsidRDefault="001715FE">
          <w:pPr>
            <w:pStyle w:val="TOC3"/>
            <w:rPr>
              <w:rFonts w:eastAsiaTheme="minorEastAsia"/>
              <w:lang w:eastAsia="en-AU"/>
            </w:rPr>
          </w:pPr>
          <w:hyperlink w:anchor="_Toc126056598" w:history="1">
            <w:r w:rsidR="005B49A0" w:rsidRPr="00627AF7">
              <w:rPr>
                <w:rStyle w:val="Hyperlink"/>
              </w:rPr>
              <w:t>Impact on female-owned businesses</w:t>
            </w:r>
            <w:r w:rsidR="005B49A0">
              <w:rPr>
                <w:webHidden/>
              </w:rPr>
              <w:tab/>
            </w:r>
            <w:r w:rsidR="005B49A0">
              <w:rPr>
                <w:webHidden/>
              </w:rPr>
              <w:fldChar w:fldCharType="begin"/>
            </w:r>
            <w:r w:rsidR="005B49A0">
              <w:rPr>
                <w:webHidden/>
              </w:rPr>
              <w:instrText xml:space="preserve"> PAGEREF _Toc126056598 \h </w:instrText>
            </w:r>
            <w:r w:rsidR="005B49A0">
              <w:rPr>
                <w:webHidden/>
              </w:rPr>
            </w:r>
            <w:r w:rsidR="005B49A0">
              <w:rPr>
                <w:webHidden/>
              </w:rPr>
              <w:fldChar w:fldCharType="separate"/>
            </w:r>
            <w:r w:rsidR="005B49A0">
              <w:rPr>
                <w:webHidden/>
              </w:rPr>
              <w:t>8</w:t>
            </w:r>
            <w:r w:rsidR="005B49A0">
              <w:rPr>
                <w:webHidden/>
              </w:rPr>
              <w:fldChar w:fldCharType="end"/>
            </w:r>
          </w:hyperlink>
        </w:p>
        <w:p w14:paraId="5B2F6ACA" w14:textId="67AB33A7" w:rsidR="005B49A0" w:rsidRDefault="001715FE">
          <w:pPr>
            <w:pStyle w:val="TOC1"/>
            <w:rPr>
              <w:rFonts w:asciiTheme="minorHAnsi" w:eastAsiaTheme="minorEastAsia" w:hAnsiTheme="minorHAnsi"/>
              <w:b w:val="0"/>
              <w:bCs w:val="0"/>
              <w:color w:val="auto"/>
              <w:w w:val="100"/>
              <w:sz w:val="22"/>
              <w:lang w:eastAsia="en-AU"/>
            </w:rPr>
          </w:pPr>
          <w:hyperlink w:anchor="_Toc126056599" w:history="1">
            <w:r w:rsidR="005B49A0" w:rsidRPr="00627AF7">
              <w:rPr>
                <w:rStyle w:val="Hyperlink"/>
              </w:rPr>
              <w:t>3.</w:t>
            </w:r>
            <w:r w:rsidR="005B49A0">
              <w:rPr>
                <w:rFonts w:asciiTheme="minorHAnsi" w:eastAsiaTheme="minorEastAsia" w:hAnsiTheme="minorHAnsi"/>
                <w:b w:val="0"/>
                <w:bCs w:val="0"/>
                <w:color w:val="auto"/>
                <w:w w:val="100"/>
                <w:sz w:val="22"/>
                <w:lang w:eastAsia="en-AU"/>
              </w:rPr>
              <w:tab/>
            </w:r>
            <w:r w:rsidR="005B49A0" w:rsidRPr="00627AF7">
              <w:rPr>
                <w:rStyle w:val="Hyperlink"/>
              </w:rPr>
              <w:t>Committee comment</w:t>
            </w:r>
            <w:r w:rsidR="005B49A0">
              <w:rPr>
                <w:webHidden/>
              </w:rPr>
              <w:tab/>
            </w:r>
            <w:r w:rsidR="005B49A0">
              <w:rPr>
                <w:webHidden/>
              </w:rPr>
              <w:fldChar w:fldCharType="begin"/>
            </w:r>
            <w:r w:rsidR="005B49A0">
              <w:rPr>
                <w:webHidden/>
              </w:rPr>
              <w:instrText xml:space="preserve"> PAGEREF _Toc126056599 \h </w:instrText>
            </w:r>
            <w:r w:rsidR="005B49A0">
              <w:rPr>
                <w:webHidden/>
              </w:rPr>
            </w:r>
            <w:r w:rsidR="005B49A0">
              <w:rPr>
                <w:webHidden/>
              </w:rPr>
              <w:fldChar w:fldCharType="separate"/>
            </w:r>
            <w:r w:rsidR="005B49A0">
              <w:rPr>
                <w:webHidden/>
              </w:rPr>
              <w:t>8</w:t>
            </w:r>
            <w:r w:rsidR="005B49A0">
              <w:rPr>
                <w:webHidden/>
              </w:rPr>
              <w:fldChar w:fldCharType="end"/>
            </w:r>
          </w:hyperlink>
        </w:p>
        <w:p w14:paraId="4520A33F" w14:textId="46DDC8CA" w:rsidR="005B49A0" w:rsidRDefault="001715FE">
          <w:pPr>
            <w:pStyle w:val="TOC1"/>
            <w:rPr>
              <w:rFonts w:asciiTheme="minorHAnsi" w:eastAsiaTheme="minorEastAsia" w:hAnsiTheme="minorHAnsi"/>
              <w:b w:val="0"/>
              <w:bCs w:val="0"/>
              <w:color w:val="auto"/>
              <w:w w:val="100"/>
              <w:sz w:val="22"/>
              <w:lang w:eastAsia="en-AU"/>
            </w:rPr>
          </w:pPr>
          <w:hyperlink w:anchor="_Toc126056600" w:history="1">
            <w:r w:rsidR="005B49A0" w:rsidRPr="00627AF7">
              <w:rPr>
                <w:rStyle w:val="Hyperlink"/>
              </w:rPr>
              <w:t>4.</w:t>
            </w:r>
            <w:r w:rsidR="005B49A0">
              <w:rPr>
                <w:rFonts w:asciiTheme="minorHAnsi" w:eastAsiaTheme="minorEastAsia" w:hAnsiTheme="minorHAnsi"/>
                <w:b w:val="0"/>
                <w:bCs w:val="0"/>
                <w:color w:val="auto"/>
                <w:w w:val="100"/>
                <w:sz w:val="22"/>
                <w:lang w:eastAsia="en-AU"/>
              </w:rPr>
              <w:tab/>
            </w:r>
            <w:r w:rsidR="005B49A0" w:rsidRPr="00627AF7">
              <w:rPr>
                <w:rStyle w:val="Hyperlink"/>
              </w:rPr>
              <w:t>Conclusion</w:t>
            </w:r>
            <w:r w:rsidR="005B49A0">
              <w:rPr>
                <w:webHidden/>
              </w:rPr>
              <w:tab/>
            </w:r>
            <w:r w:rsidR="005B49A0">
              <w:rPr>
                <w:webHidden/>
              </w:rPr>
              <w:fldChar w:fldCharType="begin"/>
            </w:r>
            <w:r w:rsidR="005B49A0">
              <w:rPr>
                <w:webHidden/>
              </w:rPr>
              <w:instrText xml:space="preserve"> PAGEREF _Toc126056600 \h </w:instrText>
            </w:r>
            <w:r w:rsidR="005B49A0">
              <w:rPr>
                <w:webHidden/>
              </w:rPr>
            </w:r>
            <w:r w:rsidR="005B49A0">
              <w:rPr>
                <w:webHidden/>
              </w:rPr>
              <w:fldChar w:fldCharType="separate"/>
            </w:r>
            <w:r w:rsidR="005B49A0">
              <w:rPr>
                <w:webHidden/>
              </w:rPr>
              <w:t>9</w:t>
            </w:r>
            <w:r w:rsidR="005B49A0">
              <w:rPr>
                <w:webHidden/>
              </w:rPr>
              <w:fldChar w:fldCharType="end"/>
            </w:r>
          </w:hyperlink>
        </w:p>
        <w:p w14:paraId="102375E4" w14:textId="544BFC6E" w:rsidR="005B49A0" w:rsidRDefault="001715FE">
          <w:pPr>
            <w:pStyle w:val="TOC1"/>
            <w:rPr>
              <w:rFonts w:asciiTheme="minorHAnsi" w:eastAsiaTheme="minorEastAsia" w:hAnsiTheme="minorHAnsi"/>
              <w:b w:val="0"/>
              <w:bCs w:val="0"/>
              <w:color w:val="auto"/>
              <w:w w:val="100"/>
              <w:sz w:val="22"/>
              <w:lang w:eastAsia="en-AU"/>
            </w:rPr>
          </w:pPr>
          <w:hyperlink w:anchor="_Toc126056601" w:history="1">
            <w:r w:rsidR="005B49A0" w:rsidRPr="00627AF7">
              <w:rPr>
                <w:rStyle w:val="Hyperlink"/>
              </w:rPr>
              <w:t>Appendix A: Submissions</w:t>
            </w:r>
            <w:r w:rsidR="005B49A0">
              <w:rPr>
                <w:webHidden/>
              </w:rPr>
              <w:tab/>
            </w:r>
            <w:r w:rsidR="005B49A0">
              <w:rPr>
                <w:webHidden/>
              </w:rPr>
              <w:fldChar w:fldCharType="begin"/>
            </w:r>
            <w:r w:rsidR="005B49A0">
              <w:rPr>
                <w:webHidden/>
              </w:rPr>
              <w:instrText xml:space="preserve"> PAGEREF _Toc126056601 \h </w:instrText>
            </w:r>
            <w:r w:rsidR="005B49A0">
              <w:rPr>
                <w:webHidden/>
              </w:rPr>
            </w:r>
            <w:r w:rsidR="005B49A0">
              <w:rPr>
                <w:webHidden/>
              </w:rPr>
              <w:fldChar w:fldCharType="separate"/>
            </w:r>
            <w:r w:rsidR="005B49A0">
              <w:rPr>
                <w:webHidden/>
              </w:rPr>
              <w:t>11</w:t>
            </w:r>
            <w:r w:rsidR="005B49A0">
              <w:rPr>
                <w:webHidden/>
              </w:rPr>
              <w:fldChar w:fldCharType="end"/>
            </w:r>
          </w:hyperlink>
        </w:p>
        <w:p w14:paraId="56B87F94" w14:textId="3B6E62AD" w:rsidR="005B49A0" w:rsidRDefault="005B49A0" w:rsidP="005B49A0">
          <w:pPr>
            <w:rPr>
              <w:bCs/>
              <w:noProof/>
            </w:rPr>
          </w:pPr>
          <w:r>
            <w:rPr>
              <w:b/>
              <w:bCs/>
              <w:noProof/>
            </w:rPr>
            <w:fldChar w:fldCharType="end"/>
          </w:r>
        </w:p>
      </w:sdtContent>
    </w:sdt>
    <w:p w14:paraId="51E7A09B" w14:textId="77777777" w:rsidR="005B49A0" w:rsidRDefault="005B49A0" w:rsidP="004508F1">
      <w:pPr>
        <w:rPr>
          <w:b/>
          <w:bCs/>
          <w:color w:val="FFFFFF" w:themeColor="background1"/>
          <w:highlight w:val="darkBlue"/>
        </w:rPr>
        <w:sectPr w:rsidR="005B49A0" w:rsidSect="00391414">
          <w:type w:val="continuous"/>
          <w:pgSz w:w="11906" w:h="16838"/>
          <w:pgMar w:top="1440" w:right="1440" w:bottom="1440" w:left="1440" w:header="708" w:footer="708" w:gutter="0"/>
          <w:pgNumType w:fmt="lowerRoman" w:start="1"/>
          <w:cols w:space="708"/>
          <w:docGrid w:linePitch="360"/>
        </w:sectPr>
      </w:pPr>
    </w:p>
    <w:p w14:paraId="1F9FD703" w14:textId="77777777" w:rsidR="0031628A" w:rsidRDefault="0031628A" w:rsidP="0031628A">
      <w:pPr>
        <w:pStyle w:val="Heading1nonumber"/>
      </w:pPr>
      <w:bookmarkStart w:id="8" w:name="_Toc126056582"/>
      <w:bookmarkStart w:id="9" w:name="_Toc79133347"/>
      <w:bookmarkStart w:id="10" w:name="_Hlk79475490"/>
      <w:bookmarkEnd w:id="0"/>
      <w:r>
        <w:lastRenderedPageBreak/>
        <w:t>Acronyms</w:t>
      </w:r>
      <w:bookmarkEnd w:id="8"/>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43B63D57" w:rsidR="00727F06" w:rsidRDefault="00850E87" w:rsidP="00727F06">
            <w:pPr>
              <w:pStyle w:val="Tablebody"/>
            </w:pPr>
            <w:r>
              <w:t>ACT</w:t>
            </w:r>
          </w:p>
        </w:tc>
        <w:tc>
          <w:tcPr>
            <w:tcW w:w="7183" w:type="dxa"/>
          </w:tcPr>
          <w:p w14:paraId="44AB3819" w14:textId="147DC0E4" w:rsidR="00727F06" w:rsidRDefault="00850E87" w:rsidP="00727F06">
            <w:pPr>
              <w:pStyle w:val="Tablebody"/>
            </w:pPr>
            <w:r>
              <w:t>Australian Capital Territory</w:t>
            </w:r>
          </w:p>
        </w:tc>
      </w:tr>
    </w:tbl>
    <w:p w14:paraId="5CC4E2AD" w14:textId="5BD1EDE2" w:rsidR="0031628A" w:rsidRDefault="0031628A" w:rsidP="0031628A">
      <w:pPr>
        <w:rPr>
          <w:w w:val="90"/>
        </w:rPr>
      </w:pPr>
      <w:r>
        <w:br w:type="page"/>
      </w:r>
    </w:p>
    <w:p w14:paraId="4044F508" w14:textId="4494B8BB" w:rsidR="007A6EB9" w:rsidRDefault="008D72C9" w:rsidP="009F5A83">
      <w:pPr>
        <w:pStyle w:val="Heading1nonumber"/>
      </w:pPr>
      <w:bookmarkStart w:id="11" w:name="_Toc126056583"/>
      <w:r>
        <w:lastRenderedPageBreak/>
        <w:t>R</w:t>
      </w:r>
      <w:r w:rsidR="007A6EB9" w:rsidRPr="0006752F">
        <w:t>ecommendations</w:t>
      </w:r>
      <w:bookmarkEnd w:id="11"/>
    </w:p>
    <w:p w14:paraId="14EE235D" w14:textId="14B0A5FC" w:rsidR="0077585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5356876" w:history="1">
        <w:r w:rsidR="00775855" w:rsidRPr="00F96BC7">
          <w:rPr>
            <w:rStyle w:val="Hyperlink"/>
          </w:rPr>
          <w:t>Recommendation 1</w:t>
        </w:r>
      </w:hyperlink>
    </w:p>
    <w:p w14:paraId="0ECF6308" w14:textId="3E3BF818" w:rsidR="00775855" w:rsidRDefault="001715FE">
      <w:pPr>
        <w:pStyle w:val="TOC2"/>
        <w:rPr>
          <w:rFonts w:eastAsiaTheme="minorEastAsia"/>
          <w:lang w:eastAsia="en-AU"/>
        </w:rPr>
      </w:pPr>
      <w:hyperlink w:anchor="_Toc125356877" w:history="1">
        <w:r w:rsidR="00775855" w:rsidRPr="00F96BC7">
          <w:rPr>
            <w:rStyle w:val="Hyperlink"/>
          </w:rPr>
          <w:t>The Committee recommends that the ACT Legislative Assembly pass the Long Service Leave (Portable Schemes) Amendment Bill 2022.</w:t>
        </w:r>
      </w:hyperlink>
    </w:p>
    <w:p w14:paraId="4516DEE1" w14:textId="0994BFE3" w:rsidR="00775855" w:rsidRDefault="001715FE">
      <w:pPr>
        <w:pStyle w:val="TOC1"/>
        <w:rPr>
          <w:rFonts w:asciiTheme="minorHAnsi" w:eastAsiaTheme="minorEastAsia" w:hAnsiTheme="minorHAnsi"/>
          <w:b w:val="0"/>
          <w:bCs w:val="0"/>
          <w:color w:val="auto"/>
          <w:w w:val="100"/>
          <w:sz w:val="22"/>
          <w:lang w:eastAsia="en-AU"/>
        </w:rPr>
      </w:pPr>
      <w:hyperlink w:anchor="_Toc125356878" w:history="1">
        <w:r w:rsidR="00775855" w:rsidRPr="00F96BC7">
          <w:rPr>
            <w:rStyle w:val="Hyperlink"/>
          </w:rPr>
          <w:t>Recommendation 2</w:t>
        </w:r>
      </w:hyperlink>
    </w:p>
    <w:p w14:paraId="197147B1" w14:textId="42D858F2" w:rsidR="00775855" w:rsidRDefault="001715FE">
      <w:pPr>
        <w:pStyle w:val="TOC2"/>
        <w:rPr>
          <w:rFonts w:eastAsiaTheme="minorEastAsia"/>
          <w:lang w:eastAsia="en-AU"/>
        </w:rPr>
      </w:pPr>
      <w:hyperlink w:anchor="_Toc125356879" w:history="1">
        <w:r w:rsidR="00775855" w:rsidRPr="00F96BC7">
          <w:rPr>
            <w:rStyle w:val="Hyperlink"/>
          </w:rPr>
          <w:t>The Committee recommends that the ACT Government consider and address the specific issues brought up in the submissions to this inquiry.</w:t>
        </w:r>
      </w:hyperlink>
    </w:p>
    <w:p w14:paraId="29D7FEA2" w14:textId="23CB1749" w:rsidR="00775855" w:rsidRDefault="001715FE">
      <w:pPr>
        <w:pStyle w:val="TOC1"/>
        <w:rPr>
          <w:rFonts w:asciiTheme="minorHAnsi" w:eastAsiaTheme="minorEastAsia" w:hAnsiTheme="minorHAnsi"/>
          <w:b w:val="0"/>
          <w:bCs w:val="0"/>
          <w:color w:val="auto"/>
          <w:w w:val="100"/>
          <w:sz w:val="22"/>
          <w:lang w:eastAsia="en-AU"/>
        </w:rPr>
      </w:pPr>
      <w:hyperlink w:anchor="_Toc125356880" w:history="1">
        <w:r w:rsidR="00775855" w:rsidRPr="00F96BC7">
          <w:rPr>
            <w:rStyle w:val="Hyperlink"/>
          </w:rPr>
          <w:t>Recommendation 3</w:t>
        </w:r>
      </w:hyperlink>
    </w:p>
    <w:p w14:paraId="5E506291" w14:textId="2CC6A7A2" w:rsidR="00775855" w:rsidRDefault="001715FE">
      <w:pPr>
        <w:pStyle w:val="TOC2"/>
        <w:rPr>
          <w:rFonts w:eastAsiaTheme="minorEastAsia"/>
          <w:lang w:eastAsia="en-AU"/>
        </w:rPr>
      </w:pPr>
      <w:hyperlink w:anchor="_Toc125356881" w:history="1">
        <w:r w:rsidR="00775855" w:rsidRPr="00F96BC7">
          <w:rPr>
            <w:rStyle w:val="Hyperlink"/>
          </w:rPr>
          <w:t>The Committee recommends that the ACT Government work with industry and stakeholders in implementation of the expansion of the Long Service Leave Portable Schemes.</w:t>
        </w:r>
      </w:hyperlink>
    </w:p>
    <w:p w14:paraId="34234833" w14:textId="4CE24D16" w:rsidR="00B7541C" w:rsidRDefault="006A7A61" w:rsidP="00B7541C">
      <w:r>
        <w:fldChar w:fldCharType="end"/>
      </w:r>
    </w:p>
    <w:p w14:paraId="344C4F63" w14:textId="5C49D60C" w:rsidR="00B7541C" w:rsidRPr="00B7541C" w:rsidRDefault="00B7541C" w:rsidP="00B7541C">
      <w:pPr>
        <w:sectPr w:rsidR="00B7541C" w:rsidRPr="00B7541C" w:rsidSect="005B49A0">
          <w:pgSz w:w="11906" w:h="16838"/>
          <w:pgMar w:top="1440" w:right="1440" w:bottom="1440" w:left="1440" w:header="708" w:footer="708" w:gutter="0"/>
          <w:pgNumType w:fmt="lowerRoman" w:start="1"/>
          <w:cols w:space="708"/>
          <w:docGrid w:linePitch="360"/>
        </w:sectPr>
      </w:pPr>
    </w:p>
    <w:p w14:paraId="53852A67" w14:textId="3017AAA7" w:rsidR="0036775A" w:rsidRDefault="00C170E6" w:rsidP="00C170E6">
      <w:pPr>
        <w:pStyle w:val="Heading1"/>
      </w:pPr>
      <w:bookmarkStart w:id="12" w:name="_Toc126056584"/>
      <w:bookmarkEnd w:id="9"/>
      <w:r>
        <w:lastRenderedPageBreak/>
        <w:t>Introduction</w:t>
      </w:r>
      <w:bookmarkEnd w:id="12"/>
    </w:p>
    <w:p w14:paraId="16FA9EC3" w14:textId="413DC9B7" w:rsidR="00991964" w:rsidRPr="00991964" w:rsidRDefault="00991964" w:rsidP="00991964">
      <w:pPr>
        <w:pStyle w:val="Heading2"/>
      </w:pPr>
      <w:bookmarkStart w:id="13" w:name="_Toc126056585"/>
      <w:r>
        <w:t>Conduct of the Inquiry</w:t>
      </w:r>
      <w:bookmarkEnd w:id="13"/>
    </w:p>
    <w:p w14:paraId="6E2EE09D" w14:textId="44C1CD27" w:rsidR="00A67677" w:rsidRDefault="006E092A" w:rsidP="00A67677">
      <w:pPr>
        <w:pStyle w:val="ListNumber2"/>
      </w:pPr>
      <w:r>
        <w:t xml:space="preserve">Due to the short timeframe of this inquiry over the Christmas holiday period, the Committee resolved </w:t>
      </w:r>
      <w:r w:rsidR="0083037D">
        <w:t>to hold the inquiry on the papers</w:t>
      </w:r>
      <w:r>
        <w:t>, and to extend the deadline of submissions for as long as possible</w:t>
      </w:r>
      <w:r w:rsidR="00F25F7A">
        <w:t xml:space="preserve"> (until 19 January 202</w:t>
      </w:r>
      <w:r w:rsidR="00E55525">
        <w:t>3</w:t>
      </w:r>
      <w:r w:rsidR="00F25F7A">
        <w:t>).</w:t>
      </w:r>
    </w:p>
    <w:p w14:paraId="75E11A94" w14:textId="48D8621D" w:rsidR="00BE0AB2" w:rsidRDefault="006E092A" w:rsidP="00BE0AB2">
      <w:pPr>
        <w:pStyle w:val="ListNumber2"/>
      </w:pPr>
      <w:r>
        <w:t xml:space="preserve">The Committee received </w:t>
      </w:r>
      <w:r w:rsidR="00A83370">
        <w:t xml:space="preserve">a total of ten </w:t>
      </w:r>
      <w:r>
        <w:t xml:space="preserve"> submissions</w:t>
      </w:r>
      <w:r w:rsidR="00A83370">
        <w:t xml:space="preserve"> in the inquiry</w:t>
      </w:r>
      <w:r>
        <w:t xml:space="preserve"> (Appendix A).</w:t>
      </w:r>
    </w:p>
    <w:p w14:paraId="4C2DB698" w14:textId="4505144D" w:rsidR="00F64542" w:rsidRDefault="00991964" w:rsidP="00D90ED8">
      <w:pPr>
        <w:pStyle w:val="Heading2"/>
      </w:pPr>
      <w:bookmarkStart w:id="14" w:name="_Toc126056586"/>
      <w:bookmarkStart w:id="15" w:name="_Hlk79571513"/>
      <w:r>
        <w:t>Legislative History</w:t>
      </w:r>
      <w:bookmarkEnd w:id="14"/>
    </w:p>
    <w:bookmarkEnd w:id="10"/>
    <w:bookmarkEnd w:id="15"/>
    <w:p w14:paraId="00642943" w14:textId="0523F352" w:rsidR="002A5733" w:rsidRPr="002A5733" w:rsidRDefault="002A5733" w:rsidP="002A5733">
      <w:pPr>
        <w:pStyle w:val="Quote"/>
      </w:pPr>
      <w:r w:rsidRPr="002A5733">
        <w:t>The history of long service leave (LSL) is important in understanding the ideological viewpoints driving debate about its future.</w:t>
      </w:r>
      <w:r>
        <w:rPr>
          <w:rStyle w:val="FootnoteReference"/>
        </w:rPr>
        <w:footnoteReference w:id="1"/>
      </w:r>
    </w:p>
    <w:p w14:paraId="335A8DC3" w14:textId="596D3303" w:rsidR="00A7281A" w:rsidRDefault="00A7281A" w:rsidP="002A5733">
      <w:pPr>
        <w:pStyle w:val="ListNumber2"/>
      </w:pPr>
      <w:r>
        <w:t xml:space="preserve">Long service leave is unique to Australia and New Zealand and has </w:t>
      </w:r>
      <w:r w:rsidR="00440EB4">
        <w:t>its</w:t>
      </w:r>
      <w:r>
        <w:t xml:space="preserve"> origins in the countries’ geographical location and colonial pasts.</w:t>
      </w:r>
      <w:r w:rsidR="00366773">
        <w:rPr>
          <w:rStyle w:val="FootnoteReference"/>
        </w:rPr>
        <w:footnoteReference w:id="2"/>
      </w:r>
    </w:p>
    <w:p w14:paraId="568E3F41" w14:textId="5C439697" w:rsidR="00A7281A" w:rsidRDefault="00A7281A" w:rsidP="00A75546">
      <w:pPr>
        <w:pStyle w:val="ListNumber2"/>
      </w:pPr>
      <w:r>
        <w:t xml:space="preserve">It was first offered to senior Victorian public servants in the </w:t>
      </w:r>
      <w:r w:rsidR="00F55A13">
        <w:t>mid-1800s</w:t>
      </w:r>
      <w:r>
        <w:t xml:space="preserve"> as extended paid leave </w:t>
      </w:r>
      <w:r w:rsidR="005F1BB9">
        <w:t>in recognition of long periods of continuous service</w:t>
      </w:r>
      <w:r w:rsidR="00E12D3C">
        <w:t>.</w:t>
      </w:r>
      <w:r w:rsidR="005F1BB9">
        <w:rPr>
          <w:rStyle w:val="FootnoteReference"/>
        </w:rPr>
        <w:footnoteReference w:id="3"/>
      </w:r>
      <w:r w:rsidR="00E12D3C">
        <w:t xml:space="preserve"> The </w:t>
      </w:r>
      <w:r w:rsidR="00E12D3C" w:rsidRPr="00E12D3C">
        <w:rPr>
          <w:i/>
          <w:iCs/>
        </w:rPr>
        <w:t>Civil Service Act of Victoria 1862</w:t>
      </w:r>
      <w:r w:rsidR="00E12D3C">
        <w:t xml:space="preserve"> set out as follows:</w:t>
      </w:r>
      <w:r w:rsidR="00794E04">
        <w:t xml:space="preserve"> </w:t>
      </w:r>
    </w:p>
    <w:p w14:paraId="40B87A55" w14:textId="0455D7C5" w:rsidR="00794E04" w:rsidRPr="00794E04" w:rsidRDefault="00794E04" w:rsidP="00794E04">
      <w:pPr>
        <w:pStyle w:val="Quote"/>
      </w:pPr>
      <w:r>
        <w:t>Furlough for Europe—</w:t>
      </w:r>
      <w:r w:rsidRPr="00794E04">
        <w:t>Where any officer desires to visit Europe or some other distant country if he have continued in the civil service of th</w:t>
      </w:r>
      <w:r>
        <w:t>is</w:t>
      </w:r>
      <w:r w:rsidRPr="00794E04">
        <w:t xml:space="preserve"> colony at least ten years and have not been reduced for misconduct or deprived of leave of absence under this Act the Governor in council may grant to him leave of absence upon half-salary for a period not exceeding twelve months but for such period of absence such officer shall not be entitled to receive any annual increment</w:t>
      </w:r>
      <w:r>
        <w:t>.</w:t>
      </w:r>
      <w:r>
        <w:rPr>
          <w:rStyle w:val="FootnoteReference"/>
        </w:rPr>
        <w:footnoteReference w:id="4"/>
      </w:r>
    </w:p>
    <w:p w14:paraId="59C3EED2" w14:textId="062E0023" w:rsidR="00A7281A" w:rsidRDefault="005F1BB9" w:rsidP="002A5733">
      <w:pPr>
        <w:pStyle w:val="ListNumber2"/>
      </w:pPr>
      <w:r>
        <w:t>In the 1940s, long service leave was extended to the private sector. It allowed employees a period of rest at a time of greater recognition of the</w:t>
      </w:r>
      <w:r w:rsidR="001905A8">
        <w:t xml:space="preserve"> i</w:t>
      </w:r>
      <w:r>
        <w:t>mportance of leisure time and incentivised them to remain loyal to one employer.</w:t>
      </w:r>
      <w:r w:rsidR="001905A8" w:rsidRPr="001905A8">
        <w:rPr>
          <w:rStyle w:val="FootnoteReference"/>
        </w:rPr>
        <w:t xml:space="preserve"> </w:t>
      </w:r>
      <w:r w:rsidR="001905A8">
        <w:rPr>
          <w:rStyle w:val="FootnoteReference"/>
        </w:rPr>
        <w:footnoteReference w:id="5"/>
      </w:r>
    </w:p>
    <w:p w14:paraId="6AC750BE" w14:textId="0DA5393E" w:rsidR="00A7281A" w:rsidRDefault="006212C0" w:rsidP="002A5733">
      <w:pPr>
        <w:pStyle w:val="ListNumber2"/>
      </w:pPr>
      <w:r>
        <w:t>Two key features of long service leave as it was initially conceived were:</w:t>
      </w:r>
    </w:p>
    <w:p w14:paraId="1691C25D" w14:textId="3E9DA2D3" w:rsidR="006212C0" w:rsidRDefault="006212C0" w:rsidP="006212C0">
      <w:pPr>
        <w:pStyle w:val="ListBullet"/>
      </w:pPr>
      <w:r>
        <w:t>to reward employee</w:t>
      </w:r>
      <w:r w:rsidR="00164DFC">
        <w:t>s with</w:t>
      </w:r>
      <w:r>
        <w:t xml:space="preserve"> a period of rest and recuperation, as opposed to monetary compensation; and</w:t>
      </w:r>
    </w:p>
    <w:p w14:paraId="303CAF75" w14:textId="73192119" w:rsidR="00164DFC" w:rsidRDefault="006212C0" w:rsidP="00164DFC">
      <w:pPr>
        <w:pStyle w:val="ListBullet"/>
      </w:pPr>
      <w:r>
        <w:t xml:space="preserve">to </w:t>
      </w:r>
      <w:r w:rsidR="00937C4B">
        <w:t>prevent staff turnover</w:t>
      </w:r>
      <w:r w:rsidR="00164DFC">
        <w:t>.</w:t>
      </w:r>
    </w:p>
    <w:p w14:paraId="71591D3F" w14:textId="72C123A0" w:rsidR="00071078" w:rsidRDefault="00C33622" w:rsidP="002A5733">
      <w:pPr>
        <w:pStyle w:val="ListNumber2"/>
      </w:pPr>
      <w:r>
        <w:lastRenderedPageBreak/>
        <w:t xml:space="preserve">Traditional long service leave is legislated in the ACT under the </w:t>
      </w:r>
      <w:r w:rsidRPr="00C33622">
        <w:rPr>
          <w:i/>
          <w:iCs/>
        </w:rPr>
        <w:t>Long Service Leave Act 1976</w:t>
      </w:r>
      <w:r>
        <w:t>.</w:t>
      </w:r>
    </w:p>
    <w:p w14:paraId="6E8A2F27" w14:textId="43D8B1F9" w:rsidR="00FE2FF6" w:rsidRDefault="00160528" w:rsidP="002A5733">
      <w:pPr>
        <w:pStyle w:val="ListNumber2"/>
      </w:pPr>
      <w:r>
        <w:t>Portable long service leave schemes were created for employees in industries which are typified by short-term employment. For example, the work in the construction industry is project based</w:t>
      </w:r>
      <w:r w:rsidR="00606F9C">
        <w:t>, and</w:t>
      </w:r>
      <w:r>
        <w:t xml:space="preserve"> workers move between employers as one build </w:t>
      </w:r>
      <w:r w:rsidR="008854C7">
        <w:t>finishes</w:t>
      </w:r>
      <w:r>
        <w:t xml:space="preserve"> and another begins.</w:t>
      </w:r>
      <w:r w:rsidR="00742B2B">
        <w:t xml:space="preserve"> </w:t>
      </w:r>
      <w:r w:rsidR="00606F9C">
        <w:t>Portable schemes allow workers to accumulate and access long service leave after a period of continuous service in one industry rather than with one employer.</w:t>
      </w:r>
      <w:r w:rsidR="006B0055">
        <w:rPr>
          <w:rStyle w:val="FootnoteReference"/>
        </w:rPr>
        <w:footnoteReference w:id="6"/>
      </w:r>
      <w:r w:rsidR="00715E49">
        <w:t xml:space="preserve"> There has been some argument that portable leave schemes ‘</w:t>
      </w:r>
      <w:r w:rsidR="00715E49">
        <w:rPr>
          <w:szCs w:val="22"/>
        </w:rPr>
        <w:t>makes the focus an employee</w:t>
      </w:r>
      <w:r w:rsidR="00715E49">
        <w:rPr>
          <w:rFonts w:ascii="Calibri" w:hAnsi="Calibri" w:cs="Calibri"/>
          <w:szCs w:val="22"/>
        </w:rPr>
        <w:t>’</w:t>
      </w:r>
      <w:r w:rsidR="00715E49">
        <w:rPr>
          <w:szCs w:val="22"/>
        </w:rPr>
        <w:t>s entitlement to a lump sum payment, rather than an employee</w:t>
      </w:r>
      <w:r w:rsidR="00715E49">
        <w:rPr>
          <w:rFonts w:ascii="Calibri" w:hAnsi="Calibri" w:cs="Calibri"/>
          <w:szCs w:val="22"/>
        </w:rPr>
        <w:t>’</w:t>
      </w:r>
      <w:r w:rsidR="00715E49">
        <w:rPr>
          <w:szCs w:val="22"/>
        </w:rPr>
        <w:t>s entitlement to a period of rest.’</w:t>
      </w:r>
      <w:r w:rsidR="00715E49">
        <w:rPr>
          <w:rStyle w:val="FootnoteReference"/>
          <w:szCs w:val="22"/>
        </w:rPr>
        <w:footnoteReference w:id="7"/>
      </w:r>
    </w:p>
    <w:p w14:paraId="79C19F52" w14:textId="733D9591" w:rsidR="006B0055" w:rsidRDefault="00992A31" w:rsidP="002A5733">
      <w:pPr>
        <w:pStyle w:val="ListNumber2"/>
      </w:pPr>
      <w:r>
        <w:t>Portable long service leave schemes are administered by public authorities and can be legislated under Federal, State, or Territory law.</w:t>
      </w:r>
      <w:r w:rsidR="005F6C92">
        <w:t xml:space="preserve"> This presents complexities in administration </w:t>
      </w:r>
      <w:r w:rsidR="006E345C">
        <w:t xml:space="preserve">of the schemes </w:t>
      </w:r>
      <w:r w:rsidR="00147BE0">
        <w:t>due to the inconsistencies</w:t>
      </w:r>
      <w:r w:rsidR="005F6C92">
        <w:t xml:space="preserve"> between industries and locations. </w:t>
      </w:r>
      <w:r>
        <w:t>In 2016 the</w:t>
      </w:r>
      <w:r w:rsidR="00F32CFB">
        <w:t xml:space="preserve"> </w:t>
      </w:r>
      <w:r>
        <w:t>Senate</w:t>
      </w:r>
      <w:r w:rsidR="004C439B">
        <w:t>’s</w:t>
      </w:r>
      <w:r>
        <w:t xml:space="preserve"> </w:t>
      </w:r>
      <w:r w:rsidR="00F32CFB">
        <w:t>Education and Employment References Committee</w:t>
      </w:r>
      <w:r>
        <w:t xml:space="preserve"> recommended that the feasibility of a national portable schemes governing body be investigated</w:t>
      </w:r>
      <w:r w:rsidR="001E37E3">
        <w:t>.</w:t>
      </w:r>
      <w:r>
        <w:t xml:space="preserve"> </w:t>
      </w:r>
      <w:r w:rsidR="00FD3C5E">
        <w:t>To date, no national governing body has been established.</w:t>
      </w:r>
      <w:r w:rsidR="00FD3C5E">
        <w:rPr>
          <w:rStyle w:val="FootnoteReference"/>
        </w:rPr>
        <w:footnoteReference w:id="8"/>
      </w:r>
    </w:p>
    <w:p w14:paraId="0D9ACDBD" w14:textId="5C3E2265" w:rsidR="00E1516A" w:rsidRDefault="00634720" w:rsidP="002A5733">
      <w:pPr>
        <w:pStyle w:val="ListNumber2"/>
      </w:pPr>
      <w:r>
        <w:t xml:space="preserve">In the ACT, the </w:t>
      </w:r>
      <w:r w:rsidRPr="00634720">
        <w:rPr>
          <w:i/>
          <w:iCs/>
        </w:rPr>
        <w:t>Long Service Leave (Portable Schemes) Bill 2009</w:t>
      </w:r>
      <w:r>
        <w:t xml:space="preserve"> established the </w:t>
      </w:r>
      <w:r w:rsidR="00E87C1A">
        <w:t>ACT Long Service Leave Authority</w:t>
      </w:r>
      <w:r w:rsidR="00C75F45">
        <w:t xml:space="preserve"> (the Authority)</w:t>
      </w:r>
      <w:r w:rsidR="00E87C1A">
        <w:t>, which incorporated two other bodies which had been administering portable leave schemes for the construction and contract cleaning industries.</w:t>
      </w:r>
      <w:r w:rsidR="00E87C1A">
        <w:rPr>
          <w:rStyle w:val="FootnoteReference"/>
        </w:rPr>
        <w:footnoteReference w:id="9"/>
      </w:r>
    </w:p>
    <w:p w14:paraId="2AA9DB76" w14:textId="6D025599" w:rsidR="00FD3C5E" w:rsidRDefault="00E55525" w:rsidP="002A5733">
      <w:pPr>
        <w:pStyle w:val="ListNumber2"/>
      </w:pPr>
      <w:r>
        <w:t>The Authority is responsible for the following:</w:t>
      </w:r>
    </w:p>
    <w:p w14:paraId="55B5B243" w14:textId="6380CABF" w:rsidR="00E55525" w:rsidRDefault="00E55525" w:rsidP="00E55525">
      <w:pPr>
        <w:pStyle w:val="ListBullet"/>
      </w:pPr>
      <w:r>
        <w:t>identifying and registering employers and employees</w:t>
      </w:r>
      <w:r w:rsidR="00041FB6">
        <w:t>;</w:t>
      </w:r>
    </w:p>
    <w:p w14:paraId="368495D3" w14:textId="1A2AC2FE" w:rsidR="00E55525" w:rsidRDefault="00E55525" w:rsidP="00E55525">
      <w:pPr>
        <w:pStyle w:val="ListBullet"/>
      </w:pPr>
      <w:r>
        <w:t>ensuring employers provide quarterly returns and levy payments</w:t>
      </w:r>
      <w:r w:rsidR="00041FB6">
        <w:t>;</w:t>
      </w:r>
    </w:p>
    <w:p w14:paraId="17747F32" w14:textId="13AB5464" w:rsidR="00E55525" w:rsidRDefault="00E55525" w:rsidP="00E55525">
      <w:pPr>
        <w:pStyle w:val="ListBullet"/>
      </w:pPr>
      <w:r>
        <w:t>maintaining records of workers service and employers contributions/payments to the scheme</w:t>
      </w:r>
      <w:r w:rsidR="00041FB6">
        <w:t>;</w:t>
      </w:r>
    </w:p>
    <w:p w14:paraId="6B4055D6" w14:textId="298FE46C" w:rsidR="00E55525" w:rsidRDefault="00E55525" w:rsidP="00E55525">
      <w:pPr>
        <w:pStyle w:val="ListBullet"/>
      </w:pPr>
      <w:r>
        <w:t>identifying the liabilities of the scheme through annual and triennial actuarial reports</w:t>
      </w:r>
      <w:r w:rsidR="00041FB6">
        <w:t>;</w:t>
      </w:r>
    </w:p>
    <w:p w14:paraId="1E29E72F" w14:textId="143003CE" w:rsidR="00E55525" w:rsidRDefault="00E55525" w:rsidP="00E55525">
      <w:pPr>
        <w:pStyle w:val="ListBullet"/>
      </w:pPr>
      <w:r>
        <w:t>investing surplus funds to cover administration costs and current and future liabilities</w:t>
      </w:r>
      <w:r w:rsidR="00041FB6">
        <w:t>;</w:t>
      </w:r>
    </w:p>
    <w:p w14:paraId="4896B40A" w14:textId="103F2FC2" w:rsidR="00E55525" w:rsidRDefault="00E55525" w:rsidP="00E55525">
      <w:pPr>
        <w:pStyle w:val="ListBullet"/>
      </w:pPr>
      <w:r>
        <w:t>assessing workers’ claims and making payments as required</w:t>
      </w:r>
      <w:r w:rsidR="00041FB6">
        <w:t>;</w:t>
      </w:r>
      <w:r>
        <w:t xml:space="preserve"> and</w:t>
      </w:r>
    </w:p>
    <w:p w14:paraId="3AD820FC" w14:textId="5F77B37B" w:rsidR="00E55525" w:rsidRDefault="00E55525" w:rsidP="00E55525">
      <w:pPr>
        <w:pStyle w:val="ListBullet"/>
      </w:pPr>
      <w:r>
        <w:t>reporting to the ACT Government and Legislative Assembly in accordance with legislative requirements.</w:t>
      </w:r>
      <w:r>
        <w:rPr>
          <w:rStyle w:val="FootnoteReference"/>
        </w:rPr>
        <w:footnoteReference w:id="10"/>
      </w:r>
    </w:p>
    <w:p w14:paraId="549A43EF" w14:textId="143CDB2C" w:rsidR="00E00CA1" w:rsidRDefault="00E55525" w:rsidP="00E00CA1">
      <w:pPr>
        <w:pStyle w:val="ListNumber2"/>
      </w:pPr>
      <w:r>
        <w:t xml:space="preserve">As of January 2023, the ACT’s </w:t>
      </w:r>
      <w:r w:rsidR="0032645F">
        <w:t>P</w:t>
      </w:r>
      <w:r>
        <w:t xml:space="preserve">ortable </w:t>
      </w:r>
      <w:r w:rsidR="0032645F">
        <w:t>L</w:t>
      </w:r>
      <w:r w:rsidR="00D105F6">
        <w:t xml:space="preserve">ong </w:t>
      </w:r>
      <w:r w:rsidR="0032645F">
        <w:t>S</w:t>
      </w:r>
      <w:r w:rsidR="00D105F6">
        <w:t xml:space="preserve">ervice </w:t>
      </w:r>
      <w:r w:rsidR="0032645F">
        <w:t>L</w:t>
      </w:r>
      <w:r w:rsidR="00D105F6">
        <w:t xml:space="preserve">eave </w:t>
      </w:r>
      <w:r w:rsidR="0032645F">
        <w:t>S</w:t>
      </w:r>
      <w:r>
        <w:t>cheme</w:t>
      </w:r>
      <w:r w:rsidR="00D105F6">
        <w:t xml:space="preserve"> (the Scheme)</w:t>
      </w:r>
      <w:r>
        <w:t xml:space="preserve"> covers the construction and building, contract cleaning, community sector, and security industries.</w:t>
      </w:r>
    </w:p>
    <w:p w14:paraId="1F510B31" w14:textId="25E2C787" w:rsidR="002A5733" w:rsidRDefault="006D53E0" w:rsidP="002A5733">
      <w:pPr>
        <w:pStyle w:val="Heading1"/>
      </w:pPr>
      <w:bookmarkStart w:id="16" w:name="_Toc126056587"/>
      <w:r>
        <w:lastRenderedPageBreak/>
        <w:t xml:space="preserve">The </w:t>
      </w:r>
      <w:r w:rsidR="0032645F">
        <w:t>B</w:t>
      </w:r>
      <w:r>
        <w:t>ill</w:t>
      </w:r>
      <w:bookmarkEnd w:id="16"/>
    </w:p>
    <w:p w14:paraId="75C4A011" w14:textId="2B1F6118" w:rsidR="00E00CA1" w:rsidRDefault="00E00CA1" w:rsidP="006D53E0">
      <w:pPr>
        <w:pStyle w:val="ListNumber2"/>
      </w:pPr>
      <w:r>
        <w:t>The ACT Labor and ACT Greens governing agreement for the Tenth Assembly agreed to ‘amend the Portable Long Service Scheme to ensure more workers receive fair entitlements as they move jobs in their profession’.</w:t>
      </w:r>
      <w:r>
        <w:rPr>
          <w:rStyle w:val="FootnoteReference"/>
        </w:rPr>
        <w:footnoteReference w:id="11"/>
      </w:r>
      <w:r>
        <w:t xml:space="preserve"> </w:t>
      </w:r>
    </w:p>
    <w:p w14:paraId="513F9C81" w14:textId="7A523002" w:rsidR="00E00CA1" w:rsidRDefault="00E00CA1" w:rsidP="006D53E0">
      <w:pPr>
        <w:pStyle w:val="ListNumber2"/>
      </w:pPr>
      <w:r>
        <w:t xml:space="preserve">In July 2022, the ACT Government released on consultation paper on </w:t>
      </w:r>
      <w:r w:rsidR="00FF5DFD">
        <w:t>proposed</w:t>
      </w:r>
      <w:r>
        <w:t xml:space="preserve"> expansion of the </w:t>
      </w:r>
      <w:r w:rsidR="00D045CB">
        <w:t>Scheme</w:t>
      </w:r>
      <w:r>
        <w:t xml:space="preserve"> to </w:t>
      </w:r>
      <w:r w:rsidR="00FF5DFD">
        <w:t>the hairdressing and contract catering industries, and possible further expansion to industries such as real estate and accommodation</w:t>
      </w:r>
      <w:r w:rsidR="00627EA9">
        <w:t>.</w:t>
      </w:r>
      <w:r w:rsidR="00627EA9">
        <w:rPr>
          <w:rStyle w:val="FootnoteReference"/>
        </w:rPr>
        <w:footnoteReference w:id="12"/>
      </w:r>
      <w:r w:rsidR="0054265F">
        <w:t xml:space="preserve"> The Government received written feedback and conducted engagement sessions, and released a paper on the outcomes of the consultation in October 2022.</w:t>
      </w:r>
      <w:r w:rsidR="0054265F">
        <w:rPr>
          <w:rStyle w:val="FootnoteReference"/>
        </w:rPr>
        <w:footnoteReference w:id="13"/>
      </w:r>
    </w:p>
    <w:p w14:paraId="6795ACEC" w14:textId="058381FC" w:rsidR="006D53E0" w:rsidRDefault="00E00CA1" w:rsidP="006D53E0">
      <w:pPr>
        <w:pStyle w:val="ListNumber2"/>
      </w:pPr>
      <w:r>
        <w:t xml:space="preserve">The Long Service Leave (Portable Schemes) Amendment Bill 2022 (the Bill) was </w:t>
      </w:r>
      <w:r w:rsidR="005D1CEF">
        <w:t>presented to the Legislative Assembly on 22 November. I</w:t>
      </w:r>
      <w:r w:rsidR="00391E33">
        <w:t>f enacted, it</w:t>
      </w:r>
      <w:r w:rsidR="005D1CEF">
        <w:t xml:space="preserve"> </w:t>
      </w:r>
      <w:r w:rsidR="00391E33">
        <w:t>would extend</w:t>
      </w:r>
      <w:r w:rsidR="005D1CEF">
        <w:t xml:space="preserve"> the Scheme to the hairdressing, beauty, accommodation, and food services.</w:t>
      </w:r>
      <w:r w:rsidR="005D1CEF">
        <w:rPr>
          <w:rStyle w:val="FootnoteReference"/>
        </w:rPr>
        <w:footnoteReference w:id="14"/>
      </w:r>
      <w:r w:rsidR="00D9417F">
        <w:t xml:space="preserve"> As stated in the explanatory statement to the Bill:</w:t>
      </w:r>
    </w:p>
    <w:p w14:paraId="73B7FE5A" w14:textId="77777777" w:rsidR="00D9417F" w:rsidRDefault="00D9417F" w:rsidP="00D9417F">
      <w:pPr>
        <w:pStyle w:val="Quote"/>
      </w:pPr>
      <w:r>
        <w:t>The types of work covered under the hairdressing and beauty services industry include:</w:t>
      </w:r>
    </w:p>
    <w:p w14:paraId="18D84421" w14:textId="77777777" w:rsidR="00D9417F" w:rsidRDefault="00D9417F" w:rsidP="00D9417F">
      <w:pPr>
        <w:pStyle w:val="Quote"/>
        <w:numPr>
          <w:ilvl w:val="0"/>
          <w:numId w:val="23"/>
        </w:numPr>
        <w:ind w:left="1560"/>
      </w:pPr>
      <w:r>
        <w:t>barbers, beauty services, electrolysis services, hairdressing services, make-up services, nail care and skin care services and tanning services.</w:t>
      </w:r>
    </w:p>
    <w:p w14:paraId="3942A595" w14:textId="77777777" w:rsidR="00D9417F" w:rsidRDefault="00D9417F" w:rsidP="00D9417F">
      <w:pPr>
        <w:pStyle w:val="Quote"/>
      </w:pPr>
      <w:r>
        <w:t>The types of work covered under the accommodation and food services industry include:</w:t>
      </w:r>
    </w:p>
    <w:p w14:paraId="40D77F2D" w14:textId="77777777" w:rsidR="00D9417F" w:rsidRDefault="00D9417F" w:rsidP="00D9417F">
      <w:pPr>
        <w:pStyle w:val="Quote"/>
        <w:numPr>
          <w:ilvl w:val="0"/>
          <w:numId w:val="23"/>
        </w:numPr>
        <w:ind w:left="1560"/>
      </w:pPr>
      <w:r>
        <w:t>accommodation services covering camping ground operation, caravan park operation, holiday house/flat operation, hotel/motel/resort operation, serviced apartments, youth hostel operation, and</w:t>
      </w:r>
    </w:p>
    <w:p w14:paraId="381E4089" w14:textId="7DDA64C9" w:rsidR="00645ACF" w:rsidRDefault="00D9417F" w:rsidP="00645ACF">
      <w:pPr>
        <w:pStyle w:val="Quote"/>
        <w:numPr>
          <w:ilvl w:val="0"/>
          <w:numId w:val="23"/>
        </w:numPr>
        <w:ind w:left="1560"/>
      </w:pPr>
      <w:r>
        <w:t>food services covering cafes, restaurants and takeaway food services, pubs, taverns and bars and clubs.</w:t>
      </w:r>
      <w:r w:rsidR="006B3549">
        <w:rPr>
          <w:rStyle w:val="FootnoteReference"/>
        </w:rPr>
        <w:footnoteReference w:id="15"/>
      </w:r>
    </w:p>
    <w:p w14:paraId="55417FF3" w14:textId="06199F17" w:rsidR="006C66B1" w:rsidRDefault="006C66B1" w:rsidP="006C66B1">
      <w:pPr>
        <w:pStyle w:val="ListNumber2"/>
      </w:pPr>
      <w:r>
        <w:t xml:space="preserve">Feedback on the </w:t>
      </w:r>
      <w:r w:rsidR="00654625">
        <w:t xml:space="preserve">proposed </w:t>
      </w:r>
      <w:r>
        <w:t>expansion of the Scheme has been mixed, with employee representatives generally supportive, and representative</w:t>
      </w:r>
      <w:r w:rsidR="00845C49">
        <w:t>s</w:t>
      </w:r>
      <w:r>
        <w:t xml:space="preserve"> from industries and employers</w:t>
      </w:r>
      <w:r w:rsidR="00715E49">
        <w:t>, especially in the hairdressing industry,</w:t>
      </w:r>
      <w:r>
        <w:t xml:space="preserve"> firmly opposed to it.</w:t>
      </w:r>
      <w:r>
        <w:rPr>
          <w:rStyle w:val="FootnoteReference"/>
        </w:rPr>
        <w:footnoteReference w:id="16"/>
      </w:r>
    </w:p>
    <w:p w14:paraId="1181022A" w14:textId="4E1D1948" w:rsidR="00991964" w:rsidRDefault="008825B3" w:rsidP="00991964">
      <w:pPr>
        <w:pStyle w:val="Heading2"/>
      </w:pPr>
      <w:bookmarkStart w:id="17" w:name="_Toc126056588"/>
      <w:r>
        <w:lastRenderedPageBreak/>
        <w:t>Advantages</w:t>
      </w:r>
      <w:bookmarkEnd w:id="17"/>
    </w:p>
    <w:p w14:paraId="7872CB2A" w14:textId="041CEE27" w:rsidR="0004418D" w:rsidRDefault="0004418D" w:rsidP="006D2982">
      <w:pPr>
        <w:pStyle w:val="Heading3"/>
      </w:pPr>
      <w:bookmarkStart w:id="18" w:name="_Toc126056589"/>
      <w:r>
        <w:t>Employee</w:t>
      </w:r>
      <w:r w:rsidR="006329FB">
        <w:t xml:space="preserve"> wellbeing</w:t>
      </w:r>
      <w:bookmarkEnd w:id="18"/>
    </w:p>
    <w:p w14:paraId="2EB8B49A" w14:textId="3072A1F8" w:rsidR="00F41AD0" w:rsidRDefault="0004418D" w:rsidP="0004418D">
      <w:pPr>
        <w:pStyle w:val="ListNumber2"/>
      </w:pPr>
      <w:r>
        <w:t xml:space="preserve">Long service leave is believed to boost the health and well-being of employees, and to bring additional benefits to employers in the form of increased employee </w:t>
      </w:r>
      <w:r w:rsidR="00B15A6E">
        <w:t>morale</w:t>
      </w:r>
      <w:r>
        <w:t xml:space="preserve"> and productivity.</w:t>
      </w:r>
      <w:r>
        <w:rPr>
          <w:rStyle w:val="FootnoteReference"/>
        </w:rPr>
        <w:footnoteReference w:id="17"/>
      </w:r>
      <w:r w:rsidR="00F41AD0">
        <w:t xml:space="preserve"> </w:t>
      </w:r>
    </w:p>
    <w:p w14:paraId="0D117C41" w14:textId="55F6E3C7" w:rsidR="00140167" w:rsidRDefault="005C6E5E" w:rsidP="0004418D">
      <w:pPr>
        <w:pStyle w:val="ListNumber2"/>
      </w:pPr>
      <w:r>
        <w:t>E</w:t>
      </w:r>
      <w:r w:rsidR="00140167">
        <w:t xml:space="preserve">xtending the </w:t>
      </w:r>
      <w:r w:rsidR="00B15A6E">
        <w:t>Scheme</w:t>
      </w:r>
      <w:r w:rsidR="00140167">
        <w:t xml:space="preserve"> would bring ‘improved and consistent access to long service leave, particularly in industries such as personal care where there is longer-term occupational tenure and higher mobility between employees.’</w:t>
      </w:r>
      <w:r w:rsidR="00140167">
        <w:rPr>
          <w:rStyle w:val="FootnoteReference"/>
        </w:rPr>
        <w:footnoteReference w:id="18"/>
      </w:r>
    </w:p>
    <w:p w14:paraId="4F66C0C0" w14:textId="0948A395" w:rsidR="005C6E5E" w:rsidRPr="0004418D" w:rsidRDefault="004F5224" w:rsidP="0004418D">
      <w:pPr>
        <w:pStyle w:val="ListNumber2"/>
      </w:pPr>
      <w:r>
        <w:t>Furthermore, according to the ACT Government, portable leave schemes incentivise ‘‘good employers’ as employees feel less compelled to stay in poorly managed workplaces to meet long service leave eligibility requirements.’</w:t>
      </w:r>
      <w:r>
        <w:rPr>
          <w:rStyle w:val="FootnoteReference"/>
        </w:rPr>
        <w:footnoteReference w:id="19"/>
      </w:r>
    </w:p>
    <w:p w14:paraId="35FECC00" w14:textId="25D85CF4" w:rsidR="006D2982" w:rsidRDefault="006D2982" w:rsidP="006D2982">
      <w:pPr>
        <w:pStyle w:val="Heading3"/>
      </w:pPr>
      <w:bookmarkStart w:id="19" w:name="_Toc126056590"/>
      <w:r>
        <w:t>Equity</w:t>
      </w:r>
      <w:bookmarkEnd w:id="19"/>
    </w:p>
    <w:p w14:paraId="5616C4AD" w14:textId="7CB48FD5" w:rsidR="004849A0" w:rsidRDefault="004849A0" w:rsidP="0075328E">
      <w:pPr>
        <w:pStyle w:val="ListNumber2"/>
      </w:pPr>
      <w:r>
        <w:t>The ACT Government noted in the explanatory statement to the Bill that:</w:t>
      </w:r>
    </w:p>
    <w:p w14:paraId="56DA1729" w14:textId="7D1A8615" w:rsidR="00581288" w:rsidRDefault="004849A0" w:rsidP="00581288">
      <w:pPr>
        <w:pStyle w:val="Quote"/>
      </w:pPr>
      <w:r>
        <w:t>Increased mobility in employment has meant that long service leave in its traditional form has become inaccessible to many workers.</w:t>
      </w:r>
      <w:r w:rsidR="0081693A">
        <w:rPr>
          <w:rStyle w:val="FootnoteReference"/>
        </w:rPr>
        <w:footnoteReference w:id="20"/>
      </w:r>
    </w:p>
    <w:p w14:paraId="7D96D9BF" w14:textId="58C43DDD" w:rsidR="00581288" w:rsidRDefault="00581288" w:rsidP="00581288">
      <w:pPr>
        <w:pStyle w:val="ListNumber2"/>
      </w:pPr>
      <w:r>
        <w:t>The ACT is recorded as having the highest rate of job mobility in the nation at 12.8 percent.</w:t>
      </w:r>
      <w:r>
        <w:rPr>
          <w:rStyle w:val="FootnoteReference"/>
        </w:rPr>
        <w:footnoteReference w:id="21"/>
      </w:r>
      <w:r>
        <w:t xml:space="preserve"> In the Australian workforce as a whole, around three quarters of workers have been with their employers for less than ten years, which is the usual qualifying period required to access long service leave.</w:t>
      </w:r>
      <w:r>
        <w:rPr>
          <w:rStyle w:val="FootnoteReference"/>
        </w:rPr>
        <w:footnoteReference w:id="22"/>
      </w:r>
      <w:r w:rsidR="00403A83">
        <w:t xml:space="preserve"> </w:t>
      </w:r>
    </w:p>
    <w:p w14:paraId="7B863055" w14:textId="47E3C09F" w:rsidR="00403A83" w:rsidRDefault="00403A83" w:rsidP="00581288">
      <w:pPr>
        <w:pStyle w:val="ListNumber2"/>
      </w:pPr>
      <w:r>
        <w:t>Insecure work is commonly defined as work which ‘does not offer reliability to a worker in areas such as hours, pay and conditions.’</w:t>
      </w:r>
      <w:r w:rsidR="00AB25D9">
        <w:t xml:space="preserve"> Involuntary job mobility, whether due to short term contracts or casual or irregular hours, contributes to work insecurity and exacerbates the lack of access a work</w:t>
      </w:r>
      <w:r w:rsidR="00C854D4">
        <w:t xml:space="preserve">er </w:t>
      </w:r>
      <w:r w:rsidR="00AB25D9">
        <w:t xml:space="preserve">will have to long service leave. </w:t>
      </w:r>
      <w:r w:rsidR="00AB25D9">
        <w:rPr>
          <w:rStyle w:val="FootnoteReference"/>
        </w:rPr>
        <w:footnoteReference w:id="23"/>
      </w:r>
    </w:p>
    <w:p w14:paraId="407AD8C1" w14:textId="2511DF3D" w:rsidR="006D2982" w:rsidRDefault="006D2982" w:rsidP="00581288">
      <w:pPr>
        <w:pStyle w:val="ListNumber2"/>
      </w:pPr>
      <w:r>
        <w:t xml:space="preserve">Research indicates that women are more likely to </w:t>
      </w:r>
      <w:r w:rsidR="005502F5">
        <w:t xml:space="preserve">be affected by insecure work. They also are more likely to </w:t>
      </w:r>
      <w:r>
        <w:t>take extended breaks from the workplace in order to take on caring roles such as child-raising</w:t>
      </w:r>
      <w:r w:rsidR="00B97A4E">
        <w:t>, and report more work/life balance conflicts than men</w:t>
      </w:r>
      <w:r w:rsidR="005502F5">
        <w:t>.</w:t>
      </w:r>
      <w:r w:rsidR="00B97A4E">
        <w:rPr>
          <w:rStyle w:val="FootnoteReference"/>
        </w:rPr>
        <w:footnoteReference w:id="24"/>
      </w:r>
      <w:r>
        <w:t xml:space="preserve"> </w:t>
      </w:r>
      <w:r w:rsidR="005502F5">
        <w:t xml:space="preserve">These factors </w:t>
      </w:r>
      <w:r>
        <w:t xml:space="preserve">disproportionately impact </w:t>
      </w:r>
      <w:r w:rsidR="005502F5">
        <w:t>women’s</w:t>
      </w:r>
      <w:r>
        <w:t xml:space="preserve"> access to long service leave.</w:t>
      </w:r>
      <w:r>
        <w:rPr>
          <w:rStyle w:val="FootnoteReference"/>
        </w:rPr>
        <w:footnoteReference w:id="25"/>
      </w:r>
    </w:p>
    <w:p w14:paraId="76C4DCBF" w14:textId="79DE0AB6" w:rsidR="006D2982" w:rsidRDefault="003D2C4D" w:rsidP="00581288">
      <w:pPr>
        <w:pStyle w:val="ListNumber2"/>
      </w:pPr>
      <w:r>
        <w:lastRenderedPageBreak/>
        <w:t xml:space="preserve">Increasing the availability of </w:t>
      </w:r>
      <w:r w:rsidR="00203B42">
        <w:t xml:space="preserve">portable </w:t>
      </w:r>
      <w:r>
        <w:t>long service leave to women and insecure workers is one of the main arguments in support of the expansion of the Scheme.</w:t>
      </w:r>
    </w:p>
    <w:p w14:paraId="01545E4E" w14:textId="5C34F188" w:rsidR="006329FB" w:rsidRDefault="00F41AD0" w:rsidP="006329FB">
      <w:pPr>
        <w:pStyle w:val="Heading3"/>
      </w:pPr>
      <w:bookmarkStart w:id="20" w:name="_Toc126056591"/>
      <w:r>
        <w:t>Employee attraction and retention</w:t>
      </w:r>
      <w:bookmarkEnd w:id="20"/>
    </w:p>
    <w:p w14:paraId="7622D56E" w14:textId="37DA3D59" w:rsidR="00F41AD0" w:rsidRDefault="00F41AD0" w:rsidP="00F41AD0">
      <w:pPr>
        <w:pStyle w:val="ListNumber2"/>
      </w:pPr>
      <w:r>
        <w:t>Portable long service leave schemes can discourage workers from switching careers, and supports the retention of skilled and experienced workers within their industry.</w:t>
      </w:r>
      <w:r>
        <w:rPr>
          <w:rStyle w:val="FootnoteReference"/>
        </w:rPr>
        <w:footnoteReference w:id="26"/>
      </w:r>
    </w:p>
    <w:p w14:paraId="37B9FBA4" w14:textId="2ECC0BB6" w:rsidR="005A3665" w:rsidRDefault="00F7374B" w:rsidP="005A3665">
      <w:pPr>
        <w:pStyle w:val="Heading3"/>
      </w:pPr>
      <w:bookmarkStart w:id="21" w:name="_Toc126056592"/>
      <w:r>
        <w:t>Other</w:t>
      </w:r>
      <w:r w:rsidR="005A3665">
        <w:t xml:space="preserve"> benefits</w:t>
      </w:r>
      <w:bookmarkEnd w:id="21"/>
    </w:p>
    <w:p w14:paraId="05F38C74" w14:textId="67D3A39F" w:rsidR="005A3665" w:rsidRDefault="00F7374B" w:rsidP="00F41AD0">
      <w:pPr>
        <w:pStyle w:val="ListNumber2"/>
      </w:pPr>
      <w:r>
        <w:t>The</w:t>
      </w:r>
      <w:r w:rsidR="005A3665">
        <w:t xml:space="preserve"> ACT Government</w:t>
      </w:r>
      <w:r>
        <w:t>’s consultation paper</w:t>
      </w:r>
      <w:r w:rsidR="005A3665">
        <w:t xml:space="preserve"> </w:t>
      </w:r>
      <w:r>
        <w:t xml:space="preserve">lists the following further benefits of expanding the current </w:t>
      </w:r>
      <w:r w:rsidR="00DD5E92">
        <w:t>Scheme</w:t>
      </w:r>
      <w:r>
        <w:t>:</w:t>
      </w:r>
    </w:p>
    <w:p w14:paraId="5B6D23DE" w14:textId="6045137A" w:rsidR="00F7374B" w:rsidRDefault="00F7374B" w:rsidP="00F7374B">
      <w:pPr>
        <w:pStyle w:val="ListBullet"/>
      </w:pPr>
      <w:r>
        <w:t>compliance problems reduced: employers pay for entitlements as they accrue;</w:t>
      </w:r>
    </w:p>
    <w:p w14:paraId="10B00E45" w14:textId="6AD5CB70" w:rsidR="00F7374B" w:rsidRDefault="00D466D7" w:rsidP="00F7374B">
      <w:pPr>
        <w:pStyle w:val="ListBullet"/>
      </w:pPr>
      <w:r>
        <w:t>cost certainty: greater cost stability is provided to employers because the pay-as-you-go operation limits the potential for employers to accumulate liabilities they cannot pay, for example if they become insolvent of have trading difficulties; and</w:t>
      </w:r>
    </w:p>
    <w:p w14:paraId="085506EA" w14:textId="1C98D219" w:rsidR="00D466D7" w:rsidRPr="00F41AD0" w:rsidRDefault="00D466D7" w:rsidP="00F7374B">
      <w:pPr>
        <w:pStyle w:val="ListBullet"/>
      </w:pPr>
      <w:r>
        <w:t>tax benefits: employers can claim a tax deduction for payment of levies and the portable schemes are not required to pay tax on their investment income.</w:t>
      </w:r>
      <w:r>
        <w:rPr>
          <w:rStyle w:val="FootnoteReference"/>
        </w:rPr>
        <w:footnoteReference w:id="27"/>
      </w:r>
    </w:p>
    <w:p w14:paraId="1CC6BDF2" w14:textId="2678E1E4" w:rsidR="001C15FC" w:rsidRDefault="00D268E4" w:rsidP="001C15FC">
      <w:pPr>
        <w:pStyle w:val="Heading2"/>
      </w:pPr>
      <w:r>
        <w:t xml:space="preserve"> </w:t>
      </w:r>
      <w:bookmarkStart w:id="22" w:name="_Toc126056593"/>
      <w:r w:rsidR="008825B3">
        <w:t>Disadvantages</w:t>
      </w:r>
      <w:bookmarkEnd w:id="22"/>
    </w:p>
    <w:p w14:paraId="705AED42" w14:textId="15D6DFCE" w:rsidR="005C2AA6" w:rsidRDefault="00D91CF8" w:rsidP="00E6760C">
      <w:pPr>
        <w:pStyle w:val="Heading3"/>
      </w:pPr>
      <w:bookmarkStart w:id="23" w:name="_Toc126056594"/>
      <w:r>
        <w:t>Staff turnover</w:t>
      </w:r>
      <w:bookmarkEnd w:id="23"/>
    </w:p>
    <w:p w14:paraId="3EF34636" w14:textId="2957AFB3" w:rsidR="00D91CF8" w:rsidRDefault="00D91CF8" w:rsidP="00D91CF8">
      <w:pPr>
        <w:pStyle w:val="ListNumber2"/>
      </w:pPr>
      <w:r>
        <w:t xml:space="preserve">As discussed earlier in the report, the main purpose of long service leave as it was initially conceived was to encourage and reward loyalty to one employer. If extended, the </w:t>
      </w:r>
      <w:r w:rsidR="00D068D4">
        <w:t>P</w:t>
      </w:r>
      <w:r>
        <w:t xml:space="preserve">ortable </w:t>
      </w:r>
      <w:r w:rsidR="00D068D4">
        <w:t>Long Service L</w:t>
      </w:r>
      <w:r>
        <w:t xml:space="preserve">eave </w:t>
      </w:r>
      <w:r w:rsidR="00D068D4">
        <w:t>S</w:t>
      </w:r>
      <w:r>
        <w:t>cheme will remove this incentive.</w:t>
      </w:r>
    </w:p>
    <w:p w14:paraId="33570C30" w14:textId="4DE6F0EA" w:rsidR="00D91CF8" w:rsidRDefault="00D91CF8" w:rsidP="00D91CF8">
      <w:pPr>
        <w:pStyle w:val="ListNumber2"/>
      </w:pPr>
      <w:r>
        <w:t>Staff attraction and retention is especially difficult for small businesses</w:t>
      </w:r>
      <w:r w:rsidR="007669D5">
        <w:t>,</w:t>
      </w:r>
      <w:r>
        <w:t xml:space="preserve"> as Ms Mahar, owner of a</w:t>
      </w:r>
      <w:r w:rsidR="00094244">
        <w:t xml:space="preserve"> Canberra</w:t>
      </w:r>
      <w:r>
        <w:t xml:space="preserve"> hairdressing salon, wrote in her submission to the Committee:</w:t>
      </w:r>
    </w:p>
    <w:p w14:paraId="70340920" w14:textId="6B8E8183" w:rsidR="00D91CF8" w:rsidRDefault="00D91CF8" w:rsidP="00D91CF8">
      <w:pPr>
        <w:pStyle w:val="Quote"/>
      </w:pPr>
      <w:r>
        <w:t xml:space="preserve">Small businesses who employ and train hairdressers need the partnership of working with long term members in </w:t>
      </w:r>
      <w:r w:rsidRPr="00D91CF8">
        <w:rPr>
          <w:i/>
          <w:iCs/>
        </w:rPr>
        <w:t>one</w:t>
      </w:r>
      <w:r>
        <w:t xml:space="preserve"> business continuously. This is required to sustain healthy businesses that train apprentices and have longevity. This move [to a portable long service leave scheme] would completely undermine that relationship.</w:t>
      </w:r>
      <w:r w:rsidR="0085585C">
        <w:t xml:space="preserve"> </w:t>
      </w:r>
      <w:r w:rsidR="0085585C">
        <w:br/>
        <w:t>[…]</w:t>
      </w:r>
      <w:r w:rsidR="0085585C">
        <w:br/>
        <w:t xml:space="preserve">Every time I lose a senior hairdresser or have a change in team member the cost to my business is massive. This is why the incentive of Long Service Leave is something I have always been grateful to refer to as an incentive to stay in our workplace long term. </w:t>
      </w:r>
      <w:r w:rsidR="0085585C">
        <w:rPr>
          <w:rStyle w:val="FootnoteReference"/>
        </w:rPr>
        <w:footnoteReference w:id="28"/>
      </w:r>
    </w:p>
    <w:p w14:paraId="496BFF5A" w14:textId="30CA5ADA" w:rsidR="008737A3" w:rsidRPr="0085585C" w:rsidRDefault="002F41D6" w:rsidP="008737A3">
      <w:pPr>
        <w:pStyle w:val="ListNumber2"/>
      </w:pPr>
      <w:r>
        <w:lastRenderedPageBreak/>
        <w:t>Several</w:t>
      </w:r>
      <w:r w:rsidR="008737A3">
        <w:t xml:space="preserve"> stakeholders from the hairdressing industry wrote to the ACT Government with objections to the expansion of the </w:t>
      </w:r>
      <w:r>
        <w:t>Scheme</w:t>
      </w:r>
      <w:r w:rsidR="008737A3">
        <w:t>, citing that traditional long service leave is already well suited to the industry.</w:t>
      </w:r>
      <w:r w:rsidR="008737A3">
        <w:rPr>
          <w:rStyle w:val="FootnoteReference"/>
        </w:rPr>
        <w:footnoteReference w:id="29"/>
      </w:r>
    </w:p>
    <w:p w14:paraId="771C953B" w14:textId="76866088" w:rsidR="00E6760C" w:rsidRDefault="00E6760C" w:rsidP="00E6760C">
      <w:pPr>
        <w:pStyle w:val="Heading3"/>
      </w:pPr>
      <w:bookmarkStart w:id="24" w:name="_Toc126056595"/>
      <w:r>
        <w:t>Cost to employers</w:t>
      </w:r>
      <w:bookmarkEnd w:id="24"/>
    </w:p>
    <w:p w14:paraId="4F4A5F74" w14:textId="1A5B603C" w:rsidR="00E6760C" w:rsidRPr="00E6760C" w:rsidRDefault="00160B9C" w:rsidP="00E6760C">
      <w:pPr>
        <w:pStyle w:val="ListNumber2"/>
      </w:pPr>
      <w:r>
        <w:t xml:space="preserve">The second </w:t>
      </w:r>
      <w:r w:rsidR="00BA623F">
        <w:t>main</w:t>
      </w:r>
      <w:r>
        <w:t xml:space="preserve"> point of concern amongst opposers to the Bill is that of the increased cost to employers. Under the current Scheme, registered employers are required to pay a levy of 1.07 </w:t>
      </w:r>
      <w:r w:rsidR="0047544A">
        <w:t>to</w:t>
      </w:r>
      <w:r>
        <w:t xml:space="preserve"> 2.10 percent of an employee’s wage</w:t>
      </w:r>
      <w:r w:rsidR="00F307E3">
        <w:t xml:space="preserve"> to finance th</w:t>
      </w:r>
      <w:r w:rsidR="00B42680">
        <w:t>at</w:t>
      </w:r>
      <w:r w:rsidR="00F307E3">
        <w:t xml:space="preserve"> employee’s long service leave. Stakeholders have raised concerns that an expansion of the Scheme will place an undue burden on business who are already struggling with the impacts of COVID</w:t>
      </w:r>
      <w:r w:rsidR="00F307E3">
        <w:noBreakHyphen/>
        <w:t>19, wage growth, and labour shortages.</w:t>
      </w:r>
      <w:r w:rsidR="00F307E3">
        <w:rPr>
          <w:rStyle w:val="FootnoteReference"/>
        </w:rPr>
        <w:footnoteReference w:id="30"/>
      </w:r>
    </w:p>
    <w:p w14:paraId="0F71A710" w14:textId="1456A604" w:rsidR="001C15FC" w:rsidRDefault="006E7491" w:rsidP="001C15FC">
      <w:pPr>
        <w:pStyle w:val="ListNumber2"/>
      </w:pPr>
      <w:r>
        <w:t xml:space="preserve">A submission to the Government consultation from the Australian Industry Group (Ai Group), </w:t>
      </w:r>
      <w:r w:rsidR="00B22554">
        <w:t xml:space="preserve">notes </w:t>
      </w:r>
      <w:r w:rsidR="00814B53">
        <w:t>that previous estimates found</w:t>
      </w:r>
      <w:r w:rsidR="00B22554">
        <w:t xml:space="preserve"> that a proposed national portable leave scheme would cost more than four times what traditional long service leave arrangements cost, a burden </w:t>
      </w:r>
      <w:r w:rsidR="00760DBC">
        <w:t>which they considered outweighed the potential benefit to the community</w:t>
      </w:r>
      <w:r w:rsidR="00B22554">
        <w:t>.</w:t>
      </w:r>
      <w:r w:rsidR="00B22554">
        <w:rPr>
          <w:rStyle w:val="FootnoteReference"/>
        </w:rPr>
        <w:footnoteReference w:id="31"/>
      </w:r>
    </w:p>
    <w:p w14:paraId="5B2BAEB5" w14:textId="32A762D8" w:rsidR="00D268E4" w:rsidRDefault="00D268E4" w:rsidP="001C15FC">
      <w:pPr>
        <w:pStyle w:val="ListNumber2"/>
      </w:pPr>
      <w:r>
        <w:t>The Canberra Business Chamber notes in their submission:</w:t>
      </w:r>
    </w:p>
    <w:p w14:paraId="5A87C1E6" w14:textId="06747BAF" w:rsidR="00D268E4" w:rsidRDefault="00D268E4" w:rsidP="00D268E4">
      <w:pPr>
        <w:pStyle w:val="Quote"/>
      </w:pPr>
      <w:r>
        <w:t>The expansion of the Portable Long Service Leave Scheme will create additional direct financial costs and additional administrative requirements for employers. The ACT Government’s consultation paper does not provide any analysis of the impact on employers, actual evidence of benefits to the industry, or details of parallel legislative and regulatory reforms that should be introduced to offset costs.</w:t>
      </w:r>
      <w:r w:rsidR="00614A5D">
        <w:rPr>
          <w:rStyle w:val="FootnoteReference"/>
        </w:rPr>
        <w:footnoteReference w:id="32"/>
      </w:r>
    </w:p>
    <w:p w14:paraId="05D9DFE5" w14:textId="3D57F165" w:rsidR="0039409F" w:rsidRDefault="0039409F" w:rsidP="001C15FC">
      <w:pPr>
        <w:pStyle w:val="ListNumber2"/>
      </w:pPr>
      <w:r>
        <w:t xml:space="preserve">Ai Group further expressed concerns that many of the industries proposed to be covered under the </w:t>
      </w:r>
      <w:r w:rsidR="00760DBC">
        <w:t>expanded Scheme</w:t>
      </w:r>
      <w:r>
        <w:t xml:space="preserve"> are comprised of a high percentage of small businesses, and are more reliant on household revenue</w:t>
      </w:r>
      <w:r w:rsidR="001F22FC">
        <w:t>,</w:t>
      </w:r>
      <w:r>
        <w:t xml:space="preserve"> than the cleaning and construction industries. Both these factors make them more vulnerable to market downturns, and the increased cost of a</w:t>
      </w:r>
      <w:r w:rsidR="00CE1A80">
        <w:t>n expanded Scheme</w:t>
      </w:r>
      <w:r>
        <w:t xml:space="preserve"> could exacerbate any negative economic pressure they experience.</w:t>
      </w:r>
      <w:r>
        <w:rPr>
          <w:rStyle w:val="FootnoteReference"/>
        </w:rPr>
        <w:footnoteReference w:id="33"/>
      </w:r>
    </w:p>
    <w:p w14:paraId="08253BDC" w14:textId="72F86E0D" w:rsidR="00C3223B" w:rsidRDefault="00C3223B" w:rsidP="001C15FC">
      <w:pPr>
        <w:pStyle w:val="ListNumber2"/>
      </w:pPr>
      <w:r>
        <w:t>In their submission, ACTOCSS also raised that the cost of the scheme could have flow-on effects. They recommended that:</w:t>
      </w:r>
    </w:p>
    <w:p w14:paraId="7A873642" w14:textId="63B797D5" w:rsidR="00C3223B" w:rsidRDefault="00C3223B" w:rsidP="00C3223B">
      <w:pPr>
        <w:pStyle w:val="ListBullet"/>
      </w:pPr>
      <w:r>
        <w:t xml:space="preserve">all ACT Government funding contracts and indexation include the cost of the </w:t>
      </w:r>
      <w:r w:rsidR="00236AE3">
        <w:t>Scheme</w:t>
      </w:r>
      <w:r>
        <w:t>;</w:t>
      </w:r>
    </w:p>
    <w:p w14:paraId="30397824" w14:textId="6C511F2E" w:rsidR="00C3223B" w:rsidRDefault="00C3223B" w:rsidP="00C3223B">
      <w:pPr>
        <w:pStyle w:val="ListBullet"/>
      </w:pPr>
      <w:r>
        <w:t xml:space="preserve">the ACT Government be transparent about its investment of funds accrued under the </w:t>
      </w:r>
      <w:r w:rsidR="00236AE3">
        <w:t>Scheme</w:t>
      </w:r>
      <w:r>
        <w:t>; and</w:t>
      </w:r>
    </w:p>
    <w:p w14:paraId="27C2C1CA" w14:textId="0FF8971F" w:rsidR="00C3223B" w:rsidRDefault="00C3223B" w:rsidP="00C3223B">
      <w:pPr>
        <w:pStyle w:val="ListBullet"/>
      </w:pPr>
      <w:r>
        <w:lastRenderedPageBreak/>
        <w:t xml:space="preserve">funds accrued under the </w:t>
      </w:r>
      <w:r w:rsidR="00236AE3">
        <w:t>Scheme</w:t>
      </w:r>
      <w:r>
        <w:t xml:space="preserve"> be re-invested back into the industries that are part of the </w:t>
      </w:r>
      <w:r w:rsidR="00236AE3">
        <w:t>S</w:t>
      </w:r>
      <w:r>
        <w:t>cheme.</w:t>
      </w:r>
      <w:r w:rsidRPr="00C3223B">
        <w:rPr>
          <w:rStyle w:val="FootnoteReference"/>
        </w:rPr>
        <w:t xml:space="preserve"> </w:t>
      </w:r>
      <w:r>
        <w:rPr>
          <w:rStyle w:val="FootnoteReference"/>
        </w:rPr>
        <w:footnoteReference w:id="34"/>
      </w:r>
    </w:p>
    <w:p w14:paraId="4C9DD620" w14:textId="2D5CE708" w:rsidR="00E6760C" w:rsidRDefault="00E6760C" w:rsidP="00E6760C">
      <w:pPr>
        <w:pStyle w:val="Heading3"/>
      </w:pPr>
      <w:bookmarkStart w:id="25" w:name="_Toc126056596"/>
      <w:r>
        <w:t>Administrative burden on employers</w:t>
      </w:r>
      <w:bookmarkEnd w:id="25"/>
    </w:p>
    <w:p w14:paraId="0C2276A8" w14:textId="30661D26" w:rsidR="001C7708" w:rsidRDefault="000D588D" w:rsidP="001C7708">
      <w:pPr>
        <w:pStyle w:val="ListNumber2"/>
      </w:pPr>
      <w:r>
        <w:t xml:space="preserve">Industry stakeholders raised concerns that expansion of the </w:t>
      </w:r>
      <w:r w:rsidR="00493C22">
        <w:t>S</w:t>
      </w:r>
      <w:r>
        <w:t>cheme would place an additional administrative burden on businesses, particularly small businesses.</w:t>
      </w:r>
      <w:r>
        <w:rPr>
          <w:rStyle w:val="FootnoteReference"/>
        </w:rPr>
        <w:footnoteReference w:id="35"/>
      </w:r>
    </w:p>
    <w:p w14:paraId="01A6D514" w14:textId="3D21A794" w:rsidR="00AF5F9D" w:rsidRDefault="00AF5F9D" w:rsidP="001C7708">
      <w:pPr>
        <w:pStyle w:val="ListNumber2"/>
      </w:pPr>
      <w:r>
        <w:t>ACTCOSS noted that employers cannot currently access information regarding staff entitlements online and recommended that this service be made available.</w:t>
      </w:r>
      <w:r>
        <w:rPr>
          <w:rStyle w:val="FootnoteReference"/>
        </w:rPr>
        <w:footnoteReference w:id="36"/>
      </w:r>
    </w:p>
    <w:p w14:paraId="3FABE73B" w14:textId="1711AE49" w:rsidR="000D588D" w:rsidRDefault="000D588D" w:rsidP="001C7708">
      <w:pPr>
        <w:pStyle w:val="ListNumber2"/>
      </w:pPr>
      <w:r>
        <w:t>The explanatory statement to the Bill says:</w:t>
      </w:r>
    </w:p>
    <w:p w14:paraId="1C57EF34" w14:textId="46C9BB0B" w:rsidR="000D588D" w:rsidRDefault="000D588D" w:rsidP="000D588D">
      <w:pPr>
        <w:pStyle w:val="Quote"/>
      </w:pPr>
      <w:r>
        <w:t>A transition period of two years for commencement of the expanded coverage is proposed to allow time for businesses and workers in the new industries to prepare for the changes and register with the Authority.</w:t>
      </w:r>
      <w:r w:rsidR="00AF5F9D">
        <w:t xml:space="preserve"> It is further designed to ensure that the Authority’s information technology systems and administrative services are ready for new entrants to the schemes.</w:t>
      </w:r>
      <w:r>
        <w:rPr>
          <w:rStyle w:val="FootnoteReference"/>
        </w:rPr>
        <w:footnoteReference w:id="37"/>
      </w:r>
    </w:p>
    <w:p w14:paraId="6B8D0A0D" w14:textId="17101412" w:rsidR="00D07255" w:rsidRDefault="00D07255" w:rsidP="00D07255">
      <w:pPr>
        <w:pStyle w:val="Heading3"/>
      </w:pPr>
      <w:bookmarkStart w:id="26" w:name="_Toc126056597"/>
      <w:r>
        <w:t>Voluntary labour mobility</w:t>
      </w:r>
      <w:bookmarkEnd w:id="26"/>
    </w:p>
    <w:p w14:paraId="458EB0D6" w14:textId="2246DC03" w:rsidR="006A0E8F" w:rsidRDefault="006A0E8F" w:rsidP="00D07255">
      <w:pPr>
        <w:pStyle w:val="ListNumber2"/>
      </w:pPr>
      <w:r>
        <w:t xml:space="preserve">Portable leave schemes were designed to increase access to long service leave </w:t>
      </w:r>
      <w:r w:rsidR="00AE12C9">
        <w:t>for</w:t>
      </w:r>
      <w:r>
        <w:t xml:space="preserve"> workers in industries which have high levels of workplace mobility due to the nature of the work, for example seasonal or subject based</w:t>
      </w:r>
      <w:r w:rsidR="00AE12C9">
        <w:t xml:space="preserve"> work</w:t>
      </w:r>
      <w:r>
        <w:t>. Certain industry stakeholders maintain that ‘the rationale for portable schemes does not exist in industries that lack this predominant feature.’</w:t>
      </w:r>
      <w:r>
        <w:rPr>
          <w:rStyle w:val="FootnoteReference"/>
        </w:rPr>
        <w:footnoteReference w:id="38"/>
      </w:r>
    </w:p>
    <w:p w14:paraId="1CC78079" w14:textId="5451556E" w:rsidR="00D07255" w:rsidRDefault="00116315" w:rsidP="00D07255">
      <w:pPr>
        <w:pStyle w:val="ListNumber2"/>
      </w:pPr>
      <w:r>
        <w:t xml:space="preserve">Ai Group </w:t>
      </w:r>
      <w:r w:rsidR="00C471C2">
        <w:t xml:space="preserve">argued in their submission </w:t>
      </w:r>
      <w:r>
        <w:t>that while there has been an increase in workplace mobility in Australia, it has been largely employee-driven</w:t>
      </w:r>
      <w:r w:rsidR="00C27FBA">
        <w:t xml:space="preserve">, and therefore would not be a ‘predominant feature’ of the industries which would be covered under the expansion of the </w:t>
      </w:r>
      <w:r w:rsidR="00E77D9E">
        <w:t>S</w:t>
      </w:r>
      <w:r w:rsidR="00C27FBA">
        <w:t>cheme</w:t>
      </w:r>
      <w:r>
        <w:t>.</w:t>
      </w:r>
      <w:r>
        <w:rPr>
          <w:rStyle w:val="FootnoteReference"/>
        </w:rPr>
        <w:footnoteReference w:id="39"/>
      </w:r>
      <w:r w:rsidR="00DB63A0">
        <w:t xml:space="preserve"> They stated:</w:t>
      </w:r>
    </w:p>
    <w:p w14:paraId="1C4291BB" w14:textId="35588942" w:rsidR="00DB63A0" w:rsidRDefault="00DB63A0" w:rsidP="00DB63A0">
      <w:pPr>
        <w:pStyle w:val="Quote"/>
      </w:pPr>
      <w:r>
        <w:t xml:space="preserve">In current circumstances where voluntary labour mobility is high and retrenchments are at an all time low, an expanded </w:t>
      </w:r>
      <w:r w:rsidR="00554214">
        <w:t>[Scheme]</w:t>
      </w:r>
      <w:r>
        <w:t xml:space="preserve"> will only promote labour mobility at a time when this is clearly unnecessary, and the result of which is not in the interests of the ACT or national economy.</w:t>
      </w:r>
      <w:r>
        <w:rPr>
          <w:rStyle w:val="FootnoteReference"/>
        </w:rPr>
        <w:footnoteReference w:id="40"/>
      </w:r>
    </w:p>
    <w:p w14:paraId="20967149" w14:textId="4B52E86C" w:rsidR="00C51E21" w:rsidRPr="00C51E21" w:rsidRDefault="00C51E21" w:rsidP="00C51E21">
      <w:pPr>
        <w:pStyle w:val="ListNumber2"/>
      </w:pPr>
      <w:r>
        <w:t>The Canberra Business Chamber also raised</w:t>
      </w:r>
      <w:r w:rsidR="00AD0F9B">
        <w:t xml:space="preserve"> doubts that increased labour mobility in the hairdressing</w:t>
      </w:r>
      <w:r w:rsidR="00DE7D54">
        <w:t xml:space="preserve"> and beauty services and the accommodation and food services industries led to direct disadvantages to workers which could be redressed by an expansion of the </w:t>
      </w:r>
      <w:r w:rsidR="00DE7D54">
        <w:lastRenderedPageBreak/>
        <w:t>Scheme.</w:t>
      </w:r>
      <w:r w:rsidR="00AD0F9B">
        <w:t xml:space="preserve"> </w:t>
      </w:r>
      <w:r w:rsidR="00DE7D54">
        <w:t>They noted</w:t>
      </w:r>
      <w:r>
        <w:t xml:space="preserve"> that that consultation paper did not give any ‘empirical evidence-base to demonstrate a benefit to employers or the precise benefit to employees.’</w:t>
      </w:r>
      <w:r>
        <w:rPr>
          <w:rStyle w:val="FootnoteReference"/>
        </w:rPr>
        <w:footnoteReference w:id="41"/>
      </w:r>
      <w:r w:rsidR="00AD0F9B">
        <w:t xml:space="preserve"> </w:t>
      </w:r>
    </w:p>
    <w:p w14:paraId="3309ADEF" w14:textId="54EBDF5C" w:rsidR="00E6760C" w:rsidRDefault="00795560" w:rsidP="00E6760C">
      <w:pPr>
        <w:pStyle w:val="Heading3"/>
      </w:pPr>
      <w:bookmarkStart w:id="27" w:name="_Toc126056598"/>
      <w:r>
        <w:t>Impact</w:t>
      </w:r>
      <w:r w:rsidR="00E6760C">
        <w:t xml:space="preserve"> on female-owned businesses</w:t>
      </w:r>
      <w:bookmarkEnd w:id="27"/>
    </w:p>
    <w:p w14:paraId="7255F0CD" w14:textId="3CE7AA3B" w:rsidR="00CC03AA" w:rsidRDefault="00CC03AA" w:rsidP="000C451F">
      <w:pPr>
        <w:pStyle w:val="ListNumber2"/>
      </w:pPr>
      <w:r>
        <w:t>A further concern raised by Ai Group was that the expansion of the Scheme into the hairdressing and beauty service industry could have an unintended negative consequence on gender equality by negatively impact</w:t>
      </w:r>
      <w:r w:rsidR="00317BBF">
        <w:t>ing</w:t>
      </w:r>
      <w:r>
        <w:t xml:space="preserve"> predominantly women-owned businesses.</w:t>
      </w:r>
      <w:r>
        <w:rPr>
          <w:rStyle w:val="FootnoteReference"/>
        </w:rPr>
        <w:footnoteReference w:id="42"/>
      </w:r>
    </w:p>
    <w:p w14:paraId="1E7A7140" w14:textId="763E93FF" w:rsidR="00A0656E" w:rsidRDefault="00A0656E" w:rsidP="000C451F">
      <w:pPr>
        <w:pStyle w:val="ListNumber2"/>
      </w:pPr>
      <w:r>
        <w:t xml:space="preserve">The Council of Small Business Organisations Australia noted that the hairdressing industry of 85 percent female, and raised concerns that the expansion of the Scheme would </w:t>
      </w:r>
      <w:r w:rsidR="0077697C">
        <w:t>severely</w:t>
      </w:r>
      <w:r>
        <w:t xml:space="preserve"> impact an already struggling number of businesses:</w:t>
      </w:r>
    </w:p>
    <w:p w14:paraId="7FE22FCB" w14:textId="00F5551F" w:rsidR="00A0656E" w:rsidRDefault="00A0656E" w:rsidP="000D53FE">
      <w:pPr>
        <w:pStyle w:val="Quote"/>
      </w:pPr>
      <w:r>
        <w:t>The proposed changes would see many salon owners close their business, or be forced to employ less staff including apprentices. The proposed changes would encourage employers to become sole traders. As 70% of the industry</w:t>
      </w:r>
      <w:r>
        <w:rPr>
          <w:rFonts w:ascii="Calibri" w:hAnsi="Calibri" w:cs="Calibri"/>
        </w:rPr>
        <w:t>’</w:t>
      </w:r>
      <w:r>
        <w:t>s businesses are now sole traders, there is a genuine concern regarding the sustainability of apprenticeships and the future of hairdressing skills development in Australia.</w:t>
      </w:r>
      <w:r>
        <w:rPr>
          <w:rStyle w:val="FootnoteReference"/>
        </w:rPr>
        <w:footnoteReference w:id="43"/>
      </w:r>
    </w:p>
    <w:p w14:paraId="017DF919" w14:textId="64D325FD" w:rsidR="00216BB7" w:rsidRDefault="00991964" w:rsidP="00216BB7">
      <w:pPr>
        <w:pStyle w:val="Heading1"/>
      </w:pPr>
      <w:bookmarkStart w:id="28" w:name="_Toc126056599"/>
      <w:r>
        <w:t>Committee comment</w:t>
      </w:r>
      <w:bookmarkEnd w:id="28"/>
    </w:p>
    <w:p w14:paraId="3F667717" w14:textId="77777777" w:rsidR="002B14D9" w:rsidRDefault="002B14D9" w:rsidP="002B14D9">
      <w:pPr>
        <w:pStyle w:val="ListNumber2"/>
      </w:pPr>
      <w:r>
        <w:t>Several submitters expressed to the Committee their opinion that the consultation with industry stakeholders was insufficient. The Australian Hairdressing Council said in their submission to the Committee:</w:t>
      </w:r>
    </w:p>
    <w:p w14:paraId="58F37848" w14:textId="77777777" w:rsidR="002B14D9" w:rsidRDefault="002B14D9" w:rsidP="002B14D9">
      <w:pPr>
        <w:pStyle w:val="Quote"/>
        <w:spacing w:before="120" w:after="120"/>
      </w:pPr>
      <w:r>
        <w:t>The AHC participated in a consultation meeting on 14 July, 2022 with the ACT Long Service Authority. […] It was very apparent at this meeting dated Thursday 14 July, 2022 that the ACT Long Service Leave Authority had not consulted with the ACT small business community, particularly in Hairdressing or Beauty salons. We were advised that consultation would finish on Monday 18 July, 2022. The AHC has since spoken to our AHC members in the ACT, who find it unacceptable that they have been excluded from any consultation with the ACT Long Service Leave Authority.</w:t>
      </w:r>
      <w:r>
        <w:rPr>
          <w:rStyle w:val="FootnoteReference"/>
        </w:rPr>
        <w:footnoteReference w:id="44"/>
      </w:r>
    </w:p>
    <w:p w14:paraId="0F5A5493" w14:textId="77777777" w:rsidR="002B14D9" w:rsidRDefault="002B14D9" w:rsidP="002B14D9">
      <w:pPr>
        <w:pStyle w:val="ListNumber2"/>
      </w:pPr>
      <w:r>
        <w:t>Another submitter expressed their frustration over the timing of this Committee inquiry during the Christmas period, noting that it is the busiest time of year for many small businesses.</w:t>
      </w:r>
      <w:r>
        <w:rPr>
          <w:rStyle w:val="FootnoteReference"/>
        </w:rPr>
        <w:footnoteReference w:id="45"/>
      </w:r>
    </w:p>
    <w:p w14:paraId="176B4CE4" w14:textId="77777777" w:rsidR="002B14D9" w:rsidRDefault="002B14D9" w:rsidP="002B14D9">
      <w:pPr>
        <w:pStyle w:val="ListNumber2"/>
      </w:pPr>
      <w:r>
        <w:t>The Committee agrees that the timing of this inquiry has been unfortunate. According to resolution of the Legislative Assembly of the ACT, Committees have only two months in which to inquire into bills.</w:t>
      </w:r>
      <w:r>
        <w:rPr>
          <w:rStyle w:val="FootnoteReference"/>
        </w:rPr>
        <w:footnoteReference w:id="46"/>
      </w:r>
      <w:r>
        <w:t xml:space="preserve"> The Long Service Leave (Portable Schemes) Amendment Bill </w:t>
      </w:r>
      <w:r>
        <w:lastRenderedPageBreak/>
        <w:t>2022 was presented in the Assembly on 22 November 2022, and the reporting date for committee inquiry was set for 23 January 2023.</w:t>
      </w:r>
    </w:p>
    <w:p w14:paraId="0A71973B" w14:textId="77777777" w:rsidR="002B14D9" w:rsidRDefault="002B14D9" w:rsidP="002B14D9">
      <w:pPr>
        <w:pStyle w:val="ListNumber2"/>
      </w:pPr>
      <w:r>
        <w:t>The Committee aware that most stakeholders would have limited capacity to consider the Bill and prepare a submission to the inquiry over the Christmas period.</w:t>
      </w:r>
    </w:p>
    <w:p w14:paraId="42C36217" w14:textId="77777777" w:rsidR="002B14D9" w:rsidRDefault="002B14D9" w:rsidP="002B14D9">
      <w:pPr>
        <w:pStyle w:val="ListNumber2"/>
      </w:pPr>
      <w:r>
        <w:t>On occasion, a committee will request an extension of time of the reporting date by motion in the Assembly,</w:t>
      </w:r>
      <w:r>
        <w:rPr>
          <w:rStyle w:val="FootnoteReference"/>
        </w:rPr>
        <w:footnoteReference w:id="47"/>
      </w:r>
      <w:r>
        <w:t xml:space="preserve"> however this was not possible in this instance as the Assembly was not sitting until 7 February 2023, after the reporting date had already passed.</w:t>
      </w:r>
    </w:p>
    <w:p w14:paraId="5C96D3E9" w14:textId="77777777" w:rsidR="002B14D9" w:rsidRDefault="002B14D9" w:rsidP="002B14D9">
      <w:pPr>
        <w:pStyle w:val="ListNumber2"/>
      </w:pPr>
      <w:r>
        <w:t>It is for this reason that the Committee decided to accept submissions for as long as possible until the reporting date. A media release was published announcing the inquiry on 12 December 2022, and invitations to make submissions were sent to key stakeholders, such as peak bodies and unions, in the following days.</w:t>
      </w:r>
    </w:p>
    <w:p w14:paraId="214C7D65" w14:textId="77777777" w:rsidR="002B14D9" w:rsidRDefault="002B14D9" w:rsidP="002B14D9">
      <w:pPr>
        <w:pStyle w:val="ListNumber2"/>
      </w:pPr>
      <w:r>
        <w:t>The majority of submissions which have been received in this inquiry come from business owners and industry groups in the hairdressing sector. The Committee is grateful for these contributions, however is also concerned that the feedback which has been received has ben largely one-sided, and is not representative of views of employees or of members of the food and accommodation service industries.</w:t>
      </w:r>
    </w:p>
    <w:p w14:paraId="0E7346D0" w14:textId="0C68A19E" w:rsidR="002B14D9" w:rsidRDefault="002B14D9" w:rsidP="002B14D9">
      <w:pPr>
        <w:pStyle w:val="ListNumber2"/>
      </w:pPr>
      <w:r>
        <w:t>The Committee would like to see further consultation with industry and workers as the expansion of the Scheme is implemented.</w:t>
      </w:r>
    </w:p>
    <w:tbl>
      <w:tblPr>
        <w:tblStyle w:val="Recommendationbox"/>
        <w:tblW w:w="0" w:type="auto"/>
        <w:tblLook w:val="0600" w:firstRow="0" w:lastRow="0" w:firstColumn="0" w:lastColumn="0" w:noHBand="1" w:noVBand="1"/>
      </w:tblPr>
      <w:tblGrid>
        <w:gridCol w:w="8175"/>
      </w:tblGrid>
      <w:tr w:rsidR="002B14D9" w14:paraId="0CA00433" w14:textId="77777777" w:rsidTr="002B14D9">
        <w:tc>
          <w:tcPr>
            <w:tcW w:w="7891" w:type="dxa"/>
            <w:hideMark/>
          </w:tcPr>
          <w:p w14:paraId="77705919" w14:textId="2F1FB8FA" w:rsidR="002B14D9" w:rsidRDefault="002B14D9">
            <w:pPr>
              <w:pStyle w:val="Recommendationheading"/>
            </w:pPr>
            <w:bookmarkStart w:id="29" w:name="_Toc80261301"/>
            <w:bookmarkStart w:id="30" w:name="_Toc125356876"/>
            <w:r>
              <w:t xml:space="preserve">Recommendation </w:t>
            </w:r>
            <w:r>
              <w:fldChar w:fldCharType="begin"/>
            </w:r>
            <w:r>
              <w:instrText xml:space="preserve"> AUTONUMLGL \* Arabic\e </w:instrText>
            </w:r>
            <w:r>
              <w:fldChar w:fldCharType="end"/>
            </w:r>
            <w:bookmarkEnd w:id="29"/>
            <w:bookmarkEnd w:id="30"/>
          </w:p>
          <w:p w14:paraId="2C17157C" w14:textId="77777777" w:rsidR="002B14D9" w:rsidRDefault="002B14D9">
            <w:pPr>
              <w:pStyle w:val="Recommendationbody"/>
            </w:pPr>
            <w:bookmarkStart w:id="31" w:name="_Toc125356877"/>
            <w:r>
              <w:t>The Committee recommends that the ACT Legislative Assembly pass the Long Service Leave (Portable Schemes) Amendment Bill 2022.</w:t>
            </w:r>
            <w:bookmarkEnd w:id="31"/>
          </w:p>
        </w:tc>
      </w:tr>
      <w:tr w:rsidR="002B14D9" w14:paraId="01453E56" w14:textId="77777777" w:rsidTr="002B14D9">
        <w:tblPrEx>
          <w:tblLook w:val="04A0" w:firstRow="1" w:lastRow="0" w:firstColumn="1" w:lastColumn="0" w:noHBand="0" w:noVBand="1"/>
        </w:tblPrEx>
        <w:tc>
          <w:tcPr>
            <w:tcW w:w="7891" w:type="dxa"/>
            <w:hideMark/>
          </w:tcPr>
          <w:p w14:paraId="01B0162A" w14:textId="77777777" w:rsidR="002B14D9" w:rsidRDefault="002B14D9">
            <w:pPr>
              <w:pStyle w:val="Recommendationheading"/>
            </w:pPr>
            <w:bookmarkStart w:id="32" w:name="_Toc80261303"/>
            <w:bookmarkStart w:id="33" w:name="_Toc125356878"/>
            <w:r>
              <w:t xml:space="preserve">Recommendation </w:t>
            </w:r>
            <w:r>
              <w:fldChar w:fldCharType="begin"/>
            </w:r>
            <w:r>
              <w:instrText xml:space="preserve"> AUTONUMLGL \* Arabic\e </w:instrText>
            </w:r>
            <w:r>
              <w:fldChar w:fldCharType="end"/>
            </w:r>
            <w:bookmarkEnd w:id="32"/>
            <w:bookmarkEnd w:id="33"/>
          </w:p>
          <w:p w14:paraId="5B4F037A" w14:textId="77777777" w:rsidR="002B14D9" w:rsidRDefault="002B14D9">
            <w:pPr>
              <w:pStyle w:val="Recommendationbody"/>
            </w:pPr>
            <w:bookmarkStart w:id="34" w:name="_Toc80261304"/>
            <w:bookmarkStart w:id="35" w:name="_Toc125356879"/>
            <w:r>
              <w:t>The Committee recommends that the ACT Government consider and address the specific issues brought up in the submissions to this inquiry.</w:t>
            </w:r>
            <w:bookmarkEnd w:id="34"/>
            <w:bookmarkEnd w:id="35"/>
          </w:p>
        </w:tc>
      </w:tr>
      <w:tr w:rsidR="002B14D9" w14:paraId="1BFD074B" w14:textId="77777777" w:rsidTr="002B14D9">
        <w:tblPrEx>
          <w:tblLook w:val="04A0" w:firstRow="1" w:lastRow="0" w:firstColumn="1" w:lastColumn="0" w:noHBand="0" w:noVBand="1"/>
        </w:tblPrEx>
        <w:tc>
          <w:tcPr>
            <w:tcW w:w="7891" w:type="dxa"/>
            <w:hideMark/>
          </w:tcPr>
          <w:p w14:paraId="587519A5" w14:textId="77777777" w:rsidR="002B14D9" w:rsidRDefault="002B14D9">
            <w:pPr>
              <w:pStyle w:val="Recommendationheading"/>
            </w:pPr>
            <w:bookmarkStart w:id="36" w:name="_Toc80261305"/>
            <w:bookmarkStart w:id="37" w:name="_Toc125356880"/>
            <w:r>
              <w:t xml:space="preserve">Recommendation </w:t>
            </w:r>
            <w:r>
              <w:fldChar w:fldCharType="begin"/>
            </w:r>
            <w:r>
              <w:instrText xml:space="preserve"> AUTONUMLGL \* Arabic\e </w:instrText>
            </w:r>
            <w:r>
              <w:fldChar w:fldCharType="end"/>
            </w:r>
            <w:bookmarkEnd w:id="36"/>
            <w:bookmarkEnd w:id="37"/>
          </w:p>
          <w:p w14:paraId="1F65B5D2" w14:textId="77777777" w:rsidR="002B14D9" w:rsidRDefault="002B14D9">
            <w:pPr>
              <w:pStyle w:val="Recommendationbody"/>
            </w:pPr>
            <w:bookmarkStart w:id="38" w:name="_Toc80261306"/>
            <w:bookmarkStart w:id="39" w:name="_Toc125356881"/>
            <w:r>
              <w:t>The Committee recommends that the ACT Government work with industry and stakeholders in implementation of the expansion of the Long Service Leave Portable Schemes.</w:t>
            </w:r>
            <w:bookmarkEnd w:id="38"/>
            <w:bookmarkEnd w:id="39"/>
          </w:p>
        </w:tc>
      </w:tr>
    </w:tbl>
    <w:p w14:paraId="32306E5A" w14:textId="6146C4A2" w:rsidR="00CD05B9" w:rsidRDefault="00392FC2" w:rsidP="00392FC2">
      <w:pPr>
        <w:pStyle w:val="Heading1"/>
      </w:pPr>
      <w:bookmarkStart w:id="40" w:name="_Toc126056600"/>
      <w:r>
        <w:t>Conclusion</w:t>
      </w:r>
      <w:bookmarkEnd w:id="40"/>
    </w:p>
    <w:p w14:paraId="72F26B9E" w14:textId="7B45C113" w:rsidR="00392FC2" w:rsidRDefault="00392FC2" w:rsidP="00392FC2">
      <w:pPr>
        <w:pStyle w:val="ListNumber2"/>
      </w:pPr>
      <w:r>
        <w:t xml:space="preserve">The Committee wishes to thank the </w:t>
      </w:r>
      <w:r w:rsidR="007200EE">
        <w:t>ACT Government and other stakeholders for their submissions to this inquiry.</w:t>
      </w:r>
    </w:p>
    <w:p w14:paraId="5CAA7E84" w14:textId="3EE82AA7" w:rsidR="00392FC2" w:rsidRDefault="00392FC2" w:rsidP="00392FC2">
      <w:pPr>
        <w:pStyle w:val="ListNumber2"/>
      </w:pPr>
      <w:r>
        <w:lastRenderedPageBreak/>
        <w:t xml:space="preserve">The Committee has made </w:t>
      </w:r>
      <w:r w:rsidR="00693759">
        <w:t>three</w:t>
      </w:r>
      <w:r>
        <w:t xml:space="preserve"> recommendation</w:t>
      </w:r>
      <w:r w:rsidR="00693759">
        <w:t>s</w:t>
      </w:r>
      <w:r>
        <w:t xml:space="preserve"> in relation to the Long Service Leave (Portable Schemes) Amendment Bill 2022.</w:t>
      </w:r>
    </w:p>
    <w:p w14:paraId="43CB8157" w14:textId="77777777" w:rsidR="00392FC2" w:rsidRDefault="00392FC2" w:rsidP="000D53FE">
      <w:pPr>
        <w:pStyle w:val="ListNumber2"/>
        <w:numPr>
          <w:ilvl w:val="0"/>
          <w:numId w:val="0"/>
        </w:numPr>
        <w:spacing w:before="1080" w:after="0"/>
        <w:ind w:left="851" w:hanging="851"/>
      </w:pPr>
      <w:r>
        <w:t>Ms Leanne Castley</w:t>
      </w:r>
    </w:p>
    <w:p w14:paraId="37270427" w14:textId="022AECCF" w:rsidR="00392FC2" w:rsidRDefault="00392FC2" w:rsidP="000D53FE">
      <w:pPr>
        <w:pStyle w:val="ListNumber2"/>
        <w:numPr>
          <w:ilvl w:val="0"/>
          <w:numId w:val="0"/>
        </w:numPr>
        <w:spacing w:before="0" w:after="0"/>
        <w:ind w:left="851" w:hanging="851"/>
      </w:pPr>
      <w:r>
        <w:t>Chair</w:t>
      </w:r>
    </w:p>
    <w:p w14:paraId="73F2F8DF" w14:textId="3D9DD634" w:rsidR="00392FC2" w:rsidRPr="00392FC2" w:rsidRDefault="00392FC2" w:rsidP="000D53FE">
      <w:pPr>
        <w:pStyle w:val="ListNumber2"/>
        <w:numPr>
          <w:ilvl w:val="0"/>
          <w:numId w:val="0"/>
        </w:numPr>
        <w:spacing w:before="0" w:after="0"/>
        <w:ind w:left="851" w:hanging="851"/>
      </w:pPr>
      <w:r>
        <w:t>23 January 2023</w:t>
      </w:r>
    </w:p>
    <w:p w14:paraId="152A53C6" w14:textId="77777777" w:rsidR="002861BB" w:rsidRDefault="002861BB" w:rsidP="00CD05B9">
      <w:pPr>
        <w:pStyle w:val="ListNumber2"/>
        <w:numPr>
          <w:ilvl w:val="0"/>
          <w:numId w:val="0"/>
        </w:numPr>
        <w:ind w:left="851"/>
      </w:pPr>
    </w:p>
    <w:p w14:paraId="1311514F" w14:textId="136B70B5" w:rsidR="00EB3179" w:rsidRDefault="00EB3179">
      <w:pPr>
        <w:spacing w:line="259" w:lineRule="auto"/>
        <w:rPr>
          <w:rFonts w:cstheme="minorHAnsi"/>
          <w:bCs/>
          <w:color w:val="000000" w:themeColor="text1"/>
          <w:szCs w:val="20"/>
        </w:rPr>
      </w:pPr>
      <w:r>
        <w:br w:type="page"/>
      </w:r>
    </w:p>
    <w:p w14:paraId="7127DF32" w14:textId="46B46A6D" w:rsidR="00E833AA" w:rsidRDefault="00E833AA" w:rsidP="00247A37">
      <w:pPr>
        <w:pStyle w:val="Heading1nonumber"/>
      </w:pPr>
      <w:bookmarkStart w:id="41" w:name="_Toc126056601"/>
      <w:r>
        <w:lastRenderedPageBreak/>
        <w:t xml:space="preserve">Appendix </w:t>
      </w:r>
      <w:r w:rsidR="00247A37">
        <w:t>A</w:t>
      </w:r>
      <w:r>
        <w:t>: Submissions</w:t>
      </w:r>
      <w:bookmarkEnd w:id="41"/>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02C3BE85" w:rsidR="00870AE1" w:rsidRDefault="00972584" w:rsidP="00247A37">
            <w:pPr>
              <w:pStyle w:val="Tablebody"/>
            </w:pPr>
            <w:r>
              <w:t>Eden Hair Energy</w:t>
            </w:r>
          </w:p>
        </w:tc>
        <w:tc>
          <w:tcPr>
            <w:tcW w:w="1346" w:type="dxa"/>
          </w:tcPr>
          <w:p w14:paraId="3EFED712" w14:textId="0F812A6D" w:rsidR="00870AE1" w:rsidRDefault="00972584" w:rsidP="00247A37">
            <w:pPr>
              <w:pStyle w:val="Tablebody"/>
            </w:pPr>
            <w:r>
              <w:t>19/12/22</w:t>
            </w:r>
          </w:p>
        </w:tc>
        <w:tc>
          <w:tcPr>
            <w:tcW w:w="1347" w:type="dxa"/>
          </w:tcPr>
          <w:p w14:paraId="07A93217" w14:textId="3FA86320" w:rsidR="00870AE1" w:rsidRDefault="000B6E95" w:rsidP="00247A37">
            <w:pPr>
              <w:pStyle w:val="Tablebody"/>
            </w:pPr>
            <w:r>
              <w:t>20/01/2</w:t>
            </w:r>
            <w:r w:rsidR="00E25384">
              <w:t>3</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4E9C1377" w:rsidR="00870AE1" w:rsidRDefault="000B6E95" w:rsidP="00247A37">
            <w:pPr>
              <w:pStyle w:val="Tablebody"/>
            </w:pPr>
            <w:r>
              <w:t>ACTCOSS</w:t>
            </w:r>
          </w:p>
        </w:tc>
        <w:tc>
          <w:tcPr>
            <w:tcW w:w="1346" w:type="dxa"/>
          </w:tcPr>
          <w:p w14:paraId="0DB77781" w14:textId="7BA643E9" w:rsidR="00870AE1" w:rsidRDefault="00E25384" w:rsidP="00247A37">
            <w:pPr>
              <w:pStyle w:val="Tablebody"/>
            </w:pPr>
            <w:r>
              <w:t>13/01/23</w:t>
            </w:r>
          </w:p>
        </w:tc>
        <w:tc>
          <w:tcPr>
            <w:tcW w:w="1347" w:type="dxa"/>
          </w:tcPr>
          <w:p w14:paraId="128C6192" w14:textId="3D109A6A" w:rsidR="00870AE1" w:rsidRDefault="000B6E95" w:rsidP="00247A37">
            <w:pPr>
              <w:pStyle w:val="Tablebody"/>
            </w:pPr>
            <w:r>
              <w:t>20/01/2</w:t>
            </w:r>
            <w:r w:rsidR="00E25384">
              <w:t>3</w:t>
            </w:r>
          </w:p>
        </w:tc>
      </w:tr>
      <w:tr w:rsidR="00793B19" w14:paraId="04C7BD9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940F834" w14:textId="65199DB3" w:rsidR="00793B19" w:rsidRDefault="00793B19" w:rsidP="00247A37">
            <w:pPr>
              <w:pStyle w:val="Tablebody"/>
            </w:pPr>
            <w:r>
              <w:t>3</w:t>
            </w:r>
          </w:p>
        </w:tc>
        <w:tc>
          <w:tcPr>
            <w:tcW w:w="5665" w:type="dxa"/>
          </w:tcPr>
          <w:p w14:paraId="0C7EAECC" w14:textId="426A5559" w:rsidR="00793B19" w:rsidRDefault="00793B19" w:rsidP="00247A37">
            <w:pPr>
              <w:pStyle w:val="Tablebody"/>
            </w:pPr>
            <w:r>
              <w:t>Canberra Business Chamber</w:t>
            </w:r>
          </w:p>
        </w:tc>
        <w:tc>
          <w:tcPr>
            <w:tcW w:w="1346" w:type="dxa"/>
          </w:tcPr>
          <w:p w14:paraId="73047BA8" w14:textId="16AEA685" w:rsidR="00793B19" w:rsidRDefault="00793B19" w:rsidP="00247A37">
            <w:pPr>
              <w:pStyle w:val="Tablebody"/>
            </w:pPr>
            <w:r>
              <w:t>17/01/2</w:t>
            </w:r>
            <w:r w:rsidR="00E25384">
              <w:t>3</w:t>
            </w:r>
          </w:p>
        </w:tc>
        <w:tc>
          <w:tcPr>
            <w:tcW w:w="1347" w:type="dxa"/>
          </w:tcPr>
          <w:p w14:paraId="0E08DB0A" w14:textId="10A3F9C5" w:rsidR="00793B19" w:rsidRDefault="00793B19" w:rsidP="00247A37">
            <w:pPr>
              <w:pStyle w:val="Tablebody"/>
            </w:pPr>
            <w:r>
              <w:t>20/01/2</w:t>
            </w:r>
            <w:r w:rsidR="00E25384">
              <w:t>3</w:t>
            </w:r>
          </w:p>
        </w:tc>
      </w:tr>
      <w:tr w:rsidR="00F86893" w14:paraId="1497CD5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85E31A1" w14:textId="49EBF0FE" w:rsidR="00F86893" w:rsidRDefault="00F86893" w:rsidP="00247A37">
            <w:pPr>
              <w:pStyle w:val="Tablebody"/>
            </w:pPr>
            <w:r>
              <w:t>4</w:t>
            </w:r>
          </w:p>
        </w:tc>
        <w:tc>
          <w:tcPr>
            <w:tcW w:w="5665" w:type="dxa"/>
          </w:tcPr>
          <w:p w14:paraId="30A2E3CD" w14:textId="178F0F31" w:rsidR="00F86893" w:rsidRDefault="00F86893" w:rsidP="00247A37">
            <w:pPr>
              <w:pStyle w:val="Tablebody"/>
            </w:pPr>
            <w:r>
              <w:t>Sassy Hair</w:t>
            </w:r>
          </w:p>
        </w:tc>
        <w:tc>
          <w:tcPr>
            <w:tcW w:w="1346" w:type="dxa"/>
          </w:tcPr>
          <w:p w14:paraId="740A020A" w14:textId="311B83AE" w:rsidR="00F86893" w:rsidRDefault="007E15E2" w:rsidP="00247A37">
            <w:pPr>
              <w:pStyle w:val="Tablebody"/>
            </w:pPr>
            <w:r>
              <w:t>19/01/23</w:t>
            </w:r>
          </w:p>
        </w:tc>
        <w:tc>
          <w:tcPr>
            <w:tcW w:w="1347" w:type="dxa"/>
          </w:tcPr>
          <w:p w14:paraId="3EFD4048" w14:textId="6661286D" w:rsidR="00F86893" w:rsidRDefault="00F86893" w:rsidP="00247A37">
            <w:pPr>
              <w:pStyle w:val="Tablebody"/>
            </w:pPr>
            <w:r>
              <w:t>20/01/23</w:t>
            </w:r>
          </w:p>
        </w:tc>
      </w:tr>
      <w:tr w:rsidR="00F86893" w14:paraId="336A9D55"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8B1B5D5" w14:textId="4F7D1721" w:rsidR="00F86893" w:rsidRDefault="00F86893" w:rsidP="00247A37">
            <w:pPr>
              <w:pStyle w:val="Tablebody"/>
            </w:pPr>
            <w:r>
              <w:t>5</w:t>
            </w:r>
          </w:p>
        </w:tc>
        <w:tc>
          <w:tcPr>
            <w:tcW w:w="5665" w:type="dxa"/>
          </w:tcPr>
          <w:p w14:paraId="649998E0" w14:textId="0AD057E4" w:rsidR="00F86893" w:rsidRDefault="00F86893" w:rsidP="00247A37">
            <w:pPr>
              <w:pStyle w:val="Tablebody"/>
            </w:pPr>
            <w:r>
              <w:t>Cataldo’s Salon</w:t>
            </w:r>
          </w:p>
        </w:tc>
        <w:tc>
          <w:tcPr>
            <w:tcW w:w="1346" w:type="dxa"/>
          </w:tcPr>
          <w:p w14:paraId="738AA3D0" w14:textId="4D409308" w:rsidR="00F86893" w:rsidRDefault="007E15E2" w:rsidP="00247A37">
            <w:pPr>
              <w:pStyle w:val="Tablebody"/>
            </w:pPr>
            <w:r>
              <w:t>19/01/23</w:t>
            </w:r>
          </w:p>
        </w:tc>
        <w:tc>
          <w:tcPr>
            <w:tcW w:w="1347" w:type="dxa"/>
          </w:tcPr>
          <w:p w14:paraId="28BB459F" w14:textId="7F839DC0" w:rsidR="00F86893" w:rsidRDefault="00F86893" w:rsidP="00247A37">
            <w:pPr>
              <w:pStyle w:val="Tablebody"/>
            </w:pPr>
            <w:r>
              <w:t>20/01/23</w:t>
            </w:r>
          </w:p>
        </w:tc>
      </w:tr>
      <w:tr w:rsidR="00F86893" w14:paraId="6D03878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8D29940" w14:textId="68A0DEBD" w:rsidR="00F86893" w:rsidRDefault="00F86893" w:rsidP="00247A37">
            <w:pPr>
              <w:pStyle w:val="Tablebody"/>
            </w:pPr>
            <w:r>
              <w:t>6</w:t>
            </w:r>
          </w:p>
        </w:tc>
        <w:tc>
          <w:tcPr>
            <w:tcW w:w="5665" w:type="dxa"/>
          </w:tcPr>
          <w:p w14:paraId="224E0E09" w14:textId="40E15A8E" w:rsidR="00F86893" w:rsidRDefault="00F86893" w:rsidP="00247A37">
            <w:pPr>
              <w:pStyle w:val="Tablebody"/>
            </w:pPr>
            <w:r>
              <w:t>Minister Gentleman</w:t>
            </w:r>
          </w:p>
        </w:tc>
        <w:tc>
          <w:tcPr>
            <w:tcW w:w="1346" w:type="dxa"/>
          </w:tcPr>
          <w:p w14:paraId="277D2452" w14:textId="32112652" w:rsidR="00F86893" w:rsidRDefault="007E15E2" w:rsidP="00247A37">
            <w:pPr>
              <w:pStyle w:val="Tablebody"/>
            </w:pPr>
            <w:r>
              <w:t>19/01/23</w:t>
            </w:r>
          </w:p>
        </w:tc>
        <w:tc>
          <w:tcPr>
            <w:tcW w:w="1347" w:type="dxa"/>
          </w:tcPr>
          <w:p w14:paraId="06E72859" w14:textId="6068D3D6" w:rsidR="00F86893" w:rsidRDefault="00F86893" w:rsidP="00247A37">
            <w:pPr>
              <w:pStyle w:val="Tablebody"/>
            </w:pPr>
            <w:r>
              <w:t>20/01/23</w:t>
            </w:r>
          </w:p>
        </w:tc>
      </w:tr>
      <w:tr w:rsidR="00F86893" w14:paraId="1ECF02E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2DA7612" w14:textId="27818CAE" w:rsidR="00F86893" w:rsidRDefault="00F86893" w:rsidP="00247A37">
            <w:pPr>
              <w:pStyle w:val="Tablebody"/>
            </w:pPr>
            <w:r>
              <w:t>7</w:t>
            </w:r>
          </w:p>
        </w:tc>
        <w:tc>
          <w:tcPr>
            <w:tcW w:w="5665" w:type="dxa"/>
          </w:tcPr>
          <w:p w14:paraId="41F090AB" w14:textId="184C33FE" w:rsidR="00F86893" w:rsidRDefault="00F86893" w:rsidP="00247A37">
            <w:pPr>
              <w:pStyle w:val="Tablebody"/>
            </w:pPr>
            <w:r>
              <w:t>Australian Hairdressing Council</w:t>
            </w:r>
          </w:p>
        </w:tc>
        <w:tc>
          <w:tcPr>
            <w:tcW w:w="1346" w:type="dxa"/>
          </w:tcPr>
          <w:p w14:paraId="44EABAF9" w14:textId="504638C0" w:rsidR="00F86893" w:rsidRDefault="007E15E2" w:rsidP="00247A37">
            <w:pPr>
              <w:pStyle w:val="Tablebody"/>
            </w:pPr>
            <w:r>
              <w:t>19/01/23</w:t>
            </w:r>
          </w:p>
        </w:tc>
        <w:tc>
          <w:tcPr>
            <w:tcW w:w="1347" w:type="dxa"/>
          </w:tcPr>
          <w:p w14:paraId="7C13CDE7" w14:textId="18C79752" w:rsidR="00F86893" w:rsidRDefault="00F86893" w:rsidP="00247A37">
            <w:pPr>
              <w:pStyle w:val="Tablebody"/>
            </w:pPr>
            <w:r>
              <w:t>20/01/23</w:t>
            </w:r>
          </w:p>
        </w:tc>
      </w:tr>
      <w:tr w:rsidR="00F86893" w14:paraId="201A7DF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6BA1C0C" w14:textId="4DFD1871" w:rsidR="00F86893" w:rsidRDefault="00F86893" w:rsidP="00247A37">
            <w:pPr>
              <w:pStyle w:val="Tablebody"/>
            </w:pPr>
            <w:r>
              <w:t>8</w:t>
            </w:r>
          </w:p>
        </w:tc>
        <w:tc>
          <w:tcPr>
            <w:tcW w:w="5665" w:type="dxa"/>
          </w:tcPr>
          <w:p w14:paraId="4CD2CC0E" w14:textId="7ECC8F48" w:rsidR="00F86893" w:rsidRDefault="00F86893" w:rsidP="00247A37">
            <w:pPr>
              <w:pStyle w:val="Tablebody"/>
            </w:pPr>
            <w:r>
              <w:t>Serene Hair</w:t>
            </w:r>
            <w:r w:rsidR="002C624F">
              <w:t xml:space="preserve"> and Body</w:t>
            </w:r>
          </w:p>
        </w:tc>
        <w:tc>
          <w:tcPr>
            <w:tcW w:w="1346" w:type="dxa"/>
          </w:tcPr>
          <w:p w14:paraId="4DEB0ACE" w14:textId="2FDAD9C9" w:rsidR="00F86893" w:rsidRDefault="007E15E2" w:rsidP="00247A37">
            <w:pPr>
              <w:pStyle w:val="Tablebody"/>
            </w:pPr>
            <w:r>
              <w:t>19/01/23</w:t>
            </w:r>
          </w:p>
        </w:tc>
        <w:tc>
          <w:tcPr>
            <w:tcW w:w="1347" w:type="dxa"/>
          </w:tcPr>
          <w:p w14:paraId="4D0A52E2" w14:textId="65B7972F" w:rsidR="00F86893" w:rsidRDefault="00F86893" w:rsidP="00247A37">
            <w:pPr>
              <w:pStyle w:val="Tablebody"/>
            </w:pPr>
            <w:r>
              <w:t>20/01/23</w:t>
            </w:r>
          </w:p>
        </w:tc>
      </w:tr>
      <w:tr w:rsidR="00F86893" w14:paraId="61A2D96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F6E5910" w14:textId="51F6FDA9" w:rsidR="00F86893" w:rsidRDefault="00F86893" w:rsidP="00247A37">
            <w:pPr>
              <w:pStyle w:val="Tablebody"/>
            </w:pPr>
            <w:r>
              <w:t>9</w:t>
            </w:r>
          </w:p>
        </w:tc>
        <w:tc>
          <w:tcPr>
            <w:tcW w:w="5665" w:type="dxa"/>
          </w:tcPr>
          <w:p w14:paraId="775BB3F8" w14:textId="20172468" w:rsidR="00F86893" w:rsidRDefault="00F86893" w:rsidP="00247A37">
            <w:pPr>
              <w:pStyle w:val="Tablebody"/>
            </w:pPr>
            <w:r>
              <w:t>Australian Industry Group</w:t>
            </w:r>
          </w:p>
        </w:tc>
        <w:tc>
          <w:tcPr>
            <w:tcW w:w="1346" w:type="dxa"/>
          </w:tcPr>
          <w:p w14:paraId="1414265C" w14:textId="381FC4CD" w:rsidR="00F86893" w:rsidRDefault="007E15E2" w:rsidP="00247A37">
            <w:pPr>
              <w:pStyle w:val="Tablebody"/>
            </w:pPr>
            <w:r>
              <w:t>19/01/23</w:t>
            </w:r>
          </w:p>
        </w:tc>
        <w:tc>
          <w:tcPr>
            <w:tcW w:w="1347" w:type="dxa"/>
          </w:tcPr>
          <w:p w14:paraId="6410553C" w14:textId="6281B2D1" w:rsidR="00F86893" w:rsidRDefault="00F86893" w:rsidP="00247A37">
            <w:pPr>
              <w:pStyle w:val="Tablebody"/>
            </w:pPr>
            <w:r>
              <w:t>20/01/23</w:t>
            </w:r>
          </w:p>
        </w:tc>
      </w:tr>
      <w:tr w:rsidR="00F86893" w14:paraId="569DD79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554742F" w14:textId="0527D1C0" w:rsidR="00F86893" w:rsidRDefault="00F86893" w:rsidP="00247A37">
            <w:pPr>
              <w:pStyle w:val="Tablebody"/>
            </w:pPr>
            <w:r>
              <w:t>10</w:t>
            </w:r>
          </w:p>
        </w:tc>
        <w:tc>
          <w:tcPr>
            <w:tcW w:w="5665" w:type="dxa"/>
          </w:tcPr>
          <w:p w14:paraId="73FA2C47" w14:textId="1ADD3BC3" w:rsidR="00F86893" w:rsidRDefault="00F86893" w:rsidP="00247A37">
            <w:pPr>
              <w:pStyle w:val="Tablebody"/>
            </w:pPr>
            <w:r>
              <w:t>Council of Small Business Organisations Australia</w:t>
            </w:r>
          </w:p>
        </w:tc>
        <w:tc>
          <w:tcPr>
            <w:tcW w:w="1346" w:type="dxa"/>
          </w:tcPr>
          <w:p w14:paraId="5F818DA3" w14:textId="7547E91B" w:rsidR="00F86893" w:rsidRDefault="007E15E2" w:rsidP="00247A37">
            <w:pPr>
              <w:pStyle w:val="Tablebody"/>
            </w:pPr>
            <w:r>
              <w:t>20/01/23</w:t>
            </w:r>
          </w:p>
        </w:tc>
        <w:tc>
          <w:tcPr>
            <w:tcW w:w="1347" w:type="dxa"/>
          </w:tcPr>
          <w:p w14:paraId="08238B26" w14:textId="5FC0D0A0" w:rsidR="00F86893" w:rsidRDefault="00F86893" w:rsidP="00247A37">
            <w:pPr>
              <w:pStyle w:val="Tablebody"/>
            </w:pPr>
            <w:r>
              <w:t>20/01/23</w:t>
            </w:r>
          </w:p>
        </w:tc>
      </w:tr>
    </w:tbl>
    <w:p w14:paraId="0C2BB3BC" w14:textId="7BA78651" w:rsidR="00247A37" w:rsidRPr="000B6E95" w:rsidRDefault="00247A37">
      <w:pPr>
        <w:spacing w:line="259" w:lineRule="auto"/>
      </w:pPr>
    </w:p>
    <w:sectPr w:rsidR="00247A37" w:rsidRPr="000B6E95" w:rsidSect="00603367">
      <w:footerReference w:type="even" r:id="rId20"/>
      <w:footerReference w:type="default" r:id="rId21"/>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BCD5C2-C3D7-40BB-A3F0-D0364C2F39D0}"/>
    <w:embedBold r:id="rId2" w:fontKey="{3C658E02-F7F5-494B-84C1-4CCC05AF8099}"/>
    <w:embedItalic r:id="rId3" w:fontKey="{829B6921-C336-47F5-B9BC-A09D2BC0BB64}"/>
    <w:embedBoldItalic r:id="rId4" w:fontKey="{345BB724-D987-499E-9837-425FAC1EBE3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84B4CF8E-2EB2-4E6B-915E-B21A2AAC492A}"/>
  </w:font>
  <w:font w:name="Montserrat">
    <w:panose1 w:val="00000500000000000000"/>
    <w:charset w:val="00"/>
    <w:family w:val="auto"/>
    <w:pitch w:val="variable"/>
    <w:sig w:usb0="2000020F" w:usb1="00000003" w:usb2="00000000" w:usb3="00000000" w:csb0="00000197" w:csb1="00000000"/>
    <w:embedRegular r:id="rId6" w:fontKey="{D87DB984-F04F-4603-A791-4CC048831AB1}"/>
    <w:embedBold r:id="rId7" w:fontKey="{7C243049-ECAB-4F14-919F-75EE0E9105E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EAB7D638-70EB-4C01-9E08-64EEB0AFC7F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50B2CB4"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6531D">
      <w:rPr>
        <w:rFonts w:ascii="Montserrat SemiBold" w:hAnsi="Montserrat SemiBold" w:cstheme="majorHAnsi"/>
        <w:noProof/>
        <w:color w:val="2F5496"/>
        <w:w w:val="90"/>
        <w:sz w:val="18"/>
        <w:szCs w:val="18"/>
      </w:rPr>
      <w:t>Inquiry into Long Service Leave (Portable Schemes)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EFA71E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1715FE">
      <w:rPr>
        <w:rFonts w:cstheme="minorHAnsi"/>
        <w:noProof/>
        <w:color w:val="404040" w:themeColor="text1" w:themeTint="BF"/>
      </w:rPr>
      <w:t>Standing Committee on Economy and Gender and Economic Equality</w:t>
    </w:r>
    <w:r w:rsidR="001715F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2E270D65" w:rsidR="00836FFE" w:rsidRPr="00C8358A" w:rsidRDefault="0000627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AC8FFD9"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06531D">
      <w:rPr>
        <w:rFonts w:cstheme="minorHAnsi"/>
        <w:color w:val="404040" w:themeColor="text1" w:themeTint="BF"/>
      </w:rPr>
      <w:t>6</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8B8B0E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1715FE">
      <w:rPr>
        <w:rFonts w:cstheme="minorHAnsi"/>
        <w:noProof/>
        <w:color w:val="404040" w:themeColor="text1" w:themeTint="BF"/>
      </w:rPr>
      <w:t>January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39882EDE"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715FE">
      <w:rPr>
        <w:rFonts w:ascii="Montserrat SemiBold" w:hAnsi="Montserrat SemiBold" w:cstheme="majorHAnsi"/>
        <w:noProof/>
        <w:color w:val="2F5496"/>
        <w:w w:val="90"/>
        <w:sz w:val="18"/>
        <w:szCs w:val="18"/>
      </w:rPr>
      <w:t>Inquiry into Long Service Leave (Portable Schemes) Amendment Bill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B1847DD"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715FE">
      <w:rPr>
        <w:rFonts w:ascii="Montserrat SemiBold" w:hAnsi="Montserrat SemiBold" w:cstheme="majorHAnsi"/>
        <w:noProof/>
        <w:color w:val="2F5496"/>
        <w:w w:val="90"/>
        <w:sz w:val="18"/>
        <w:szCs w:val="18"/>
      </w:rPr>
      <w:t>Inquiry into Long Service Leave (Portable Schemes)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C2C589F"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715FE">
      <w:rPr>
        <w:rFonts w:ascii="Montserrat SemiBold" w:hAnsi="Montserrat SemiBold" w:cstheme="majorHAnsi"/>
        <w:noProof/>
        <w:color w:val="2F5496"/>
        <w:w w:val="90"/>
        <w:sz w:val="18"/>
        <w:szCs w:val="18"/>
      </w:rPr>
      <w:t>Inquiry into Long Service Leave (Portable Schemes) Amendment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D389340"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715FE">
      <w:rPr>
        <w:rFonts w:ascii="Montserrat SemiBold" w:hAnsi="Montserrat SemiBold" w:cstheme="majorHAnsi"/>
        <w:noProof/>
        <w:color w:val="2F5496"/>
        <w:w w:val="90"/>
        <w:sz w:val="18"/>
        <w:szCs w:val="18"/>
      </w:rPr>
      <w:t>Inquiry into Long Service Leave (Portable Schemes) Amendment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F3A3833" w14:textId="329E187D" w:rsidR="002A5733" w:rsidRPr="004523AC" w:rsidRDefault="002A5733">
      <w:pPr>
        <w:pStyle w:val="FootnoteText"/>
        <w:rPr>
          <w:sz w:val="18"/>
          <w:szCs w:val="18"/>
        </w:rPr>
      </w:pPr>
      <w:r w:rsidRPr="004523AC">
        <w:rPr>
          <w:rStyle w:val="FootnoteReference"/>
          <w:sz w:val="18"/>
          <w:szCs w:val="18"/>
        </w:rPr>
        <w:footnoteRef/>
      </w:r>
      <w:r w:rsidRPr="004523AC">
        <w:rPr>
          <w:sz w:val="18"/>
          <w:szCs w:val="18"/>
        </w:rPr>
        <w:t xml:space="preserve"> </w:t>
      </w:r>
      <w:r w:rsidR="004523AC" w:rsidRPr="004523AC">
        <w:rPr>
          <w:sz w:val="18"/>
          <w:szCs w:val="18"/>
        </w:rPr>
        <w:t xml:space="preserve">The Senate Education and Employment References Committee, </w:t>
      </w:r>
      <w:r w:rsidR="004523AC" w:rsidRPr="004523AC">
        <w:rPr>
          <w:i/>
          <w:iCs/>
          <w:sz w:val="18"/>
          <w:szCs w:val="18"/>
        </w:rPr>
        <w:t>Feasibility of, and options for, creation a national long service standard, and the portability of long service and other entitlements</w:t>
      </w:r>
      <w:r w:rsidR="004523AC" w:rsidRPr="004523AC">
        <w:rPr>
          <w:sz w:val="18"/>
          <w:szCs w:val="18"/>
        </w:rPr>
        <w:t>, February 2016, p 5.</w:t>
      </w:r>
    </w:p>
  </w:footnote>
  <w:footnote w:id="2">
    <w:p w14:paraId="4D4ADD85" w14:textId="58DF80A2" w:rsidR="00366773" w:rsidRDefault="00366773">
      <w:pPr>
        <w:pStyle w:val="FootnoteText"/>
      </w:pPr>
      <w:r>
        <w:rPr>
          <w:rStyle w:val="FootnoteReference"/>
        </w:rPr>
        <w:footnoteRef/>
      </w:r>
      <w:r>
        <w:t xml:space="preserve"> </w:t>
      </w:r>
      <w:r w:rsidRPr="004523AC">
        <w:rPr>
          <w:sz w:val="18"/>
          <w:szCs w:val="18"/>
        </w:rPr>
        <w:t xml:space="preserve">The Senate Education and Employment References Committee, </w:t>
      </w:r>
      <w:r w:rsidRPr="004523AC">
        <w:rPr>
          <w:i/>
          <w:iCs/>
          <w:sz w:val="18"/>
          <w:szCs w:val="18"/>
        </w:rPr>
        <w:t>Feasibility of, and options for, creation a national long service standard, and the portability of long service and other entitlements</w:t>
      </w:r>
      <w:r w:rsidRPr="004523AC">
        <w:rPr>
          <w:sz w:val="18"/>
          <w:szCs w:val="18"/>
        </w:rPr>
        <w:t>, February 2016, p </w:t>
      </w:r>
      <w:r w:rsidR="008820E0">
        <w:rPr>
          <w:sz w:val="18"/>
          <w:szCs w:val="18"/>
        </w:rPr>
        <w:t>3.</w:t>
      </w:r>
    </w:p>
  </w:footnote>
  <w:footnote w:id="3">
    <w:p w14:paraId="6E251A1B" w14:textId="534AA7B8" w:rsidR="005F1BB9" w:rsidRPr="004523AC" w:rsidRDefault="005F1BB9">
      <w:pPr>
        <w:pStyle w:val="FootnoteText"/>
        <w:rPr>
          <w:sz w:val="18"/>
          <w:szCs w:val="18"/>
        </w:rPr>
      </w:pPr>
      <w:r w:rsidRPr="004523AC">
        <w:rPr>
          <w:rStyle w:val="FootnoteReference"/>
          <w:sz w:val="18"/>
          <w:szCs w:val="18"/>
        </w:rPr>
        <w:footnoteRef/>
      </w:r>
      <w:r w:rsidRPr="004523AC">
        <w:rPr>
          <w:sz w:val="18"/>
          <w:szCs w:val="18"/>
        </w:rPr>
        <w:t xml:space="preserve"> </w:t>
      </w:r>
      <w:r w:rsidR="000650AA">
        <w:rPr>
          <w:sz w:val="18"/>
          <w:szCs w:val="18"/>
        </w:rPr>
        <w:t xml:space="preserve">Victorian Government, </w:t>
      </w:r>
      <w:r w:rsidR="000650AA" w:rsidRPr="000650AA">
        <w:rPr>
          <w:i/>
          <w:iCs/>
          <w:sz w:val="18"/>
          <w:szCs w:val="18"/>
        </w:rPr>
        <w:t>Long service leave in Australia</w:t>
      </w:r>
      <w:r w:rsidR="00C5772D">
        <w:rPr>
          <w:sz w:val="18"/>
          <w:szCs w:val="18"/>
        </w:rPr>
        <w:t xml:space="preserve">, 28 October 2019, </w:t>
      </w:r>
      <w:hyperlink r:id="rId1" w:history="1">
        <w:r w:rsidR="00C5772D" w:rsidRPr="002E5CD7">
          <w:rPr>
            <w:rStyle w:val="Hyperlink"/>
            <w:sz w:val="18"/>
            <w:szCs w:val="18"/>
          </w:rPr>
          <w:t>https://www.vic.gov.au/portable-long-service-authority-annual-report-2018-19/long-service-leave-australia</w:t>
        </w:r>
      </w:hyperlink>
      <w:r w:rsidR="00C5772D">
        <w:rPr>
          <w:sz w:val="18"/>
          <w:szCs w:val="18"/>
        </w:rPr>
        <w:t xml:space="preserve"> (</w:t>
      </w:r>
      <w:r w:rsidR="000650AA">
        <w:rPr>
          <w:sz w:val="18"/>
          <w:szCs w:val="18"/>
        </w:rPr>
        <w:t>accessed 17 January 2023).</w:t>
      </w:r>
    </w:p>
  </w:footnote>
  <w:footnote w:id="4">
    <w:p w14:paraId="6C434C19" w14:textId="3AC97815" w:rsidR="00794E04" w:rsidRPr="004523AC" w:rsidRDefault="00794E04">
      <w:pPr>
        <w:pStyle w:val="FootnoteText"/>
        <w:rPr>
          <w:sz w:val="18"/>
          <w:szCs w:val="18"/>
        </w:rPr>
      </w:pPr>
      <w:r w:rsidRPr="004523AC">
        <w:rPr>
          <w:rStyle w:val="FootnoteReference"/>
          <w:sz w:val="18"/>
          <w:szCs w:val="18"/>
        </w:rPr>
        <w:footnoteRef/>
      </w:r>
      <w:r w:rsidRPr="004523AC">
        <w:rPr>
          <w:sz w:val="18"/>
          <w:szCs w:val="18"/>
        </w:rPr>
        <w:t xml:space="preserve"> The Sydney Morning Herald, </w:t>
      </w:r>
      <w:r w:rsidRPr="004523AC">
        <w:rPr>
          <w:i/>
          <w:iCs/>
          <w:sz w:val="18"/>
          <w:szCs w:val="18"/>
        </w:rPr>
        <w:t>The Civil Service Act of Victoria 1862</w:t>
      </w:r>
      <w:r w:rsidRPr="004523AC">
        <w:rPr>
          <w:sz w:val="18"/>
          <w:szCs w:val="18"/>
        </w:rPr>
        <w:t xml:space="preserve">, 30 July 1862, </w:t>
      </w:r>
      <w:hyperlink r:id="rId2" w:history="1">
        <w:r w:rsidRPr="004523AC">
          <w:rPr>
            <w:rStyle w:val="Hyperlink"/>
            <w:sz w:val="18"/>
            <w:szCs w:val="18"/>
          </w:rPr>
          <w:t>https://trove.nla.gov.au/newspaper/article/13232023</w:t>
        </w:r>
      </w:hyperlink>
      <w:r w:rsidRPr="004523AC">
        <w:rPr>
          <w:sz w:val="18"/>
          <w:szCs w:val="18"/>
        </w:rPr>
        <w:t xml:space="preserve"> </w:t>
      </w:r>
      <w:r w:rsidR="00DE06D9">
        <w:rPr>
          <w:sz w:val="18"/>
          <w:szCs w:val="18"/>
        </w:rPr>
        <w:t>(accessed 17 January 2023).</w:t>
      </w:r>
    </w:p>
  </w:footnote>
  <w:footnote w:id="5">
    <w:p w14:paraId="74ADCBA8" w14:textId="502C6D05" w:rsidR="001905A8" w:rsidRDefault="001905A8" w:rsidP="001905A8">
      <w:pPr>
        <w:pStyle w:val="FootnoteText"/>
      </w:pPr>
      <w:r w:rsidRPr="004523AC">
        <w:rPr>
          <w:rStyle w:val="FootnoteReference"/>
          <w:sz w:val="18"/>
          <w:szCs w:val="18"/>
        </w:rPr>
        <w:footnoteRef/>
      </w:r>
      <w:r w:rsidRPr="004523AC">
        <w:rPr>
          <w:sz w:val="18"/>
          <w:szCs w:val="18"/>
        </w:rPr>
        <w:t xml:space="preserve"> </w:t>
      </w:r>
      <w:r w:rsidR="000650AA">
        <w:rPr>
          <w:sz w:val="18"/>
          <w:szCs w:val="18"/>
        </w:rPr>
        <w:t xml:space="preserve">Ai Group, </w:t>
      </w:r>
      <w:r w:rsidR="000650AA" w:rsidRPr="000650AA">
        <w:rPr>
          <w:i/>
          <w:iCs/>
          <w:sz w:val="18"/>
          <w:szCs w:val="18"/>
        </w:rPr>
        <w:t>Portable Long Service Leave Expansion: a proposal to establish long new service leave schemes in the ACT</w:t>
      </w:r>
      <w:r w:rsidR="000650AA">
        <w:rPr>
          <w:sz w:val="18"/>
          <w:szCs w:val="18"/>
        </w:rPr>
        <w:t>, 21 July 2022, p 5.</w:t>
      </w:r>
    </w:p>
  </w:footnote>
  <w:footnote w:id="6">
    <w:p w14:paraId="5CC54E3E" w14:textId="2376D8E1" w:rsidR="006B0055" w:rsidRPr="005874C6" w:rsidRDefault="006B0055">
      <w:pPr>
        <w:pStyle w:val="FootnoteText"/>
        <w:rPr>
          <w:sz w:val="18"/>
          <w:szCs w:val="18"/>
        </w:rPr>
      </w:pPr>
      <w:r w:rsidRPr="005874C6">
        <w:rPr>
          <w:rStyle w:val="FootnoteReference"/>
          <w:sz w:val="18"/>
          <w:szCs w:val="18"/>
        </w:rPr>
        <w:footnoteRef/>
      </w:r>
      <w:r w:rsidRPr="005874C6">
        <w:rPr>
          <w:sz w:val="18"/>
          <w:szCs w:val="18"/>
        </w:rPr>
        <w:t xml:space="preserve"> </w:t>
      </w:r>
      <w:r w:rsidR="00C53EF0" w:rsidRPr="005874C6">
        <w:rPr>
          <w:sz w:val="18"/>
          <w:szCs w:val="18"/>
        </w:rPr>
        <w:t xml:space="preserve">The Education and Employment References Committee, </w:t>
      </w:r>
      <w:r w:rsidR="00C53EF0" w:rsidRPr="005874C6">
        <w:rPr>
          <w:i/>
          <w:iCs/>
          <w:sz w:val="18"/>
          <w:szCs w:val="18"/>
        </w:rPr>
        <w:t>Feasibility of, and options for, creation a national long service standard</w:t>
      </w:r>
      <w:r w:rsidR="00C53EF0" w:rsidRPr="005874C6">
        <w:rPr>
          <w:sz w:val="18"/>
          <w:szCs w:val="18"/>
        </w:rPr>
        <w:t>, p</w:t>
      </w:r>
      <w:r w:rsidR="004A7AA4" w:rsidRPr="005874C6">
        <w:rPr>
          <w:sz w:val="18"/>
          <w:szCs w:val="18"/>
        </w:rPr>
        <w:t xml:space="preserve"> 2.</w:t>
      </w:r>
    </w:p>
  </w:footnote>
  <w:footnote w:id="7">
    <w:p w14:paraId="6B307139" w14:textId="66CF66AB" w:rsidR="00715E49" w:rsidRPr="000D53FE" w:rsidRDefault="00715E49">
      <w:pPr>
        <w:pStyle w:val="FootnoteText"/>
        <w:rPr>
          <w:sz w:val="18"/>
          <w:szCs w:val="18"/>
        </w:rPr>
      </w:pPr>
      <w:r w:rsidRPr="000D53FE">
        <w:rPr>
          <w:rStyle w:val="FootnoteReference"/>
          <w:sz w:val="18"/>
          <w:szCs w:val="18"/>
        </w:rPr>
        <w:footnoteRef/>
      </w:r>
      <w:r w:rsidRPr="000D53FE">
        <w:rPr>
          <w:sz w:val="18"/>
          <w:szCs w:val="18"/>
        </w:rPr>
        <w:t xml:space="preserve"> Council of Small Business Organsations Australia, Submission 10, p 1.</w:t>
      </w:r>
    </w:p>
  </w:footnote>
  <w:footnote w:id="8">
    <w:p w14:paraId="0C2A64E4" w14:textId="35664DA1" w:rsidR="00FD3C5E" w:rsidRPr="005874C6" w:rsidRDefault="00FD3C5E">
      <w:pPr>
        <w:pStyle w:val="FootnoteText"/>
        <w:rPr>
          <w:sz w:val="18"/>
          <w:szCs w:val="18"/>
        </w:rPr>
      </w:pPr>
      <w:r w:rsidRPr="005874C6">
        <w:rPr>
          <w:rStyle w:val="FootnoteReference"/>
          <w:sz w:val="18"/>
          <w:szCs w:val="18"/>
        </w:rPr>
        <w:footnoteRef/>
      </w:r>
      <w:r w:rsidRPr="005874C6">
        <w:rPr>
          <w:sz w:val="18"/>
          <w:szCs w:val="18"/>
        </w:rPr>
        <w:t xml:space="preserve"> </w:t>
      </w:r>
      <w:r w:rsidR="00C53EF0" w:rsidRPr="005874C6">
        <w:rPr>
          <w:sz w:val="18"/>
          <w:szCs w:val="18"/>
        </w:rPr>
        <w:t xml:space="preserve">The Education and Employment References Committee, </w:t>
      </w:r>
      <w:r w:rsidR="00C53EF0" w:rsidRPr="005874C6">
        <w:rPr>
          <w:i/>
          <w:iCs/>
          <w:sz w:val="18"/>
          <w:szCs w:val="18"/>
        </w:rPr>
        <w:t>Feasibility of, and options for, creation a national long service standard</w:t>
      </w:r>
      <w:r w:rsidR="004A7AA4" w:rsidRPr="005874C6">
        <w:rPr>
          <w:sz w:val="18"/>
          <w:szCs w:val="18"/>
        </w:rPr>
        <w:t>.</w:t>
      </w:r>
    </w:p>
  </w:footnote>
  <w:footnote w:id="9">
    <w:p w14:paraId="2ACF9BE8" w14:textId="367AF90C" w:rsidR="00E87C1A" w:rsidRPr="005874C6" w:rsidRDefault="00E87C1A">
      <w:pPr>
        <w:pStyle w:val="FootnoteText"/>
        <w:rPr>
          <w:sz w:val="18"/>
          <w:szCs w:val="18"/>
        </w:rPr>
      </w:pPr>
      <w:r w:rsidRPr="005874C6">
        <w:rPr>
          <w:rStyle w:val="FootnoteReference"/>
          <w:sz w:val="18"/>
          <w:szCs w:val="18"/>
        </w:rPr>
        <w:footnoteRef/>
      </w:r>
      <w:r w:rsidRPr="005874C6">
        <w:rPr>
          <w:sz w:val="18"/>
          <w:szCs w:val="18"/>
        </w:rPr>
        <w:t xml:space="preserve"> </w:t>
      </w:r>
      <w:r w:rsidR="005C51FA" w:rsidRPr="005874C6">
        <w:rPr>
          <w:sz w:val="18"/>
          <w:szCs w:val="18"/>
        </w:rPr>
        <w:t xml:space="preserve">Minister for Industrial Relations and Workplace Safety, </w:t>
      </w:r>
      <w:r w:rsidR="005C51FA" w:rsidRPr="005874C6">
        <w:rPr>
          <w:i/>
          <w:iCs/>
          <w:sz w:val="18"/>
          <w:szCs w:val="18"/>
        </w:rPr>
        <w:t>Long Service Leave (Portable Schemes) Amendment Bill 2022:, Explanatory Statement and Human Rights Compatibility Statement</w:t>
      </w:r>
      <w:r w:rsidR="005C51FA" w:rsidRPr="005874C6">
        <w:rPr>
          <w:sz w:val="18"/>
          <w:szCs w:val="18"/>
        </w:rPr>
        <w:t xml:space="preserve">, p </w:t>
      </w:r>
      <w:r w:rsidR="00292978" w:rsidRPr="005874C6">
        <w:rPr>
          <w:sz w:val="18"/>
          <w:szCs w:val="18"/>
        </w:rPr>
        <w:t>1.</w:t>
      </w:r>
    </w:p>
  </w:footnote>
  <w:footnote w:id="10">
    <w:p w14:paraId="0E2D6136" w14:textId="206B183B" w:rsidR="00E55525" w:rsidRPr="00C53EF0" w:rsidRDefault="00E55525">
      <w:pPr>
        <w:pStyle w:val="FootnoteText"/>
        <w:rPr>
          <w:sz w:val="18"/>
          <w:szCs w:val="18"/>
        </w:rPr>
      </w:pPr>
      <w:r w:rsidRPr="005874C6">
        <w:rPr>
          <w:rStyle w:val="FootnoteReference"/>
          <w:sz w:val="18"/>
          <w:szCs w:val="18"/>
        </w:rPr>
        <w:footnoteRef/>
      </w:r>
      <w:r w:rsidRPr="005874C6">
        <w:rPr>
          <w:sz w:val="18"/>
          <w:szCs w:val="18"/>
        </w:rPr>
        <w:t xml:space="preserve"> </w:t>
      </w:r>
      <w:r w:rsidR="0004497A" w:rsidRPr="005874C6">
        <w:rPr>
          <w:sz w:val="18"/>
          <w:szCs w:val="18"/>
        </w:rPr>
        <w:t xml:space="preserve">ACT Leave, </w:t>
      </w:r>
      <w:r w:rsidR="0004497A" w:rsidRPr="005874C6">
        <w:rPr>
          <w:i/>
          <w:iCs/>
          <w:sz w:val="18"/>
          <w:szCs w:val="18"/>
        </w:rPr>
        <w:t>About Us</w:t>
      </w:r>
      <w:r w:rsidR="0004497A" w:rsidRPr="005874C6">
        <w:rPr>
          <w:sz w:val="18"/>
          <w:szCs w:val="18"/>
        </w:rPr>
        <w:t xml:space="preserve">, </w:t>
      </w:r>
      <w:hyperlink r:id="rId3" w:history="1">
        <w:r w:rsidR="0004497A" w:rsidRPr="005874C6">
          <w:rPr>
            <w:rStyle w:val="Hyperlink"/>
            <w:sz w:val="18"/>
            <w:szCs w:val="18"/>
          </w:rPr>
          <w:t>https://actleave.act.gov.au/about-us/</w:t>
        </w:r>
      </w:hyperlink>
      <w:r w:rsidRPr="005874C6">
        <w:rPr>
          <w:sz w:val="18"/>
          <w:szCs w:val="18"/>
        </w:rPr>
        <w:t xml:space="preserve"> </w:t>
      </w:r>
      <w:r w:rsidR="0004497A" w:rsidRPr="005874C6">
        <w:rPr>
          <w:sz w:val="18"/>
          <w:szCs w:val="18"/>
        </w:rPr>
        <w:t>(accessed 17 January 2023).</w:t>
      </w:r>
    </w:p>
  </w:footnote>
  <w:footnote w:id="11">
    <w:p w14:paraId="6DDCA630" w14:textId="37E94416" w:rsidR="00E00CA1" w:rsidRPr="00E925C7" w:rsidRDefault="00E00CA1">
      <w:pPr>
        <w:pStyle w:val="FootnoteText"/>
        <w:rPr>
          <w:sz w:val="18"/>
          <w:szCs w:val="18"/>
        </w:rPr>
      </w:pPr>
      <w:r w:rsidRPr="00E925C7">
        <w:rPr>
          <w:rStyle w:val="FootnoteReference"/>
          <w:sz w:val="18"/>
          <w:szCs w:val="18"/>
        </w:rPr>
        <w:footnoteRef/>
      </w:r>
      <w:r w:rsidRPr="00E925C7">
        <w:rPr>
          <w:sz w:val="18"/>
          <w:szCs w:val="18"/>
        </w:rPr>
        <w:t xml:space="preserve"> </w:t>
      </w:r>
      <w:r w:rsidR="005874C6">
        <w:rPr>
          <w:sz w:val="18"/>
          <w:szCs w:val="18"/>
        </w:rPr>
        <w:t xml:space="preserve">ACT Labor and ACT Greens, </w:t>
      </w:r>
      <w:r w:rsidR="005874C6" w:rsidRPr="005874C6">
        <w:rPr>
          <w:i/>
          <w:iCs/>
          <w:sz w:val="18"/>
          <w:szCs w:val="18"/>
        </w:rPr>
        <w:t>Parliamentary &amp; Governing Agreement</w:t>
      </w:r>
      <w:r w:rsidR="005874C6">
        <w:rPr>
          <w:sz w:val="18"/>
          <w:szCs w:val="18"/>
        </w:rPr>
        <w:t xml:space="preserve">, </w:t>
      </w:r>
      <w:r w:rsidRPr="00E925C7">
        <w:rPr>
          <w:sz w:val="18"/>
          <w:szCs w:val="18"/>
        </w:rPr>
        <w:t>Appendix</w:t>
      </w:r>
      <w:r w:rsidR="005874C6">
        <w:rPr>
          <w:sz w:val="18"/>
          <w:szCs w:val="18"/>
        </w:rPr>
        <w:t xml:space="preserve"> 2</w:t>
      </w:r>
      <w:r w:rsidR="0020254F" w:rsidRPr="00E925C7">
        <w:rPr>
          <w:sz w:val="18"/>
          <w:szCs w:val="18"/>
        </w:rPr>
        <w:t>, p 13.</w:t>
      </w:r>
    </w:p>
  </w:footnote>
  <w:footnote w:id="12">
    <w:p w14:paraId="68E94361" w14:textId="1F32826B" w:rsidR="00627EA9" w:rsidRPr="00E925C7" w:rsidRDefault="00627EA9">
      <w:pPr>
        <w:pStyle w:val="FootnoteText"/>
        <w:rPr>
          <w:sz w:val="18"/>
          <w:szCs w:val="18"/>
        </w:rPr>
      </w:pPr>
      <w:r w:rsidRPr="00E925C7">
        <w:rPr>
          <w:rStyle w:val="FootnoteReference"/>
          <w:sz w:val="18"/>
          <w:szCs w:val="18"/>
        </w:rPr>
        <w:footnoteRef/>
      </w:r>
      <w:r w:rsidRPr="00E925C7">
        <w:rPr>
          <w:sz w:val="18"/>
          <w:szCs w:val="18"/>
        </w:rPr>
        <w:t xml:space="preserve"> </w:t>
      </w:r>
      <w:r w:rsidR="005874C6">
        <w:rPr>
          <w:sz w:val="18"/>
          <w:szCs w:val="18"/>
        </w:rPr>
        <w:t xml:space="preserve">ACT Government, </w:t>
      </w:r>
      <w:r w:rsidR="005874C6" w:rsidRPr="005874C6">
        <w:rPr>
          <w:i/>
          <w:iCs/>
          <w:sz w:val="18"/>
          <w:szCs w:val="18"/>
        </w:rPr>
        <w:t>Portable Long Service Leave Expansion: Consultation Paper: A proposal to establish new portable long service leave schemes in the ACT</w:t>
      </w:r>
      <w:r w:rsidR="005874C6">
        <w:rPr>
          <w:sz w:val="18"/>
          <w:szCs w:val="18"/>
        </w:rPr>
        <w:t>.</w:t>
      </w:r>
    </w:p>
  </w:footnote>
  <w:footnote w:id="13">
    <w:p w14:paraId="3621B65D" w14:textId="5078282C" w:rsidR="0054265F" w:rsidRPr="00714B99" w:rsidRDefault="0054265F">
      <w:pPr>
        <w:pStyle w:val="FootnoteText"/>
        <w:rPr>
          <w:sz w:val="18"/>
          <w:szCs w:val="18"/>
        </w:rPr>
      </w:pPr>
      <w:r w:rsidRPr="00E925C7">
        <w:rPr>
          <w:rStyle w:val="FootnoteReference"/>
          <w:sz w:val="18"/>
          <w:szCs w:val="18"/>
        </w:rPr>
        <w:footnoteRef/>
      </w:r>
      <w:r w:rsidRPr="00E925C7">
        <w:rPr>
          <w:sz w:val="18"/>
          <w:szCs w:val="18"/>
        </w:rPr>
        <w:t xml:space="preserve"> </w:t>
      </w:r>
      <w:r w:rsidR="00714B99">
        <w:rPr>
          <w:sz w:val="18"/>
          <w:szCs w:val="18"/>
        </w:rPr>
        <w:t xml:space="preserve">ACT Government, </w:t>
      </w:r>
      <w:r w:rsidR="00714B99">
        <w:rPr>
          <w:i/>
          <w:iCs/>
          <w:sz w:val="18"/>
          <w:szCs w:val="18"/>
        </w:rPr>
        <w:t>Expansion of portable long service leave in the ACT: Outcomes of public consultation</w:t>
      </w:r>
      <w:r w:rsidR="00714B99">
        <w:rPr>
          <w:sz w:val="18"/>
          <w:szCs w:val="18"/>
        </w:rPr>
        <w:t>.</w:t>
      </w:r>
    </w:p>
  </w:footnote>
  <w:footnote w:id="14">
    <w:p w14:paraId="2E048964" w14:textId="75A9D860" w:rsidR="005D1CEF" w:rsidRPr="00E925C7" w:rsidRDefault="005D1CEF">
      <w:pPr>
        <w:pStyle w:val="FootnoteText"/>
        <w:rPr>
          <w:sz w:val="18"/>
          <w:szCs w:val="18"/>
        </w:rPr>
      </w:pPr>
      <w:r w:rsidRPr="00E925C7">
        <w:rPr>
          <w:rStyle w:val="FootnoteReference"/>
          <w:sz w:val="18"/>
          <w:szCs w:val="18"/>
        </w:rPr>
        <w:footnoteRef/>
      </w:r>
      <w:r w:rsidRPr="00E925C7">
        <w:rPr>
          <w:sz w:val="18"/>
          <w:szCs w:val="18"/>
        </w:rPr>
        <w:t xml:space="preserve"> </w:t>
      </w:r>
      <w:r w:rsidR="00E925C7" w:rsidRPr="00E925C7">
        <w:rPr>
          <w:i/>
          <w:iCs/>
          <w:sz w:val="18"/>
          <w:szCs w:val="18"/>
        </w:rPr>
        <w:t>Long Service Leave (Portable Schemes) Amendment Bill 2022:, Explanatory Statement and Human Rights Compatibility Statement</w:t>
      </w:r>
      <w:r w:rsidR="00E925C7" w:rsidRPr="00E925C7">
        <w:rPr>
          <w:sz w:val="18"/>
          <w:szCs w:val="18"/>
        </w:rPr>
        <w:t xml:space="preserve">, p </w:t>
      </w:r>
      <w:r w:rsidRPr="00E925C7">
        <w:rPr>
          <w:sz w:val="18"/>
          <w:szCs w:val="18"/>
        </w:rPr>
        <w:t>1.</w:t>
      </w:r>
    </w:p>
  </w:footnote>
  <w:footnote w:id="15">
    <w:p w14:paraId="5599BD0B" w14:textId="76507F9A" w:rsidR="006B3549" w:rsidRPr="00E925C7" w:rsidRDefault="006B3549">
      <w:pPr>
        <w:pStyle w:val="FootnoteText"/>
        <w:rPr>
          <w:sz w:val="18"/>
          <w:szCs w:val="18"/>
        </w:rPr>
      </w:pPr>
      <w:r w:rsidRPr="00E925C7">
        <w:rPr>
          <w:rStyle w:val="FootnoteReference"/>
          <w:sz w:val="18"/>
          <w:szCs w:val="18"/>
        </w:rPr>
        <w:footnoteRef/>
      </w:r>
      <w:r w:rsidRPr="00E925C7">
        <w:rPr>
          <w:sz w:val="18"/>
          <w:szCs w:val="18"/>
        </w:rPr>
        <w:t xml:space="preserve"> </w:t>
      </w:r>
      <w:r w:rsidR="00E925C7" w:rsidRPr="00E925C7">
        <w:rPr>
          <w:i/>
          <w:iCs/>
          <w:sz w:val="18"/>
          <w:szCs w:val="18"/>
        </w:rPr>
        <w:t>Long Service Leave (Portable Schemes) Amendment Bill 2022:, Explanatory Statement and Human Rights Compatibility Statement</w:t>
      </w:r>
      <w:r w:rsidR="00E925C7" w:rsidRPr="00E925C7">
        <w:rPr>
          <w:sz w:val="18"/>
          <w:szCs w:val="18"/>
        </w:rPr>
        <w:t xml:space="preserve">, p </w:t>
      </w:r>
      <w:r w:rsidRPr="00E925C7">
        <w:rPr>
          <w:sz w:val="18"/>
          <w:szCs w:val="18"/>
        </w:rPr>
        <w:t>2.</w:t>
      </w:r>
    </w:p>
  </w:footnote>
  <w:footnote w:id="16">
    <w:p w14:paraId="4CD67581" w14:textId="79945227" w:rsidR="006C66B1" w:rsidRDefault="006C66B1" w:rsidP="006C66B1">
      <w:pPr>
        <w:pStyle w:val="FootnoteText"/>
      </w:pPr>
      <w:r w:rsidRPr="00E925C7">
        <w:rPr>
          <w:rStyle w:val="FootnoteReference"/>
          <w:sz w:val="18"/>
          <w:szCs w:val="18"/>
        </w:rPr>
        <w:footnoteRef/>
      </w:r>
      <w:r w:rsidRPr="00E925C7">
        <w:rPr>
          <w:sz w:val="18"/>
          <w:szCs w:val="18"/>
        </w:rPr>
        <w:t xml:space="preserve"> </w:t>
      </w:r>
      <w:r w:rsidR="00E925C7" w:rsidRPr="00E925C7">
        <w:rPr>
          <w:i/>
          <w:iCs/>
          <w:sz w:val="18"/>
          <w:szCs w:val="18"/>
        </w:rPr>
        <w:t>Long Service Leave (Portable Schemes) Amendment Bill 2022:, Explanatory Statement and Human Rights Compatibility Statement</w:t>
      </w:r>
      <w:r w:rsidR="00E925C7" w:rsidRPr="00E925C7">
        <w:rPr>
          <w:sz w:val="18"/>
          <w:szCs w:val="18"/>
        </w:rPr>
        <w:t xml:space="preserve">, p </w:t>
      </w:r>
      <w:r w:rsidRPr="00E925C7">
        <w:rPr>
          <w:sz w:val="18"/>
          <w:szCs w:val="18"/>
        </w:rPr>
        <w:t>2.</w:t>
      </w:r>
    </w:p>
  </w:footnote>
  <w:footnote w:id="17">
    <w:p w14:paraId="12203E02" w14:textId="18F37E70" w:rsidR="0004418D" w:rsidRPr="00E925C7" w:rsidRDefault="0004418D">
      <w:pPr>
        <w:pStyle w:val="FootnoteText"/>
        <w:rPr>
          <w:sz w:val="18"/>
          <w:szCs w:val="18"/>
        </w:rPr>
      </w:pPr>
      <w:r w:rsidRPr="00E925C7">
        <w:rPr>
          <w:rStyle w:val="FootnoteReference"/>
          <w:sz w:val="18"/>
          <w:szCs w:val="18"/>
        </w:rPr>
        <w:footnoteRef/>
      </w:r>
      <w:r w:rsidRPr="00E925C7">
        <w:rPr>
          <w:sz w:val="18"/>
          <w:szCs w:val="18"/>
        </w:rPr>
        <w:t xml:space="preserve"> </w:t>
      </w:r>
      <w:r w:rsidR="005874C6">
        <w:rPr>
          <w:sz w:val="18"/>
          <w:szCs w:val="18"/>
        </w:rPr>
        <w:t xml:space="preserve">ACT Government, </w:t>
      </w:r>
      <w:r w:rsidR="005874C6" w:rsidRPr="005874C6">
        <w:rPr>
          <w:i/>
          <w:iCs/>
          <w:sz w:val="18"/>
          <w:szCs w:val="18"/>
        </w:rPr>
        <w:t>Portable Long Service Leave Expansion: Consultation Paper</w:t>
      </w:r>
      <w:r w:rsidR="005874C6">
        <w:rPr>
          <w:sz w:val="18"/>
          <w:szCs w:val="18"/>
        </w:rPr>
        <w:t xml:space="preserve">, </w:t>
      </w:r>
      <w:r w:rsidRPr="00E925C7">
        <w:rPr>
          <w:sz w:val="18"/>
          <w:szCs w:val="18"/>
        </w:rPr>
        <w:t>p 5</w:t>
      </w:r>
      <w:r w:rsidR="005874C6">
        <w:rPr>
          <w:sz w:val="18"/>
          <w:szCs w:val="18"/>
        </w:rPr>
        <w:t>.</w:t>
      </w:r>
      <w:r w:rsidRPr="00E925C7">
        <w:rPr>
          <w:sz w:val="18"/>
          <w:szCs w:val="18"/>
        </w:rPr>
        <w:t xml:space="preserve"> ACTCOSS</w:t>
      </w:r>
      <w:r w:rsidR="005874C6">
        <w:rPr>
          <w:sz w:val="18"/>
          <w:szCs w:val="18"/>
        </w:rPr>
        <w:t xml:space="preserve">, </w:t>
      </w:r>
      <w:r w:rsidR="005874C6" w:rsidRPr="005874C6">
        <w:rPr>
          <w:i/>
          <w:iCs/>
          <w:sz w:val="18"/>
          <w:szCs w:val="18"/>
        </w:rPr>
        <w:t>Submission</w:t>
      </w:r>
      <w:r w:rsidRPr="005874C6">
        <w:rPr>
          <w:i/>
          <w:iCs/>
          <w:sz w:val="18"/>
          <w:szCs w:val="18"/>
        </w:rPr>
        <w:t xml:space="preserve"> 2</w:t>
      </w:r>
      <w:r w:rsidR="005874C6">
        <w:rPr>
          <w:sz w:val="18"/>
          <w:szCs w:val="18"/>
        </w:rPr>
        <w:t>,</w:t>
      </w:r>
      <w:r w:rsidRPr="00E925C7">
        <w:rPr>
          <w:sz w:val="18"/>
          <w:szCs w:val="18"/>
        </w:rPr>
        <w:t xml:space="preserve"> p 1.</w:t>
      </w:r>
    </w:p>
  </w:footnote>
  <w:footnote w:id="18">
    <w:p w14:paraId="19D31B86" w14:textId="2793B0F7" w:rsidR="00140167" w:rsidRPr="00E925C7" w:rsidRDefault="00140167">
      <w:pPr>
        <w:pStyle w:val="FootnoteText"/>
        <w:rPr>
          <w:sz w:val="18"/>
          <w:szCs w:val="18"/>
        </w:rPr>
      </w:pPr>
      <w:r w:rsidRPr="00E925C7">
        <w:rPr>
          <w:rStyle w:val="FootnoteReference"/>
          <w:sz w:val="18"/>
          <w:szCs w:val="18"/>
        </w:rPr>
        <w:footnoteRef/>
      </w:r>
      <w:r w:rsidRPr="00E925C7">
        <w:rPr>
          <w:sz w:val="18"/>
          <w:szCs w:val="18"/>
        </w:rPr>
        <w:t xml:space="preserve"> </w:t>
      </w:r>
      <w:r w:rsidR="006621D5">
        <w:rPr>
          <w:sz w:val="18"/>
          <w:szCs w:val="18"/>
        </w:rPr>
        <w:t xml:space="preserve">ACT Government, </w:t>
      </w:r>
      <w:r w:rsidR="006621D5">
        <w:rPr>
          <w:i/>
          <w:iCs/>
          <w:sz w:val="18"/>
          <w:szCs w:val="18"/>
        </w:rPr>
        <w:t>Expansion of portable long service leave in the ACT: Outcomes of public consultation</w:t>
      </w:r>
      <w:r w:rsidR="006621D5">
        <w:rPr>
          <w:sz w:val="18"/>
          <w:szCs w:val="18"/>
        </w:rPr>
        <w:t xml:space="preserve">, </w:t>
      </w:r>
      <w:r w:rsidRPr="00E925C7">
        <w:rPr>
          <w:sz w:val="18"/>
          <w:szCs w:val="18"/>
        </w:rPr>
        <w:t>p 2</w:t>
      </w:r>
      <w:r w:rsidR="006621D5">
        <w:rPr>
          <w:sz w:val="18"/>
          <w:szCs w:val="18"/>
        </w:rPr>
        <w:t>.</w:t>
      </w:r>
    </w:p>
  </w:footnote>
  <w:footnote w:id="19">
    <w:p w14:paraId="2D2898E9" w14:textId="32516416" w:rsidR="004F5224" w:rsidRPr="00E925C7" w:rsidRDefault="004F5224">
      <w:pPr>
        <w:pStyle w:val="FootnoteText"/>
        <w:rPr>
          <w:sz w:val="18"/>
          <w:szCs w:val="18"/>
        </w:rPr>
      </w:pPr>
      <w:r w:rsidRPr="00E925C7">
        <w:rPr>
          <w:rStyle w:val="FootnoteReference"/>
          <w:sz w:val="18"/>
          <w:szCs w:val="18"/>
        </w:rPr>
        <w:footnoteRef/>
      </w:r>
      <w:r w:rsidRPr="00E925C7">
        <w:rPr>
          <w:sz w:val="18"/>
          <w:szCs w:val="18"/>
        </w:rPr>
        <w:t xml:space="preserve"> </w:t>
      </w:r>
      <w:r w:rsidR="003F283F">
        <w:rPr>
          <w:sz w:val="18"/>
          <w:szCs w:val="18"/>
        </w:rPr>
        <w:t xml:space="preserve">ACT Government, </w:t>
      </w:r>
      <w:r w:rsidR="003F283F" w:rsidRPr="005874C6">
        <w:rPr>
          <w:i/>
          <w:iCs/>
          <w:sz w:val="18"/>
          <w:szCs w:val="18"/>
        </w:rPr>
        <w:t>Portable Long Service Leave Expansion: Consultation Paper</w:t>
      </w:r>
      <w:r w:rsidR="003F283F">
        <w:rPr>
          <w:sz w:val="18"/>
          <w:szCs w:val="18"/>
        </w:rPr>
        <w:t>,</w:t>
      </w:r>
      <w:r w:rsidR="003F283F" w:rsidRPr="00E925C7">
        <w:rPr>
          <w:sz w:val="18"/>
          <w:szCs w:val="18"/>
        </w:rPr>
        <w:t xml:space="preserve"> </w:t>
      </w:r>
      <w:r w:rsidRPr="00E925C7">
        <w:rPr>
          <w:sz w:val="18"/>
          <w:szCs w:val="18"/>
        </w:rPr>
        <w:t>p 5.</w:t>
      </w:r>
    </w:p>
  </w:footnote>
  <w:footnote w:id="20">
    <w:p w14:paraId="458C819C" w14:textId="73DC295B" w:rsidR="0081693A" w:rsidRPr="00E925C7" w:rsidRDefault="0081693A">
      <w:pPr>
        <w:pStyle w:val="FootnoteText"/>
        <w:rPr>
          <w:sz w:val="18"/>
          <w:szCs w:val="18"/>
        </w:rPr>
      </w:pPr>
      <w:r w:rsidRPr="00E925C7">
        <w:rPr>
          <w:rStyle w:val="FootnoteReference"/>
          <w:sz w:val="18"/>
          <w:szCs w:val="18"/>
        </w:rPr>
        <w:footnoteRef/>
      </w:r>
      <w:r w:rsidRPr="00E925C7">
        <w:rPr>
          <w:sz w:val="18"/>
          <w:szCs w:val="18"/>
        </w:rPr>
        <w:t xml:space="preserve"> </w:t>
      </w:r>
      <w:r w:rsidR="00E925C7" w:rsidRPr="00E925C7">
        <w:rPr>
          <w:i/>
          <w:iCs/>
          <w:sz w:val="18"/>
          <w:szCs w:val="18"/>
        </w:rPr>
        <w:t>Long Service Leave (Portable Schemes) Amendment Bill 2022:, Explanatory Statement and Human Rights Compatibility Statement</w:t>
      </w:r>
      <w:r w:rsidR="00E925C7" w:rsidRPr="00E925C7">
        <w:rPr>
          <w:sz w:val="18"/>
          <w:szCs w:val="18"/>
        </w:rPr>
        <w:t xml:space="preserve">, p </w:t>
      </w:r>
      <w:r w:rsidRPr="00E925C7">
        <w:rPr>
          <w:sz w:val="18"/>
          <w:szCs w:val="18"/>
        </w:rPr>
        <w:t>3.</w:t>
      </w:r>
    </w:p>
  </w:footnote>
  <w:footnote w:id="21">
    <w:p w14:paraId="3D19378E" w14:textId="080EEEDD" w:rsidR="00581288" w:rsidRPr="00E925C7" w:rsidRDefault="00581288">
      <w:pPr>
        <w:pStyle w:val="FootnoteText"/>
        <w:rPr>
          <w:sz w:val="18"/>
          <w:szCs w:val="18"/>
        </w:rPr>
      </w:pPr>
      <w:r w:rsidRPr="00E925C7">
        <w:rPr>
          <w:rStyle w:val="FootnoteReference"/>
          <w:sz w:val="18"/>
          <w:szCs w:val="18"/>
        </w:rPr>
        <w:footnoteRef/>
      </w:r>
      <w:r w:rsidRPr="00E925C7">
        <w:rPr>
          <w:sz w:val="18"/>
          <w:szCs w:val="18"/>
        </w:rPr>
        <w:t xml:space="preserve"> </w:t>
      </w:r>
      <w:r w:rsidR="00E925C7" w:rsidRPr="00E925C7">
        <w:rPr>
          <w:i/>
          <w:iCs/>
          <w:sz w:val="18"/>
          <w:szCs w:val="18"/>
        </w:rPr>
        <w:t>Long Service Leave (Portable Schemes) Amendment Bill 2022:, Explanatory Statement and Human Rights Compatibility Statement</w:t>
      </w:r>
      <w:r w:rsidR="00E925C7" w:rsidRPr="00E925C7">
        <w:rPr>
          <w:sz w:val="18"/>
          <w:szCs w:val="18"/>
        </w:rPr>
        <w:t xml:space="preserve">, p </w:t>
      </w:r>
      <w:r w:rsidRPr="00E925C7">
        <w:rPr>
          <w:sz w:val="18"/>
          <w:szCs w:val="18"/>
        </w:rPr>
        <w:t>3-4.</w:t>
      </w:r>
    </w:p>
  </w:footnote>
  <w:footnote w:id="22">
    <w:p w14:paraId="3814C8F9" w14:textId="7D6E16E5" w:rsidR="00581288" w:rsidRPr="00E925C7" w:rsidRDefault="00581288">
      <w:pPr>
        <w:pStyle w:val="FootnoteText"/>
        <w:rPr>
          <w:sz w:val="18"/>
          <w:szCs w:val="18"/>
        </w:rPr>
      </w:pPr>
      <w:r w:rsidRPr="00E925C7">
        <w:rPr>
          <w:rStyle w:val="FootnoteReference"/>
          <w:sz w:val="18"/>
          <w:szCs w:val="18"/>
        </w:rPr>
        <w:footnoteRef/>
      </w:r>
      <w:r w:rsidRPr="00E925C7">
        <w:rPr>
          <w:sz w:val="18"/>
          <w:szCs w:val="18"/>
        </w:rPr>
        <w:t xml:space="preserve"> </w:t>
      </w:r>
      <w:r w:rsidR="003F283F">
        <w:rPr>
          <w:sz w:val="18"/>
          <w:szCs w:val="18"/>
        </w:rPr>
        <w:t xml:space="preserve">ACT Government, </w:t>
      </w:r>
      <w:r w:rsidR="003F283F" w:rsidRPr="005874C6">
        <w:rPr>
          <w:i/>
          <w:iCs/>
          <w:sz w:val="18"/>
          <w:szCs w:val="18"/>
        </w:rPr>
        <w:t>Portable Long Service Leave Expansion: Consultation Paper</w:t>
      </w:r>
      <w:r w:rsidR="003F283F">
        <w:rPr>
          <w:sz w:val="18"/>
          <w:szCs w:val="18"/>
        </w:rPr>
        <w:t>,</w:t>
      </w:r>
      <w:r w:rsidR="003F283F" w:rsidRPr="00E925C7">
        <w:rPr>
          <w:sz w:val="18"/>
          <w:szCs w:val="18"/>
        </w:rPr>
        <w:t xml:space="preserve"> p </w:t>
      </w:r>
      <w:r w:rsidRPr="00E925C7">
        <w:rPr>
          <w:sz w:val="18"/>
          <w:szCs w:val="18"/>
        </w:rPr>
        <w:t>4.</w:t>
      </w:r>
    </w:p>
  </w:footnote>
  <w:footnote w:id="23">
    <w:p w14:paraId="3A30C979" w14:textId="2AC8A708" w:rsidR="00AB25D9" w:rsidRPr="00E925C7" w:rsidRDefault="00AB25D9" w:rsidP="00AB25D9">
      <w:pPr>
        <w:pStyle w:val="FootnoteText"/>
        <w:rPr>
          <w:sz w:val="18"/>
          <w:szCs w:val="18"/>
        </w:rPr>
      </w:pPr>
      <w:r w:rsidRPr="00E925C7">
        <w:rPr>
          <w:rStyle w:val="FootnoteReference"/>
          <w:sz w:val="18"/>
          <w:szCs w:val="18"/>
        </w:rPr>
        <w:footnoteRef/>
      </w:r>
      <w:r w:rsidRPr="00E925C7">
        <w:rPr>
          <w:sz w:val="18"/>
          <w:szCs w:val="18"/>
        </w:rPr>
        <w:t xml:space="preserve"> </w:t>
      </w:r>
      <w:r w:rsidR="002B6FC5" w:rsidRPr="00E925C7">
        <w:rPr>
          <w:sz w:val="18"/>
          <w:szCs w:val="18"/>
        </w:rPr>
        <w:t xml:space="preserve">The Education and Employment References Committee, </w:t>
      </w:r>
      <w:r w:rsidR="002B6FC5" w:rsidRPr="00E925C7">
        <w:rPr>
          <w:i/>
          <w:iCs/>
          <w:sz w:val="18"/>
          <w:szCs w:val="18"/>
        </w:rPr>
        <w:t>Feasibility of, and options for, creation a national long service standard</w:t>
      </w:r>
      <w:r w:rsidR="002B6FC5" w:rsidRPr="00E925C7">
        <w:rPr>
          <w:sz w:val="18"/>
          <w:szCs w:val="18"/>
        </w:rPr>
        <w:t xml:space="preserve">, p </w:t>
      </w:r>
      <w:r w:rsidRPr="00E925C7">
        <w:rPr>
          <w:sz w:val="18"/>
          <w:szCs w:val="18"/>
        </w:rPr>
        <w:t>26.</w:t>
      </w:r>
    </w:p>
  </w:footnote>
  <w:footnote w:id="24">
    <w:p w14:paraId="39ADE6ED" w14:textId="32FF1597" w:rsidR="00B97A4E" w:rsidRPr="000D53FE" w:rsidRDefault="00B97A4E">
      <w:pPr>
        <w:pStyle w:val="FootnoteText"/>
        <w:rPr>
          <w:sz w:val="18"/>
          <w:szCs w:val="18"/>
        </w:rPr>
      </w:pPr>
      <w:r w:rsidRPr="000D53FE">
        <w:rPr>
          <w:rStyle w:val="FootnoteReference"/>
          <w:sz w:val="18"/>
          <w:szCs w:val="18"/>
        </w:rPr>
        <w:footnoteRef/>
      </w:r>
      <w:r w:rsidRPr="000D53FE">
        <w:rPr>
          <w:sz w:val="18"/>
          <w:szCs w:val="18"/>
        </w:rPr>
        <w:t xml:space="preserve"> Minister Gentleman, </w:t>
      </w:r>
      <w:r w:rsidRPr="000D53FE">
        <w:rPr>
          <w:i/>
          <w:iCs/>
          <w:sz w:val="18"/>
          <w:szCs w:val="18"/>
        </w:rPr>
        <w:t>Submission 7</w:t>
      </w:r>
      <w:r w:rsidRPr="000D53FE">
        <w:rPr>
          <w:sz w:val="18"/>
          <w:szCs w:val="18"/>
        </w:rPr>
        <w:t>, p 3.</w:t>
      </w:r>
    </w:p>
  </w:footnote>
  <w:footnote w:id="25">
    <w:p w14:paraId="31226255" w14:textId="5D4C2A95" w:rsidR="006D2982" w:rsidRPr="002B6FC5" w:rsidRDefault="006D2982">
      <w:pPr>
        <w:pStyle w:val="FootnoteText"/>
        <w:rPr>
          <w:sz w:val="18"/>
          <w:szCs w:val="18"/>
        </w:rPr>
      </w:pPr>
      <w:r w:rsidRPr="00E925C7">
        <w:rPr>
          <w:rStyle w:val="FootnoteReference"/>
          <w:sz w:val="18"/>
          <w:szCs w:val="18"/>
        </w:rPr>
        <w:footnoteRef/>
      </w:r>
      <w:r w:rsidRPr="00E925C7">
        <w:rPr>
          <w:sz w:val="18"/>
          <w:szCs w:val="18"/>
        </w:rPr>
        <w:t xml:space="preserve"> </w:t>
      </w:r>
      <w:r w:rsidR="003F283F">
        <w:rPr>
          <w:sz w:val="18"/>
          <w:szCs w:val="18"/>
        </w:rPr>
        <w:t xml:space="preserve">ACT Government, </w:t>
      </w:r>
      <w:r w:rsidR="003F283F" w:rsidRPr="005874C6">
        <w:rPr>
          <w:i/>
          <w:iCs/>
          <w:sz w:val="18"/>
          <w:szCs w:val="18"/>
        </w:rPr>
        <w:t>Portable Long Service Leave Expansion: Consultation Paper</w:t>
      </w:r>
      <w:r w:rsidR="003F283F">
        <w:rPr>
          <w:sz w:val="18"/>
          <w:szCs w:val="18"/>
        </w:rPr>
        <w:t>,</w:t>
      </w:r>
      <w:r w:rsidR="003F283F" w:rsidRPr="00E925C7">
        <w:rPr>
          <w:sz w:val="18"/>
          <w:szCs w:val="18"/>
        </w:rPr>
        <w:t xml:space="preserve"> p </w:t>
      </w:r>
      <w:r w:rsidRPr="00E925C7">
        <w:rPr>
          <w:sz w:val="18"/>
          <w:szCs w:val="18"/>
        </w:rPr>
        <w:t>4.</w:t>
      </w:r>
    </w:p>
  </w:footnote>
  <w:footnote w:id="26">
    <w:p w14:paraId="09400B41" w14:textId="4EAE1CCB" w:rsidR="00F41AD0" w:rsidRPr="00E925C7" w:rsidRDefault="00F41AD0">
      <w:pPr>
        <w:pStyle w:val="FootnoteText"/>
        <w:rPr>
          <w:sz w:val="18"/>
          <w:szCs w:val="18"/>
        </w:rPr>
      </w:pPr>
      <w:r w:rsidRPr="00E925C7">
        <w:rPr>
          <w:rStyle w:val="FootnoteReference"/>
          <w:sz w:val="18"/>
          <w:szCs w:val="18"/>
        </w:rPr>
        <w:footnoteRef/>
      </w:r>
      <w:r w:rsidRPr="00E925C7">
        <w:rPr>
          <w:sz w:val="18"/>
          <w:szCs w:val="18"/>
        </w:rPr>
        <w:t xml:space="preserve"> </w:t>
      </w:r>
      <w:r w:rsidR="003F283F">
        <w:rPr>
          <w:sz w:val="18"/>
          <w:szCs w:val="18"/>
        </w:rPr>
        <w:t xml:space="preserve">ACT Government, </w:t>
      </w:r>
      <w:r w:rsidR="003F283F" w:rsidRPr="005874C6">
        <w:rPr>
          <w:i/>
          <w:iCs/>
          <w:sz w:val="18"/>
          <w:szCs w:val="18"/>
        </w:rPr>
        <w:t>Portable Long Service Leave Expansion: Consultation Paper</w:t>
      </w:r>
      <w:r w:rsidR="003F283F">
        <w:rPr>
          <w:sz w:val="18"/>
          <w:szCs w:val="18"/>
        </w:rPr>
        <w:t>,</w:t>
      </w:r>
      <w:r w:rsidR="003F283F" w:rsidRPr="00E925C7">
        <w:rPr>
          <w:sz w:val="18"/>
          <w:szCs w:val="18"/>
        </w:rPr>
        <w:t xml:space="preserve"> p </w:t>
      </w:r>
      <w:r w:rsidRPr="00E925C7">
        <w:rPr>
          <w:sz w:val="18"/>
          <w:szCs w:val="18"/>
        </w:rPr>
        <w:t>5</w:t>
      </w:r>
    </w:p>
  </w:footnote>
  <w:footnote w:id="27">
    <w:p w14:paraId="2DC0C1F4" w14:textId="782981B3" w:rsidR="00D466D7" w:rsidRPr="00E925C7" w:rsidRDefault="00D466D7">
      <w:pPr>
        <w:pStyle w:val="FootnoteText"/>
        <w:rPr>
          <w:sz w:val="18"/>
          <w:szCs w:val="18"/>
        </w:rPr>
      </w:pPr>
      <w:r w:rsidRPr="00E925C7">
        <w:rPr>
          <w:rStyle w:val="FootnoteReference"/>
          <w:sz w:val="18"/>
          <w:szCs w:val="18"/>
        </w:rPr>
        <w:footnoteRef/>
      </w:r>
      <w:r w:rsidRPr="00E925C7">
        <w:rPr>
          <w:sz w:val="18"/>
          <w:szCs w:val="18"/>
        </w:rPr>
        <w:t xml:space="preserve"> </w:t>
      </w:r>
      <w:r w:rsidR="003F283F">
        <w:rPr>
          <w:sz w:val="18"/>
          <w:szCs w:val="18"/>
        </w:rPr>
        <w:t xml:space="preserve">ACT Government, </w:t>
      </w:r>
      <w:r w:rsidR="003F283F" w:rsidRPr="005874C6">
        <w:rPr>
          <w:i/>
          <w:iCs/>
          <w:sz w:val="18"/>
          <w:szCs w:val="18"/>
        </w:rPr>
        <w:t>Portable Long Service Leave Expansion: Consultation Paper</w:t>
      </w:r>
      <w:r w:rsidR="003F283F">
        <w:rPr>
          <w:sz w:val="18"/>
          <w:szCs w:val="18"/>
        </w:rPr>
        <w:t>,</w:t>
      </w:r>
      <w:r w:rsidR="003F283F" w:rsidRPr="00E925C7">
        <w:rPr>
          <w:sz w:val="18"/>
          <w:szCs w:val="18"/>
        </w:rPr>
        <w:t xml:space="preserve"> p </w:t>
      </w:r>
      <w:r w:rsidRPr="00E925C7">
        <w:rPr>
          <w:sz w:val="18"/>
          <w:szCs w:val="18"/>
        </w:rPr>
        <w:t>5.</w:t>
      </w:r>
    </w:p>
  </w:footnote>
  <w:footnote w:id="28">
    <w:p w14:paraId="078BFC03" w14:textId="7586870D" w:rsidR="0085585C" w:rsidRPr="00E925C7" w:rsidRDefault="0085585C" w:rsidP="0085585C">
      <w:pPr>
        <w:pStyle w:val="FootnoteText"/>
        <w:rPr>
          <w:sz w:val="18"/>
          <w:szCs w:val="18"/>
        </w:rPr>
      </w:pPr>
      <w:r w:rsidRPr="00E925C7">
        <w:rPr>
          <w:rStyle w:val="FootnoteReference"/>
          <w:sz w:val="18"/>
          <w:szCs w:val="18"/>
        </w:rPr>
        <w:footnoteRef/>
      </w:r>
      <w:r w:rsidRPr="00E925C7">
        <w:rPr>
          <w:sz w:val="18"/>
          <w:szCs w:val="18"/>
        </w:rPr>
        <w:t xml:space="preserve"> </w:t>
      </w:r>
      <w:r w:rsidR="00EF5AB7">
        <w:rPr>
          <w:sz w:val="18"/>
          <w:szCs w:val="18"/>
        </w:rPr>
        <w:t xml:space="preserve">Ms Emmalene Maher, Managing Director, Eden Hair, </w:t>
      </w:r>
      <w:r w:rsidRPr="00EF5AB7">
        <w:rPr>
          <w:i/>
          <w:iCs/>
          <w:sz w:val="18"/>
          <w:szCs w:val="18"/>
        </w:rPr>
        <w:t>Submission 1</w:t>
      </w:r>
      <w:r w:rsidRPr="00E925C7">
        <w:rPr>
          <w:sz w:val="18"/>
          <w:szCs w:val="18"/>
        </w:rPr>
        <w:t>, p 2.</w:t>
      </w:r>
    </w:p>
  </w:footnote>
  <w:footnote w:id="29">
    <w:p w14:paraId="587AC497" w14:textId="3D4ABD6E" w:rsidR="008737A3" w:rsidRDefault="008737A3">
      <w:pPr>
        <w:pStyle w:val="FootnoteText"/>
      </w:pPr>
      <w:r w:rsidRPr="00E925C7">
        <w:rPr>
          <w:rStyle w:val="FootnoteReference"/>
          <w:sz w:val="18"/>
          <w:szCs w:val="18"/>
        </w:rPr>
        <w:footnoteRef/>
      </w:r>
      <w:r w:rsidRPr="00E925C7">
        <w:rPr>
          <w:sz w:val="18"/>
          <w:szCs w:val="18"/>
        </w:rPr>
        <w:t xml:space="preserve"> </w:t>
      </w:r>
      <w:r w:rsidR="006621D5">
        <w:rPr>
          <w:sz w:val="18"/>
          <w:szCs w:val="18"/>
        </w:rPr>
        <w:t xml:space="preserve">ACT Government, </w:t>
      </w:r>
      <w:r w:rsidR="006621D5">
        <w:rPr>
          <w:i/>
          <w:iCs/>
          <w:sz w:val="18"/>
          <w:szCs w:val="18"/>
        </w:rPr>
        <w:t>Expansion of portable long service leave in the ACT: Outcomes of public consultation</w:t>
      </w:r>
      <w:r w:rsidR="006621D5">
        <w:rPr>
          <w:sz w:val="18"/>
          <w:szCs w:val="18"/>
        </w:rPr>
        <w:t xml:space="preserve">, </w:t>
      </w:r>
      <w:r w:rsidR="006621D5" w:rsidRPr="00E925C7">
        <w:rPr>
          <w:sz w:val="18"/>
          <w:szCs w:val="18"/>
        </w:rPr>
        <w:t xml:space="preserve">p </w:t>
      </w:r>
      <w:r w:rsidRPr="00E925C7">
        <w:rPr>
          <w:sz w:val="18"/>
          <w:szCs w:val="18"/>
        </w:rPr>
        <w:t>3.</w:t>
      </w:r>
    </w:p>
  </w:footnote>
  <w:footnote w:id="30">
    <w:p w14:paraId="065ADE30" w14:textId="0D7E2A32" w:rsidR="00F307E3" w:rsidRPr="00E925C7" w:rsidRDefault="00F307E3">
      <w:pPr>
        <w:pStyle w:val="FootnoteText"/>
        <w:rPr>
          <w:sz w:val="18"/>
          <w:szCs w:val="18"/>
        </w:rPr>
      </w:pPr>
      <w:r w:rsidRPr="00E925C7">
        <w:rPr>
          <w:rStyle w:val="FootnoteReference"/>
          <w:sz w:val="18"/>
          <w:szCs w:val="18"/>
        </w:rPr>
        <w:footnoteRef/>
      </w:r>
      <w:r w:rsidRPr="00E925C7">
        <w:rPr>
          <w:sz w:val="18"/>
          <w:szCs w:val="18"/>
        </w:rPr>
        <w:t xml:space="preserve"> </w:t>
      </w:r>
      <w:r w:rsidR="006621D5">
        <w:rPr>
          <w:sz w:val="18"/>
          <w:szCs w:val="18"/>
        </w:rPr>
        <w:t xml:space="preserve">ACT Government, </w:t>
      </w:r>
      <w:r w:rsidR="006621D5">
        <w:rPr>
          <w:i/>
          <w:iCs/>
          <w:sz w:val="18"/>
          <w:szCs w:val="18"/>
        </w:rPr>
        <w:t>Expansion of portable long service leave in the ACT: Outcomes of public consultation</w:t>
      </w:r>
      <w:r w:rsidR="006621D5">
        <w:rPr>
          <w:sz w:val="18"/>
          <w:szCs w:val="18"/>
        </w:rPr>
        <w:t xml:space="preserve">, </w:t>
      </w:r>
      <w:r w:rsidR="006621D5" w:rsidRPr="00E925C7">
        <w:rPr>
          <w:sz w:val="18"/>
          <w:szCs w:val="18"/>
        </w:rPr>
        <w:t xml:space="preserve">p </w:t>
      </w:r>
      <w:r w:rsidRPr="00E925C7">
        <w:rPr>
          <w:sz w:val="18"/>
          <w:szCs w:val="18"/>
        </w:rPr>
        <w:t>3.</w:t>
      </w:r>
      <w:r w:rsidR="00A0656E">
        <w:rPr>
          <w:sz w:val="18"/>
          <w:szCs w:val="18"/>
        </w:rPr>
        <w:t xml:space="preserve"> Council of Small Business Organisations Australia, </w:t>
      </w:r>
      <w:r w:rsidR="00A0656E" w:rsidRPr="00E03A30">
        <w:rPr>
          <w:i/>
          <w:iCs/>
          <w:sz w:val="18"/>
          <w:szCs w:val="18"/>
        </w:rPr>
        <w:t>Submission 10</w:t>
      </w:r>
      <w:r w:rsidR="00A0656E">
        <w:rPr>
          <w:sz w:val="18"/>
          <w:szCs w:val="18"/>
        </w:rPr>
        <w:t>, p 2.</w:t>
      </w:r>
    </w:p>
  </w:footnote>
  <w:footnote w:id="31">
    <w:p w14:paraId="73E7A1D0" w14:textId="31CEC542" w:rsidR="00B22554" w:rsidRPr="00E925C7" w:rsidRDefault="00B22554">
      <w:pPr>
        <w:pStyle w:val="FootnoteText"/>
        <w:rPr>
          <w:sz w:val="18"/>
          <w:szCs w:val="18"/>
        </w:rPr>
      </w:pPr>
      <w:r w:rsidRPr="00E925C7">
        <w:rPr>
          <w:rStyle w:val="FootnoteReference"/>
          <w:sz w:val="18"/>
          <w:szCs w:val="18"/>
        </w:rPr>
        <w:footnoteRef/>
      </w:r>
      <w:r w:rsidRPr="00E925C7">
        <w:rPr>
          <w:sz w:val="18"/>
          <w:szCs w:val="18"/>
        </w:rPr>
        <w:t xml:space="preserve"> </w:t>
      </w:r>
      <w:r w:rsidR="00BE3689" w:rsidRPr="00E925C7">
        <w:rPr>
          <w:sz w:val="18"/>
          <w:szCs w:val="18"/>
        </w:rPr>
        <w:t xml:space="preserve">Ai Group, </w:t>
      </w:r>
      <w:r w:rsidR="00BE3689" w:rsidRPr="00E925C7">
        <w:rPr>
          <w:i/>
          <w:iCs/>
          <w:sz w:val="18"/>
          <w:szCs w:val="18"/>
        </w:rPr>
        <w:t>Portable Long Service Leave Expansion</w:t>
      </w:r>
      <w:r w:rsidR="00BE3689" w:rsidRPr="00E925C7">
        <w:rPr>
          <w:sz w:val="18"/>
          <w:szCs w:val="18"/>
        </w:rPr>
        <w:t xml:space="preserve">, p </w:t>
      </w:r>
      <w:r w:rsidRPr="00E925C7">
        <w:rPr>
          <w:sz w:val="18"/>
          <w:szCs w:val="18"/>
        </w:rPr>
        <w:t>3.</w:t>
      </w:r>
    </w:p>
  </w:footnote>
  <w:footnote w:id="32">
    <w:p w14:paraId="3DB993A9" w14:textId="7386A027" w:rsidR="00614A5D" w:rsidRPr="00614A5D" w:rsidRDefault="00614A5D">
      <w:pPr>
        <w:pStyle w:val="FootnoteText"/>
        <w:rPr>
          <w:sz w:val="18"/>
          <w:szCs w:val="18"/>
        </w:rPr>
      </w:pPr>
      <w:r w:rsidRPr="00614A5D">
        <w:rPr>
          <w:rStyle w:val="FootnoteReference"/>
          <w:sz w:val="18"/>
          <w:szCs w:val="18"/>
        </w:rPr>
        <w:footnoteRef/>
      </w:r>
      <w:r w:rsidRPr="00614A5D">
        <w:rPr>
          <w:sz w:val="18"/>
          <w:szCs w:val="18"/>
        </w:rPr>
        <w:t xml:space="preserve"> Canberra Business Chamber, </w:t>
      </w:r>
      <w:r w:rsidRPr="00614A5D">
        <w:rPr>
          <w:i/>
          <w:iCs/>
          <w:sz w:val="18"/>
          <w:szCs w:val="18"/>
        </w:rPr>
        <w:t>Submission 3</w:t>
      </w:r>
      <w:r w:rsidRPr="00614A5D">
        <w:rPr>
          <w:sz w:val="18"/>
          <w:szCs w:val="18"/>
        </w:rPr>
        <w:t>, p 2.</w:t>
      </w:r>
    </w:p>
  </w:footnote>
  <w:footnote w:id="33">
    <w:p w14:paraId="7BDC922D" w14:textId="295D6B1E" w:rsidR="0039409F" w:rsidRPr="00E925C7" w:rsidRDefault="0039409F">
      <w:pPr>
        <w:pStyle w:val="FootnoteText"/>
        <w:rPr>
          <w:sz w:val="18"/>
          <w:szCs w:val="18"/>
        </w:rPr>
      </w:pPr>
      <w:r w:rsidRPr="00E925C7">
        <w:rPr>
          <w:rStyle w:val="FootnoteReference"/>
          <w:sz w:val="18"/>
          <w:szCs w:val="18"/>
        </w:rPr>
        <w:footnoteRef/>
      </w:r>
      <w:r w:rsidRPr="00E925C7">
        <w:rPr>
          <w:sz w:val="18"/>
          <w:szCs w:val="18"/>
        </w:rPr>
        <w:t xml:space="preserve"> </w:t>
      </w:r>
      <w:r w:rsidR="00BE3689" w:rsidRPr="00E925C7">
        <w:rPr>
          <w:sz w:val="18"/>
          <w:szCs w:val="18"/>
        </w:rPr>
        <w:t xml:space="preserve">Ai Group, </w:t>
      </w:r>
      <w:r w:rsidR="00BE3689" w:rsidRPr="00E925C7">
        <w:rPr>
          <w:i/>
          <w:iCs/>
          <w:sz w:val="18"/>
          <w:szCs w:val="18"/>
        </w:rPr>
        <w:t>Portable Long Service Leave Expansion</w:t>
      </w:r>
      <w:r w:rsidR="00BE3689" w:rsidRPr="00E925C7">
        <w:rPr>
          <w:sz w:val="18"/>
          <w:szCs w:val="18"/>
        </w:rPr>
        <w:t xml:space="preserve">, p </w:t>
      </w:r>
      <w:r w:rsidRPr="00E925C7">
        <w:rPr>
          <w:sz w:val="18"/>
          <w:szCs w:val="18"/>
        </w:rPr>
        <w:t>6.</w:t>
      </w:r>
    </w:p>
  </w:footnote>
  <w:footnote w:id="34">
    <w:p w14:paraId="364BDF53" w14:textId="77777777" w:rsidR="00C3223B" w:rsidRPr="00E925C7" w:rsidRDefault="00C3223B" w:rsidP="00C3223B">
      <w:pPr>
        <w:pStyle w:val="FootnoteText"/>
        <w:rPr>
          <w:sz w:val="18"/>
          <w:szCs w:val="18"/>
        </w:rPr>
      </w:pPr>
      <w:r w:rsidRPr="00E925C7">
        <w:rPr>
          <w:rStyle w:val="FootnoteReference"/>
          <w:sz w:val="18"/>
          <w:szCs w:val="18"/>
        </w:rPr>
        <w:footnoteRef/>
      </w:r>
      <w:r w:rsidRPr="00E925C7">
        <w:rPr>
          <w:sz w:val="18"/>
          <w:szCs w:val="18"/>
        </w:rPr>
        <w:t xml:space="preserve"> ACTCOSS, </w:t>
      </w:r>
      <w:r w:rsidRPr="00E925C7">
        <w:rPr>
          <w:i/>
          <w:iCs/>
          <w:sz w:val="18"/>
          <w:szCs w:val="18"/>
        </w:rPr>
        <w:t>Submission 2</w:t>
      </w:r>
      <w:r w:rsidRPr="00E925C7">
        <w:rPr>
          <w:sz w:val="18"/>
          <w:szCs w:val="18"/>
        </w:rPr>
        <w:t>, p 1-2.</w:t>
      </w:r>
    </w:p>
  </w:footnote>
  <w:footnote w:id="35">
    <w:p w14:paraId="58744967" w14:textId="45B73550" w:rsidR="000D588D" w:rsidRPr="00E925C7" w:rsidRDefault="000D588D">
      <w:pPr>
        <w:pStyle w:val="FootnoteText"/>
        <w:rPr>
          <w:sz w:val="18"/>
          <w:szCs w:val="18"/>
        </w:rPr>
      </w:pPr>
      <w:r w:rsidRPr="00E925C7">
        <w:rPr>
          <w:rStyle w:val="FootnoteReference"/>
          <w:sz w:val="18"/>
          <w:szCs w:val="18"/>
        </w:rPr>
        <w:footnoteRef/>
      </w:r>
      <w:r w:rsidRPr="00E925C7">
        <w:rPr>
          <w:sz w:val="18"/>
          <w:szCs w:val="18"/>
        </w:rPr>
        <w:t xml:space="preserve"> </w:t>
      </w:r>
      <w:r w:rsidR="006621D5">
        <w:rPr>
          <w:sz w:val="18"/>
          <w:szCs w:val="18"/>
        </w:rPr>
        <w:t xml:space="preserve">ACT Government, </w:t>
      </w:r>
      <w:r w:rsidR="006621D5">
        <w:rPr>
          <w:i/>
          <w:iCs/>
          <w:sz w:val="18"/>
          <w:szCs w:val="18"/>
        </w:rPr>
        <w:t>Expansion of portable long service leave in the ACT: Outcomes of public consultation</w:t>
      </w:r>
      <w:r w:rsidR="006621D5">
        <w:rPr>
          <w:sz w:val="18"/>
          <w:szCs w:val="18"/>
        </w:rPr>
        <w:t xml:space="preserve">, </w:t>
      </w:r>
      <w:r w:rsidR="006621D5" w:rsidRPr="00E925C7">
        <w:rPr>
          <w:sz w:val="18"/>
          <w:szCs w:val="18"/>
        </w:rPr>
        <w:t xml:space="preserve">p </w:t>
      </w:r>
      <w:r w:rsidRPr="00E925C7">
        <w:rPr>
          <w:sz w:val="18"/>
          <w:szCs w:val="18"/>
        </w:rPr>
        <w:t>3.</w:t>
      </w:r>
      <w:r w:rsidR="00921D77">
        <w:rPr>
          <w:sz w:val="18"/>
          <w:szCs w:val="18"/>
        </w:rPr>
        <w:t xml:space="preserve"> </w:t>
      </w:r>
      <w:r w:rsidR="00921D77" w:rsidRPr="00614A5D">
        <w:rPr>
          <w:sz w:val="18"/>
          <w:szCs w:val="18"/>
        </w:rPr>
        <w:t xml:space="preserve">Canberra Business Chamber, </w:t>
      </w:r>
      <w:r w:rsidR="00921D77" w:rsidRPr="00614A5D">
        <w:rPr>
          <w:i/>
          <w:iCs/>
          <w:sz w:val="18"/>
          <w:szCs w:val="18"/>
        </w:rPr>
        <w:t>Submission 3</w:t>
      </w:r>
      <w:r w:rsidR="00921D77" w:rsidRPr="00614A5D">
        <w:rPr>
          <w:sz w:val="18"/>
          <w:szCs w:val="18"/>
        </w:rPr>
        <w:t xml:space="preserve">, p </w:t>
      </w:r>
      <w:r w:rsidR="00921D77">
        <w:rPr>
          <w:sz w:val="18"/>
          <w:szCs w:val="18"/>
        </w:rPr>
        <w:t>2.</w:t>
      </w:r>
      <w:r w:rsidR="00387979">
        <w:rPr>
          <w:sz w:val="18"/>
          <w:szCs w:val="18"/>
        </w:rPr>
        <w:t xml:space="preserve"> Council of Small Business Organisations Australia, </w:t>
      </w:r>
      <w:r w:rsidR="00387979" w:rsidRPr="000D53FE">
        <w:rPr>
          <w:i/>
          <w:iCs/>
          <w:sz w:val="18"/>
          <w:szCs w:val="18"/>
        </w:rPr>
        <w:t>Submission 10</w:t>
      </w:r>
      <w:r w:rsidR="00387979">
        <w:rPr>
          <w:sz w:val="18"/>
          <w:szCs w:val="18"/>
        </w:rPr>
        <w:t>, p 2.</w:t>
      </w:r>
    </w:p>
  </w:footnote>
  <w:footnote w:id="36">
    <w:p w14:paraId="49E3AD38" w14:textId="7B36C4CA" w:rsidR="00AF5F9D" w:rsidRPr="00BE3689" w:rsidRDefault="00AF5F9D">
      <w:pPr>
        <w:pStyle w:val="FootnoteText"/>
        <w:rPr>
          <w:sz w:val="18"/>
          <w:szCs w:val="18"/>
        </w:rPr>
      </w:pPr>
      <w:r w:rsidRPr="00E925C7">
        <w:rPr>
          <w:rStyle w:val="FootnoteReference"/>
          <w:sz w:val="18"/>
          <w:szCs w:val="18"/>
        </w:rPr>
        <w:footnoteRef/>
      </w:r>
      <w:r w:rsidRPr="00E925C7">
        <w:rPr>
          <w:sz w:val="18"/>
          <w:szCs w:val="18"/>
        </w:rPr>
        <w:t xml:space="preserve"> </w:t>
      </w:r>
      <w:r w:rsidR="005874C6" w:rsidRPr="00E925C7">
        <w:rPr>
          <w:sz w:val="18"/>
          <w:szCs w:val="18"/>
        </w:rPr>
        <w:t>ACTCOSS</w:t>
      </w:r>
      <w:r w:rsidR="005874C6">
        <w:rPr>
          <w:sz w:val="18"/>
          <w:szCs w:val="18"/>
        </w:rPr>
        <w:t xml:space="preserve">, </w:t>
      </w:r>
      <w:r w:rsidR="005874C6" w:rsidRPr="005874C6">
        <w:rPr>
          <w:i/>
          <w:iCs/>
          <w:sz w:val="18"/>
          <w:szCs w:val="18"/>
        </w:rPr>
        <w:t>Submission 2</w:t>
      </w:r>
      <w:r w:rsidR="005874C6">
        <w:rPr>
          <w:sz w:val="18"/>
          <w:szCs w:val="18"/>
        </w:rPr>
        <w:t>,</w:t>
      </w:r>
      <w:r w:rsidR="005874C6" w:rsidRPr="00E925C7">
        <w:rPr>
          <w:sz w:val="18"/>
          <w:szCs w:val="18"/>
        </w:rPr>
        <w:t xml:space="preserve"> p </w:t>
      </w:r>
      <w:r w:rsidRPr="00E925C7">
        <w:rPr>
          <w:sz w:val="18"/>
          <w:szCs w:val="18"/>
        </w:rPr>
        <w:t>3.</w:t>
      </w:r>
    </w:p>
  </w:footnote>
  <w:footnote w:id="37">
    <w:p w14:paraId="11D180E2" w14:textId="37A06D10" w:rsidR="000D588D" w:rsidRDefault="000D588D">
      <w:pPr>
        <w:pStyle w:val="FootnoteText"/>
      </w:pPr>
      <w:r w:rsidRPr="00BE3689">
        <w:rPr>
          <w:rStyle w:val="FootnoteReference"/>
          <w:sz w:val="18"/>
          <w:szCs w:val="18"/>
        </w:rPr>
        <w:footnoteRef/>
      </w:r>
      <w:r w:rsidRPr="00BE3689">
        <w:rPr>
          <w:sz w:val="18"/>
          <w:szCs w:val="18"/>
        </w:rPr>
        <w:t xml:space="preserve"> </w:t>
      </w:r>
      <w:r w:rsidR="00E925C7" w:rsidRPr="005C51FA">
        <w:rPr>
          <w:i/>
          <w:iCs/>
          <w:sz w:val="18"/>
          <w:szCs w:val="18"/>
        </w:rPr>
        <w:t>Long Service Leave (Portable Schemes) Amendment Bill 2022</w:t>
      </w:r>
      <w:r w:rsidR="00E925C7">
        <w:rPr>
          <w:i/>
          <w:iCs/>
          <w:sz w:val="18"/>
          <w:szCs w:val="18"/>
        </w:rPr>
        <w:t>:</w:t>
      </w:r>
      <w:r w:rsidR="00E925C7" w:rsidRPr="005C51FA">
        <w:rPr>
          <w:i/>
          <w:iCs/>
          <w:sz w:val="18"/>
          <w:szCs w:val="18"/>
        </w:rPr>
        <w:t>, Explanatory Statement and Human Rights Compatibility Statement</w:t>
      </w:r>
      <w:r w:rsidR="00E925C7">
        <w:rPr>
          <w:sz w:val="18"/>
          <w:szCs w:val="18"/>
        </w:rPr>
        <w:t xml:space="preserve">, p </w:t>
      </w:r>
      <w:r w:rsidRPr="00BE3689">
        <w:rPr>
          <w:sz w:val="18"/>
          <w:szCs w:val="18"/>
        </w:rPr>
        <w:t>4.</w:t>
      </w:r>
    </w:p>
  </w:footnote>
  <w:footnote w:id="38">
    <w:p w14:paraId="6ABC6C51" w14:textId="208A4CC0" w:rsidR="006A0E8F" w:rsidRPr="002B6FC5" w:rsidRDefault="006A0E8F">
      <w:pPr>
        <w:pStyle w:val="FootnoteText"/>
        <w:rPr>
          <w:sz w:val="18"/>
          <w:szCs w:val="18"/>
        </w:rPr>
      </w:pPr>
      <w:r w:rsidRPr="002B6FC5">
        <w:rPr>
          <w:rStyle w:val="FootnoteReference"/>
          <w:sz w:val="18"/>
          <w:szCs w:val="18"/>
        </w:rPr>
        <w:footnoteRef/>
      </w:r>
      <w:r w:rsidRPr="002B6FC5">
        <w:rPr>
          <w:sz w:val="18"/>
          <w:szCs w:val="18"/>
        </w:rPr>
        <w:t xml:space="preserve"> </w:t>
      </w:r>
      <w:r w:rsidR="002B6FC5" w:rsidRPr="002B6FC5">
        <w:rPr>
          <w:sz w:val="18"/>
          <w:szCs w:val="18"/>
        </w:rPr>
        <w:t xml:space="preserve">The Education and Employment References Committee, </w:t>
      </w:r>
      <w:r w:rsidR="002B6FC5" w:rsidRPr="002B6FC5">
        <w:rPr>
          <w:i/>
          <w:iCs/>
          <w:sz w:val="18"/>
          <w:szCs w:val="18"/>
        </w:rPr>
        <w:t>Feasibility of, and options for, creation a national long service standard</w:t>
      </w:r>
      <w:r w:rsidR="002B6FC5" w:rsidRPr="002B6FC5">
        <w:rPr>
          <w:sz w:val="18"/>
          <w:szCs w:val="18"/>
        </w:rPr>
        <w:t xml:space="preserve">, p </w:t>
      </w:r>
      <w:r w:rsidRPr="002B6FC5">
        <w:rPr>
          <w:sz w:val="18"/>
          <w:szCs w:val="18"/>
        </w:rPr>
        <w:t>6.</w:t>
      </w:r>
    </w:p>
  </w:footnote>
  <w:footnote w:id="39">
    <w:p w14:paraId="2E2FBE5A" w14:textId="061493A2" w:rsidR="00116315" w:rsidRPr="002B6FC5" w:rsidRDefault="00116315">
      <w:pPr>
        <w:pStyle w:val="FootnoteText"/>
        <w:rPr>
          <w:sz w:val="18"/>
          <w:szCs w:val="18"/>
        </w:rPr>
      </w:pPr>
      <w:r w:rsidRPr="002B6FC5">
        <w:rPr>
          <w:rStyle w:val="FootnoteReference"/>
          <w:sz w:val="18"/>
          <w:szCs w:val="18"/>
        </w:rPr>
        <w:footnoteRef/>
      </w:r>
      <w:r w:rsidRPr="002B6FC5">
        <w:rPr>
          <w:sz w:val="18"/>
          <w:szCs w:val="18"/>
        </w:rPr>
        <w:t xml:space="preserve"> </w:t>
      </w:r>
      <w:r w:rsidR="00BE3689">
        <w:rPr>
          <w:sz w:val="18"/>
          <w:szCs w:val="18"/>
        </w:rPr>
        <w:t xml:space="preserve">Ai Group, </w:t>
      </w:r>
      <w:r w:rsidR="00BE3689" w:rsidRPr="000650AA">
        <w:rPr>
          <w:i/>
          <w:iCs/>
          <w:sz w:val="18"/>
          <w:szCs w:val="18"/>
        </w:rPr>
        <w:t>Portable Long Service Leave Expansion</w:t>
      </w:r>
      <w:r w:rsidR="00BE3689">
        <w:rPr>
          <w:sz w:val="18"/>
          <w:szCs w:val="18"/>
        </w:rPr>
        <w:t xml:space="preserve">, p </w:t>
      </w:r>
      <w:r w:rsidRPr="002B6FC5">
        <w:rPr>
          <w:sz w:val="18"/>
          <w:szCs w:val="18"/>
        </w:rPr>
        <w:t>8.</w:t>
      </w:r>
    </w:p>
  </w:footnote>
  <w:footnote w:id="40">
    <w:p w14:paraId="5BA5B639" w14:textId="1DD9C2E4" w:rsidR="00DB63A0" w:rsidRPr="002B6FC5" w:rsidRDefault="00DB63A0" w:rsidP="00BE3689">
      <w:pPr>
        <w:pStyle w:val="FootnoteText"/>
        <w:rPr>
          <w:sz w:val="18"/>
          <w:szCs w:val="18"/>
        </w:rPr>
      </w:pPr>
      <w:r w:rsidRPr="002B6FC5">
        <w:rPr>
          <w:rStyle w:val="FootnoteReference"/>
          <w:sz w:val="18"/>
          <w:szCs w:val="18"/>
        </w:rPr>
        <w:footnoteRef/>
      </w:r>
      <w:r w:rsidRPr="002B6FC5">
        <w:rPr>
          <w:sz w:val="18"/>
          <w:szCs w:val="18"/>
        </w:rPr>
        <w:t xml:space="preserve"> </w:t>
      </w:r>
      <w:r w:rsidR="00BE3689">
        <w:rPr>
          <w:sz w:val="18"/>
          <w:szCs w:val="18"/>
        </w:rPr>
        <w:t xml:space="preserve">Ai Group, </w:t>
      </w:r>
      <w:r w:rsidR="00BE3689" w:rsidRPr="000650AA">
        <w:rPr>
          <w:i/>
          <w:iCs/>
          <w:sz w:val="18"/>
          <w:szCs w:val="18"/>
        </w:rPr>
        <w:t>Portable Long Service Leave Expansion</w:t>
      </w:r>
      <w:r w:rsidR="00BE3689">
        <w:rPr>
          <w:sz w:val="18"/>
          <w:szCs w:val="18"/>
        </w:rPr>
        <w:t xml:space="preserve">, p </w:t>
      </w:r>
      <w:r w:rsidRPr="002B6FC5">
        <w:rPr>
          <w:sz w:val="18"/>
          <w:szCs w:val="18"/>
        </w:rPr>
        <w:t>9.</w:t>
      </w:r>
    </w:p>
  </w:footnote>
  <w:footnote w:id="41">
    <w:p w14:paraId="3578CD37" w14:textId="1C252809" w:rsidR="00C51E21" w:rsidRDefault="00C51E21">
      <w:pPr>
        <w:pStyle w:val="FootnoteText"/>
      </w:pPr>
      <w:r w:rsidRPr="009211DC">
        <w:rPr>
          <w:rStyle w:val="FootnoteReference"/>
          <w:sz w:val="18"/>
          <w:szCs w:val="18"/>
        </w:rPr>
        <w:footnoteRef/>
      </w:r>
      <w:r>
        <w:t xml:space="preserve"> </w:t>
      </w:r>
      <w:r w:rsidRPr="00614A5D">
        <w:rPr>
          <w:sz w:val="18"/>
          <w:szCs w:val="18"/>
        </w:rPr>
        <w:t xml:space="preserve">Canberra Business Chamber, </w:t>
      </w:r>
      <w:r w:rsidRPr="00614A5D">
        <w:rPr>
          <w:i/>
          <w:iCs/>
          <w:sz w:val="18"/>
          <w:szCs w:val="18"/>
        </w:rPr>
        <w:t>Submission 3</w:t>
      </w:r>
      <w:r w:rsidRPr="00614A5D">
        <w:rPr>
          <w:sz w:val="18"/>
          <w:szCs w:val="18"/>
        </w:rPr>
        <w:t xml:space="preserve">, p </w:t>
      </w:r>
      <w:r>
        <w:rPr>
          <w:sz w:val="18"/>
          <w:szCs w:val="18"/>
        </w:rPr>
        <w:t>3.</w:t>
      </w:r>
    </w:p>
  </w:footnote>
  <w:footnote w:id="42">
    <w:p w14:paraId="2FE4F2B3" w14:textId="48DA9226" w:rsidR="00CC03AA" w:rsidRPr="00CC03AA" w:rsidRDefault="00CC03AA" w:rsidP="00BE3689">
      <w:pPr>
        <w:pStyle w:val="ListNumber2"/>
        <w:numPr>
          <w:ilvl w:val="0"/>
          <w:numId w:val="0"/>
        </w:numPr>
        <w:spacing w:before="0" w:after="0"/>
        <w:ind w:left="851" w:hanging="851"/>
        <w:rPr>
          <w:sz w:val="18"/>
          <w:szCs w:val="18"/>
        </w:rPr>
      </w:pPr>
      <w:r w:rsidRPr="002B6FC5">
        <w:rPr>
          <w:rStyle w:val="FootnoteReference"/>
          <w:sz w:val="18"/>
          <w:szCs w:val="18"/>
        </w:rPr>
        <w:footnoteRef/>
      </w:r>
      <w:r w:rsidRPr="002B6FC5">
        <w:rPr>
          <w:sz w:val="18"/>
          <w:szCs w:val="18"/>
        </w:rPr>
        <w:t xml:space="preserve"> </w:t>
      </w:r>
      <w:r w:rsidR="00BE3689">
        <w:rPr>
          <w:sz w:val="18"/>
          <w:szCs w:val="18"/>
        </w:rPr>
        <w:t xml:space="preserve">Ai Group, </w:t>
      </w:r>
      <w:r w:rsidR="00BE3689" w:rsidRPr="000650AA">
        <w:rPr>
          <w:i/>
          <w:iCs/>
          <w:sz w:val="18"/>
          <w:szCs w:val="18"/>
        </w:rPr>
        <w:t>Portable Long Service Leave Expansion</w:t>
      </w:r>
      <w:r w:rsidR="00BE3689">
        <w:rPr>
          <w:sz w:val="18"/>
          <w:szCs w:val="18"/>
        </w:rPr>
        <w:t xml:space="preserve">, p </w:t>
      </w:r>
      <w:r w:rsidRPr="002B6FC5">
        <w:rPr>
          <w:rFonts w:cstheme="minorBidi"/>
          <w:bCs w:val="0"/>
          <w:color w:val="auto"/>
          <w:sz w:val="18"/>
          <w:szCs w:val="18"/>
        </w:rPr>
        <w:t>11.</w:t>
      </w:r>
    </w:p>
  </w:footnote>
  <w:footnote w:id="43">
    <w:p w14:paraId="5ECF26C7" w14:textId="437B6F14" w:rsidR="00A0656E" w:rsidRPr="000D53FE" w:rsidRDefault="00A0656E">
      <w:pPr>
        <w:pStyle w:val="FootnoteText"/>
        <w:rPr>
          <w:sz w:val="18"/>
          <w:szCs w:val="18"/>
        </w:rPr>
      </w:pPr>
      <w:r w:rsidRPr="000D53FE">
        <w:rPr>
          <w:rStyle w:val="FootnoteReference"/>
          <w:sz w:val="18"/>
          <w:szCs w:val="18"/>
        </w:rPr>
        <w:footnoteRef/>
      </w:r>
      <w:r w:rsidRPr="000D53FE">
        <w:rPr>
          <w:sz w:val="18"/>
          <w:szCs w:val="18"/>
        </w:rPr>
        <w:t xml:space="preserve"> Council of Small Business Organisations Australia, </w:t>
      </w:r>
      <w:r w:rsidRPr="000D53FE">
        <w:rPr>
          <w:i/>
          <w:iCs/>
          <w:sz w:val="18"/>
          <w:szCs w:val="18"/>
        </w:rPr>
        <w:t>Submission 10</w:t>
      </w:r>
      <w:r w:rsidRPr="000D53FE">
        <w:rPr>
          <w:sz w:val="18"/>
          <w:szCs w:val="18"/>
        </w:rPr>
        <w:t>, p 2.</w:t>
      </w:r>
    </w:p>
  </w:footnote>
  <w:footnote w:id="44">
    <w:p w14:paraId="550D7F18" w14:textId="77777777" w:rsidR="002B14D9" w:rsidRDefault="002B14D9" w:rsidP="002B14D9">
      <w:pPr>
        <w:pStyle w:val="FootnoteText"/>
        <w:rPr>
          <w:sz w:val="18"/>
          <w:szCs w:val="18"/>
        </w:rPr>
      </w:pPr>
      <w:r>
        <w:rPr>
          <w:rStyle w:val="FootnoteReference"/>
          <w:sz w:val="18"/>
          <w:szCs w:val="18"/>
        </w:rPr>
        <w:footnoteRef/>
      </w:r>
      <w:r>
        <w:rPr>
          <w:sz w:val="18"/>
          <w:szCs w:val="18"/>
        </w:rPr>
        <w:t xml:space="preserve"> Australian Hairdressing Council, </w:t>
      </w:r>
      <w:r>
        <w:rPr>
          <w:i/>
          <w:iCs/>
          <w:sz w:val="18"/>
          <w:szCs w:val="18"/>
        </w:rPr>
        <w:t>Submission 11</w:t>
      </w:r>
      <w:r>
        <w:rPr>
          <w:sz w:val="18"/>
          <w:szCs w:val="18"/>
        </w:rPr>
        <w:t>, p 2.</w:t>
      </w:r>
    </w:p>
  </w:footnote>
  <w:footnote w:id="45">
    <w:p w14:paraId="01D19410" w14:textId="77777777" w:rsidR="002B14D9" w:rsidRDefault="002B14D9" w:rsidP="002B14D9">
      <w:pPr>
        <w:pStyle w:val="FootnoteText"/>
        <w:rPr>
          <w:sz w:val="18"/>
          <w:szCs w:val="18"/>
        </w:rPr>
      </w:pPr>
      <w:r>
        <w:rPr>
          <w:rStyle w:val="FootnoteReference"/>
          <w:sz w:val="18"/>
          <w:szCs w:val="18"/>
        </w:rPr>
        <w:footnoteRef/>
      </w:r>
      <w:r>
        <w:rPr>
          <w:sz w:val="18"/>
          <w:szCs w:val="18"/>
        </w:rPr>
        <w:t xml:space="preserve"> Serene Hair and Body, </w:t>
      </w:r>
      <w:r>
        <w:rPr>
          <w:i/>
          <w:iCs/>
          <w:sz w:val="18"/>
          <w:szCs w:val="18"/>
        </w:rPr>
        <w:t>Submission 9</w:t>
      </w:r>
      <w:r>
        <w:rPr>
          <w:sz w:val="18"/>
          <w:szCs w:val="18"/>
        </w:rPr>
        <w:t>, p 2.</w:t>
      </w:r>
    </w:p>
  </w:footnote>
  <w:footnote w:id="46">
    <w:p w14:paraId="6029E335" w14:textId="65E60F9D" w:rsidR="002B14D9" w:rsidRPr="000F3F34" w:rsidRDefault="002B14D9" w:rsidP="002B14D9">
      <w:pPr>
        <w:pStyle w:val="FootnoteText"/>
        <w:rPr>
          <w:sz w:val="18"/>
          <w:szCs w:val="18"/>
        </w:rPr>
      </w:pPr>
      <w:r w:rsidRPr="000F3F34">
        <w:rPr>
          <w:rStyle w:val="FootnoteReference"/>
          <w:sz w:val="18"/>
          <w:szCs w:val="18"/>
        </w:rPr>
        <w:footnoteRef/>
      </w:r>
      <w:r w:rsidRPr="000F3F34">
        <w:rPr>
          <w:sz w:val="18"/>
          <w:szCs w:val="18"/>
        </w:rPr>
        <w:t xml:space="preserve"> </w:t>
      </w:r>
      <w:r w:rsidR="000F3F34" w:rsidRPr="000F3F34">
        <w:rPr>
          <w:sz w:val="18"/>
          <w:szCs w:val="18"/>
        </w:rPr>
        <w:t>Minutes of Proceedings, 2 December 2020, p 17.</w:t>
      </w:r>
    </w:p>
  </w:footnote>
  <w:footnote w:id="47">
    <w:p w14:paraId="41FE4757" w14:textId="0B4942C8" w:rsidR="002B14D9" w:rsidRDefault="002B14D9" w:rsidP="002B14D9">
      <w:pPr>
        <w:pStyle w:val="FootnoteText"/>
        <w:rPr>
          <w:sz w:val="18"/>
          <w:szCs w:val="18"/>
        </w:rPr>
      </w:pPr>
      <w:r>
        <w:rPr>
          <w:rStyle w:val="FootnoteReference"/>
          <w:sz w:val="18"/>
          <w:szCs w:val="18"/>
        </w:rPr>
        <w:footnoteRef/>
      </w:r>
      <w:r>
        <w:rPr>
          <w:sz w:val="18"/>
          <w:szCs w:val="18"/>
        </w:rPr>
        <w:t xml:space="preserve"> </w:t>
      </w:r>
      <w:r w:rsidR="005D0F7E">
        <w:rPr>
          <w:sz w:val="18"/>
          <w:szCs w:val="18"/>
        </w:rPr>
        <w:t>Minutes of Proceedings, 24 November 2022, p 944.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CFFB" w14:textId="77777777" w:rsidR="00006272" w:rsidRDefault="000062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7389" w14:textId="77777777" w:rsidR="00006272" w:rsidRDefault="00006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9732829"/>
    <w:multiLevelType w:val="hybridMultilevel"/>
    <w:tmpl w:val="AB242A1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3F0263CC"/>
    <w:multiLevelType w:val="multilevel"/>
    <w:tmpl w:val="2D2EC6C6"/>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6"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EC4563"/>
    <w:multiLevelType w:val="hybridMultilevel"/>
    <w:tmpl w:val="6730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0"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FB96E8E"/>
    <w:multiLevelType w:val="hybridMultilevel"/>
    <w:tmpl w:val="F906F966"/>
    <w:lvl w:ilvl="0" w:tplc="0C090017">
      <w:start w:val="1"/>
      <w:numFmt w:val="lowerLetter"/>
      <w:lvlText w:val="%1)"/>
      <w:lvlJc w:val="left"/>
      <w:pPr>
        <w:ind w:left="1734" w:hanging="360"/>
      </w:pPr>
    </w:lvl>
    <w:lvl w:ilvl="1" w:tplc="0C090019" w:tentative="1">
      <w:start w:val="1"/>
      <w:numFmt w:val="lowerLetter"/>
      <w:lvlText w:val="%2."/>
      <w:lvlJc w:val="left"/>
      <w:pPr>
        <w:ind w:left="2454" w:hanging="360"/>
      </w:pPr>
    </w:lvl>
    <w:lvl w:ilvl="2" w:tplc="0C09001B" w:tentative="1">
      <w:start w:val="1"/>
      <w:numFmt w:val="lowerRoman"/>
      <w:lvlText w:val="%3."/>
      <w:lvlJc w:val="right"/>
      <w:pPr>
        <w:ind w:left="3174" w:hanging="180"/>
      </w:pPr>
    </w:lvl>
    <w:lvl w:ilvl="3" w:tplc="0C09000F" w:tentative="1">
      <w:start w:val="1"/>
      <w:numFmt w:val="decimal"/>
      <w:lvlText w:val="%4."/>
      <w:lvlJc w:val="left"/>
      <w:pPr>
        <w:ind w:left="3894" w:hanging="360"/>
      </w:pPr>
    </w:lvl>
    <w:lvl w:ilvl="4" w:tplc="0C090019" w:tentative="1">
      <w:start w:val="1"/>
      <w:numFmt w:val="lowerLetter"/>
      <w:lvlText w:val="%5."/>
      <w:lvlJc w:val="left"/>
      <w:pPr>
        <w:ind w:left="4614" w:hanging="360"/>
      </w:pPr>
    </w:lvl>
    <w:lvl w:ilvl="5" w:tplc="0C09001B" w:tentative="1">
      <w:start w:val="1"/>
      <w:numFmt w:val="lowerRoman"/>
      <w:lvlText w:val="%6."/>
      <w:lvlJc w:val="right"/>
      <w:pPr>
        <w:ind w:left="5334" w:hanging="180"/>
      </w:pPr>
    </w:lvl>
    <w:lvl w:ilvl="6" w:tplc="0C09000F" w:tentative="1">
      <w:start w:val="1"/>
      <w:numFmt w:val="decimal"/>
      <w:lvlText w:val="%7."/>
      <w:lvlJc w:val="left"/>
      <w:pPr>
        <w:ind w:left="6054" w:hanging="360"/>
      </w:pPr>
    </w:lvl>
    <w:lvl w:ilvl="7" w:tplc="0C090019" w:tentative="1">
      <w:start w:val="1"/>
      <w:numFmt w:val="lowerLetter"/>
      <w:lvlText w:val="%8."/>
      <w:lvlJc w:val="left"/>
      <w:pPr>
        <w:ind w:left="6774" w:hanging="360"/>
      </w:pPr>
    </w:lvl>
    <w:lvl w:ilvl="8" w:tplc="0C09001B" w:tentative="1">
      <w:start w:val="1"/>
      <w:numFmt w:val="lowerRoman"/>
      <w:lvlText w:val="%9."/>
      <w:lvlJc w:val="right"/>
      <w:pPr>
        <w:ind w:left="7494" w:hanging="180"/>
      </w:p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43538321">
    <w:abstractNumId w:val="9"/>
  </w:num>
  <w:num w:numId="2" w16cid:durableId="627662155">
    <w:abstractNumId w:val="7"/>
  </w:num>
  <w:num w:numId="3" w16cid:durableId="667363081">
    <w:abstractNumId w:val="6"/>
  </w:num>
  <w:num w:numId="4" w16cid:durableId="2065565992">
    <w:abstractNumId w:val="5"/>
  </w:num>
  <w:num w:numId="5" w16cid:durableId="1663120000">
    <w:abstractNumId w:val="4"/>
  </w:num>
  <w:num w:numId="6" w16cid:durableId="1811822482">
    <w:abstractNumId w:val="8"/>
  </w:num>
  <w:num w:numId="7" w16cid:durableId="1259606967">
    <w:abstractNumId w:val="3"/>
  </w:num>
  <w:num w:numId="8" w16cid:durableId="74717118">
    <w:abstractNumId w:val="2"/>
  </w:num>
  <w:num w:numId="9" w16cid:durableId="2029863277">
    <w:abstractNumId w:val="1"/>
  </w:num>
  <w:num w:numId="10" w16cid:durableId="341933387">
    <w:abstractNumId w:val="0"/>
  </w:num>
  <w:num w:numId="11" w16cid:durableId="991367706">
    <w:abstractNumId w:val="16"/>
  </w:num>
  <w:num w:numId="12" w16cid:durableId="1286622631">
    <w:abstractNumId w:val="13"/>
  </w:num>
  <w:num w:numId="13" w16cid:durableId="2080669320">
    <w:abstractNumId w:val="20"/>
  </w:num>
  <w:num w:numId="14" w16cid:durableId="1869172549">
    <w:abstractNumId w:val="12"/>
  </w:num>
  <w:num w:numId="15" w16cid:durableId="1753550767">
    <w:abstractNumId w:val="22"/>
  </w:num>
  <w:num w:numId="16" w16cid:durableId="1475680699">
    <w:abstractNumId w:val="10"/>
  </w:num>
  <w:num w:numId="17" w16cid:durableId="1893687806">
    <w:abstractNumId w:val="14"/>
  </w:num>
  <w:num w:numId="18" w16cid:durableId="904411884">
    <w:abstractNumId w:val="18"/>
  </w:num>
  <w:num w:numId="19" w16cid:durableId="908617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5335739">
    <w:abstractNumId w:val="19"/>
  </w:num>
  <w:num w:numId="21" w16cid:durableId="301614626">
    <w:abstractNumId w:val="21"/>
  </w:num>
  <w:num w:numId="22" w16cid:durableId="1520047932">
    <w:abstractNumId w:val="17"/>
  </w:num>
  <w:num w:numId="23" w16cid:durableId="876552427">
    <w:abstractNumId w:val="11"/>
  </w:num>
  <w:num w:numId="24" w16cid:durableId="16818091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6272"/>
    <w:rsid w:val="00006513"/>
    <w:rsid w:val="00024F1A"/>
    <w:rsid w:val="00030FBC"/>
    <w:rsid w:val="00034056"/>
    <w:rsid w:val="00035E84"/>
    <w:rsid w:val="00041FB6"/>
    <w:rsid w:val="0004418D"/>
    <w:rsid w:val="0004497A"/>
    <w:rsid w:val="00047DD3"/>
    <w:rsid w:val="00062005"/>
    <w:rsid w:val="000650AA"/>
    <w:rsid w:val="0006531D"/>
    <w:rsid w:val="0006752F"/>
    <w:rsid w:val="00070E76"/>
    <w:rsid w:val="00071078"/>
    <w:rsid w:val="00094244"/>
    <w:rsid w:val="000B6E95"/>
    <w:rsid w:val="000C3FAA"/>
    <w:rsid w:val="000C5190"/>
    <w:rsid w:val="000D2366"/>
    <w:rsid w:val="000D53FE"/>
    <w:rsid w:val="000D588D"/>
    <w:rsid w:val="000F3F34"/>
    <w:rsid w:val="000F4130"/>
    <w:rsid w:val="00116315"/>
    <w:rsid w:val="00117BCD"/>
    <w:rsid w:val="00123781"/>
    <w:rsid w:val="0013734D"/>
    <w:rsid w:val="00140167"/>
    <w:rsid w:val="0014714E"/>
    <w:rsid w:val="00147BE0"/>
    <w:rsid w:val="00150531"/>
    <w:rsid w:val="00152A86"/>
    <w:rsid w:val="00156E52"/>
    <w:rsid w:val="00160528"/>
    <w:rsid w:val="00160B9C"/>
    <w:rsid w:val="00164DFC"/>
    <w:rsid w:val="00170124"/>
    <w:rsid w:val="001715FE"/>
    <w:rsid w:val="001738A0"/>
    <w:rsid w:val="0018105F"/>
    <w:rsid w:val="001825E5"/>
    <w:rsid w:val="001905A8"/>
    <w:rsid w:val="0019545D"/>
    <w:rsid w:val="001A1888"/>
    <w:rsid w:val="001A2EDD"/>
    <w:rsid w:val="001B13A0"/>
    <w:rsid w:val="001B2622"/>
    <w:rsid w:val="001B3C02"/>
    <w:rsid w:val="001B6D62"/>
    <w:rsid w:val="001C06DC"/>
    <w:rsid w:val="001C0DF9"/>
    <w:rsid w:val="001C15FC"/>
    <w:rsid w:val="001C7708"/>
    <w:rsid w:val="001D10CD"/>
    <w:rsid w:val="001D22FC"/>
    <w:rsid w:val="001E37E3"/>
    <w:rsid w:val="001F22FC"/>
    <w:rsid w:val="001F30D0"/>
    <w:rsid w:val="0020254F"/>
    <w:rsid w:val="00203B42"/>
    <w:rsid w:val="00205761"/>
    <w:rsid w:val="002101BE"/>
    <w:rsid w:val="002169A6"/>
    <w:rsid w:val="00216BB7"/>
    <w:rsid w:val="00236AE3"/>
    <w:rsid w:val="00247A37"/>
    <w:rsid w:val="002843AB"/>
    <w:rsid w:val="002861BB"/>
    <w:rsid w:val="00292978"/>
    <w:rsid w:val="0029626E"/>
    <w:rsid w:val="002A33D1"/>
    <w:rsid w:val="002A3DCC"/>
    <w:rsid w:val="002A5733"/>
    <w:rsid w:val="002B14D9"/>
    <w:rsid w:val="002B6FC5"/>
    <w:rsid w:val="002B71B9"/>
    <w:rsid w:val="002C624F"/>
    <w:rsid w:val="002D3ABE"/>
    <w:rsid w:val="002F41D6"/>
    <w:rsid w:val="00303D03"/>
    <w:rsid w:val="0031628A"/>
    <w:rsid w:val="003174F8"/>
    <w:rsid w:val="00317BBF"/>
    <w:rsid w:val="00320D33"/>
    <w:rsid w:val="0032645F"/>
    <w:rsid w:val="00326BB3"/>
    <w:rsid w:val="00344DF6"/>
    <w:rsid w:val="00347AE9"/>
    <w:rsid w:val="00362801"/>
    <w:rsid w:val="00366773"/>
    <w:rsid w:val="0036775A"/>
    <w:rsid w:val="00387938"/>
    <w:rsid w:val="00387979"/>
    <w:rsid w:val="00391414"/>
    <w:rsid w:val="00391E33"/>
    <w:rsid w:val="00392FC2"/>
    <w:rsid w:val="0039409F"/>
    <w:rsid w:val="003C3CF9"/>
    <w:rsid w:val="003D2C4D"/>
    <w:rsid w:val="003D69C2"/>
    <w:rsid w:val="003E4A3B"/>
    <w:rsid w:val="003F283F"/>
    <w:rsid w:val="003F2CB9"/>
    <w:rsid w:val="00400B1C"/>
    <w:rsid w:val="00402758"/>
    <w:rsid w:val="00403A83"/>
    <w:rsid w:val="004245CD"/>
    <w:rsid w:val="004370C7"/>
    <w:rsid w:val="00440EB4"/>
    <w:rsid w:val="004508F1"/>
    <w:rsid w:val="004523AC"/>
    <w:rsid w:val="00456DCF"/>
    <w:rsid w:val="0045759B"/>
    <w:rsid w:val="004608D6"/>
    <w:rsid w:val="0046189E"/>
    <w:rsid w:val="0046447A"/>
    <w:rsid w:val="00471E8B"/>
    <w:rsid w:val="0047544A"/>
    <w:rsid w:val="004830EB"/>
    <w:rsid w:val="00483210"/>
    <w:rsid w:val="004849A0"/>
    <w:rsid w:val="00493C22"/>
    <w:rsid w:val="004976C3"/>
    <w:rsid w:val="004A7AA4"/>
    <w:rsid w:val="004C439B"/>
    <w:rsid w:val="004C5EDC"/>
    <w:rsid w:val="004E5149"/>
    <w:rsid w:val="004F5224"/>
    <w:rsid w:val="005038C4"/>
    <w:rsid w:val="00507CC5"/>
    <w:rsid w:val="00510D89"/>
    <w:rsid w:val="00511454"/>
    <w:rsid w:val="0051686C"/>
    <w:rsid w:val="00525ED8"/>
    <w:rsid w:val="00527D04"/>
    <w:rsid w:val="00535271"/>
    <w:rsid w:val="0054265F"/>
    <w:rsid w:val="00546D0F"/>
    <w:rsid w:val="005502F5"/>
    <w:rsid w:val="00554214"/>
    <w:rsid w:val="00574CF0"/>
    <w:rsid w:val="00581288"/>
    <w:rsid w:val="005874C6"/>
    <w:rsid w:val="0059084F"/>
    <w:rsid w:val="00590FEB"/>
    <w:rsid w:val="005A3665"/>
    <w:rsid w:val="005B49A0"/>
    <w:rsid w:val="005B61A8"/>
    <w:rsid w:val="005C2AA6"/>
    <w:rsid w:val="005C46C1"/>
    <w:rsid w:val="005C4F2A"/>
    <w:rsid w:val="005C51FA"/>
    <w:rsid w:val="005C6E5E"/>
    <w:rsid w:val="005D0971"/>
    <w:rsid w:val="005D0F7E"/>
    <w:rsid w:val="005D1067"/>
    <w:rsid w:val="005D1CEF"/>
    <w:rsid w:val="005D62E5"/>
    <w:rsid w:val="005F1BB9"/>
    <w:rsid w:val="005F6C92"/>
    <w:rsid w:val="00603039"/>
    <w:rsid w:val="00603367"/>
    <w:rsid w:val="006043AE"/>
    <w:rsid w:val="00606F9C"/>
    <w:rsid w:val="00614A5D"/>
    <w:rsid w:val="006212C0"/>
    <w:rsid w:val="00623507"/>
    <w:rsid w:val="00624316"/>
    <w:rsid w:val="00627EA9"/>
    <w:rsid w:val="006323F8"/>
    <w:rsid w:val="006329FB"/>
    <w:rsid w:val="00634720"/>
    <w:rsid w:val="00644A31"/>
    <w:rsid w:val="00645ACF"/>
    <w:rsid w:val="00647E8B"/>
    <w:rsid w:val="00654625"/>
    <w:rsid w:val="006621D5"/>
    <w:rsid w:val="006718E3"/>
    <w:rsid w:val="00675E55"/>
    <w:rsid w:val="0068014A"/>
    <w:rsid w:val="00681D6B"/>
    <w:rsid w:val="00693759"/>
    <w:rsid w:val="006A0E8F"/>
    <w:rsid w:val="006A7A61"/>
    <w:rsid w:val="006B0055"/>
    <w:rsid w:val="006B28A8"/>
    <w:rsid w:val="006B3549"/>
    <w:rsid w:val="006C194B"/>
    <w:rsid w:val="006C66B1"/>
    <w:rsid w:val="006D1243"/>
    <w:rsid w:val="006D2982"/>
    <w:rsid w:val="006D53E0"/>
    <w:rsid w:val="006D7E19"/>
    <w:rsid w:val="006E092A"/>
    <w:rsid w:val="006E345C"/>
    <w:rsid w:val="006E7491"/>
    <w:rsid w:val="006F04A2"/>
    <w:rsid w:val="00700A3A"/>
    <w:rsid w:val="00714B99"/>
    <w:rsid w:val="00715E49"/>
    <w:rsid w:val="007200EE"/>
    <w:rsid w:val="00727341"/>
    <w:rsid w:val="00727F06"/>
    <w:rsid w:val="00742B2B"/>
    <w:rsid w:val="0074595F"/>
    <w:rsid w:val="007469DE"/>
    <w:rsid w:val="0075328E"/>
    <w:rsid w:val="0075417C"/>
    <w:rsid w:val="007566B7"/>
    <w:rsid w:val="00757C24"/>
    <w:rsid w:val="00760DBC"/>
    <w:rsid w:val="007669D5"/>
    <w:rsid w:val="00767AA5"/>
    <w:rsid w:val="00774DAE"/>
    <w:rsid w:val="00775855"/>
    <w:rsid w:val="0077697C"/>
    <w:rsid w:val="007771AA"/>
    <w:rsid w:val="00777CC8"/>
    <w:rsid w:val="0078151A"/>
    <w:rsid w:val="00783B5C"/>
    <w:rsid w:val="00792238"/>
    <w:rsid w:val="00792CC2"/>
    <w:rsid w:val="00793B19"/>
    <w:rsid w:val="00794E04"/>
    <w:rsid w:val="00795560"/>
    <w:rsid w:val="007A6EB9"/>
    <w:rsid w:val="007A7A8B"/>
    <w:rsid w:val="007C1747"/>
    <w:rsid w:val="007C371D"/>
    <w:rsid w:val="007C3F24"/>
    <w:rsid w:val="007E15E2"/>
    <w:rsid w:val="007F3EEA"/>
    <w:rsid w:val="007F4C62"/>
    <w:rsid w:val="00804756"/>
    <w:rsid w:val="00814B53"/>
    <w:rsid w:val="0081693A"/>
    <w:rsid w:val="00817BD1"/>
    <w:rsid w:val="00827B21"/>
    <w:rsid w:val="0083037D"/>
    <w:rsid w:val="008330A7"/>
    <w:rsid w:val="00836FFE"/>
    <w:rsid w:val="008379EB"/>
    <w:rsid w:val="00843D4D"/>
    <w:rsid w:val="00845C49"/>
    <w:rsid w:val="00850E87"/>
    <w:rsid w:val="008520CA"/>
    <w:rsid w:val="0085585C"/>
    <w:rsid w:val="00870AE1"/>
    <w:rsid w:val="008737A3"/>
    <w:rsid w:val="00877A94"/>
    <w:rsid w:val="008820E0"/>
    <w:rsid w:val="008825B3"/>
    <w:rsid w:val="00883393"/>
    <w:rsid w:val="008854C7"/>
    <w:rsid w:val="008903CE"/>
    <w:rsid w:val="008A6130"/>
    <w:rsid w:val="008B350E"/>
    <w:rsid w:val="008C2228"/>
    <w:rsid w:val="008C652A"/>
    <w:rsid w:val="008D72C9"/>
    <w:rsid w:val="008E750D"/>
    <w:rsid w:val="008F1CD0"/>
    <w:rsid w:val="008F53F4"/>
    <w:rsid w:val="00914A89"/>
    <w:rsid w:val="00917B49"/>
    <w:rsid w:val="009211DC"/>
    <w:rsid w:val="00921D77"/>
    <w:rsid w:val="009276CD"/>
    <w:rsid w:val="00937C4B"/>
    <w:rsid w:val="009661FD"/>
    <w:rsid w:val="00972584"/>
    <w:rsid w:val="00976637"/>
    <w:rsid w:val="00991964"/>
    <w:rsid w:val="00992A31"/>
    <w:rsid w:val="009A2EDC"/>
    <w:rsid w:val="009A6786"/>
    <w:rsid w:val="009B4EFF"/>
    <w:rsid w:val="009C2830"/>
    <w:rsid w:val="009C3C4A"/>
    <w:rsid w:val="009D4EB1"/>
    <w:rsid w:val="009F29AD"/>
    <w:rsid w:val="009F40CC"/>
    <w:rsid w:val="009F5A83"/>
    <w:rsid w:val="009F6263"/>
    <w:rsid w:val="00A0656E"/>
    <w:rsid w:val="00A070D4"/>
    <w:rsid w:val="00A14004"/>
    <w:rsid w:val="00A146A0"/>
    <w:rsid w:val="00A160AB"/>
    <w:rsid w:val="00A1778A"/>
    <w:rsid w:val="00A23A3E"/>
    <w:rsid w:val="00A540F1"/>
    <w:rsid w:val="00A54A24"/>
    <w:rsid w:val="00A63E28"/>
    <w:rsid w:val="00A67677"/>
    <w:rsid w:val="00A71EFF"/>
    <w:rsid w:val="00A7281A"/>
    <w:rsid w:val="00A72F25"/>
    <w:rsid w:val="00A83370"/>
    <w:rsid w:val="00A87BAE"/>
    <w:rsid w:val="00A951B7"/>
    <w:rsid w:val="00AA719E"/>
    <w:rsid w:val="00AB25D9"/>
    <w:rsid w:val="00AC2F71"/>
    <w:rsid w:val="00AD0F9B"/>
    <w:rsid w:val="00AE12C9"/>
    <w:rsid w:val="00AE3B01"/>
    <w:rsid w:val="00AE6E38"/>
    <w:rsid w:val="00AF53AA"/>
    <w:rsid w:val="00AF5F9D"/>
    <w:rsid w:val="00B053AB"/>
    <w:rsid w:val="00B1332A"/>
    <w:rsid w:val="00B15A6E"/>
    <w:rsid w:val="00B21A37"/>
    <w:rsid w:val="00B22554"/>
    <w:rsid w:val="00B22F00"/>
    <w:rsid w:val="00B24E23"/>
    <w:rsid w:val="00B343A8"/>
    <w:rsid w:val="00B37D1D"/>
    <w:rsid w:val="00B42680"/>
    <w:rsid w:val="00B44E85"/>
    <w:rsid w:val="00B55D4E"/>
    <w:rsid w:val="00B65E54"/>
    <w:rsid w:val="00B75287"/>
    <w:rsid w:val="00B7541C"/>
    <w:rsid w:val="00B76C3E"/>
    <w:rsid w:val="00B949D1"/>
    <w:rsid w:val="00B96B18"/>
    <w:rsid w:val="00B97A4E"/>
    <w:rsid w:val="00BA623F"/>
    <w:rsid w:val="00BC0651"/>
    <w:rsid w:val="00BC35B6"/>
    <w:rsid w:val="00BE0AB2"/>
    <w:rsid w:val="00BE3678"/>
    <w:rsid w:val="00BE3689"/>
    <w:rsid w:val="00BE3E9E"/>
    <w:rsid w:val="00BF7A8C"/>
    <w:rsid w:val="00C02510"/>
    <w:rsid w:val="00C16DCB"/>
    <w:rsid w:val="00C170E6"/>
    <w:rsid w:val="00C21E49"/>
    <w:rsid w:val="00C27FBA"/>
    <w:rsid w:val="00C3223B"/>
    <w:rsid w:val="00C33622"/>
    <w:rsid w:val="00C402A1"/>
    <w:rsid w:val="00C466AB"/>
    <w:rsid w:val="00C471C2"/>
    <w:rsid w:val="00C51E21"/>
    <w:rsid w:val="00C53EF0"/>
    <w:rsid w:val="00C5772D"/>
    <w:rsid w:val="00C5795F"/>
    <w:rsid w:val="00C75F45"/>
    <w:rsid w:val="00C76D3C"/>
    <w:rsid w:val="00C8358A"/>
    <w:rsid w:val="00C837A0"/>
    <w:rsid w:val="00C854D4"/>
    <w:rsid w:val="00C924CE"/>
    <w:rsid w:val="00CC03AA"/>
    <w:rsid w:val="00CC4BE7"/>
    <w:rsid w:val="00CC5428"/>
    <w:rsid w:val="00CD05B9"/>
    <w:rsid w:val="00CD73BC"/>
    <w:rsid w:val="00CE1A80"/>
    <w:rsid w:val="00CF75A5"/>
    <w:rsid w:val="00D045CB"/>
    <w:rsid w:val="00D068D4"/>
    <w:rsid w:val="00D07255"/>
    <w:rsid w:val="00D105F6"/>
    <w:rsid w:val="00D12E82"/>
    <w:rsid w:val="00D22EE9"/>
    <w:rsid w:val="00D23E3A"/>
    <w:rsid w:val="00D25556"/>
    <w:rsid w:val="00D268E4"/>
    <w:rsid w:val="00D317C3"/>
    <w:rsid w:val="00D376C4"/>
    <w:rsid w:val="00D42B03"/>
    <w:rsid w:val="00D466D7"/>
    <w:rsid w:val="00D66F04"/>
    <w:rsid w:val="00D7159D"/>
    <w:rsid w:val="00D90ED8"/>
    <w:rsid w:val="00D91CF8"/>
    <w:rsid w:val="00D9417F"/>
    <w:rsid w:val="00D94659"/>
    <w:rsid w:val="00D97152"/>
    <w:rsid w:val="00DA7289"/>
    <w:rsid w:val="00DB0C5D"/>
    <w:rsid w:val="00DB63A0"/>
    <w:rsid w:val="00DD0188"/>
    <w:rsid w:val="00DD55B5"/>
    <w:rsid w:val="00DD5AAA"/>
    <w:rsid w:val="00DD5E92"/>
    <w:rsid w:val="00DE06D9"/>
    <w:rsid w:val="00DE56A4"/>
    <w:rsid w:val="00DE7D54"/>
    <w:rsid w:val="00DF7C6C"/>
    <w:rsid w:val="00E00CA1"/>
    <w:rsid w:val="00E06460"/>
    <w:rsid w:val="00E12092"/>
    <w:rsid w:val="00E12D3C"/>
    <w:rsid w:val="00E1516A"/>
    <w:rsid w:val="00E20929"/>
    <w:rsid w:val="00E25384"/>
    <w:rsid w:val="00E25B5C"/>
    <w:rsid w:val="00E26635"/>
    <w:rsid w:val="00E30B82"/>
    <w:rsid w:val="00E55525"/>
    <w:rsid w:val="00E6630F"/>
    <w:rsid w:val="00E6760C"/>
    <w:rsid w:val="00E77D9E"/>
    <w:rsid w:val="00E833AA"/>
    <w:rsid w:val="00E84638"/>
    <w:rsid w:val="00E84A30"/>
    <w:rsid w:val="00E879B9"/>
    <w:rsid w:val="00E87C1A"/>
    <w:rsid w:val="00E925C7"/>
    <w:rsid w:val="00E93618"/>
    <w:rsid w:val="00EA3FCE"/>
    <w:rsid w:val="00EA4063"/>
    <w:rsid w:val="00EB00DE"/>
    <w:rsid w:val="00EB3179"/>
    <w:rsid w:val="00EB5F16"/>
    <w:rsid w:val="00EC60FF"/>
    <w:rsid w:val="00ED3906"/>
    <w:rsid w:val="00ED41CE"/>
    <w:rsid w:val="00EE5AEE"/>
    <w:rsid w:val="00EE5B62"/>
    <w:rsid w:val="00EF5AB7"/>
    <w:rsid w:val="00EF64D1"/>
    <w:rsid w:val="00F101AB"/>
    <w:rsid w:val="00F2588C"/>
    <w:rsid w:val="00F25F7A"/>
    <w:rsid w:val="00F307E3"/>
    <w:rsid w:val="00F32CFB"/>
    <w:rsid w:val="00F36AD7"/>
    <w:rsid w:val="00F41AD0"/>
    <w:rsid w:val="00F4685A"/>
    <w:rsid w:val="00F55A13"/>
    <w:rsid w:val="00F64542"/>
    <w:rsid w:val="00F7374B"/>
    <w:rsid w:val="00F746ED"/>
    <w:rsid w:val="00F7656C"/>
    <w:rsid w:val="00F77C62"/>
    <w:rsid w:val="00F86893"/>
    <w:rsid w:val="00F873F4"/>
    <w:rsid w:val="00F879E4"/>
    <w:rsid w:val="00F9280D"/>
    <w:rsid w:val="00F93995"/>
    <w:rsid w:val="00F93B84"/>
    <w:rsid w:val="00FD3C5E"/>
    <w:rsid w:val="00FE1710"/>
    <w:rsid w:val="00FE2205"/>
    <w:rsid w:val="00FE2FF6"/>
    <w:rsid w:val="00FE38F9"/>
    <w:rsid w:val="00FF173A"/>
    <w:rsid w:val="00FF2043"/>
    <w:rsid w:val="00FF5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77697C"/>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1"/>
    <w:qFormat/>
    <w:rsid w:val="00C170E6"/>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170E6"/>
    <w:rPr>
      <w:rFonts w:ascii="Calibri" w:eastAsia="Calibri" w:hAnsi="Calibri" w:cs="Calibri"/>
    </w:rPr>
  </w:style>
  <w:style w:type="character" w:styleId="FollowedHyperlink">
    <w:name w:val="FollowedHyperlink"/>
    <w:basedOn w:val="DefaultParagraphFont"/>
    <w:uiPriority w:val="99"/>
    <w:semiHidden/>
    <w:unhideWhenUsed/>
    <w:rsid w:val="000650AA"/>
    <w:rPr>
      <w:color w:val="954F72" w:themeColor="followedHyperlink"/>
      <w:u w:val="single"/>
    </w:rPr>
  </w:style>
  <w:style w:type="paragraph" w:styleId="Revision">
    <w:name w:val="Revision"/>
    <w:hidden/>
    <w:uiPriority w:val="99"/>
    <w:semiHidden/>
    <w:rsid w:val="00715E49"/>
    <w:pPr>
      <w:spacing w:after="0" w:line="240" w:lineRule="auto"/>
    </w:pPr>
  </w:style>
  <w:style w:type="character" w:styleId="Strong">
    <w:name w:val="Strong"/>
    <w:basedOn w:val="DefaultParagraphFont"/>
    <w:uiPriority w:val="22"/>
    <w:rsid w:val="00FE2205"/>
    <w:rPr>
      <w:b/>
      <w:bCs/>
    </w:rPr>
  </w:style>
  <w:style w:type="paragraph" w:styleId="ListContinue5">
    <w:name w:val="List Continue 5"/>
    <w:basedOn w:val="Normal"/>
    <w:uiPriority w:val="99"/>
    <w:unhideWhenUsed/>
    <w:rsid w:val="00B1332A"/>
    <w:pPr>
      <w:spacing w:after="120"/>
      <w:ind w:left="1415"/>
      <w:contextualSpacing/>
    </w:pPr>
  </w:style>
  <w:style w:type="paragraph" w:styleId="ListContinue">
    <w:name w:val="List Continue"/>
    <w:basedOn w:val="Normal"/>
    <w:uiPriority w:val="99"/>
    <w:unhideWhenUsed/>
    <w:rsid w:val="00B1332A"/>
    <w:pPr>
      <w:spacing w:after="120"/>
      <w:ind w:left="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764443">
      <w:bodyDiv w:val="1"/>
      <w:marLeft w:val="0"/>
      <w:marRight w:val="0"/>
      <w:marTop w:val="0"/>
      <w:marBottom w:val="0"/>
      <w:divBdr>
        <w:top w:val="none" w:sz="0" w:space="0" w:color="auto"/>
        <w:left w:val="none" w:sz="0" w:space="0" w:color="auto"/>
        <w:bottom w:val="none" w:sz="0" w:space="0" w:color="auto"/>
        <w:right w:val="none" w:sz="0" w:space="0" w:color="auto"/>
      </w:divBdr>
    </w:div>
    <w:div w:id="467161681">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67822202">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resolution-for-committees/resolution-establishing-committees-of-the-tenth-assembly"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oter" Target="footer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legislation.act.gov.au/b/db_66926/"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actleave.act.gov.au/about-us/" TargetMode="External"/><Relationship Id="rId2" Type="http://schemas.openxmlformats.org/officeDocument/2006/relationships/hyperlink" Target="https://trove.nla.gov.au/newspaper/article/13232023" TargetMode="External"/><Relationship Id="rId1" Type="http://schemas.openxmlformats.org/officeDocument/2006/relationships/hyperlink" Target="https://www.vic.gov.au/portable-long-service-authority-annual-report-2018-19/long-service-leave-austral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1E6C2D"/>
    <w:rsid w:val="00465034"/>
    <w:rsid w:val="00970294"/>
    <w:rsid w:val="009D03FE"/>
    <w:rsid w:val="00BC5886"/>
    <w:rsid w:val="00CD7B67"/>
    <w:rsid w:val="00E25C06"/>
    <w:rsid w:val="00E75710"/>
    <w:rsid w:val="00E97AE9"/>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3807</Words>
  <Characters>21705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25462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Milne, Sophie</cp:lastModifiedBy>
  <cp:revision>2</cp:revision>
  <cp:lastPrinted>2021-08-05T22:26:00Z</cp:lastPrinted>
  <dcterms:created xsi:type="dcterms:W3CDTF">2023-01-31T04:02:00Z</dcterms:created>
  <dcterms:modified xsi:type="dcterms:W3CDTF">2023-01-31T04:02:00Z</dcterms:modified>
  <cp:category/>
</cp:coreProperties>
</file>