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770834"/>
    <w:p w14:paraId="1D8C4DE1" w14:textId="1C96DAD3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59321" w14:textId="2A4F91B7" w:rsidR="00FD6165" w:rsidRPr="00FD6165" w:rsidRDefault="00F30536">
                            <w:pP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</w:t>
                            </w:r>
                            <w:proofErr w:type="spellEnd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511A2B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2</w:t>
                            </w:r>
                            <w:r w:rsidR="00886EE2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51859321" w14:textId="2A4F91B7" w:rsidR="00FD6165" w:rsidRPr="00FD6165" w:rsidRDefault="00F30536">
                      <w:pPr>
                        <w:rPr>
                          <w:rFonts w:ascii="Calibri" w:hAnsi="Calibri"/>
                          <w:b/>
                          <w:color w:val="FF0000"/>
                        </w:rPr>
                      </w:pP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N No. </w:t>
                      </w:r>
                      <w:r w:rsidR="00511A2B">
                        <w:rPr>
                          <w:rFonts w:ascii="Calibri" w:hAnsi="Calibri"/>
                          <w:b/>
                          <w:color w:val="FF0000"/>
                        </w:rPr>
                        <w:t>2</w:t>
                      </w:r>
                      <w:r w:rsidR="00886EE2">
                        <w:rPr>
                          <w:rFonts w:ascii="Calibri" w:hAnsi="Calibri"/>
                          <w:b/>
                          <w:color w:val="FF000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321924B0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F8CC095" id="Text Box 3" o:spid="_x0000_s1027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B89BDCC" w14:textId="7C20A374" w:rsidR="00F30536" w:rsidRPr="00826989" w:rsidRDefault="00826989" w:rsidP="00826989">
      <w:pPr>
        <w:pStyle w:val="ListParagraph"/>
        <w:spacing w:after="360"/>
      </w:pPr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922C19">
            <w:t>Health and Community Wellbeing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741CBAD0" w14:textId="77777777" w:rsidR="0016396A" w:rsidRDefault="0016396A" w:rsidP="0016396A">
      <w:pPr>
        <w:ind w:left="-284"/>
        <w:rPr>
          <w:rFonts w:ascii="Calibri" w:hAnsi="Calibri" w:cs="Arial"/>
          <w:sz w:val="22"/>
          <w:szCs w:val="24"/>
        </w:rPr>
      </w:pPr>
    </w:p>
    <w:p w14:paraId="0D37BF57" w14:textId="10D8C214" w:rsidR="0016396A" w:rsidRPr="002F0A06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  <w:r w:rsidRPr="002F0A06">
        <w:rPr>
          <w:rFonts w:asciiTheme="minorHAnsi" w:hAnsiTheme="minorHAnsi" w:cstheme="minorHAnsi"/>
          <w:sz w:val="22"/>
          <w:szCs w:val="22"/>
        </w:rPr>
        <w:t xml:space="preserve">Asked by </w:t>
      </w:r>
      <w:r w:rsidR="00922C19" w:rsidRPr="002F0A06">
        <w:rPr>
          <w:rFonts w:asciiTheme="minorHAnsi" w:hAnsiTheme="minorHAnsi" w:cstheme="minorHAnsi"/>
          <w:b/>
          <w:bCs/>
          <w:sz w:val="22"/>
          <w:szCs w:val="22"/>
        </w:rPr>
        <w:t>MS</w:t>
      </w:r>
      <w:r w:rsidR="0091291A">
        <w:rPr>
          <w:rFonts w:asciiTheme="minorHAnsi" w:hAnsiTheme="minorHAnsi" w:cstheme="minorHAnsi"/>
          <w:b/>
          <w:bCs/>
          <w:sz w:val="22"/>
          <w:szCs w:val="22"/>
        </w:rPr>
        <w:t xml:space="preserve"> LEANNE</w:t>
      </w:r>
      <w:r w:rsidR="00922C19" w:rsidRPr="002F0A06">
        <w:rPr>
          <w:rFonts w:asciiTheme="minorHAnsi" w:hAnsiTheme="minorHAnsi" w:cstheme="minorHAnsi"/>
          <w:b/>
          <w:bCs/>
          <w:sz w:val="22"/>
          <w:szCs w:val="22"/>
        </w:rPr>
        <w:t xml:space="preserve"> CASTLEY MLA</w:t>
      </w:r>
      <w:r w:rsidRPr="002F0A06">
        <w:rPr>
          <w:rFonts w:asciiTheme="minorHAnsi" w:hAnsiTheme="minorHAnsi" w:cstheme="minorHAnsi"/>
          <w:sz w:val="22"/>
          <w:szCs w:val="22"/>
        </w:rPr>
        <w:t xml:space="preserve">:  </w:t>
      </w:r>
    </w:p>
    <w:p w14:paraId="2EB43729" w14:textId="77777777" w:rsidR="0016396A" w:rsidRPr="002F0A06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52B4EF78" w14:textId="1DCFF667" w:rsidR="0016396A" w:rsidRPr="002F0A06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  <w:r w:rsidRPr="002F0A06">
        <w:rPr>
          <w:rFonts w:asciiTheme="minorHAnsi" w:hAnsiTheme="minorHAnsi" w:cstheme="minorHAnsi"/>
          <w:sz w:val="22"/>
          <w:szCs w:val="22"/>
        </w:rPr>
        <w:t>Ref</w:t>
      </w:r>
      <w:r w:rsidR="00AA76F2" w:rsidRPr="002F0A06">
        <w:rPr>
          <w:rFonts w:asciiTheme="minorHAnsi" w:hAnsiTheme="minorHAnsi" w:cstheme="minorHAnsi"/>
          <w:sz w:val="22"/>
          <w:szCs w:val="22"/>
        </w:rPr>
        <w:t>erence</w:t>
      </w:r>
      <w:r w:rsidRPr="002F0A06">
        <w:rPr>
          <w:rFonts w:asciiTheme="minorHAnsi" w:hAnsiTheme="minorHAnsi" w:cstheme="minorHAnsi"/>
          <w:sz w:val="22"/>
          <w:szCs w:val="22"/>
        </w:rPr>
        <w:t>:</w:t>
      </w:r>
      <w:r w:rsidR="00AA76F2" w:rsidRPr="002F0A06">
        <w:rPr>
          <w:rFonts w:asciiTheme="minorHAnsi" w:hAnsiTheme="minorHAnsi" w:cstheme="minorHAnsi"/>
          <w:sz w:val="22"/>
          <w:szCs w:val="22"/>
        </w:rPr>
        <w:t xml:space="preserve"> Hearing on </w:t>
      </w:r>
      <w:r w:rsidR="00922C19" w:rsidRPr="002F0A06">
        <w:rPr>
          <w:rFonts w:asciiTheme="minorHAnsi" w:hAnsiTheme="minorHAnsi" w:cstheme="minorHAnsi"/>
          <w:sz w:val="22"/>
          <w:szCs w:val="22"/>
        </w:rPr>
        <w:t>1 November 2022</w:t>
      </w:r>
      <w:r w:rsidR="00AA76F2" w:rsidRPr="002F0A06">
        <w:rPr>
          <w:rFonts w:asciiTheme="minorHAnsi" w:hAnsiTheme="minorHAnsi" w:cstheme="minorHAnsi"/>
          <w:sz w:val="22"/>
          <w:szCs w:val="22"/>
        </w:rPr>
        <w:t xml:space="preserve">, </w:t>
      </w:r>
      <w:r w:rsidRPr="002F0A06">
        <w:rPr>
          <w:rFonts w:asciiTheme="minorHAnsi" w:hAnsiTheme="minorHAnsi" w:cstheme="minorHAnsi"/>
          <w:sz w:val="22"/>
          <w:szCs w:val="22"/>
        </w:rPr>
        <w:t>Annual Report</w:t>
      </w:r>
      <w:r w:rsidR="00AA76F2" w:rsidRPr="002F0A06">
        <w:rPr>
          <w:rFonts w:asciiTheme="minorHAnsi" w:hAnsiTheme="minorHAnsi" w:cstheme="minorHAnsi"/>
          <w:sz w:val="22"/>
          <w:szCs w:val="22"/>
        </w:rPr>
        <w:t xml:space="preserve"> of </w:t>
      </w:r>
      <w:r w:rsidR="00922C19" w:rsidRPr="002F0A06">
        <w:rPr>
          <w:rFonts w:asciiTheme="minorHAnsi" w:hAnsiTheme="minorHAnsi" w:cstheme="minorHAnsi"/>
          <w:sz w:val="22"/>
          <w:szCs w:val="22"/>
        </w:rPr>
        <w:t>CHS</w:t>
      </w:r>
    </w:p>
    <w:p w14:paraId="0253A4B1" w14:textId="77777777" w:rsidR="0016396A" w:rsidRPr="002F0A06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5DE1C276" w14:textId="3190E1F8" w:rsidR="0016396A" w:rsidRPr="002F0A06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  <w:r w:rsidRPr="002F0A06">
        <w:rPr>
          <w:rFonts w:asciiTheme="minorHAnsi" w:hAnsiTheme="minorHAnsi" w:cstheme="minorHAnsi"/>
          <w:sz w:val="22"/>
          <w:szCs w:val="22"/>
        </w:rPr>
        <w:t xml:space="preserve">In relation to: </w:t>
      </w:r>
      <w:r w:rsidR="00886EE2" w:rsidRPr="002F0A06">
        <w:rPr>
          <w:rFonts w:asciiTheme="minorHAnsi" w:eastAsiaTheme="minorHAnsi" w:hAnsiTheme="minorHAnsi" w:cstheme="minorHAnsi"/>
          <w:sz w:val="22"/>
          <w:szCs w:val="22"/>
          <w:lang w:val="en-AU"/>
        </w:rPr>
        <w:t>CHS Annual report 2021-22, Page 151</w:t>
      </w:r>
    </w:p>
    <w:p w14:paraId="38EE107F" w14:textId="77777777" w:rsidR="0016396A" w:rsidRPr="002F0A06" w:rsidRDefault="0016396A" w:rsidP="0016396A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08E80AA2" w14:textId="1F013662" w:rsidR="00886EE2" w:rsidRPr="002F0A06" w:rsidRDefault="00886EE2" w:rsidP="00886EE2">
      <w:pPr>
        <w:ind w:left="-142"/>
        <w:rPr>
          <w:rFonts w:asciiTheme="minorHAnsi" w:hAnsiTheme="minorHAnsi" w:cstheme="minorHAnsi"/>
          <w:sz w:val="22"/>
          <w:szCs w:val="22"/>
        </w:rPr>
      </w:pPr>
      <w:r w:rsidRPr="002F0A06">
        <w:rPr>
          <w:rFonts w:asciiTheme="minorHAnsi" w:hAnsiTheme="minorHAnsi" w:cstheme="minorHAnsi"/>
          <w:sz w:val="22"/>
          <w:szCs w:val="22"/>
        </w:rPr>
        <w:t>Page 151 of the CHS annual report displays targets for Walk-In-Centres.</w:t>
      </w:r>
    </w:p>
    <w:p w14:paraId="0C90050D" w14:textId="77777777" w:rsidR="00886EE2" w:rsidRPr="002F0A06" w:rsidRDefault="00886EE2" w:rsidP="00886EE2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79946039" w14:textId="0F6171C1" w:rsidR="00886EE2" w:rsidRPr="002F0A06" w:rsidRDefault="00886EE2" w:rsidP="00886EE2">
      <w:pPr>
        <w:ind w:left="-142"/>
        <w:rPr>
          <w:rFonts w:asciiTheme="minorHAnsi" w:hAnsiTheme="minorHAnsi" w:cstheme="minorHAnsi"/>
          <w:sz w:val="22"/>
          <w:szCs w:val="22"/>
        </w:rPr>
      </w:pPr>
      <w:r w:rsidRPr="002F0A06">
        <w:rPr>
          <w:rFonts w:asciiTheme="minorHAnsi" w:hAnsiTheme="minorHAnsi" w:cstheme="minorHAnsi"/>
          <w:sz w:val="22"/>
          <w:szCs w:val="22"/>
        </w:rPr>
        <w:t>The ACT Health Quarterly Performance report for Quarter 4 2021-22 says that 80.5% of presentations received treatment at the walk-in centres and 7.1% were redirected to ED.</w:t>
      </w:r>
    </w:p>
    <w:p w14:paraId="2855BDF9" w14:textId="77777777" w:rsidR="00886EE2" w:rsidRPr="002F0A06" w:rsidRDefault="00886EE2" w:rsidP="00886EE2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44430560" w14:textId="1F237CA8" w:rsidR="00886EE2" w:rsidRPr="002F0A06" w:rsidRDefault="00886EE2" w:rsidP="00652850">
      <w:pPr>
        <w:pStyle w:val="ListParagraph"/>
        <w:numPr>
          <w:ilvl w:val="0"/>
          <w:numId w:val="2"/>
        </w:numPr>
        <w:ind w:left="284" w:hanging="426"/>
        <w:jc w:val="left"/>
        <w:rPr>
          <w:sz w:val="22"/>
          <w:szCs w:val="22"/>
        </w:rPr>
      </w:pPr>
      <w:r w:rsidRPr="002F0A06">
        <w:rPr>
          <w:sz w:val="22"/>
          <w:szCs w:val="22"/>
        </w:rPr>
        <w:t>What group did the remaining 12.4% belong to? Did these patients leave or get discharged without receiving treatment?</w:t>
      </w:r>
    </w:p>
    <w:p w14:paraId="13975BBB" w14:textId="77777777" w:rsidR="0034096C" w:rsidRPr="002F0A06" w:rsidRDefault="00886EE2" w:rsidP="00652850">
      <w:pPr>
        <w:pStyle w:val="ListParagraph"/>
        <w:numPr>
          <w:ilvl w:val="0"/>
          <w:numId w:val="7"/>
        </w:numPr>
        <w:jc w:val="left"/>
        <w:rPr>
          <w:sz w:val="22"/>
          <w:szCs w:val="22"/>
        </w:rPr>
      </w:pPr>
      <w:r w:rsidRPr="002F0A06">
        <w:rPr>
          <w:sz w:val="22"/>
          <w:szCs w:val="22"/>
        </w:rPr>
        <w:t>If yes, why?</w:t>
      </w:r>
    </w:p>
    <w:p w14:paraId="49AB6F18" w14:textId="0E26C1BE" w:rsidR="0034096C" w:rsidRPr="002F0A06" w:rsidRDefault="00886EE2" w:rsidP="00652850">
      <w:pPr>
        <w:pStyle w:val="ListParagraph"/>
        <w:numPr>
          <w:ilvl w:val="0"/>
          <w:numId w:val="7"/>
        </w:numPr>
        <w:jc w:val="left"/>
        <w:rPr>
          <w:sz w:val="22"/>
          <w:szCs w:val="22"/>
        </w:rPr>
      </w:pPr>
      <w:r w:rsidRPr="002F0A06">
        <w:rPr>
          <w:sz w:val="22"/>
          <w:szCs w:val="22"/>
        </w:rPr>
        <w:t>If not, what care did the remaining 12.4% receive?</w:t>
      </w:r>
    </w:p>
    <w:p w14:paraId="643AC522" w14:textId="5E8C6839" w:rsidR="00886EE2" w:rsidRPr="002F0A06" w:rsidRDefault="00886EE2" w:rsidP="0034096C">
      <w:pPr>
        <w:pStyle w:val="ListParagraph"/>
        <w:numPr>
          <w:ilvl w:val="0"/>
          <w:numId w:val="2"/>
        </w:numPr>
        <w:ind w:left="284" w:hanging="426"/>
        <w:jc w:val="left"/>
        <w:rPr>
          <w:sz w:val="22"/>
          <w:szCs w:val="22"/>
        </w:rPr>
      </w:pPr>
      <w:r w:rsidRPr="002F0A06">
        <w:rPr>
          <w:sz w:val="22"/>
          <w:szCs w:val="22"/>
        </w:rPr>
        <w:t>For each walk-in centre, how many patients left without being treated or referred to ED?</w:t>
      </w:r>
    </w:p>
    <w:p w14:paraId="2B2BFFB3" w14:textId="684ED761" w:rsidR="00886EE2" w:rsidRPr="002F0A06" w:rsidRDefault="00886EE2" w:rsidP="0034096C">
      <w:pPr>
        <w:pStyle w:val="ListParagraph"/>
        <w:numPr>
          <w:ilvl w:val="0"/>
          <w:numId w:val="2"/>
        </w:numPr>
        <w:ind w:left="284" w:hanging="426"/>
        <w:jc w:val="left"/>
        <w:rPr>
          <w:sz w:val="22"/>
          <w:szCs w:val="22"/>
        </w:rPr>
      </w:pPr>
      <w:r w:rsidRPr="002F0A06">
        <w:rPr>
          <w:sz w:val="22"/>
          <w:szCs w:val="22"/>
        </w:rPr>
        <w:t>Is there any work or investigation into why 12.4% are not receiving treatment or being referred to ED?</w:t>
      </w:r>
    </w:p>
    <w:p w14:paraId="52CBC5D7" w14:textId="6165E350" w:rsidR="009A5042" w:rsidRPr="002F0A06" w:rsidRDefault="00886EE2" w:rsidP="00886EE2">
      <w:pPr>
        <w:pStyle w:val="ListParagraph"/>
        <w:numPr>
          <w:ilvl w:val="0"/>
          <w:numId w:val="4"/>
        </w:numPr>
        <w:jc w:val="left"/>
        <w:rPr>
          <w:sz w:val="22"/>
          <w:szCs w:val="22"/>
        </w:rPr>
      </w:pPr>
      <w:r w:rsidRPr="002F0A06">
        <w:rPr>
          <w:sz w:val="22"/>
          <w:szCs w:val="22"/>
        </w:rPr>
        <w:t>If so, what work and what have you discovered?</w:t>
      </w:r>
    </w:p>
    <w:p w14:paraId="7C2CA972" w14:textId="77777777" w:rsidR="006C7C65" w:rsidRPr="002F0A06" w:rsidRDefault="006C7C65" w:rsidP="006C7C65">
      <w:pPr>
        <w:ind w:left="-142"/>
        <w:rPr>
          <w:rFonts w:asciiTheme="minorHAnsi" w:hAnsiTheme="minorHAnsi" w:cstheme="minorHAnsi"/>
          <w:sz w:val="22"/>
          <w:szCs w:val="22"/>
        </w:rPr>
      </w:pPr>
    </w:p>
    <w:p w14:paraId="0AD9B49F" w14:textId="751BB088" w:rsidR="0016396A" w:rsidRPr="002F0A06" w:rsidRDefault="00922C19" w:rsidP="0091291A">
      <w:pPr>
        <w:ind w:left="-142"/>
        <w:rPr>
          <w:rFonts w:asciiTheme="minorHAnsi" w:hAnsiTheme="minorHAnsi" w:cstheme="minorHAnsi"/>
          <w:sz w:val="22"/>
          <w:szCs w:val="22"/>
        </w:rPr>
      </w:pPr>
      <w:r w:rsidRPr="002F0A06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91291A">
        <w:rPr>
          <w:rFonts w:asciiTheme="minorHAnsi" w:hAnsiTheme="minorHAnsi" w:cstheme="minorHAnsi"/>
          <w:b/>
          <w:bCs/>
          <w:sz w:val="22"/>
          <w:szCs w:val="22"/>
        </w:rPr>
        <w:t>INISTER</w:t>
      </w:r>
      <w:r w:rsidRPr="002F0A06">
        <w:rPr>
          <w:rFonts w:asciiTheme="minorHAnsi" w:hAnsiTheme="minorHAnsi" w:cstheme="minorHAnsi"/>
          <w:b/>
          <w:bCs/>
          <w:sz w:val="22"/>
          <w:szCs w:val="22"/>
        </w:rPr>
        <w:t xml:space="preserve"> STEPHEN-SMITH MLA</w:t>
      </w:r>
      <w:r w:rsidR="0016396A" w:rsidRPr="002F0A06">
        <w:rPr>
          <w:rFonts w:asciiTheme="minorHAnsi" w:hAnsiTheme="minorHAnsi" w:cstheme="minorHAnsi"/>
          <w:sz w:val="22"/>
          <w:szCs w:val="22"/>
        </w:rPr>
        <w:t xml:space="preserve">:  </w:t>
      </w:r>
      <w:r w:rsidR="0016396A" w:rsidRPr="002F0A06">
        <w:rPr>
          <w:rFonts w:asciiTheme="minorHAnsi" w:hAnsiTheme="minorHAnsi" w:cstheme="minorHAnsi"/>
          <w:sz w:val="22"/>
          <w:szCs w:val="22"/>
          <w:lang w:val="en-US"/>
        </w:rPr>
        <w:t xml:space="preserve">The answer to the Member’s question is as </w:t>
      </w:r>
      <w:r w:rsidR="007F034F" w:rsidRPr="002F0A06">
        <w:rPr>
          <w:rFonts w:asciiTheme="minorHAnsi" w:hAnsiTheme="minorHAnsi" w:cstheme="minorHAnsi"/>
          <w:sz w:val="22"/>
          <w:szCs w:val="22"/>
          <w:lang w:val="en-US"/>
        </w:rPr>
        <w:t>follows:</w:t>
      </w:r>
      <w:r w:rsidR="007F034F" w:rsidRPr="002F0A06">
        <w:rPr>
          <w:rFonts w:asciiTheme="minorHAnsi" w:hAnsiTheme="minorHAnsi" w:cstheme="minorHAnsi"/>
          <w:sz w:val="22"/>
          <w:szCs w:val="22"/>
        </w:rPr>
        <w:t xml:space="preserve"> –</w:t>
      </w:r>
      <w:r w:rsidR="0016396A" w:rsidRPr="002F0A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66CE4" w14:textId="42993A56" w:rsidR="00922C19" w:rsidRPr="002F0A06" w:rsidRDefault="00375332" w:rsidP="00910819">
      <w:pPr>
        <w:pStyle w:val="ListParagraph"/>
        <w:numPr>
          <w:ilvl w:val="0"/>
          <w:numId w:val="1"/>
        </w:numPr>
        <w:spacing w:before="240"/>
        <w:ind w:left="284" w:hanging="426"/>
        <w:jc w:val="left"/>
        <w:rPr>
          <w:sz w:val="22"/>
          <w:szCs w:val="22"/>
        </w:rPr>
      </w:pPr>
      <w:r w:rsidRPr="002F0A06">
        <w:rPr>
          <w:sz w:val="22"/>
          <w:szCs w:val="22"/>
        </w:rPr>
        <w:t>Of the 12.4</w:t>
      </w:r>
      <w:r w:rsidR="00910819">
        <w:rPr>
          <w:sz w:val="22"/>
          <w:szCs w:val="22"/>
        </w:rPr>
        <w:t> per cent</w:t>
      </w:r>
      <w:r w:rsidRPr="002F0A06">
        <w:rPr>
          <w:sz w:val="22"/>
          <w:szCs w:val="22"/>
        </w:rPr>
        <w:t xml:space="preserve">, </w:t>
      </w:r>
      <w:r w:rsidR="0075254B" w:rsidRPr="002F0A06">
        <w:rPr>
          <w:sz w:val="22"/>
          <w:szCs w:val="22"/>
        </w:rPr>
        <w:t>6.3</w:t>
      </w:r>
      <w:r w:rsidR="00910819" w:rsidRPr="00910819">
        <w:rPr>
          <w:sz w:val="22"/>
          <w:szCs w:val="22"/>
        </w:rPr>
        <w:t xml:space="preserve"> </w:t>
      </w:r>
      <w:r w:rsidR="00910819">
        <w:rPr>
          <w:sz w:val="22"/>
          <w:szCs w:val="22"/>
        </w:rPr>
        <w:t>per cent</w:t>
      </w:r>
      <w:r w:rsidR="0075254B" w:rsidRPr="002F0A06">
        <w:rPr>
          <w:sz w:val="22"/>
          <w:szCs w:val="22"/>
        </w:rPr>
        <w:t xml:space="preserve"> were redirected to a General Practitioner, 1.7</w:t>
      </w:r>
      <w:r w:rsidR="00910819">
        <w:rPr>
          <w:sz w:val="22"/>
          <w:szCs w:val="22"/>
        </w:rPr>
        <w:t> per cent</w:t>
      </w:r>
      <w:r w:rsidR="0075254B" w:rsidRPr="002F0A06">
        <w:rPr>
          <w:sz w:val="22"/>
          <w:szCs w:val="22"/>
        </w:rPr>
        <w:t xml:space="preserve"> to an </w:t>
      </w:r>
      <w:r w:rsidR="0091291A">
        <w:rPr>
          <w:sz w:val="22"/>
          <w:szCs w:val="22"/>
        </w:rPr>
        <w:t>i</w:t>
      </w:r>
      <w:r w:rsidR="0075254B" w:rsidRPr="002F0A06">
        <w:rPr>
          <w:sz w:val="22"/>
          <w:szCs w:val="22"/>
        </w:rPr>
        <w:t>maging service and 3.3</w:t>
      </w:r>
      <w:r w:rsidR="00910819">
        <w:rPr>
          <w:sz w:val="22"/>
          <w:szCs w:val="22"/>
        </w:rPr>
        <w:t> per cent</w:t>
      </w:r>
      <w:r w:rsidR="0075254B" w:rsidRPr="002F0A06">
        <w:rPr>
          <w:sz w:val="22"/>
          <w:szCs w:val="22"/>
        </w:rPr>
        <w:t xml:space="preserve"> did not wait for treatment. The </w:t>
      </w:r>
      <w:r w:rsidRPr="002F0A06">
        <w:rPr>
          <w:sz w:val="22"/>
          <w:szCs w:val="22"/>
        </w:rPr>
        <w:t xml:space="preserve">clinical records for the </w:t>
      </w:r>
      <w:r w:rsidR="0075254B" w:rsidRPr="002F0A06">
        <w:rPr>
          <w:sz w:val="22"/>
          <w:szCs w:val="22"/>
        </w:rPr>
        <w:t xml:space="preserve">remaining presentations do not provide </w:t>
      </w:r>
      <w:r w:rsidRPr="002F0A06">
        <w:rPr>
          <w:sz w:val="22"/>
          <w:szCs w:val="22"/>
        </w:rPr>
        <w:t>information</w:t>
      </w:r>
      <w:r w:rsidR="0075254B" w:rsidRPr="002F0A06">
        <w:rPr>
          <w:sz w:val="22"/>
          <w:szCs w:val="22"/>
        </w:rPr>
        <w:t xml:space="preserve"> to allow for redirection</w:t>
      </w:r>
      <w:r w:rsidRPr="002F0A06">
        <w:rPr>
          <w:sz w:val="22"/>
          <w:szCs w:val="22"/>
        </w:rPr>
        <w:t xml:space="preserve"> data</w:t>
      </w:r>
      <w:r w:rsidR="0075254B" w:rsidRPr="002F0A06">
        <w:rPr>
          <w:sz w:val="22"/>
          <w:szCs w:val="22"/>
        </w:rPr>
        <w:t xml:space="preserve"> to be captured.</w:t>
      </w:r>
    </w:p>
    <w:p w14:paraId="50D79FC9" w14:textId="4508A285" w:rsidR="00375332" w:rsidRPr="002F0A06" w:rsidRDefault="00375332" w:rsidP="00910819">
      <w:pPr>
        <w:pStyle w:val="ListParagraph"/>
        <w:numPr>
          <w:ilvl w:val="0"/>
          <w:numId w:val="8"/>
        </w:numPr>
        <w:spacing w:before="240"/>
        <w:ind w:left="641" w:hanging="357"/>
        <w:jc w:val="left"/>
        <w:rPr>
          <w:sz w:val="22"/>
          <w:szCs w:val="22"/>
        </w:rPr>
      </w:pPr>
      <w:r w:rsidRPr="002F0A06">
        <w:rPr>
          <w:sz w:val="22"/>
          <w:szCs w:val="22"/>
        </w:rPr>
        <w:t>During this reporting period, 3.3</w:t>
      </w:r>
      <w:r w:rsidR="00910819">
        <w:rPr>
          <w:sz w:val="22"/>
          <w:szCs w:val="22"/>
        </w:rPr>
        <w:t> per cent</w:t>
      </w:r>
      <w:r w:rsidRPr="002F0A06">
        <w:rPr>
          <w:sz w:val="22"/>
          <w:szCs w:val="22"/>
        </w:rPr>
        <w:t xml:space="preserve"> of presentations to Walk-in Centres left after registration and before being assessed by a nurse. </w:t>
      </w:r>
    </w:p>
    <w:p w14:paraId="4670EAB5" w14:textId="001914CA" w:rsidR="00375332" w:rsidRPr="002F0A06" w:rsidRDefault="00375332" w:rsidP="00910819">
      <w:pPr>
        <w:pStyle w:val="ListParagraph"/>
        <w:numPr>
          <w:ilvl w:val="0"/>
          <w:numId w:val="8"/>
        </w:numPr>
        <w:spacing w:before="240"/>
        <w:ind w:left="641" w:hanging="357"/>
        <w:jc w:val="left"/>
        <w:rPr>
          <w:sz w:val="22"/>
          <w:szCs w:val="22"/>
        </w:rPr>
      </w:pPr>
      <w:r w:rsidRPr="002F0A06">
        <w:rPr>
          <w:sz w:val="22"/>
          <w:szCs w:val="22"/>
        </w:rPr>
        <w:t xml:space="preserve">There is a percentage of presentations to Walk-in Centres that are out of the service’s scope of treatment. Where a presentation is out of scope, this can be recorded </w:t>
      </w:r>
      <w:r w:rsidR="00F83A63" w:rsidRPr="002F0A06">
        <w:rPr>
          <w:sz w:val="22"/>
          <w:szCs w:val="22"/>
        </w:rPr>
        <w:t xml:space="preserve">as </w:t>
      </w:r>
      <w:r w:rsidRPr="002F0A06">
        <w:rPr>
          <w:sz w:val="22"/>
          <w:szCs w:val="22"/>
        </w:rPr>
        <w:t>not treated, or referred to another service. Where clinical care or a level of intervention has been provided prior to referral to another clinical service, this will be entered into the clinical record including which service the patient has been referred to.</w:t>
      </w:r>
    </w:p>
    <w:p w14:paraId="698936BE" w14:textId="77777777" w:rsidR="00652850" w:rsidRPr="002F0A06" w:rsidRDefault="00652850" w:rsidP="0091291A">
      <w:pPr>
        <w:spacing w:before="240"/>
        <w:rPr>
          <w:rFonts w:asciiTheme="minorHAnsi" w:hAnsiTheme="minorHAnsi" w:cstheme="minorHAnsi"/>
          <w:sz w:val="22"/>
          <w:szCs w:val="22"/>
          <w:lang w:val="en-AU"/>
        </w:rPr>
      </w:pPr>
      <w:r w:rsidRPr="002F0A06">
        <w:rPr>
          <w:rFonts w:asciiTheme="minorHAnsi" w:hAnsiTheme="minorHAnsi" w:cstheme="minorHAnsi"/>
          <w:sz w:val="22"/>
          <w:szCs w:val="22"/>
        </w:rPr>
        <w:br w:type="page"/>
      </w:r>
    </w:p>
    <w:p w14:paraId="2CD8567C" w14:textId="6ABF9053" w:rsidR="007F034F" w:rsidRPr="0091291A" w:rsidRDefault="0075254B" w:rsidP="0091291A">
      <w:pPr>
        <w:pStyle w:val="ListParagraph"/>
        <w:numPr>
          <w:ilvl w:val="0"/>
          <w:numId w:val="1"/>
        </w:numPr>
        <w:spacing w:before="240"/>
        <w:ind w:left="284" w:hanging="426"/>
        <w:jc w:val="left"/>
        <w:rPr>
          <w:sz w:val="22"/>
          <w:szCs w:val="22"/>
        </w:rPr>
      </w:pPr>
      <w:r w:rsidRPr="002F0A06">
        <w:rPr>
          <w:sz w:val="22"/>
          <w:szCs w:val="22"/>
        </w:rPr>
        <w:lastRenderedPageBreak/>
        <w:t>For</w:t>
      </w:r>
      <w:r w:rsidR="00704135">
        <w:rPr>
          <w:sz w:val="22"/>
          <w:szCs w:val="22"/>
        </w:rPr>
        <w:t xml:space="preserve"> the</w:t>
      </w:r>
      <w:r w:rsidRPr="002F0A06">
        <w:rPr>
          <w:sz w:val="22"/>
          <w:szCs w:val="22"/>
        </w:rPr>
        <w:t xml:space="preserve"> Q</w:t>
      </w:r>
      <w:r w:rsidR="00704135">
        <w:rPr>
          <w:sz w:val="22"/>
          <w:szCs w:val="22"/>
        </w:rPr>
        <w:t xml:space="preserve">uarter </w:t>
      </w:r>
      <w:r w:rsidRPr="002F0A06">
        <w:rPr>
          <w:sz w:val="22"/>
          <w:szCs w:val="22"/>
        </w:rPr>
        <w:t>4 2021-22 reporting period, the number of presentations that left a Walk-in Centre without treatment or review is 7</w:t>
      </w:r>
      <w:r w:rsidR="000903A5" w:rsidRPr="002F0A06">
        <w:rPr>
          <w:sz w:val="22"/>
          <w:szCs w:val="22"/>
        </w:rPr>
        <w:t>27</w:t>
      </w:r>
      <w:r w:rsidRPr="002F0A06">
        <w:rPr>
          <w:sz w:val="22"/>
          <w:szCs w:val="22"/>
        </w:rPr>
        <w:t xml:space="preserve"> or 3.3</w:t>
      </w:r>
      <w:r w:rsidR="00910819">
        <w:rPr>
          <w:sz w:val="22"/>
          <w:szCs w:val="22"/>
        </w:rPr>
        <w:t> per cent</w:t>
      </w:r>
      <w:r w:rsidRPr="002F0A06">
        <w:rPr>
          <w:sz w:val="22"/>
          <w:szCs w:val="22"/>
        </w:rPr>
        <w:t>.</w:t>
      </w:r>
      <w:r w:rsidR="00375332" w:rsidRPr="002F0A06">
        <w:rPr>
          <w:sz w:val="22"/>
          <w:szCs w:val="22"/>
        </w:rPr>
        <w:t xml:space="preserve"> This is broken down as:</w:t>
      </w:r>
    </w:p>
    <w:tbl>
      <w:tblPr>
        <w:tblStyle w:val="TableGrid"/>
        <w:tblpPr w:leftFromText="180" w:rightFromText="180" w:vertAnchor="text" w:horzAnchor="margin" w:tblpXSpec="center" w:tblpY="112"/>
        <w:tblW w:w="0" w:type="auto"/>
        <w:tblLook w:val="04A0" w:firstRow="1" w:lastRow="0" w:firstColumn="1" w:lastColumn="0" w:noHBand="0" w:noVBand="1"/>
      </w:tblPr>
      <w:tblGrid>
        <w:gridCol w:w="3680"/>
        <w:gridCol w:w="3545"/>
      </w:tblGrid>
      <w:tr w:rsidR="007F034F" w:rsidRPr="002F0A06" w14:paraId="209D174C" w14:textId="77777777" w:rsidTr="00704135">
        <w:trPr>
          <w:trHeight w:val="555"/>
        </w:trPr>
        <w:tc>
          <w:tcPr>
            <w:tcW w:w="3680" w:type="dxa"/>
            <w:shd w:val="clear" w:color="auto" w:fill="D9D9D9" w:themeFill="background1" w:themeFillShade="D9"/>
          </w:tcPr>
          <w:p w14:paraId="6CFA5DC8" w14:textId="77777777" w:rsidR="007F034F" w:rsidRPr="002F0A06" w:rsidRDefault="007F034F" w:rsidP="00704135">
            <w:pPr>
              <w:pStyle w:val="ListParagraph"/>
              <w:spacing w:before="240"/>
              <w:rPr>
                <w:b/>
                <w:bCs/>
                <w:sz w:val="22"/>
                <w:szCs w:val="22"/>
              </w:rPr>
            </w:pPr>
            <w:r w:rsidRPr="002F0A06">
              <w:rPr>
                <w:b/>
                <w:bCs/>
                <w:sz w:val="22"/>
                <w:szCs w:val="22"/>
              </w:rPr>
              <w:t>Walk-in Centre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14:paraId="5BECA5AF" w14:textId="77777777" w:rsidR="007F034F" w:rsidRPr="002F0A06" w:rsidRDefault="007F034F" w:rsidP="0091291A">
            <w:pPr>
              <w:pStyle w:val="ListParagraph"/>
              <w:spacing w:before="240"/>
              <w:rPr>
                <w:b/>
                <w:bCs/>
                <w:sz w:val="22"/>
                <w:szCs w:val="22"/>
              </w:rPr>
            </w:pPr>
            <w:r w:rsidRPr="002F0A06">
              <w:rPr>
                <w:b/>
                <w:bCs/>
                <w:sz w:val="22"/>
                <w:szCs w:val="22"/>
              </w:rPr>
              <w:t>Number of Presentations that left without treatment</w:t>
            </w:r>
          </w:p>
        </w:tc>
      </w:tr>
      <w:tr w:rsidR="007F034F" w:rsidRPr="002F0A06" w14:paraId="7F2E14C4" w14:textId="77777777" w:rsidTr="00704135">
        <w:trPr>
          <w:trHeight w:val="340"/>
        </w:trPr>
        <w:tc>
          <w:tcPr>
            <w:tcW w:w="3680" w:type="dxa"/>
          </w:tcPr>
          <w:p w14:paraId="45938797" w14:textId="77777777" w:rsidR="007F034F" w:rsidRPr="002F0A06" w:rsidRDefault="007F034F" w:rsidP="0091291A">
            <w:pPr>
              <w:pStyle w:val="ListParagraph"/>
              <w:spacing w:before="240"/>
              <w:jc w:val="left"/>
              <w:rPr>
                <w:sz w:val="22"/>
                <w:szCs w:val="22"/>
              </w:rPr>
            </w:pPr>
            <w:r w:rsidRPr="002F0A06">
              <w:rPr>
                <w:sz w:val="22"/>
                <w:szCs w:val="22"/>
              </w:rPr>
              <w:t>Gungahlin</w:t>
            </w:r>
          </w:p>
        </w:tc>
        <w:tc>
          <w:tcPr>
            <w:tcW w:w="3545" w:type="dxa"/>
          </w:tcPr>
          <w:p w14:paraId="47C5828C" w14:textId="77777777" w:rsidR="007F034F" w:rsidRPr="002F0A06" w:rsidRDefault="007F034F" w:rsidP="0091291A">
            <w:pPr>
              <w:pStyle w:val="ListParagraph"/>
              <w:spacing w:before="240"/>
              <w:rPr>
                <w:sz w:val="22"/>
                <w:szCs w:val="22"/>
              </w:rPr>
            </w:pPr>
            <w:r w:rsidRPr="002F0A06">
              <w:rPr>
                <w:sz w:val="22"/>
                <w:szCs w:val="22"/>
              </w:rPr>
              <w:t>160</w:t>
            </w:r>
          </w:p>
        </w:tc>
      </w:tr>
      <w:tr w:rsidR="007F034F" w:rsidRPr="002F0A06" w14:paraId="5A409D64" w14:textId="77777777" w:rsidTr="00704135">
        <w:trPr>
          <w:trHeight w:val="248"/>
        </w:trPr>
        <w:tc>
          <w:tcPr>
            <w:tcW w:w="3680" w:type="dxa"/>
          </w:tcPr>
          <w:p w14:paraId="25DF903A" w14:textId="77777777" w:rsidR="007F034F" w:rsidRPr="002F0A06" w:rsidRDefault="007F034F" w:rsidP="0091291A">
            <w:pPr>
              <w:pStyle w:val="ListParagraph"/>
              <w:spacing w:before="240"/>
              <w:jc w:val="left"/>
              <w:rPr>
                <w:sz w:val="22"/>
                <w:szCs w:val="22"/>
              </w:rPr>
            </w:pPr>
            <w:r w:rsidRPr="002F0A06">
              <w:rPr>
                <w:sz w:val="22"/>
                <w:szCs w:val="22"/>
              </w:rPr>
              <w:t>Belconnen</w:t>
            </w:r>
          </w:p>
        </w:tc>
        <w:tc>
          <w:tcPr>
            <w:tcW w:w="3545" w:type="dxa"/>
          </w:tcPr>
          <w:p w14:paraId="0CACBFA4" w14:textId="77777777" w:rsidR="007F034F" w:rsidRPr="002F0A06" w:rsidRDefault="007F034F" w:rsidP="0091291A">
            <w:pPr>
              <w:pStyle w:val="ListParagraph"/>
              <w:spacing w:before="240"/>
              <w:rPr>
                <w:sz w:val="22"/>
                <w:szCs w:val="22"/>
              </w:rPr>
            </w:pPr>
            <w:r w:rsidRPr="002F0A06">
              <w:rPr>
                <w:sz w:val="22"/>
                <w:szCs w:val="22"/>
              </w:rPr>
              <w:t>247</w:t>
            </w:r>
          </w:p>
        </w:tc>
      </w:tr>
      <w:tr w:rsidR="007F034F" w:rsidRPr="002F0A06" w14:paraId="42748B9B" w14:textId="77777777" w:rsidTr="007F034F">
        <w:tc>
          <w:tcPr>
            <w:tcW w:w="3680" w:type="dxa"/>
          </w:tcPr>
          <w:p w14:paraId="7BE2E29C" w14:textId="77777777" w:rsidR="007F034F" w:rsidRPr="002F0A06" w:rsidRDefault="007F034F" w:rsidP="0091291A">
            <w:pPr>
              <w:pStyle w:val="ListParagraph"/>
              <w:spacing w:before="240"/>
              <w:jc w:val="left"/>
              <w:rPr>
                <w:sz w:val="22"/>
                <w:szCs w:val="22"/>
              </w:rPr>
            </w:pPr>
            <w:r w:rsidRPr="002F0A06">
              <w:rPr>
                <w:sz w:val="22"/>
                <w:szCs w:val="22"/>
              </w:rPr>
              <w:t>Weston Creek</w:t>
            </w:r>
          </w:p>
        </w:tc>
        <w:tc>
          <w:tcPr>
            <w:tcW w:w="3545" w:type="dxa"/>
          </w:tcPr>
          <w:p w14:paraId="4A1C8058" w14:textId="77777777" w:rsidR="007F034F" w:rsidRPr="002F0A06" w:rsidRDefault="007F034F" w:rsidP="0091291A">
            <w:pPr>
              <w:pStyle w:val="ListParagraph"/>
              <w:spacing w:before="240"/>
              <w:rPr>
                <w:sz w:val="22"/>
                <w:szCs w:val="22"/>
              </w:rPr>
            </w:pPr>
            <w:r w:rsidRPr="002F0A06">
              <w:rPr>
                <w:sz w:val="22"/>
                <w:szCs w:val="22"/>
              </w:rPr>
              <w:t>124</w:t>
            </w:r>
          </w:p>
        </w:tc>
      </w:tr>
      <w:tr w:rsidR="007F034F" w:rsidRPr="002F0A06" w14:paraId="46E22982" w14:textId="77777777" w:rsidTr="007F034F">
        <w:tc>
          <w:tcPr>
            <w:tcW w:w="3680" w:type="dxa"/>
          </w:tcPr>
          <w:p w14:paraId="0C1C98C5" w14:textId="77777777" w:rsidR="007F034F" w:rsidRPr="002F0A06" w:rsidRDefault="007F034F" w:rsidP="0091291A">
            <w:pPr>
              <w:pStyle w:val="ListParagraph"/>
              <w:spacing w:before="240"/>
              <w:jc w:val="left"/>
              <w:rPr>
                <w:sz w:val="22"/>
                <w:szCs w:val="22"/>
              </w:rPr>
            </w:pPr>
            <w:r w:rsidRPr="002F0A06">
              <w:rPr>
                <w:sz w:val="22"/>
                <w:szCs w:val="22"/>
              </w:rPr>
              <w:t>Tuggeranong</w:t>
            </w:r>
          </w:p>
        </w:tc>
        <w:tc>
          <w:tcPr>
            <w:tcW w:w="3545" w:type="dxa"/>
          </w:tcPr>
          <w:p w14:paraId="401D80C7" w14:textId="77777777" w:rsidR="007F034F" w:rsidRPr="002F0A06" w:rsidRDefault="007F034F" w:rsidP="0091291A">
            <w:pPr>
              <w:pStyle w:val="ListParagraph"/>
              <w:spacing w:before="240"/>
              <w:rPr>
                <w:sz w:val="22"/>
                <w:szCs w:val="22"/>
              </w:rPr>
            </w:pPr>
            <w:r w:rsidRPr="002F0A06">
              <w:rPr>
                <w:sz w:val="22"/>
                <w:szCs w:val="22"/>
              </w:rPr>
              <w:t>181</w:t>
            </w:r>
          </w:p>
        </w:tc>
      </w:tr>
      <w:tr w:rsidR="007F034F" w:rsidRPr="002F0A06" w14:paraId="6FA9B151" w14:textId="77777777" w:rsidTr="007F034F">
        <w:tc>
          <w:tcPr>
            <w:tcW w:w="3680" w:type="dxa"/>
          </w:tcPr>
          <w:p w14:paraId="6D5F4A8C" w14:textId="77777777" w:rsidR="007F034F" w:rsidRPr="002F0A06" w:rsidRDefault="007F034F" w:rsidP="0091291A">
            <w:pPr>
              <w:pStyle w:val="ListParagraph"/>
              <w:spacing w:before="240"/>
              <w:jc w:val="left"/>
              <w:rPr>
                <w:sz w:val="22"/>
                <w:szCs w:val="22"/>
              </w:rPr>
            </w:pPr>
            <w:r w:rsidRPr="002F0A06">
              <w:rPr>
                <w:sz w:val="22"/>
                <w:szCs w:val="22"/>
              </w:rPr>
              <w:t>COVID-19</w:t>
            </w:r>
          </w:p>
        </w:tc>
        <w:tc>
          <w:tcPr>
            <w:tcW w:w="3545" w:type="dxa"/>
          </w:tcPr>
          <w:p w14:paraId="7BBBD365" w14:textId="77777777" w:rsidR="007F034F" w:rsidRPr="002F0A06" w:rsidRDefault="007F034F" w:rsidP="0091291A">
            <w:pPr>
              <w:pStyle w:val="ListParagraph"/>
              <w:spacing w:before="240"/>
              <w:rPr>
                <w:sz w:val="22"/>
                <w:szCs w:val="22"/>
              </w:rPr>
            </w:pPr>
            <w:r w:rsidRPr="002F0A06">
              <w:rPr>
                <w:sz w:val="22"/>
                <w:szCs w:val="22"/>
              </w:rPr>
              <w:t>15</w:t>
            </w:r>
          </w:p>
        </w:tc>
      </w:tr>
    </w:tbl>
    <w:p w14:paraId="3773461F" w14:textId="5C55DB1E" w:rsidR="007F034F" w:rsidRPr="002F0A06" w:rsidRDefault="007F034F" w:rsidP="0091291A">
      <w:pPr>
        <w:pStyle w:val="ListParagraph"/>
        <w:spacing w:before="240"/>
        <w:ind w:left="284"/>
        <w:jc w:val="left"/>
        <w:rPr>
          <w:sz w:val="22"/>
          <w:szCs w:val="22"/>
        </w:rPr>
      </w:pPr>
    </w:p>
    <w:p w14:paraId="64C3EF27" w14:textId="4BBAA287" w:rsidR="007F034F" w:rsidRPr="002F0A06" w:rsidRDefault="007F034F" w:rsidP="0091291A">
      <w:pPr>
        <w:pStyle w:val="ListParagraph"/>
        <w:spacing w:before="240"/>
        <w:ind w:left="284"/>
        <w:jc w:val="left"/>
        <w:rPr>
          <w:sz w:val="22"/>
          <w:szCs w:val="22"/>
        </w:rPr>
      </w:pPr>
    </w:p>
    <w:p w14:paraId="51F9FC71" w14:textId="7E566E5D" w:rsidR="007F034F" w:rsidRPr="002F0A06" w:rsidRDefault="007F034F" w:rsidP="0091291A">
      <w:pPr>
        <w:pStyle w:val="ListParagraph"/>
        <w:spacing w:before="240"/>
        <w:ind w:left="284"/>
        <w:jc w:val="left"/>
        <w:rPr>
          <w:sz w:val="22"/>
          <w:szCs w:val="22"/>
        </w:rPr>
      </w:pPr>
    </w:p>
    <w:p w14:paraId="54D4D487" w14:textId="77777777" w:rsidR="007F034F" w:rsidRPr="002F0A06" w:rsidRDefault="007F034F" w:rsidP="0091291A">
      <w:pPr>
        <w:pStyle w:val="ListParagraph"/>
        <w:spacing w:before="240"/>
        <w:ind w:left="284"/>
        <w:jc w:val="left"/>
        <w:rPr>
          <w:sz w:val="22"/>
          <w:szCs w:val="22"/>
        </w:rPr>
      </w:pPr>
    </w:p>
    <w:p w14:paraId="06AB8FCE" w14:textId="24FCFE5B" w:rsidR="00375332" w:rsidRPr="002F0A06" w:rsidRDefault="00375332" w:rsidP="0091291A">
      <w:pPr>
        <w:pStyle w:val="ListParagraph"/>
        <w:spacing w:before="240"/>
        <w:ind w:left="720"/>
        <w:jc w:val="left"/>
        <w:rPr>
          <w:sz w:val="22"/>
          <w:szCs w:val="22"/>
        </w:rPr>
      </w:pPr>
    </w:p>
    <w:p w14:paraId="18B6A0E2" w14:textId="3146BDF1" w:rsidR="007F034F" w:rsidRPr="002F0A06" w:rsidRDefault="007F034F" w:rsidP="0091291A">
      <w:pPr>
        <w:pStyle w:val="ListParagraph"/>
        <w:spacing w:before="240"/>
        <w:ind w:left="720"/>
        <w:jc w:val="left"/>
        <w:rPr>
          <w:sz w:val="22"/>
          <w:szCs w:val="22"/>
        </w:rPr>
      </w:pPr>
    </w:p>
    <w:p w14:paraId="5A2AA2F4" w14:textId="77777777" w:rsidR="007F034F" w:rsidRPr="0091291A" w:rsidRDefault="007F034F" w:rsidP="0091291A">
      <w:pPr>
        <w:spacing w:before="240"/>
        <w:rPr>
          <w:sz w:val="22"/>
          <w:szCs w:val="22"/>
        </w:rPr>
      </w:pPr>
    </w:p>
    <w:p w14:paraId="7F970EC1" w14:textId="29B29C94" w:rsidR="00652850" w:rsidRPr="0091291A" w:rsidRDefault="00664A03" w:rsidP="0091291A">
      <w:pPr>
        <w:pStyle w:val="ListParagraph"/>
        <w:numPr>
          <w:ilvl w:val="0"/>
          <w:numId w:val="1"/>
        </w:numPr>
        <w:spacing w:before="240"/>
        <w:ind w:left="284" w:hanging="426"/>
        <w:jc w:val="left"/>
        <w:rPr>
          <w:sz w:val="22"/>
          <w:szCs w:val="22"/>
        </w:rPr>
      </w:pPr>
      <w:r w:rsidRPr="002F0A06">
        <w:rPr>
          <w:sz w:val="22"/>
          <w:szCs w:val="22"/>
        </w:rPr>
        <w:t>In 2021</w:t>
      </w:r>
      <w:r w:rsidR="007F034F" w:rsidRPr="002F0A06">
        <w:rPr>
          <w:sz w:val="22"/>
          <w:szCs w:val="22"/>
        </w:rPr>
        <w:t>,</w:t>
      </w:r>
      <w:r w:rsidRPr="002F0A06">
        <w:rPr>
          <w:sz w:val="22"/>
          <w:szCs w:val="22"/>
        </w:rPr>
        <w:t xml:space="preserve"> the Walk-in Centres conducted a review of presentations that were subsequently redirected to an Emergency Department. This review was undertaken in consideration of the appropriateness of referral. The review found referrals were appropriate. </w:t>
      </w:r>
    </w:p>
    <w:p w14:paraId="46419A40" w14:textId="30AA7135" w:rsidR="00F30536" w:rsidRPr="002F0A06" w:rsidRDefault="00664A03" w:rsidP="0091291A">
      <w:pPr>
        <w:pStyle w:val="ListParagraph"/>
        <w:spacing w:before="240"/>
        <w:ind w:left="284"/>
        <w:jc w:val="left"/>
        <w:rPr>
          <w:sz w:val="22"/>
          <w:szCs w:val="22"/>
        </w:rPr>
      </w:pPr>
      <w:r w:rsidRPr="002F0A06">
        <w:rPr>
          <w:sz w:val="22"/>
          <w:szCs w:val="22"/>
        </w:rPr>
        <w:t>The W</w:t>
      </w:r>
      <w:r w:rsidR="0034096C" w:rsidRPr="002F0A06">
        <w:rPr>
          <w:sz w:val="22"/>
          <w:szCs w:val="22"/>
        </w:rPr>
        <w:t>alk-in Centre team regularly review treatment protocols for consideration of opportunity to expand</w:t>
      </w:r>
      <w:r w:rsidR="00F83A63" w:rsidRPr="002F0A06">
        <w:rPr>
          <w:sz w:val="22"/>
          <w:szCs w:val="22"/>
        </w:rPr>
        <w:t xml:space="preserve"> the scope of</w:t>
      </w:r>
      <w:r w:rsidR="0034096C" w:rsidRPr="002F0A06">
        <w:rPr>
          <w:sz w:val="22"/>
          <w:szCs w:val="22"/>
        </w:rPr>
        <w:t xml:space="preserve"> service. An example of this is the recent</w:t>
      </w:r>
      <w:r w:rsidR="002F4D74" w:rsidRPr="002F0A06">
        <w:rPr>
          <w:sz w:val="22"/>
          <w:szCs w:val="22"/>
        </w:rPr>
        <w:t xml:space="preserve"> expansion to provide treatment to children from one year of age. </w:t>
      </w:r>
    </w:p>
    <w:p w14:paraId="5DC75E98" w14:textId="1B17CD11" w:rsidR="00F30536" w:rsidRDefault="00F30536" w:rsidP="00F30536">
      <w:pPr>
        <w:ind w:left="-426" w:firstLine="284"/>
        <w:rPr>
          <w:rFonts w:asciiTheme="minorHAnsi" w:hAnsiTheme="minorHAnsi" w:cstheme="minorHAnsi"/>
          <w:sz w:val="22"/>
          <w:szCs w:val="22"/>
        </w:rPr>
      </w:pPr>
    </w:p>
    <w:p w14:paraId="7B22C4B6" w14:textId="7FE17B84" w:rsidR="00324D0D" w:rsidRDefault="00324D0D" w:rsidP="00F30536">
      <w:pPr>
        <w:ind w:left="-426" w:firstLine="284"/>
        <w:rPr>
          <w:rFonts w:asciiTheme="minorHAnsi" w:hAnsiTheme="minorHAnsi" w:cstheme="minorHAnsi"/>
          <w:sz w:val="22"/>
          <w:szCs w:val="22"/>
        </w:rPr>
      </w:pPr>
    </w:p>
    <w:p w14:paraId="084C6B78" w14:textId="77777777" w:rsidR="00324D0D" w:rsidRPr="002F0A06" w:rsidRDefault="00324D0D" w:rsidP="00F30536">
      <w:pPr>
        <w:ind w:left="-426" w:firstLine="284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:rsidRPr="002F0A0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Pr="002F0A06" w:rsidRDefault="00F30536">
            <w:pPr>
              <w:spacing w:line="256" w:lineRule="auto"/>
              <w:ind w:left="-284" w:right="283" w:hanging="14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1837E" w14:textId="521E6F85" w:rsidR="00F30536" w:rsidRPr="002F0A06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2F0A06">
              <w:rPr>
                <w:sz w:val="22"/>
                <w:szCs w:val="22"/>
              </w:rPr>
              <w:t>Approved for circulation to the Standing Committee</w:t>
            </w:r>
            <w:r w:rsidR="00826989" w:rsidRPr="002F0A06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7F034F" w:rsidRPr="002F0A06">
                  <w:rPr>
                    <w:sz w:val="22"/>
                    <w:szCs w:val="22"/>
                  </w:rPr>
                  <w:t>Health and Community Wellbeing</w:t>
                </w:r>
              </w:sdtContent>
            </w:sdt>
            <w:r w:rsidR="00826989" w:rsidRPr="002F0A06">
              <w:rPr>
                <w:sz w:val="22"/>
                <w:szCs w:val="22"/>
              </w:rPr>
              <w:t xml:space="preserve"> </w:t>
            </w:r>
          </w:p>
          <w:p w14:paraId="6A8E56E2" w14:textId="77777777" w:rsidR="00F30536" w:rsidRPr="002F0A06" w:rsidRDefault="00F30536">
            <w:pPr>
              <w:spacing w:line="256" w:lineRule="auto"/>
              <w:ind w:left="306" w:right="283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A7FB55" w14:textId="77777777" w:rsidR="00F30536" w:rsidRPr="002F0A06" w:rsidRDefault="00F30536">
            <w:pPr>
              <w:spacing w:line="256" w:lineRule="auto"/>
              <w:ind w:left="306" w:right="283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61E6E9" w14:textId="77777777" w:rsidR="00F30536" w:rsidRPr="002F0A06" w:rsidRDefault="00F30536">
            <w:pPr>
              <w:spacing w:line="256" w:lineRule="auto"/>
              <w:ind w:left="306" w:righ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F0A06">
              <w:rPr>
                <w:rFonts w:asciiTheme="minorHAnsi" w:hAnsiTheme="minorHAnsi" w:cstheme="minorHAnsi"/>
                <w:sz w:val="22"/>
                <w:szCs w:val="22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Pr="002F0A06" w:rsidRDefault="00F30536">
            <w:pPr>
              <w:spacing w:line="256" w:lineRule="auto"/>
              <w:ind w:left="306" w:right="283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EE9CF" w14:textId="4A802223" w:rsidR="00F30536" w:rsidRPr="002F0A06" w:rsidRDefault="00F30536" w:rsidP="007F034F">
            <w:pPr>
              <w:spacing w:line="256" w:lineRule="auto"/>
              <w:ind w:left="306" w:righ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F0A06">
              <w:rPr>
                <w:rFonts w:asciiTheme="minorHAnsi" w:hAnsiTheme="minorHAnsi" w:cstheme="minorHAnsi"/>
                <w:sz w:val="22"/>
                <w:szCs w:val="22"/>
              </w:rPr>
              <w:t xml:space="preserve">By the </w:t>
            </w:r>
            <w:r w:rsidR="007F034F" w:rsidRPr="002F0A06">
              <w:rPr>
                <w:rFonts w:asciiTheme="minorHAnsi" w:hAnsiTheme="minorHAnsi" w:cstheme="minorHAnsi"/>
                <w:sz w:val="22"/>
                <w:szCs w:val="22"/>
              </w:rPr>
              <w:t>Minister for Health, Rachel Stephen-Smith</w:t>
            </w:r>
            <w:r w:rsidR="006E1730" w:rsidRPr="002F0A06">
              <w:rPr>
                <w:rFonts w:asciiTheme="minorHAnsi" w:hAnsiTheme="minorHAnsi" w:cstheme="minorHAnsi"/>
                <w:sz w:val="22"/>
                <w:szCs w:val="22"/>
              </w:rPr>
              <w:t xml:space="preserve"> MLA</w:t>
            </w:r>
          </w:p>
          <w:p w14:paraId="06D175CE" w14:textId="226E7D6C" w:rsidR="007F034F" w:rsidRPr="002F0A06" w:rsidRDefault="006E1730" w:rsidP="007F034F">
            <w:pPr>
              <w:spacing w:line="256" w:lineRule="auto"/>
              <w:ind w:left="306" w:righ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2F0A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3A5A96A4" w14:textId="77777777" w:rsidR="00F30536" w:rsidRPr="002F0A06" w:rsidRDefault="00F30536" w:rsidP="00F30536">
      <w:pPr>
        <w:rPr>
          <w:rFonts w:asciiTheme="minorHAnsi" w:hAnsiTheme="minorHAnsi" w:cstheme="minorHAnsi"/>
          <w:sz w:val="22"/>
          <w:szCs w:val="22"/>
          <w:lang w:eastAsia="en-AU"/>
        </w:rPr>
      </w:pPr>
    </w:p>
    <w:sectPr w:rsidR="00F30536" w:rsidRPr="002F0A0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9F382" w14:textId="77777777" w:rsidR="006154AB" w:rsidRDefault="006154AB">
      <w:r>
        <w:separator/>
      </w:r>
    </w:p>
  </w:endnote>
  <w:endnote w:type="continuationSeparator" w:id="0">
    <w:p w14:paraId="3019C880" w14:textId="77777777" w:rsidR="006154AB" w:rsidRDefault="0061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90BC" w14:textId="77777777" w:rsidR="006154AB" w:rsidRDefault="006154AB">
      <w:r>
        <w:separator/>
      </w:r>
    </w:p>
  </w:footnote>
  <w:footnote w:type="continuationSeparator" w:id="0">
    <w:p w14:paraId="6B37A8D4" w14:textId="77777777" w:rsidR="006154AB" w:rsidRDefault="0061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339AE"/>
    <w:multiLevelType w:val="hybridMultilevel"/>
    <w:tmpl w:val="47F87D22"/>
    <w:lvl w:ilvl="0" w:tplc="056C791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BC0EF7"/>
    <w:multiLevelType w:val="hybridMultilevel"/>
    <w:tmpl w:val="DCDA2E50"/>
    <w:lvl w:ilvl="0" w:tplc="0C09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956A74"/>
    <w:multiLevelType w:val="hybridMultilevel"/>
    <w:tmpl w:val="5CD27F92"/>
    <w:lvl w:ilvl="0" w:tplc="A54CD91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z w:val="23"/>
        <w:u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6251B39"/>
    <w:multiLevelType w:val="hybridMultilevel"/>
    <w:tmpl w:val="A8F8C6D4"/>
    <w:lvl w:ilvl="0" w:tplc="0C09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B616A3"/>
    <w:multiLevelType w:val="hybridMultilevel"/>
    <w:tmpl w:val="60144B52"/>
    <w:lvl w:ilvl="0" w:tplc="70085020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A9716C7"/>
    <w:multiLevelType w:val="hybridMultilevel"/>
    <w:tmpl w:val="FC2A82FC"/>
    <w:lvl w:ilvl="0" w:tplc="0C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56C38"/>
    <w:multiLevelType w:val="hybridMultilevel"/>
    <w:tmpl w:val="4F3C2F3C"/>
    <w:lvl w:ilvl="0" w:tplc="0C09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1067A50"/>
    <w:multiLevelType w:val="hybridMultilevel"/>
    <w:tmpl w:val="FAE6E82C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8D4B11"/>
    <w:multiLevelType w:val="hybridMultilevel"/>
    <w:tmpl w:val="F20A1490"/>
    <w:lvl w:ilvl="0" w:tplc="0C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11BF4"/>
    <w:rsid w:val="00027180"/>
    <w:rsid w:val="000903A5"/>
    <w:rsid w:val="000C5582"/>
    <w:rsid w:val="00132057"/>
    <w:rsid w:val="0016396A"/>
    <w:rsid w:val="001A7953"/>
    <w:rsid w:val="002068AD"/>
    <w:rsid w:val="00231216"/>
    <w:rsid w:val="0025177F"/>
    <w:rsid w:val="002535CC"/>
    <w:rsid w:val="00262485"/>
    <w:rsid w:val="002A16AD"/>
    <w:rsid w:val="002A53C9"/>
    <w:rsid w:val="002F0A06"/>
    <w:rsid w:val="002F4D74"/>
    <w:rsid w:val="00324D0D"/>
    <w:rsid w:val="0033606A"/>
    <w:rsid w:val="0034096C"/>
    <w:rsid w:val="00375332"/>
    <w:rsid w:val="00381494"/>
    <w:rsid w:val="003B4211"/>
    <w:rsid w:val="003F2BB7"/>
    <w:rsid w:val="004023FC"/>
    <w:rsid w:val="00410730"/>
    <w:rsid w:val="0043031E"/>
    <w:rsid w:val="004710BD"/>
    <w:rsid w:val="00477B27"/>
    <w:rsid w:val="004A77A9"/>
    <w:rsid w:val="004C0F4C"/>
    <w:rsid w:val="004E05BB"/>
    <w:rsid w:val="00511A2B"/>
    <w:rsid w:val="0057059D"/>
    <w:rsid w:val="005719E5"/>
    <w:rsid w:val="005C43F5"/>
    <w:rsid w:val="00600F07"/>
    <w:rsid w:val="006033E5"/>
    <w:rsid w:val="006154AB"/>
    <w:rsid w:val="00621AA6"/>
    <w:rsid w:val="006376BE"/>
    <w:rsid w:val="006457A4"/>
    <w:rsid w:val="00652850"/>
    <w:rsid w:val="00653886"/>
    <w:rsid w:val="00664A03"/>
    <w:rsid w:val="00670B24"/>
    <w:rsid w:val="006933A8"/>
    <w:rsid w:val="006C7C65"/>
    <w:rsid w:val="006E1730"/>
    <w:rsid w:val="006F3A62"/>
    <w:rsid w:val="00704135"/>
    <w:rsid w:val="00714C23"/>
    <w:rsid w:val="0075254B"/>
    <w:rsid w:val="00796DC4"/>
    <w:rsid w:val="007B1CEC"/>
    <w:rsid w:val="007E1B9F"/>
    <w:rsid w:val="007F034F"/>
    <w:rsid w:val="008214FD"/>
    <w:rsid w:val="00825E12"/>
    <w:rsid w:val="00826989"/>
    <w:rsid w:val="00836190"/>
    <w:rsid w:val="00857745"/>
    <w:rsid w:val="00886EE2"/>
    <w:rsid w:val="008D2141"/>
    <w:rsid w:val="008D735E"/>
    <w:rsid w:val="008F6DC3"/>
    <w:rsid w:val="00910819"/>
    <w:rsid w:val="0091291A"/>
    <w:rsid w:val="00922C19"/>
    <w:rsid w:val="00925A77"/>
    <w:rsid w:val="00954367"/>
    <w:rsid w:val="00971B5E"/>
    <w:rsid w:val="009A1A69"/>
    <w:rsid w:val="009A49B1"/>
    <w:rsid w:val="009A5042"/>
    <w:rsid w:val="009B2702"/>
    <w:rsid w:val="009B6EEF"/>
    <w:rsid w:val="009B7433"/>
    <w:rsid w:val="009C2DBC"/>
    <w:rsid w:val="009C7B09"/>
    <w:rsid w:val="00A02A4C"/>
    <w:rsid w:val="00A137B2"/>
    <w:rsid w:val="00A206D2"/>
    <w:rsid w:val="00AA76F2"/>
    <w:rsid w:val="00AC58BD"/>
    <w:rsid w:val="00B55C90"/>
    <w:rsid w:val="00BD156E"/>
    <w:rsid w:val="00BD75B4"/>
    <w:rsid w:val="00C17C2C"/>
    <w:rsid w:val="00C31669"/>
    <w:rsid w:val="00C375C7"/>
    <w:rsid w:val="00C713F1"/>
    <w:rsid w:val="00CD7D07"/>
    <w:rsid w:val="00D9548B"/>
    <w:rsid w:val="00E56CE5"/>
    <w:rsid w:val="00E9429A"/>
    <w:rsid w:val="00E97EB4"/>
    <w:rsid w:val="00EC53C0"/>
    <w:rsid w:val="00F30536"/>
    <w:rsid w:val="00F30C72"/>
    <w:rsid w:val="00F3157F"/>
    <w:rsid w:val="00F3659B"/>
    <w:rsid w:val="00F83A63"/>
    <w:rsid w:val="00F873CA"/>
    <w:rsid w:val="00FB36EC"/>
    <w:rsid w:val="00FB37D3"/>
    <w:rsid w:val="00FD6165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66"/>
    <w:rsid w:val="00792E66"/>
    <w:rsid w:val="00D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Stephen-Smith, Rachel</cp:lastModifiedBy>
  <cp:revision>13</cp:revision>
  <cp:lastPrinted>2022-11-11T02:22:00Z</cp:lastPrinted>
  <dcterms:created xsi:type="dcterms:W3CDTF">2022-11-07T05:02:00Z</dcterms:created>
  <dcterms:modified xsi:type="dcterms:W3CDTF">2022-11-16T09:00:00Z</dcterms:modified>
</cp:coreProperties>
</file>