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52FB" w14:textId="77777777" w:rsidR="00A94186" w:rsidRDefault="00A94186" w:rsidP="00A94186"/>
    <w:p w14:paraId="307B4179" w14:textId="77777777" w:rsidR="00A94186" w:rsidRPr="003A049B" w:rsidRDefault="00A94186" w:rsidP="00A94186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B9414" w14:textId="77777777" w:rsidR="00A94186" w:rsidRDefault="00A94186" w:rsidP="00A94186"/>
    <w:p w14:paraId="1CBC83EE" w14:textId="6544C8A8" w:rsidR="00A94186" w:rsidRPr="003A049B" w:rsidRDefault="00C60C6D" w:rsidP="00A94186">
      <w:pPr>
        <w:jc w:val="center"/>
        <w:rPr>
          <w:sz w:val="36"/>
          <w:szCs w:val="36"/>
        </w:rPr>
      </w:pPr>
      <w:r>
        <w:rPr>
          <w:sz w:val="36"/>
          <w:szCs w:val="36"/>
        </w:rPr>
        <w:t>Justice and Community Safety</w:t>
      </w:r>
      <w:r w:rsidR="00A94186">
        <w:rPr>
          <w:sz w:val="36"/>
          <w:szCs w:val="36"/>
        </w:rPr>
        <w:t xml:space="preserve"> Legislation Amendment Bill 2022</w:t>
      </w:r>
      <w:r>
        <w:rPr>
          <w:sz w:val="36"/>
          <w:szCs w:val="36"/>
        </w:rPr>
        <w:t xml:space="preserve"> (No 2)</w:t>
      </w:r>
    </w:p>
    <w:p w14:paraId="071E11F0" w14:textId="77777777" w:rsidR="00A94186" w:rsidRDefault="00A94186" w:rsidP="00A94186"/>
    <w:p w14:paraId="005A017A" w14:textId="77777777" w:rsidR="004D4461" w:rsidRDefault="004D4461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</w:p>
    <w:p w14:paraId="7F4BC2C1" w14:textId="76178BC5" w:rsidR="00A94186" w:rsidRPr="00E412A0" w:rsidRDefault="00A94186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 the </w:t>
      </w:r>
      <w:hyperlink r:id="rId7" w:history="1">
        <w:r w:rsidR="00C60C6D" w:rsidRPr="00C60C6D">
          <w:rPr>
            <w:rStyle w:val="Hyperlink"/>
            <w:rFonts w:asciiTheme="minorHAnsi" w:hAnsiTheme="minorHAnsi" w:cstheme="minorHAnsi"/>
          </w:rPr>
          <w:t>Justice and Community Safety Legislation Amendment Bill 2022 (No 2)</w:t>
        </w:r>
      </w:hyperlink>
      <w:r w:rsidR="00C60C6D">
        <w:rPr>
          <w:rFonts w:asciiTheme="minorHAnsi" w:hAnsiTheme="minorHAnsi" w:cstheme="minorHAnsi"/>
          <w:color w:val="313131"/>
        </w:rPr>
        <w:t>.</w:t>
      </w:r>
    </w:p>
    <w:p w14:paraId="187B6A70" w14:textId="77DC9608" w:rsidR="00A94186" w:rsidRPr="00E412A0" w:rsidRDefault="00A94186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660C29" w:rsidRPr="00660C29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  <w:color w:val="313131"/>
        </w:rPr>
        <w:t xml:space="preserve">. </w:t>
      </w:r>
    </w:p>
    <w:p w14:paraId="04056E7A" w14:textId="632F7A52" w:rsidR="00C60C6D" w:rsidRDefault="00A94186" w:rsidP="00D62D7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</w:t>
      </w:r>
      <w:r w:rsidR="00C60C6D">
        <w:rPr>
          <w:rFonts w:asciiTheme="minorHAnsi" w:hAnsiTheme="minorHAnsi" w:cstheme="minorHAnsi"/>
          <w:color w:val="313131"/>
        </w:rPr>
        <w:t xml:space="preserve">Committee will only be inquiring into the </w:t>
      </w:r>
      <w:r w:rsidR="00C60C6D" w:rsidRPr="00C60C6D">
        <w:rPr>
          <w:rFonts w:asciiTheme="minorHAnsi" w:hAnsiTheme="minorHAnsi" w:cstheme="minorHAnsi"/>
          <w:i/>
          <w:iCs/>
          <w:color w:val="313131"/>
        </w:rPr>
        <w:t>Evidence (Miscellaneous Provisions) Act 1991</w:t>
      </w:r>
      <w:r w:rsidR="00C60C6D">
        <w:rPr>
          <w:rFonts w:asciiTheme="minorHAnsi" w:hAnsiTheme="minorHAnsi" w:cstheme="minorHAnsi"/>
          <w:color w:val="313131"/>
        </w:rPr>
        <w:t xml:space="preserve"> amendments in the </w:t>
      </w:r>
      <w:r w:rsidRPr="00E412A0">
        <w:rPr>
          <w:rFonts w:asciiTheme="minorHAnsi" w:hAnsiTheme="minorHAnsi" w:cstheme="minorHAnsi"/>
          <w:color w:val="313131"/>
        </w:rPr>
        <w:t>Bill</w:t>
      </w:r>
      <w:r w:rsidR="00C60C6D">
        <w:rPr>
          <w:rFonts w:asciiTheme="minorHAnsi" w:hAnsiTheme="minorHAnsi" w:cstheme="minorHAnsi"/>
          <w:color w:val="313131"/>
        </w:rPr>
        <w:t xml:space="preserve">.  </w:t>
      </w:r>
    </w:p>
    <w:p w14:paraId="7D78B0B8" w14:textId="77777777" w:rsidR="00A94186" w:rsidRDefault="00A94186" w:rsidP="00A94186">
      <w:pPr>
        <w:pStyle w:val="NormalWeb"/>
        <w:spacing w:before="0" w:beforeAutospacing="0" w:after="0" w:afterAutospacing="0"/>
        <w:ind w:left="714"/>
        <w:rPr>
          <w:rFonts w:asciiTheme="minorHAnsi" w:hAnsiTheme="minorHAnsi" w:cstheme="minorHAnsi"/>
          <w:color w:val="313131"/>
        </w:rPr>
      </w:pPr>
    </w:p>
    <w:p w14:paraId="33583A9E" w14:textId="74234296" w:rsidR="004D4461" w:rsidRDefault="00A94186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Committee </w:t>
      </w:r>
      <w:r w:rsidR="004D4461">
        <w:rPr>
          <w:rFonts w:asciiTheme="minorHAnsi" w:hAnsiTheme="minorHAnsi" w:cstheme="minorHAnsi"/>
          <w:color w:val="313131"/>
        </w:rPr>
        <w:t xml:space="preserve">will be seeking submissions from the Women’s Legal Centre, the ACT Law Society, the ACT Bar Association, the Victims of Crime Commissioner, Legal Aid </w:t>
      </w:r>
      <w:proofErr w:type="gramStart"/>
      <w:r w:rsidR="004D4461">
        <w:rPr>
          <w:rFonts w:asciiTheme="minorHAnsi" w:hAnsiTheme="minorHAnsi" w:cstheme="minorHAnsi"/>
          <w:color w:val="313131"/>
        </w:rPr>
        <w:t>ACT</w:t>
      </w:r>
      <w:proofErr w:type="gramEnd"/>
      <w:r w:rsidR="004D4461">
        <w:rPr>
          <w:rFonts w:asciiTheme="minorHAnsi" w:hAnsiTheme="minorHAnsi" w:cstheme="minorHAnsi"/>
          <w:color w:val="313131"/>
        </w:rPr>
        <w:t xml:space="preserve"> and the Director of Public Prosecutions by 9.00am 12 December 2022.</w:t>
      </w:r>
    </w:p>
    <w:p w14:paraId="6B3A921D" w14:textId="77777777" w:rsidR="00A94186" w:rsidRPr="00E412A0" w:rsidRDefault="00A94186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9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41045387" w14:textId="2BA38876" w:rsidR="00A94186" w:rsidRPr="00E412A0" w:rsidRDefault="00A94186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="004D4461">
        <w:rPr>
          <w:rFonts w:asciiTheme="minorHAnsi" w:hAnsiTheme="minorHAnsi" w:cstheme="minorHAnsi"/>
          <w:color w:val="313131"/>
        </w:rPr>
        <w:t>9.00am Monday 12 December 2022</w:t>
      </w:r>
      <w:r w:rsidRPr="00EB123B">
        <w:rPr>
          <w:rFonts w:asciiTheme="minorHAnsi" w:hAnsiTheme="minorHAnsi" w:cstheme="minorHAnsi"/>
          <w:color w:val="313131"/>
        </w:rPr>
        <w:t>.</w:t>
      </w:r>
    </w:p>
    <w:p w14:paraId="5E053895" w14:textId="6D67AF38" w:rsidR="00A94186" w:rsidRPr="00E412A0" w:rsidRDefault="007C1F2A" w:rsidP="00A94186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29</w:t>
      </w:r>
      <w:r w:rsidR="00A94186" w:rsidRPr="00EB123B">
        <w:rPr>
          <w:rFonts w:asciiTheme="minorHAnsi" w:hAnsiTheme="minorHAnsi" w:cstheme="minorHAnsi"/>
          <w:color w:val="313131"/>
        </w:rPr>
        <w:t xml:space="preserve"> November 2022</w:t>
      </w:r>
    </w:p>
    <w:p w14:paraId="0958A478" w14:textId="77777777" w:rsidR="00A94186" w:rsidRDefault="00A94186" w:rsidP="00A94186">
      <w:r>
        <w:t>STATEMENT ENDS.</w:t>
      </w:r>
    </w:p>
    <w:p w14:paraId="28AA3822" w14:textId="77777777" w:rsidR="00A94186" w:rsidRDefault="00A94186" w:rsidP="00A94186"/>
    <w:p w14:paraId="774D1BF7" w14:textId="77777777" w:rsidR="00A94186" w:rsidRPr="00482F3A" w:rsidRDefault="00A94186" w:rsidP="00A94186">
      <w:pPr>
        <w:rPr>
          <w:b/>
        </w:rPr>
      </w:pPr>
    </w:p>
    <w:p w14:paraId="6436DD59" w14:textId="77777777" w:rsidR="00A94186" w:rsidRDefault="00A94186" w:rsidP="00A94186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27D67AAC" w14:textId="77777777" w:rsidR="00A94186" w:rsidRDefault="00A94186" w:rsidP="00A94186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5603723C" w14:textId="3BB6F008" w:rsidR="00A94186" w:rsidRDefault="00A94186" w:rsidP="00A94186">
      <w:r>
        <w:t xml:space="preserve">Committee Secretary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5D2FC6FC" w14:textId="77777777" w:rsidR="00B0744F" w:rsidRDefault="00B0744F"/>
    <w:sectPr w:rsidR="00B0744F" w:rsidSect="00A94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1C4F" w14:textId="77777777" w:rsidR="00A94186" w:rsidRDefault="00A94186" w:rsidP="00A94186">
      <w:r>
        <w:separator/>
      </w:r>
    </w:p>
  </w:endnote>
  <w:endnote w:type="continuationSeparator" w:id="0">
    <w:p w14:paraId="260A60C9" w14:textId="77777777" w:rsidR="00A94186" w:rsidRDefault="00A94186" w:rsidP="00A9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5FC0" w14:textId="77777777" w:rsidR="00EB123B" w:rsidRDefault="00435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48DBF70F" w14:textId="77777777" w:rsidR="006114B4" w:rsidRDefault="00B34056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r w:rsidR="004357EC">
          <w:fldChar w:fldCharType="begin"/>
        </w:r>
        <w:r w:rsidR="004357EC">
          <w:instrText xml:space="preserve"> NUMPAGES  </w:instrText>
        </w:r>
        <w:r w:rsidR="004357EC">
          <w:fldChar w:fldCharType="separate"/>
        </w:r>
        <w:r>
          <w:rPr>
            <w:noProof/>
          </w:rPr>
          <w:t>2</w:t>
        </w:r>
        <w:r w:rsidR="004357EC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D074144" w14:textId="77777777" w:rsidR="00AF12AB" w:rsidRDefault="004357EC" w:rsidP="00AF12AB">
        <w:pPr>
          <w:pStyle w:val="Footer"/>
          <w:jc w:val="right"/>
        </w:pPr>
      </w:p>
      <w:p w14:paraId="7A5FB2A1" w14:textId="77777777" w:rsidR="00346E5D" w:rsidRPr="006B1615" w:rsidRDefault="004357EC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3473" w14:textId="77777777" w:rsidR="00A94186" w:rsidRDefault="00A94186" w:rsidP="00A94186">
      <w:r>
        <w:separator/>
      </w:r>
    </w:p>
  </w:footnote>
  <w:footnote w:type="continuationSeparator" w:id="0">
    <w:p w14:paraId="2142114F" w14:textId="77777777" w:rsidR="00A94186" w:rsidRDefault="00A94186" w:rsidP="00A9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992F" w14:textId="77777777" w:rsidR="00EB123B" w:rsidRDefault="00435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8D21" w14:textId="77777777" w:rsidR="00EB123B" w:rsidRDefault="00435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E236" w14:textId="77777777" w:rsidR="00755FAC" w:rsidRPr="00F43DBE" w:rsidRDefault="00B34056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20AEFFC" wp14:editId="78A53710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BACDD" w14:textId="77777777" w:rsidR="00846DA5" w:rsidRDefault="00B34056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Pr="00EB7234">
                            <w:t xml:space="preserve"> </w:t>
                          </w:r>
                        </w:p>
                        <w:p w14:paraId="73B3A0A1" w14:textId="77777777" w:rsidR="0064779A" w:rsidRPr="00C02620" w:rsidRDefault="00B34056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Peter Cain MLA (Chair), Dr Marisa Paterson MLA (Deputy Chair), Mr Andrew Braddock MLA</w:t>
                          </w:r>
                        </w:p>
                        <w:p w14:paraId="4D26348D" w14:textId="77777777" w:rsidR="0058319A" w:rsidRPr="0058319A" w:rsidRDefault="004357EC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4DBAECFF" w14:textId="77777777" w:rsidR="005B6109" w:rsidRDefault="004357EC" w:rsidP="005B6109">
                          <w:pPr>
                            <w:pStyle w:val="Customheader"/>
                          </w:pPr>
                        </w:p>
                        <w:p w14:paraId="1722E26F" w14:textId="77777777" w:rsidR="005B6109" w:rsidRDefault="004357EC" w:rsidP="005B6109">
                          <w:pPr>
                            <w:pStyle w:val="Customheader"/>
                          </w:pPr>
                        </w:p>
                        <w:p w14:paraId="3055701A" w14:textId="77777777" w:rsidR="005B6109" w:rsidRPr="005B6109" w:rsidRDefault="004357EC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58BA5CA0" w14:textId="77777777" w:rsidR="00755FAC" w:rsidRPr="00E749B1" w:rsidRDefault="004357E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AEF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6FCBACDD" w14:textId="77777777" w:rsidR="00846DA5" w:rsidRDefault="00B34056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Pr="00EB7234">
                      <w:t xml:space="preserve"> </w:t>
                    </w:r>
                  </w:p>
                  <w:p w14:paraId="73B3A0A1" w14:textId="77777777" w:rsidR="0064779A" w:rsidRPr="00C02620" w:rsidRDefault="00B34056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Peter Cain MLA (Chair), Dr Marisa Paterson MLA (Deputy Chair), Mr Andrew Braddock MLA</w:t>
                    </w:r>
                  </w:p>
                  <w:p w14:paraId="4D26348D" w14:textId="77777777" w:rsidR="0058319A" w:rsidRPr="0058319A" w:rsidRDefault="00660C29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4DBAECFF" w14:textId="77777777" w:rsidR="005B6109" w:rsidRDefault="00660C29" w:rsidP="005B6109">
                    <w:pPr>
                      <w:pStyle w:val="Customheader"/>
                    </w:pPr>
                  </w:p>
                  <w:p w14:paraId="1722E26F" w14:textId="77777777" w:rsidR="005B6109" w:rsidRDefault="00660C29" w:rsidP="005B6109">
                    <w:pPr>
                      <w:pStyle w:val="Customheader"/>
                    </w:pPr>
                  </w:p>
                  <w:p w14:paraId="3055701A" w14:textId="77777777" w:rsidR="005B6109" w:rsidRPr="005B6109" w:rsidRDefault="00660C2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58BA5CA0" w14:textId="77777777" w:rsidR="00755FAC" w:rsidRPr="00E749B1" w:rsidRDefault="00660C29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E5A92" wp14:editId="74258A3F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8D36A" w14:textId="77777777" w:rsidR="00755FAC" w:rsidRDefault="00B34056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28B36D8A" w14:textId="77777777" w:rsidR="00755FAC" w:rsidRDefault="00B34056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067E18E2" w14:textId="77777777" w:rsidR="00755FAC" w:rsidRDefault="004357E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E5A92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658D36A" w14:textId="77777777" w:rsidR="00755FAC" w:rsidRDefault="00B34056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28B36D8A" w14:textId="77777777" w:rsidR="00755FAC" w:rsidRDefault="00B34056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067E18E2" w14:textId="77777777" w:rsidR="00755FAC" w:rsidRDefault="00660C29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5F3592CA" wp14:editId="254D2B9F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431"/>
    <w:multiLevelType w:val="hybridMultilevel"/>
    <w:tmpl w:val="668A51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86"/>
    <w:rsid w:val="00101E16"/>
    <w:rsid w:val="004357EC"/>
    <w:rsid w:val="004A0970"/>
    <w:rsid w:val="004D4461"/>
    <w:rsid w:val="00587552"/>
    <w:rsid w:val="00660C29"/>
    <w:rsid w:val="007C1F2A"/>
    <w:rsid w:val="00A94186"/>
    <w:rsid w:val="00B0744F"/>
    <w:rsid w:val="00B34056"/>
    <w:rsid w:val="00C60C6D"/>
    <w:rsid w:val="00D356E6"/>
    <w:rsid w:val="00D62D72"/>
    <w:rsid w:val="00DE45A1"/>
    <w:rsid w:val="00E1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7C852"/>
  <w15:chartTrackingRefBased/>
  <w15:docId w15:val="{9D4F375B-47E3-446C-A8F3-DD39EACC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418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4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418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186"/>
    <w:rPr>
      <w:rFonts w:eastAsia="Times New Roman" w:cs="Times New Roman"/>
      <w:szCs w:val="24"/>
    </w:rPr>
  </w:style>
  <w:style w:type="paragraph" w:customStyle="1" w:styleId="Customheader">
    <w:name w:val="Custom header"/>
    <w:rsid w:val="00A94186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41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9418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60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JCS-Bill-Inquir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b/db_66931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1165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Hildyard, AlexJ</cp:lastModifiedBy>
  <cp:revision>3</cp:revision>
  <dcterms:created xsi:type="dcterms:W3CDTF">2022-11-29T02:37:00Z</dcterms:created>
  <dcterms:modified xsi:type="dcterms:W3CDTF">2022-11-29T02:58:00Z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2022-11-24T02:10:38Z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c37749e1-3e31-4a50-8b9b-0b351731fce4</vt:lpwstr>
  </property>
  <property fmtid="{D5CDD505-2E9C-101B-9397-08002B2CF9AE}" pid="8" name="MSIP_Label_69af8531-eb46-4968-8cb3-105d2f5ea87e_ContentBits">
    <vt:lpwstr>0</vt:lpwstr>
  </property>
</Properties>
</file>