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1D" w:rsidRPr="004E0F1D" w:rsidRDefault="004E0F1D" w:rsidP="004E0F1D">
      <w:pPr>
        <w:jc w:val="center"/>
        <w:rPr>
          <w:rFonts w:ascii="Times New Roman" w:hAnsi="Times New Roman"/>
          <w:b/>
          <w:bCs/>
          <w:lang w:val="en-AU"/>
        </w:rPr>
      </w:pPr>
      <w:r w:rsidRPr="004E0F1D">
        <w:rPr>
          <w:rFonts w:ascii="Times New Roman" w:hAnsi="Times New Roman"/>
          <w:b/>
          <w:bCs/>
          <w:noProof/>
          <w:lang w:val="en-AU"/>
        </w:rPr>
        <w:drawing>
          <wp:inline distT="0" distB="0" distL="0" distR="0">
            <wp:extent cx="755650" cy="755650"/>
            <wp:effectExtent l="0" t="0" r="6350" b="635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rsidR="004E0F1D" w:rsidRPr="004E0F1D" w:rsidRDefault="004E0F1D" w:rsidP="004E0F1D">
      <w:pPr>
        <w:keepNext/>
        <w:keepLines/>
        <w:spacing w:before="320"/>
        <w:jc w:val="center"/>
        <w:rPr>
          <w:rFonts w:ascii="Calibri" w:hAnsi="Calibri"/>
          <w:b/>
          <w:bCs/>
          <w:sz w:val="32"/>
          <w:szCs w:val="32"/>
          <w:lang w:val="en-AU"/>
        </w:rPr>
      </w:pPr>
      <w:r w:rsidRPr="004E0F1D">
        <w:rPr>
          <w:rFonts w:ascii="Calibri" w:hAnsi="Calibri"/>
          <w:b/>
          <w:bCs/>
          <w:sz w:val="32"/>
          <w:szCs w:val="32"/>
          <w:lang w:val="en-AU"/>
        </w:rPr>
        <w:t>LEGISLATIVE ASSEMBLY FOR THE</w:t>
      </w:r>
    </w:p>
    <w:p w:rsidR="004E0F1D" w:rsidRPr="004E0F1D" w:rsidRDefault="004E0F1D" w:rsidP="004E0F1D">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4E0F1D">
            <w:rPr>
              <w:rFonts w:ascii="Calibri" w:hAnsi="Calibri"/>
              <w:b/>
              <w:bCs/>
              <w:sz w:val="32"/>
              <w:szCs w:val="32"/>
              <w:lang w:val="en-AU"/>
            </w:rPr>
            <w:t>AUSTRALIAN CAPITAL TERRITORY</w:t>
          </w:r>
        </w:smartTag>
      </w:smartTag>
    </w:p>
    <w:p w:rsidR="004E0F1D" w:rsidRPr="004E0F1D" w:rsidRDefault="004E0F1D" w:rsidP="004E0F1D">
      <w:pPr>
        <w:spacing w:before="360"/>
        <w:jc w:val="center"/>
        <w:rPr>
          <w:rFonts w:ascii="Calibri" w:hAnsi="Calibri"/>
          <w:b/>
          <w:sz w:val="28"/>
          <w:szCs w:val="28"/>
        </w:rPr>
      </w:pPr>
      <w:r w:rsidRPr="004E0F1D">
        <w:rPr>
          <w:rFonts w:ascii="Calibri" w:hAnsi="Calibri"/>
          <w:b/>
          <w:sz w:val="28"/>
          <w:szCs w:val="28"/>
        </w:rPr>
        <w:t>2020–2021–2022</w:t>
      </w:r>
    </w:p>
    <w:p w:rsidR="004E0F1D" w:rsidRPr="004E0F1D" w:rsidRDefault="004E0F1D" w:rsidP="004E0F1D">
      <w:pPr>
        <w:keepNext/>
        <w:keepLines/>
        <w:spacing w:before="360"/>
        <w:jc w:val="center"/>
        <w:rPr>
          <w:rFonts w:ascii="Calibri" w:hAnsi="Calibri"/>
          <w:b/>
          <w:sz w:val="40"/>
          <w:szCs w:val="40"/>
          <w:lang w:val="en-AU"/>
        </w:rPr>
      </w:pPr>
      <w:r w:rsidRPr="004E0F1D">
        <w:rPr>
          <w:rFonts w:ascii="Calibri" w:hAnsi="Calibri"/>
          <w:b/>
          <w:sz w:val="40"/>
          <w:szCs w:val="40"/>
          <w:lang w:val="en-AU"/>
        </w:rPr>
        <w:t>MINUTES OF PROCEEDINGS</w:t>
      </w:r>
    </w:p>
    <w:p w:rsidR="004E0F1D" w:rsidRPr="004E0F1D" w:rsidRDefault="004E0F1D" w:rsidP="004E0F1D">
      <w:pPr>
        <w:spacing w:before="360"/>
        <w:jc w:val="center"/>
        <w:rPr>
          <w:rFonts w:ascii="Calibri" w:hAnsi="Calibri"/>
          <w:b/>
          <w:sz w:val="28"/>
          <w:szCs w:val="28"/>
        </w:rPr>
      </w:pPr>
      <w:r w:rsidRPr="004E0F1D">
        <w:rPr>
          <w:rFonts w:ascii="Calibri" w:hAnsi="Calibri"/>
          <w:b/>
          <w:sz w:val="28"/>
          <w:szCs w:val="28"/>
        </w:rPr>
        <w:t xml:space="preserve">No </w:t>
      </w:r>
      <w:r>
        <w:rPr>
          <w:rFonts w:ascii="Calibri" w:hAnsi="Calibri"/>
          <w:b/>
          <w:sz w:val="28"/>
          <w:szCs w:val="28"/>
        </w:rPr>
        <w:t>52</w:t>
      </w:r>
    </w:p>
    <w:p w:rsidR="004E0F1D" w:rsidRPr="004E0F1D" w:rsidRDefault="00C82689" w:rsidP="004E0F1D">
      <w:pPr>
        <w:keepNext/>
        <w:keepLines/>
        <w:spacing w:before="360"/>
        <w:jc w:val="center"/>
        <w:rPr>
          <w:rFonts w:ascii="Calibri" w:hAnsi="Calibri"/>
          <w:b/>
          <w:bCs/>
          <w:caps/>
          <w:sz w:val="28"/>
          <w:szCs w:val="28"/>
          <w:lang w:val="en-AU"/>
        </w:rPr>
      </w:pPr>
      <w:hyperlink r:id="rId10" w:history="1">
        <w:r w:rsidR="00E1787A" w:rsidRPr="0068365B">
          <w:rPr>
            <w:rStyle w:val="Hyperlink"/>
            <w:rFonts w:ascii="Calibri" w:hAnsi="Calibri"/>
            <w:b/>
            <w:bCs/>
            <w:caps/>
            <w:sz w:val="28"/>
            <w:szCs w:val="28"/>
            <w:lang w:val="en-AU"/>
          </w:rPr>
          <w:t xml:space="preserve">Wednesday, </w:t>
        </w:r>
        <w:r w:rsidR="004E0F1D" w:rsidRPr="0068365B">
          <w:rPr>
            <w:rStyle w:val="Hyperlink"/>
            <w:rFonts w:ascii="Calibri" w:hAnsi="Calibri"/>
            <w:b/>
            <w:bCs/>
            <w:caps/>
            <w:sz w:val="28"/>
            <w:szCs w:val="28"/>
            <w:lang w:val="en-AU"/>
          </w:rPr>
          <w:t>8 June 2022</w:t>
        </w:r>
      </w:hyperlink>
    </w:p>
    <w:tbl>
      <w:tblPr>
        <w:tblW w:w="0" w:type="auto"/>
        <w:jc w:val="center"/>
        <w:tblLayout w:type="fixed"/>
        <w:tblLook w:val="0000" w:firstRow="0" w:lastRow="0" w:firstColumn="0" w:lastColumn="0" w:noHBand="0" w:noVBand="0"/>
      </w:tblPr>
      <w:tblGrid>
        <w:gridCol w:w="2452"/>
      </w:tblGrid>
      <w:tr w:rsidR="004E0F1D" w:rsidRPr="004E0F1D" w:rsidTr="00811B52">
        <w:trPr>
          <w:trHeight w:hRule="exact" w:val="333"/>
          <w:jc w:val="center"/>
        </w:trPr>
        <w:tc>
          <w:tcPr>
            <w:tcW w:w="2452" w:type="dxa"/>
          </w:tcPr>
          <w:p w:rsidR="004E0F1D" w:rsidRPr="004E0F1D" w:rsidRDefault="004E0F1D" w:rsidP="004E0F1D">
            <w:pPr>
              <w:rPr>
                <w:rFonts w:ascii="Times New Roman" w:hAnsi="Times New Roman"/>
                <w:color w:val="008000"/>
                <w:sz w:val="16"/>
                <w:lang w:val="en-AU"/>
              </w:rPr>
            </w:pPr>
          </w:p>
        </w:tc>
      </w:tr>
      <w:tr w:rsidR="004E0F1D" w:rsidRPr="004E0F1D" w:rsidTr="00811B52">
        <w:trPr>
          <w:trHeight w:hRule="exact" w:val="60"/>
          <w:jc w:val="center"/>
        </w:trPr>
        <w:tc>
          <w:tcPr>
            <w:tcW w:w="2452" w:type="dxa"/>
            <w:tcBorders>
              <w:top w:val="single" w:sz="8" w:space="0" w:color="000000"/>
              <w:bottom w:val="single" w:sz="4" w:space="0" w:color="000000"/>
            </w:tcBorders>
          </w:tcPr>
          <w:p w:rsidR="004E0F1D" w:rsidRPr="004E0F1D" w:rsidRDefault="004E0F1D" w:rsidP="004E0F1D">
            <w:pPr>
              <w:rPr>
                <w:rFonts w:ascii="Times New Roman" w:hAnsi="Times New Roman"/>
                <w:color w:val="008000"/>
                <w:sz w:val="16"/>
                <w:lang w:val="en-AU"/>
              </w:rPr>
            </w:pPr>
          </w:p>
        </w:tc>
      </w:tr>
      <w:tr w:rsidR="004E0F1D" w:rsidRPr="004E0F1D" w:rsidTr="00811B52">
        <w:trPr>
          <w:trHeight w:hRule="exact" w:val="200"/>
          <w:jc w:val="center"/>
        </w:trPr>
        <w:tc>
          <w:tcPr>
            <w:tcW w:w="2452" w:type="dxa"/>
          </w:tcPr>
          <w:p w:rsidR="004E0F1D" w:rsidRPr="004E0F1D" w:rsidRDefault="004E0F1D" w:rsidP="004E0F1D">
            <w:pPr>
              <w:rPr>
                <w:rFonts w:ascii="Times New Roman" w:hAnsi="Times New Roman"/>
                <w:color w:val="008000"/>
                <w:sz w:val="16"/>
                <w:lang w:val="en-AU"/>
              </w:rPr>
            </w:pPr>
          </w:p>
        </w:tc>
      </w:tr>
    </w:tbl>
    <w:p w:rsidR="004E0F1D" w:rsidRPr="004E0F1D" w:rsidRDefault="004E0F1D" w:rsidP="004E0F1D">
      <w:pPr>
        <w:spacing w:before="60"/>
        <w:ind w:left="425"/>
        <w:jc w:val="both"/>
        <w:rPr>
          <w:rFonts w:ascii="Times New Roman" w:hAnsi="Times New Roman"/>
          <w:sz w:val="21"/>
          <w:lang w:val="en-AU"/>
        </w:rPr>
      </w:pPr>
    </w:p>
    <w:p w:rsidR="004E0F1D" w:rsidRPr="004E0F1D" w:rsidRDefault="004E0F1D" w:rsidP="004E0F1D">
      <w:pPr>
        <w:keepNext/>
        <w:keepLines/>
        <w:tabs>
          <w:tab w:val="right" w:pos="339"/>
          <w:tab w:val="left" w:pos="720"/>
        </w:tabs>
        <w:spacing w:before="240"/>
        <w:ind w:left="720" w:hanging="720"/>
        <w:jc w:val="both"/>
        <w:rPr>
          <w:rFonts w:ascii="Calibri" w:hAnsi="Calibri"/>
          <w:bCs/>
          <w:lang w:val="en-AU"/>
        </w:rPr>
      </w:pPr>
      <w:r w:rsidRPr="004E0F1D">
        <w:rPr>
          <w:rFonts w:ascii="Calibri" w:hAnsi="Calibri"/>
        </w:rPr>
        <w:tab/>
      </w:r>
      <w:r w:rsidR="00BF478F">
        <w:rPr>
          <w:rFonts w:ascii="Calibri" w:hAnsi="Calibri"/>
          <w:b/>
          <w:bCs/>
        </w:rPr>
        <w:fldChar w:fldCharType="begin"/>
      </w:r>
      <w:r w:rsidR="00BF478F">
        <w:rPr>
          <w:rFonts w:ascii="Calibri" w:hAnsi="Calibri"/>
          <w:b/>
          <w:bCs/>
        </w:rPr>
        <w:instrText xml:space="preserve"> SEQ A \* MERGEFORMAT </w:instrText>
      </w:r>
      <w:r w:rsidR="00BF478F">
        <w:rPr>
          <w:rFonts w:ascii="Calibri" w:hAnsi="Calibri"/>
          <w:b/>
          <w:bCs/>
        </w:rPr>
        <w:fldChar w:fldCharType="separate"/>
      </w:r>
      <w:r w:rsidR="00C4170D">
        <w:rPr>
          <w:rFonts w:ascii="Calibri" w:hAnsi="Calibri"/>
          <w:b/>
          <w:bCs/>
          <w:noProof/>
        </w:rPr>
        <w:t>1</w:t>
      </w:r>
      <w:r w:rsidR="00BF478F">
        <w:rPr>
          <w:rFonts w:ascii="Calibri" w:hAnsi="Calibri"/>
          <w:b/>
          <w:bCs/>
        </w:rPr>
        <w:fldChar w:fldCharType="end"/>
      </w:r>
      <w:r w:rsidRPr="004E0F1D">
        <w:rPr>
          <w:rFonts w:ascii="Calibri" w:hAnsi="Calibri"/>
        </w:rPr>
        <w:tab/>
      </w:r>
      <w:r w:rsidRPr="004E0F1D">
        <w:rPr>
          <w:rFonts w:ascii="Calibri" w:hAnsi="Calibri"/>
          <w:bCs/>
          <w:lang w:val="en-AU"/>
        </w:rPr>
        <w:t xml:space="preserve">The Assembly met at 10 am, pursuant to adjournment.  The Speaker </w:t>
      </w:r>
      <w:r w:rsidRPr="004E0F1D">
        <w:rPr>
          <w:rFonts w:ascii="Calibri" w:hAnsi="Calibri"/>
          <w:bCs/>
        </w:rPr>
        <w:t>(</w:t>
      </w:r>
      <w:r>
        <w:rPr>
          <w:rFonts w:ascii="Calibri" w:hAnsi="Calibri"/>
          <w:bCs/>
        </w:rPr>
        <w:t>Ms Burch</w:t>
      </w:r>
      <w:r w:rsidRPr="004E0F1D">
        <w:rPr>
          <w:rFonts w:ascii="Calibri" w:hAnsi="Calibri"/>
          <w:bCs/>
        </w:rPr>
        <w:t>)</w:t>
      </w:r>
      <w:r w:rsidRPr="004E0F1D">
        <w:rPr>
          <w:rFonts w:ascii="Calibri" w:hAnsi="Calibri"/>
          <w:bCs/>
          <w:lang w:val="en-AU"/>
        </w:rPr>
        <w:t xml:space="preserve"> took the Chair and made the following acknowledgement of country in the Ngunnawal language:</w:t>
      </w:r>
    </w:p>
    <w:p w:rsidR="004E0F1D" w:rsidRPr="004E0F1D" w:rsidRDefault="004E0F1D" w:rsidP="004E0F1D">
      <w:pPr>
        <w:spacing w:before="120"/>
        <w:ind w:left="864"/>
        <w:jc w:val="both"/>
        <w:rPr>
          <w:rFonts w:ascii="Calibri" w:hAnsi="Calibri"/>
          <w:lang w:val="en-AU"/>
        </w:rPr>
      </w:pPr>
      <w:r w:rsidRPr="004E0F1D">
        <w:rPr>
          <w:rFonts w:ascii="Calibri" w:hAnsi="Calibri"/>
          <w:lang w:val="en-AU"/>
        </w:rPr>
        <w:t>Dhawura nguna, dhawura Ngunnawal.</w:t>
      </w:r>
    </w:p>
    <w:p w:rsidR="004E0F1D" w:rsidRPr="004E0F1D" w:rsidRDefault="004E0F1D" w:rsidP="004E0F1D">
      <w:pPr>
        <w:spacing w:before="40"/>
        <w:ind w:left="864"/>
        <w:jc w:val="both"/>
        <w:rPr>
          <w:rFonts w:ascii="Calibri" w:hAnsi="Calibri"/>
          <w:lang w:val="en-AU"/>
        </w:rPr>
      </w:pPr>
      <w:r w:rsidRPr="004E0F1D">
        <w:rPr>
          <w:rFonts w:ascii="Calibri" w:hAnsi="Calibri"/>
          <w:lang w:val="en-AU"/>
        </w:rPr>
        <w:t>Yanggu ngalawiri, dhunimanyin Ngunnawalwari dhawurawari.</w:t>
      </w:r>
    </w:p>
    <w:p w:rsidR="004E0F1D" w:rsidRPr="004E0F1D" w:rsidRDefault="004E0F1D" w:rsidP="004E0F1D">
      <w:pPr>
        <w:spacing w:before="40"/>
        <w:ind w:left="864"/>
        <w:jc w:val="both"/>
        <w:rPr>
          <w:rFonts w:ascii="Calibri" w:hAnsi="Calibri"/>
          <w:lang w:val="en-AU"/>
        </w:rPr>
      </w:pPr>
      <w:r w:rsidRPr="004E0F1D">
        <w:rPr>
          <w:rFonts w:ascii="Calibri" w:hAnsi="Calibri"/>
          <w:lang w:val="en-AU"/>
        </w:rPr>
        <w:t>Nginggada Dindi dhawura Ngunnaawalbun yindjumaralidjinyin.</w:t>
      </w:r>
    </w:p>
    <w:p w:rsidR="004E0F1D" w:rsidRPr="004E0F1D" w:rsidRDefault="004E0F1D" w:rsidP="004E0F1D">
      <w:pPr>
        <w:spacing w:before="120"/>
        <w:ind w:left="864"/>
        <w:jc w:val="both"/>
        <w:rPr>
          <w:rFonts w:ascii="Calibri" w:hAnsi="Calibri"/>
          <w:i/>
          <w:lang w:val="en-AU"/>
        </w:rPr>
      </w:pPr>
      <w:r w:rsidRPr="004E0F1D">
        <w:rPr>
          <w:rFonts w:ascii="Calibri" w:hAnsi="Calibri"/>
          <w:i/>
          <w:lang w:val="en-AU"/>
        </w:rPr>
        <w:t>This is Ngunnawal Country.</w:t>
      </w:r>
    </w:p>
    <w:p w:rsidR="004E0F1D" w:rsidRPr="004E0F1D" w:rsidRDefault="004E0F1D" w:rsidP="004E0F1D">
      <w:pPr>
        <w:spacing w:before="40"/>
        <w:ind w:left="864"/>
        <w:jc w:val="both"/>
        <w:rPr>
          <w:rFonts w:ascii="Calibri" w:hAnsi="Calibri"/>
          <w:i/>
          <w:lang w:val="en-AU"/>
        </w:rPr>
      </w:pPr>
      <w:r w:rsidRPr="004E0F1D">
        <w:rPr>
          <w:rFonts w:ascii="Calibri" w:hAnsi="Calibri"/>
          <w:i/>
          <w:lang w:val="en-AU"/>
        </w:rPr>
        <w:t>Today we are gathering on Ngunnawal country.</w:t>
      </w:r>
    </w:p>
    <w:p w:rsidR="004E0F1D" w:rsidRPr="004E0F1D" w:rsidRDefault="004E0F1D" w:rsidP="004E0F1D">
      <w:pPr>
        <w:spacing w:before="40"/>
        <w:ind w:left="864"/>
        <w:jc w:val="both"/>
        <w:rPr>
          <w:rFonts w:ascii="Calibri" w:hAnsi="Calibri"/>
          <w:i/>
          <w:lang w:val="en-AU"/>
        </w:rPr>
      </w:pPr>
      <w:r w:rsidRPr="004E0F1D">
        <w:rPr>
          <w:rFonts w:ascii="Calibri" w:hAnsi="Calibri"/>
          <w:i/>
          <w:lang w:val="en-AU"/>
        </w:rPr>
        <w:t>We always pay respect to Elders, female and male, and Ngunnawal country.</w:t>
      </w:r>
    </w:p>
    <w:p w:rsidR="004E0F1D" w:rsidRDefault="004E0F1D" w:rsidP="004E0F1D">
      <w:pPr>
        <w:spacing w:before="120"/>
        <w:ind w:left="720"/>
        <w:jc w:val="both"/>
        <w:rPr>
          <w:rFonts w:ascii="Calibri" w:hAnsi="Calibri"/>
          <w:lang w:val="en-AU"/>
        </w:rPr>
      </w:pPr>
      <w:r w:rsidRPr="004E0F1D">
        <w:rPr>
          <w:rFonts w:ascii="Calibri" w:hAnsi="Calibri"/>
          <w:lang w:val="en-AU"/>
        </w:rPr>
        <w:t>The Speaker asked Members to stand in silence and pray or reflect on their responsibilities to the people of the Australian Capital Territory.</w:t>
      </w:r>
    </w:p>
    <w:p w:rsidR="00EB2CD4" w:rsidRPr="00EB2CD4" w:rsidRDefault="00EB2CD4" w:rsidP="00EB2CD4">
      <w:pPr>
        <w:keepNext/>
        <w:keepLines/>
        <w:tabs>
          <w:tab w:val="right" w:pos="339"/>
          <w:tab w:val="left" w:pos="720"/>
        </w:tabs>
        <w:spacing w:before="240"/>
        <w:ind w:left="720" w:hanging="720"/>
        <w:rPr>
          <w:rFonts w:ascii="Calibri" w:hAnsi="Calibri"/>
          <w:b/>
          <w:caps/>
        </w:rPr>
      </w:pPr>
      <w:r w:rsidRPr="00EB2CD4">
        <w:rPr>
          <w:rFonts w:ascii="Calibri" w:hAnsi="Calibri"/>
          <w:b/>
          <w:caps/>
        </w:rPr>
        <w:tab/>
      </w:r>
      <w:r w:rsidR="00BF478F">
        <w:rPr>
          <w:rFonts w:ascii="Calibri" w:hAnsi="Calibri"/>
          <w:b/>
          <w:bCs/>
          <w:caps/>
        </w:rPr>
        <w:fldChar w:fldCharType="begin"/>
      </w:r>
      <w:r w:rsidR="00BF478F">
        <w:rPr>
          <w:rFonts w:ascii="Calibri" w:hAnsi="Calibri"/>
          <w:b/>
          <w:bCs/>
          <w:caps/>
        </w:rPr>
        <w:instrText xml:space="preserve"> SEQ A \* MERGEFORMAT </w:instrText>
      </w:r>
      <w:r w:rsidR="00BF478F">
        <w:rPr>
          <w:rFonts w:ascii="Calibri" w:hAnsi="Calibri"/>
          <w:b/>
          <w:bCs/>
          <w:caps/>
        </w:rPr>
        <w:fldChar w:fldCharType="separate"/>
      </w:r>
      <w:r w:rsidR="00C4170D">
        <w:rPr>
          <w:rFonts w:ascii="Calibri" w:hAnsi="Calibri"/>
          <w:b/>
          <w:bCs/>
          <w:caps/>
          <w:noProof/>
        </w:rPr>
        <w:t>2</w:t>
      </w:r>
      <w:r w:rsidR="00BF478F">
        <w:rPr>
          <w:rFonts w:ascii="Calibri" w:hAnsi="Calibri"/>
          <w:b/>
          <w:bCs/>
          <w:caps/>
        </w:rPr>
        <w:fldChar w:fldCharType="end"/>
      </w:r>
      <w:r w:rsidRPr="00EB2CD4">
        <w:rPr>
          <w:rFonts w:ascii="Calibri" w:hAnsi="Calibri"/>
          <w:b/>
          <w:caps/>
        </w:rPr>
        <w:tab/>
      </w:r>
      <w:r>
        <w:rPr>
          <w:rFonts w:ascii="Calibri" w:hAnsi="Calibri"/>
          <w:b/>
          <w:caps/>
        </w:rPr>
        <w:t>Minister for Skills</w:t>
      </w:r>
      <w:r w:rsidRPr="00EB2CD4">
        <w:rPr>
          <w:rFonts w:ascii="Calibri" w:hAnsi="Calibri"/>
          <w:b/>
          <w:caps/>
        </w:rPr>
        <w:t>—Proposed motiOn of WANT OF CONFIDENCE</w:t>
      </w:r>
    </w:p>
    <w:p w:rsidR="00EB2CD4" w:rsidRPr="00EB2CD4" w:rsidRDefault="00EB2CD4" w:rsidP="00EB2CD4">
      <w:pPr>
        <w:tabs>
          <w:tab w:val="left" w:pos="1197"/>
          <w:tab w:val="left" w:pos="1767"/>
        </w:tabs>
        <w:spacing w:before="120"/>
        <w:ind w:left="720"/>
        <w:rPr>
          <w:rFonts w:ascii="Calibri" w:hAnsi="Calibri"/>
          <w:lang w:val="en-AU"/>
        </w:rPr>
      </w:pPr>
      <w:bookmarkStart w:id="0" w:name="OLE_LINK2"/>
      <w:r>
        <w:rPr>
          <w:rFonts w:ascii="Calibri" w:hAnsi="Calibri"/>
          <w:lang w:val="en-AU"/>
        </w:rPr>
        <w:t>Ms Lee</w:t>
      </w:r>
      <w:r w:rsidRPr="00EB2CD4">
        <w:rPr>
          <w:rFonts w:ascii="Calibri" w:hAnsi="Calibri"/>
          <w:lang w:val="en-AU"/>
        </w:rPr>
        <w:t xml:space="preserve"> (</w:t>
      </w:r>
      <w:r>
        <w:rPr>
          <w:rFonts w:ascii="Calibri" w:hAnsi="Calibri"/>
          <w:lang w:val="en-AU"/>
        </w:rPr>
        <w:t>Leader of the Opposition</w:t>
      </w:r>
      <w:r w:rsidRPr="00EB2CD4">
        <w:rPr>
          <w:rFonts w:ascii="Calibri" w:hAnsi="Calibri"/>
          <w:lang w:val="en-AU"/>
        </w:rPr>
        <w:t xml:space="preserve">), </w:t>
      </w:r>
      <w:r w:rsidR="00D90D70">
        <w:rPr>
          <w:rFonts w:ascii="Calibri" w:hAnsi="Calibri"/>
          <w:lang w:val="en-AU"/>
        </w:rPr>
        <w:t xml:space="preserve">in accordance with </w:t>
      </w:r>
      <w:r w:rsidR="00C7131D">
        <w:rPr>
          <w:rFonts w:ascii="Calibri" w:hAnsi="Calibri"/>
          <w:lang w:val="en-AU"/>
        </w:rPr>
        <w:t>standing order 81A</w:t>
      </w:r>
      <w:r w:rsidRPr="00EB2CD4">
        <w:rPr>
          <w:rFonts w:ascii="Calibri" w:hAnsi="Calibri"/>
          <w:lang w:val="en-AU"/>
        </w:rPr>
        <w:t xml:space="preserve">, </w:t>
      </w:r>
      <w:r w:rsidR="00D90D70">
        <w:rPr>
          <w:rFonts w:ascii="Calibri" w:hAnsi="Calibri"/>
          <w:lang w:val="en-AU"/>
        </w:rPr>
        <w:t xml:space="preserve">by leave, </w:t>
      </w:r>
      <w:r w:rsidRPr="00EB2CD4">
        <w:rPr>
          <w:rFonts w:ascii="Calibri" w:hAnsi="Calibri"/>
          <w:lang w:val="en-AU"/>
        </w:rPr>
        <w:t>moved—</w:t>
      </w:r>
      <w:r w:rsidR="00915184" w:rsidRPr="00915184">
        <w:rPr>
          <w:rFonts w:ascii="Calibri" w:hAnsi="Calibri"/>
          <w:lang w:val="en-AU"/>
        </w:rPr>
        <w:t>That this Assembly expresses no confidence in the Minister for Skills.</w:t>
      </w:r>
    </w:p>
    <w:bookmarkEnd w:id="0"/>
    <w:p w:rsidR="00EB2CD4" w:rsidRDefault="00EB2CD4" w:rsidP="00EB2CD4">
      <w:pPr>
        <w:tabs>
          <w:tab w:val="left" w:pos="1197"/>
          <w:tab w:val="left" w:pos="1767"/>
        </w:tabs>
        <w:spacing w:before="120"/>
        <w:ind w:left="720"/>
        <w:rPr>
          <w:rFonts w:ascii="Calibri" w:hAnsi="Calibri"/>
          <w:lang w:val="en-AU"/>
        </w:rPr>
      </w:pPr>
      <w:r w:rsidRPr="00EB2CD4">
        <w:rPr>
          <w:rFonts w:ascii="Calibri" w:hAnsi="Calibri"/>
          <w:lang w:val="en-AU"/>
        </w:rPr>
        <w:t>Debate ensued.</w:t>
      </w:r>
    </w:p>
    <w:p w:rsidR="00D57690" w:rsidRDefault="00D57690" w:rsidP="00EB2CD4">
      <w:pPr>
        <w:tabs>
          <w:tab w:val="left" w:pos="1197"/>
          <w:tab w:val="left" w:pos="1767"/>
        </w:tabs>
        <w:spacing w:before="120"/>
        <w:ind w:left="720"/>
        <w:rPr>
          <w:rFonts w:ascii="Calibri" w:hAnsi="Calibri"/>
          <w:lang w:val="en-AU"/>
        </w:rPr>
      </w:pPr>
      <w:r w:rsidRPr="00D57690">
        <w:rPr>
          <w:rFonts w:ascii="Calibri" w:hAnsi="Calibri"/>
          <w:i/>
          <w:lang w:val="en-AU"/>
        </w:rPr>
        <w:t>Paper:</w:t>
      </w:r>
      <w:r>
        <w:rPr>
          <w:rFonts w:ascii="Calibri" w:hAnsi="Calibri"/>
          <w:lang w:val="en-AU"/>
        </w:rPr>
        <w:t xml:space="preserve"> Mr Steel (Minister for Skills) presented the following papers:</w:t>
      </w:r>
    </w:p>
    <w:p w:rsidR="00D57690" w:rsidRDefault="00D57690" w:rsidP="00EB2CD4">
      <w:pPr>
        <w:tabs>
          <w:tab w:val="left" w:pos="1197"/>
          <w:tab w:val="left" w:pos="1767"/>
        </w:tabs>
        <w:spacing w:before="120"/>
        <w:ind w:left="720"/>
        <w:rPr>
          <w:rFonts w:ascii="Calibri" w:hAnsi="Calibri"/>
          <w:lang w:val="en-AU"/>
        </w:rPr>
      </w:pPr>
      <w:r>
        <w:rPr>
          <w:rFonts w:ascii="Calibri" w:hAnsi="Calibri"/>
          <w:lang w:val="en-AU"/>
        </w:rPr>
        <w:lastRenderedPageBreak/>
        <w:t>Canberra Institute of Technology—Consultancy services—</w:t>
      </w:r>
    </w:p>
    <w:p w:rsidR="00D57690" w:rsidRDefault="00680025" w:rsidP="00D57690">
      <w:pPr>
        <w:pStyle w:val="DPSEntryDetailIndentLev1"/>
      </w:pPr>
      <w:r>
        <w:t>Copy of l</w:t>
      </w:r>
      <w:r w:rsidR="00D57690">
        <w:t xml:space="preserve">etter to </w:t>
      </w:r>
      <w:r>
        <w:t xml:space="preserve">the </w:t>
      </w:r>
      <w:r w:rsidR="00D57690">
        <w:t xml:space="preserve">CIT Board Chair, from </w:t>
      </w:r>
      <w:r w:rsidR="00952558">
        <w:t>the</w:t>
      </w:r>
      <w:r w:rsidR="00D57690">
        <w:t xml:space="preserve"> Minister for Skills, undated.</w:t>
      </w:r>
    </w:p>
    <w:p w:rsidR="00D57690" w:rsidRPr="00D57690" w:rsidRDefault="00952558" w:rsidP="00D57690">
      <w:pPr>
        <w:pStyle w:val="DPSEntryDetailIndentLev1"/>
      </w:pPr>
      <w:r>
        <w:t>Copy of l</w:t>
      </w:r>
      <w:r w:rsidR="00160F59">
        <w:t xml:space="preserve">etter to </w:t>
      </w:r>
      <w:r>
        <w:t>the Minister for Skills</w:t>
      </w:r>
      <w:r w:rsidR="00D57690">
        <w:t xml:space="preserve"> from </w:t>
      </w:r>
      <w:r>
        <w:t>the</w:t>
      </w:r>
      <w:r w:rsidR="00160F59">
        <w:t xml:space="preserve"> CIT Board Chair,</w:t>
      </w:r>
      <w:r w:rsidR="00D57690">
        <w:t xml:space="preserve"> dated 5 March 2021, </w:t>
      </w:r>
      <w:r>
        <w:t>including CIT’s Contemporary Organisational Transformation Report</w:t>
      </w:r>
      <w:r w:rsidR="00D57690">
        <w:t>.</w:t>
      </w:r>
    </w:p>
    <w:p w:rsidR="00D57690" w:rsidRPr="00EB2CD4" w:rsidRDefault="00D57690" w:rsidP="0068365B">
      <w:pPr>
        <w:keepNext/>
        <w:tabs>
          <w:tab w:val="left" w:pos="1197"/>
          <w:tab w:val="left" w:pos="1767"/>
        </w:tabs>
        <w:spacing w:before="120"/>
        <w:ind w:left="720"/>
        <w:rPr>
          <w:rFonts w:ascii="Calibri" w:hAnsi="Calibri"/>
          <w:lang w:val="en-AU"/>
        </w:rPr>
      </w:pPr>
      <w:r>
        <w:rPr>
          <w:rFonts w:ascii="Calibri" w:hAnsi="Calibri"/>
          <w:lang w:val="en-AU"/>
        </w:rPr>
        <w:t>Debate continued.</w:t>
      </w:r>
    </w:p>
    <w:p w:rsidR="00EB2CD4" w:rsidRDefault="00E81F91" w:rsidP="00EB2CD4">
      <w:pPr>
        <w:spacing w:before="120"/>
        <w:ind w:left="720"/>
        <w:rPr>
          <w:rFonts w:ascii="Calibri" w:hAnsi="Calibri"/>
        </w:rPr>
      </w:pPr>
      <w:r>
        <w:rPr>
          <w:rFonts w:ascii="Calibri" w:hAnsi="Calibri"/>
        </w:rPr>
        <w:t>Q</w:t>
      </w:r>
      <w:r w:rsidR="00EB2CD4" w:rsidRPr="00EB2CD4">
        <w:rPr>
          <w:rFonts w:ascii="Calibri" w:hAnsi="Calibri"/>
        </w:rPr>
        <w:t>uestion—That the motion be agreed to—</w:t>
      </w:r>
      <w:r>
        <w:rPr>
          <w:rFonts w:ascii="Calibri" w:hAnsi="Calibri"/>
        </w:rPr>
        <w:t>put.</w:t>
      </w:r>
    </w:p>
    <w:p w:rsidR="00D57690" w:rsidRDefault="00D57690" w:rsidP="00D57690">
      <w:pPr>
        <w:spacing w:before="120" w:after="120"/>
        <w:ind w:left="720"/>
        <w:rPr>
          <w:rFonts w:ascii="Calibri" w:hAnsi="Calibri"/>
        </w:rPr>
      </w:pPr>
      <w:r>
        <w:rPr>
          <w:rFonts w:ascii="Calibri" w:hAnsi="Calibri"/>
        </w:rPr>
        <w:t>The Assembly voted—</w:t>
      </w:r>
    </w:p>
    <w:tbl>
      <w:tblPr>
        <w:tblpPr w:rightFromText="180" w:vertAnchor="text" w:tblpY="1"/>
        <w:tblOverlap w:val="never"/>
        <w:tblW w:w="9540" w:type="dxa"/>
        <w:tblLayout w:type="fixed"/>
        <w:tblCellMar>
          <w:left w:w="720" w:type="dxa"/>
          <w:right w:w="56" w:type="dxa"/>
        </w:tblCellMar>
        <w:tblLook w:val="0000" w:firstRow="0" w:lastRow="0" w:firstColumn="0" w:lastColumn="0" w:noHBand="0" w:noVBand="0"/>
      </w:tblPr>
      <w:tblGrid>
        <w:gridCol w:w="1998"/>
        <w:gridCol w:w="1602"/>
        <w:gridCol w:w="796"/>
        <w:gridCol w:w="2354"/>
        <w:gridCol w:w="2790"/>
      </w:tblGrid>
      <w:tr w:rsidR="00D57690" w:rsidTr="00D57690">
        <w:tc>
          <w:tcPr>
            <w:tcW w:w="3600" w:type="dxa"/>
            <w:gridSpan w:val="2"/>
            <w:shd w:val="clear" w:color="auto" w:fill="auto"/>
          </w:tcPr>
          <w:p w:rsidR="00D57690" w:rsidRDefault="00D57690" w:rsidP="00952558">
            <w:pPr>
              <w:tabs>
                <w:tab w:val="center" w:pos="1800"/>
              </w:tabs>
              <w:spacing w:before="120"/>
              <w:rPr>
                <w:rFonts w:ascii="Calibri" w:hAnsi="Calibri"/>
              </w:rPr>
            </w:pPr>
            <w:r>
              <w:rPr>
                <w:rFonts w:ascii="Calibri" w:hAnsi="Calibri"/>
              </w:rPr>
              <w:tab/>
              <w:t>AYES, 7</w:t>
            </w:r>
          </w:p>
        </w:tc>
        <w:tc>
          <w:tcPr>
            <w:tcW w:w="796" w:type="dxa"/>
            <w:shd w:val="clear" w:color="auto" w:fill="auto"/>
          </w:tcPr>
          <w:p w:rsidR="00D57690" w:rsidRDefault="00D57690" w:rsidP="00D57690">
            <w:pPr>
              <w:spacing w:before="120"/>
              <w:rPr>
                <w:rFonts w:ascii="Calibri" w:hAnsi="Calibri"/>
              </w:rPr>
            </w:pPr>
          </w:p>
        </w:tc>
        <w:tc>
          <w:tcPr>
            <w:tcW w:w="5144" w:type="dxa"/>
            <w:gridSpan w:val="2"/>
            <w:shd w:val="clear" w:color="auto" w:fill="auto"/>
          </w:tcPr>
          <w:p w:rsidR="00D57690" w:rsidRDefault="00D57690" w:rsidP="00D57690">
            <w:pPr>
              <w:tabs>
                <w:tab w:val="center" w:pos="1644"/>
              </w:tabs>
              <w:spacing w:before="120"/>
              <w:rPr>
                <w:rFonts w:ascii="Calibri" w:hAnsi="Calibri"/>
              </w:rPr>
            </w:pPr>
            <w:r>
              <w:rPr>
                <w:rFonts w:ascii="Calibri" w:hAnsi="Calibri"/>
              </w:rPr>
              <w:tab/>
              <w:t>NOES, 15</w:t>
            </w:r>
          </w:p>
        </w:tc>
      </w:tr>
      <w:tr w:rsidR="00D57690" w:rsidTr="00D57690">
        <w:trPr>
          <w:trHeight w:hRule="exact" w:val="312"/>
        </w:trPr>
        <w:tc>
          <w:tcPr>
            <w:tcW w:w="1998" w:type="dxa"/>
            <w:shd w:val="clear" w:color="auto" w:fill="auto"/>
          </w:tcPr>
          <w:p w:rsidR="00D57690" w:rsidRDefault="00D57690" w:rsidP="00D57690">
            <w:pPr>
              <w:rPr>
                <w:rFonts w:ascii="Calibri" w:hAnsi="Calibri"/>
              </w:rPr>
            </w:pPr>
            <w:r>
              <w:rPr>
                <w:rFonts w:ascii="Calibri" w:hAnsi="Calibri"/>
              </w:rPr>
              <w:t>Mr Cain</w:t>
            </w:r>
          </w:p>
        </w:tc>
        <w:tc>
          <w:tcPr>
            <w:tcW w:w="1602" w:type="dxa"/>
            <w:shd w:val="clear" w:color="auto" w:fill="auto"/>
          </w:tcPr>
          <w:p w:rsidR="00D57690" w:rsidRDefault="00D57690" w:rsidP="00D57690">
            <w:pPr>
              <w:spacing w:before="120"/>
              <w:rPr>
                <w:rFonts w:ascii="Calibri" w:hAnsi="Calibri"/>
              </w:rPr>
            </w:pPr>
          </w:p>
        </w:tc>
        <w:tc>
          <w:tcPr>
            <w:tcW w:w="796" w:type="dxa"/>
            <w:shd w:val="clear" w:color="auto" w:fill="auto"/>
          </w:tcPr>
          <w:p w:rsidR="00D57690" w:rsidRDefault="00D57690" w:rsidP="00D57690">
            <w:pPr>
              <w:spacing w:before="120"/>
              <w:rPr>
                <w:rFonts w:ascii="Calibri" w:hAnsi="Calibri"/>
              </w:rPr>
            </w:pPr>
          </w:p>
        </w:tc>
        <w:tc>
          <w:tcPr>
            <w:tcW w:w="2354" w:type="dxa"/>
            <w:shd w:val="clear" w:color="auto" w:fill="auto"/>
          </w:tcPr>
          <w:p w:rsidR="00D57690" w:rsidRDefault="00D57690" w:rsidP="00952558">
            <w:pPr>
              <w:ind w:left="-76"/>
              <w:rPr>
                <w:rFonts w:ascii="Calibri" w:hAnsi="Calibri"/>
              </w:rPr>
            </w:pPr>
            <w:r>
              <w:rPr>
                <w:rFonts w:ascii="Calibri" w:hAnsi="Calibri"/>
              </w:rPr>
              <w:t>Mr Barr</w:t>
            </w:r>
          </w:p>
        </w:tc>
        <w:tc>
          <w:tcPr>
            <w:tcW w:w="2790" w:type="dxa"/>
            <w:shd w:val="clear" w:color="auto" w:fill="auto"/>
          </w:tcPr>
          <w:p w:rsidR="00D57690" w:rsidRDefault="00D57690" w:rsidP="00952558">
            <w:pPr>
              <w:ind w:left="-180"/>
              <w:rPr>
                <w:rFonts w:ascii="Calibri" w:hAnsi="Calibri"/>
              </w:rPr>
            </w:pPr>
            <w:r>
              <w:rPr>
                <w:rFonts w:ascii="Calibri" w:hAnsi="Calibri"/>
              </w:rPr>
              <w:t>Mr Gentleman</w:t>
            </w:r>
          </w:p>
        </w:tc>
      </w:tr>
      <w:tr w:rsidR="00D57690" w:rsidTr="00D57690">
        <w:trPr>
          <w:trHeight w:hRule="exact" w:val="312"/>
        </w:trPr>
        <w:tc>
          <w:tcPr>
            <w:tcW w:w="1998" w:type="dxa"/>
            <w:shd w:val="clear" w:color="auto" w:fill="auto"/>
          </w:tcPr>
          <w:p w:rsidR="00D57690" w:rsidRDefault="00D57690" w:rsidP="00D57690">
            <w:pPr>
              <w:rPr>
                <w:rFonts w:ascii="Calibri" w:hAnsi="Calibri"/>
              </w:rPr>
            </w:pPr>
            <w:r>
              <w:rPr>
                <w:rFonts w:ascii="Calibri" w:hAnsi="Calibri"/>
              </w:rPr>
              <w:t>Mr Hanson</w:t>
            </w:r>
          </w:p>
        </w:tc>
        <w:tc>
          <w:tcPr>
            <w:tcW w:w="1602" w:type="dxa"/>
            <w:shd w:val="clear" w:color="auto" w:fill="auto"/>
          </w:tcPr>
          <w:p w:rsidR="00D57690" w:rsidRDefault="00D57690" w:rsidP="00D57690">
            <w:pPr>
              <w:spacing w:before="120"/>
              <w:rPr>
                <w:rFonts w:ascii="Calibri" w:hAnsi="Calibri"/>
              </w:rPr>
            </w:pPr>
          </w:p>
        </w:tc>
        <w:tc>
          <w:tcPr>
            <w:tcW w:w="796" w:type="dxa"/>
            <w:shd w:val="clear" w:color="auto" w:fill="auto"/>
          </w:tcPr>
          <w:p w:rsidR="00D57690" w:rsidRDefault="00D57690" w:rsidP="00D57690">
            <w:pPr>
              <w:spacing w:before="120"/>
              <w:rPr>
                <w:rFonts w:ascii="Calibri" w:hAnsi="Calibri"/>
              </w:rPr>
            </w:pPr>
          </w:p>
        </w:tc>
        <w:tc>
          <w:tcPr>
            <w:tcW w:w="2354" w:type="dxa"/>
            <w:shd w:val="clear" w:color="auto" w:fill="auto"/>
          </w:tcPr>
          <w:p w:rsidR="00D57690" w:rsidRDefault="00D57690" w:rsidP="00952558">
            <w:pPr>
              <w:ind w:left="-76"/>
              <w:rPr>
                <w:rFonts w:ascii="Calibri" w:hAnsi="Calibri"/>
              </w:rPr>
            </w:pPr>
            <w:r>
              <w:rPr>
                <w:rFonts w:ascii="Calibri" w:hAnsi="Calibri"/>
              </w:rPr>
              <w:t>Ms Berry</w:t>
            </w:r>
          </w:p>
        </w:tc>
        <w:tc>
          <w:tcPr>
            <w:tcW w:w="2790" w:type="dxa"/>
            <w:shd w:val="clear" w:color="auto" w:fill="auto"/>
          </w:tcPr>
          <w:p w:rsidR="00D57690" w:rsidRDefault="00D57690" w:rsidP="00952558">
            <w:pPr>
              <w:ind w:left="-180"/>
              <w:rPr>
                <w:rFonts w:ascii="Calibri" w:hAnsi="Calibri"/>
              </w:rPr>
            </w:pPr>
            <w:r>
              <w:rPr>
                <w:rFonts w:ascii="Calibri" w:hAnsi="Calibri"/>
              </w:rPr>
              <w:t>Ms Orr</w:t>
            </w:r>
          </w:p>
        </w:tc>
      </w:tr>
      <w:tr w:rsidR="00D57690" w:rsidTr="00D57690">
        <w:trPr>
          <w:trHeight w:hRule="exact" w:val="312"/>
        </w:trPr>
        <w:tc>
          <w:tcPr>
            <w:tcW w:w="1998" w:type="dxa"/>
            <w:shd w:val="clear" w:color="auto" w:fill="auto"/>
          </w:tcPr>
          <w:p w:rsidR="00D57690" w:rsidRDefault="00D57690" w:rsidP="00D57690">
            <w:pPr>
              <w:rPr>
                <w:rFonts w:ascii="Calibri" w:hAnsi="Calibri"/>
              </w:rPr>
            </w:pPr>
            <w:r>
              <w:rPr>
                <w:rFonts w:ascii="Calibri" w:hAnsi="Calibri"/>
              </w:rPr>
              <w:t>Mrs Kikkert</w:t>
            </w:r>
          </w:p>
        </w:tc>
        <w:tc>
          <w:tcPr>
            <w:tcW w:w="1602" w:type="dxa"/>
            <w:shd w:val="clear" w:color="auto" w:fill="auto"/>
          </w:tcPr>
          <w:p w:rsidR="00D57690" w:rsidRDefault="00D57690" w:rsidP="00D57690">
            <w:pPr>
              <w:spacing w:before="120"/>
              <w:rPr>
                <w:rFonts w:ascii="Calibri" w:hAnsi="Calibri"/>
              </w:rPr>
            </w:pPr>
          </w:p>
        </w:tc>
        <w:tc>
          <w:tcPr>
            <w:tcW w:w="796" w:type="dxa"/>
            <w:shd w:val="clear" w:color="auto" w:fill="auto"/>
          </w:tcPr>
          <w:p w:rsidR="00D57690" w:rsidRDefault="00D57690" w:rsidP="00D57690">
            <w:pPr>
              <w:spacing w:before="120"/>
              <w:rPr>
                <w:rFonts w:ascii="Calibri" w:hAnsi="Calibri"/>
              </w:rPr>
            </w:pPr>
          </w:p>
        </w:tc>
        <w:tc>
          <w:tcPr>
            <w:tcW w:w="2354" w:type="dxa"/>
            <w:shd w:val="clear" w:color="auto" w:fill="auto"/>
          </w:tcPr>
          <w:p w:rsidR="00D57690" w:rsidRDefault="00D57690" w:rsidP="00952558">
            <w:pPr>
              <w:ind w:left="-76"/>
              <w:rPr>
                <w:rFonts w:ascii="Calibri" w:hAnsi="Calibri"/>
              </w:rPr>
            </w:pPr>
            <w:r>
              <w:rPr>
                <w:rFonts w:ascii="Calibri" w:hAnsi="Calibri"/>
              </w:rPr>
              <w:t>Mr Braddock</w:t>
            </w:r>
          </w:p>
        </w:tc>
        <w:tc>
          <w:tcPr>
            <w:tcW w:w="2790" w:type="dxa"/>
            <w:shd w:val="clear" w:color="auto" w:fill="auto"/>
          </w:tcPr>
          <w:p w:rsidR="00D57690" w:rsidRDefault="00D57690" w:rsidP="00952558">
            <w:pPr>
              <w:ind w:left="-180"/>
              <w:rPr>
                <w:rFonts w:ascii="Calibri" w:hAnsi="Calibri"/>
              </w:rPr>
            </w:pPr>
            <w:r>
              <w:rPr>
                <w:rFonts w:ascii="Calibri" w:hAnsi="Calibri"/>
              </w:rPr>
              <w:t>Dr Paterson</w:t>
            </w:r>
          </w:p>
        </w:tc>
      </w:tr>
      <w:tr w:rsidR="00D57690" w:rsidTr="00D57690">
        <w:trPr>
          <w:trHeight w:hRule="exact" w:val="312"/>
        </w:trPr>
        <w:tc>
          <w:tcPr>
            <w:tcW w:w="1998" w:type="dxa"/>
            <w:shd w:val="clear" w:color="auto" w:fill="auto"/>
          </w:tcPr>
          <w:p w:rsidR="00D57690" w:rsidRDefault="00D57690" w:rsidP="00D57690">
            <w:pPr>
              <w:rPr>
                <w:rFonts w:ascii="Calibri" w:hAnsi="Calibri"/>
              </w:rPr>
            </w:pPr>
            <w:r>
              <w:rPr>
                <w:rFonts w:ascii="Calibri" w:hAnsi="Calibri"/>
              </w:rPr>
              <w:t>Ms Lawder</w:t>
            </w:r>
          </w:p>
        </w:tc>
        <w:tc>
          <w:tcPr>
            <w:tcW w:w="1602" w:type="dxa"/>
            <w:shd w:val="clear" w:color="auto" w:fill="auto"/>
          </w:tcPr>
          <w:p w:rsidR="00D57690" w:rsidRDefault="00D57690" w:rsidP="00D57690">
            <w:pPr>
              <w:spacing w:before="120"/>
              <w:rPr>
                <w:rFonts w:ascii="Calibri" w:hAnsi="Calibri"/>
              </w:rPr>
            </w:pPr>
          </w:p>
        </w:tc>
        <w:tc>
          <w:tcPr>
            <w:tcW w:w="796" w:type="dxa"/>
            <w:shd w:val="clear" w:color="auto" w:fill="auto"/>
          </w:tcPr>
          <w:p w:rsidR="00D57690" w:rsidRDefault="00D57690" w:rsidP="00D57690">
            <w:pPr>
              <w:spacing w:before="120"/>
              <w:rPr>
                <w:rFonts w:ascii="Calibri" w:hAnsi="Calibri"/>
              </w:rPr>
            </w:pPr>
          </w:p>
        </w:tc>
        <w:tc>
          <w:tcPr>
            <w:tcW w:w="2354" w:type="dxa"/>
            <w:shd w:val="clear" w:color="auto" w:fill="auto"/>
          </w:tcPr>
          <w:p w:rsidR="00D57690" w:rsidRDefault="00D57690" w:rsidP="00952558">
            <w:pPr>
              <w:ind w:left="-76"/>
              <w:rPr>
                <w:rFonts w:ascii="Calibri" w:hAnsi="Calibri"/>
              </w:rPr>
            </w:pPr>
            <w:r>
              <w:rPr>
                <w:rFonts w:ascii="Calibri" w:hAnsi="Calibri"/>
              </w:rPr>
              <w:t>Ms Burch</w:t>
            </w:r>
          </w:p>
        </w:tc>
        <w:tc>
          <w:tcPr>
            <w:tcW w:w="2790" w:type="dxa"/>
            <w:shd w:val="clear" w:color="auto" w:fill="auto"/>
          </w:tcPr>
          <w:p w:rsidR="00D57690" w:rsidRDefault="00D57690" w:rsidP="00952558">
            <w:pPr>
              <w:ind w:left="-180"/>
              <w:rPr>
                <w:rFonts w:ascii="Calibri" w:hAnsi="Calibri"/>
              </w:rPr>
            </w:pPr>
            <w:r>
              <w:rPr>
                <w:rFonts w:ascii="Calibri" w:hAnsi="Calibri"/>
              </w:rPr>
              <w:t>Mr Pettersson</w:t>
            </w:r>
          </w:p>
        </w:tc>
      </w:tr>
      <w:tr w:rsidR="00D57690" w:rsidTr="00D57690">
        <w:trPr>
          <w:trHeight w:hRule="exact" w:val="312"/>
        </w:trPr>
        <w:tc>
          <w:tcPr>
            <w:tcW w:w="1998" w:type="dxa"/>
            <w:shd w:val="clear" w:color="auto" w:fill="auto"/>
          </w:tcPr>
          <w:p w:rsidR="00D57690" w:rsidRDefault="00D57690" w:rsidP="00D57690">
            <w:pPr>
              <w:rPr>
                <w:rFonts w:ascii="Calibri" w:hAnsi="Calibri"/>
              </w:rPr>
            </w:pPr>
            <w:r>
              <w:rPr>
                <w:rFonts w:ascii="Calibri" w:hAnsi="Calibri"/>
              </w:rPr>
              <w:t>Ms Lee</w:t>
            </w:r>
          </w:p>
        </w:tc>
        <w:tc>
          <w:tcPr>
            <w:tcW w:w="1602" w:type="dxa"/>
            <w:shd w:val="clear" w:color="auto" w:fill="auto"/>
          </w:tcPr>
          <w:p w:rsidR="00D57690" w:rsidRDefault="00D57690" w:rsidP="00D57690">
            <w:pPr>
              <w:spacing w:before="120"/>
              <w:rPr>
                <w:rFonts w:ascii="Calibri" w:hAnsi="Calibri"/>
              </w:rPr>
            </w:pPr>
          </w:p>
        </w:tc>
        <w:tc>
          <w:tcPr>
            <w:tcW w:w="796" w:type="dxa"/>
            <w:shd w:val="clear" w:color="auto" w:fill="auto"/>
          </w:tcPr>
          <w:p w:rsidR="00D57690" w:rsidRDefault="00D57690" w:rsidP="00D57690">
            <w:pPr>
              <w:spacing w:before="120"/>
              <w:rPr>
                <w:rFonts w:ascii="Calibri" w:hAnsi="Calibri"/>
              </w:rPr>
            </w:pPr>
          </w:p>
        </w:tc>
        <w:tc>
          <w:tcPr>
            <w:tcW w:w="2354" w:type="dxa"/>
            <w:shd w:val="clear" w:color="auto" w:fill="auto"/>
          </w:tcPr>
          <w:p w:rsidR="00D57690" w:rsidRDefault="00D57690" w:rsidP="00952558">
            <w:pPr>
              <w:ind w:left="-76"/>
              <w:rPr>
                <w:rFonts w:ascii="Calibri" w:hAnsi="Calibri"/>
              </w:rPr>
            </w:pPr>
            <w:r>
              <w:rPr>
                <w:rFonts w:ascii="Calibri" w:hAnsi="Calibri"/>
              </w:rPr>
              <w:t>Ms Cheyne</w:t>
            </w:r>
          </w:p>
        </w:tc>
        <w:tc>
          <w:tcPr>
            <w:tcW w:w="2790" w:type="dxa"/>
            <w:shd w:val="clear" w:color="auto" w:fill="auto"/>
          </w:tcPr>
          <w:p w:rsidR="00D57690" w:rsidRDefault="00D57690" w:rsidP="00952558">
            <w:pPr>
              <w:ind w:left="-180"/>
              <w:rPr>
                <w:rFonts w:ascii="Calibri" w:hAnsi="Calibri"/>
              </w:rPr>
            </w:pPr>
            <w:r>
              <w:rPr>
                <w:rFonts w:ascii="Calibri" w:hAnsi="Calibri"/>
              </w:rPr>
              <w:t>Mr Rattenbury</w:t>
            </w:r>
          </w:p>
        </w:tc>
      </w:tr>
      <w:tr w:rsidR="00D57690" w:rsidTr="00D57690">
        <w:trPr>
          <w:trHeight w:hRule="exact" w:val="312"/>
        </w:trPr>
        <w:tc>
          <w:tcPr>
            <w:tcW w:w="1998" w:type="dxa"/>
            <w:shd w:val="clear" w:color="auto" w:fill="auto"/>
          </w:tcPr>
          <w:p w:rsidR="00D57690" w:rsidRDefault="00D57690" w:rsidP="00D57690">
            <w:pPr>
              <w:rPr>
                <w:rFonts w:ascii="Calibri" w:hAnsi="Calibri"/>
              </w:rPr>
            </w:pPr>
            <w:r>
              <w:rPr>
                <w:rFonts w:ascii="Calibri" w:hAnsi="Calibri"/>
              </w:rPr>
              <w:t>Mr Milligan</w:t>
            </w:r>
          </w:p>
        </w:tc>
        <w:tc>
          <w:tcPr>
            <w:tcW w:w="1602" w:type="dxa"/>
            <w:shd w:val="clear" w:color="auto" w:fill="auto"/>
          </w:tcPr>
          <w:p w:rsidR="00D57690" w:rsidRDefault="00D57690" w:rsidP="00D57690">
            <w:pPr>
              <w:spacing w:before="120"/>
              <w:rPr>
                <w:rFonts w:ascii="Calibri" w:hAnsi="Calibri"/>
              </w:rPr>
            </w:pPr>
          </w:p>
        </w:tc>
        <w:tc>
          <w:tcPr>
            <w:tcW w:w="796" w:type="dxa"/>
            <w:shd w:val="clear" w:color="auto" w:fill="auto"/>
          </w:tcPr>
          <w:p w:rsidR="00D57690" w:rsidRDefault="00D57690" w:rsidP="00D57690">
            <w:pPr>
              <w:spacing w:before="120"/>
              <w:rPr>
                <w:rFonts w:ascii="Calibri" w:hAnsi="Calibri"/>
              </w:rPr>
            </w:pPr>
          </w:p>
        </w:tc>
        <w:tc>
          <w:tcPr>
            <w:tcW w:w="2354" w:type="dxa"/>
            <w:shd w:val="clear" w:color="auto" w:fill="auto"/>
          </w:tcPr>
          <w:p w:rsidR="00D57690" w:rsidRDefault="00D57690" w:rsidP="00952558">
            <w:pPr>
              <w:ind w:left="-76"/>
              <w:rPr>
                <w:rFonts w:ascii="Calibri" w:hAnsi="Calibri"/>
              </w:rPr>
            </w:pPr>
            <w:r>
              <w:rPr>
                <w:rFonts w:ascii="Calibri" w:hAnsi="Calibri"/>
              </w:rPr>
              <w:t>Ms Clay</w:t>
            </w:r>
          </w:p>
        </w:tc>
        <w:tc>
          <w:tcPr>
            <w:tcW w:w="2790" w:type="dxa"/>
            <w:shd w:val="clear" w:color="auto" w:fill="auto"/>
          </w:tcPr>
          <w:p w:rsidR="00D57690" w:rsidRDefault="00D57690" w:rsidP="00952558">
            <w:pPr>
              <w:ind w:left="-180"/>
              <w:rPr>
                <w:rFonts w:ascii="Calibri" w:hAnsi="Calibri"/>
              </w:rPr>
            </w:pPr>
            <w:r>
              <w:rPr>
                <w:rFonts w:ascii="Calibri" w:hAnsi="Calibri"/>
              </w:rPr>
              <w:t>Mr Steel</w:t>
            </w:r>
          </w:p>
        </w:tc>
      </w:tr>
      <w:tr w:rsidR="00D57690" w:rsidTr="00D57690">
        <w:trPr>
          <w:trHeight w:hRule="exact" w:val="312"/>
        </w:trPr>
        <w:tc>
          <w:tcPr>
            <w:tcW w:w="1998" w:type="dxa"/>
            <w:shd w:val="clear" w:color="auto" w:fill="auto"/>
          </w:tcPr>
          <w:p w:rsidR="00D57690" w:rsidRDefault="00D57690" w:rsidP="00D57690">
            <w:pPr>
              <w:rPr>
                <w:rFonts w:ascii="Calibri" w:hAnsi="Calibri"/>
              </w:rPr>
            </w:pPr>
            <w:r>
              <w:rPr>
                <w:rFonts w:ascii="Calibri" w:hAnsi="Calibri"/>
              </w:rPr>
              <w:t>Mr Parton</w:t>
            </w:r>
          </w:p>
        </w:tc>
        <w:tc>
          <w:tcPr>
            <w:tcW w:w="1602" w:type="dxa"/>
            <w:shd w:val="clear" w:color="auto" w:fill="auto"/>
          </w:tcPr>
          <w:p w:rsidR="00D57690" w:rsidRDefault="00D57690" w:rsidP="00D57690">
            <w:pPr>
              <w:spacing w:before="120"/>
              <w:rPr>
                <w:rFonts w:ascii="Calibri" w:hAnsi="Calibri"/>
              </w:rPr>
            </w:pPr>
          </w:p>
        </w:tc>
        <w:tc>
          <w:tcPr>
            <w:tcW w:w="796" w:type="dxa"/>
            <w:shd w:val="clear" w:color="auto" w:fill="auto"/>
          </w:tcPr>
          <w:p w:rsidR="00D57690" w:rsidRDefault="00D57690" w:rsidP="00D57690">
            <w:pPr>
              <w:spacing w:before="120"/>
              <w:rPr>
                <w:rFonts w:ascii="Calibri" w:hAnsi="Calibri"/>
              </w:rPr>
            </w:pPr>
          </w:p>
        </w:tc>
        <w:tc>
          <w:tcPr>
            <w:tcW w:w="2354" w:type="dxa"/>
            <w:shd w:val="clear" w:color="auto" w:fill="auto"/>
          </w:tcPr>
          <w:p w:rsidR="00D57690" w:rsidRDefault="00D57690" w:rsidP="00952558">
            <w:pPr>
              <w:ind w:left="-76"/>
              <w:rPr>
                <w:rFonts w:ascii="Calibri" w:hAnsi="Calibri"/>
              </w:rPr>
            </w:pPr>
            <w:r>
              <w:rPr>
                <w:rFonts w:ascii="Calibri" w:hAnsi="Calibri"/>
              </w:rPr>
              <w:t>Ms Davidson</w:t>
            </w:r>
          </w:p>
        </w:tc>
        <w:tc>
          <w:tcPr>
            <w:tcW w:w="2790" w:type="dxa"/>
            <w:shd w:val="clear" w:color="auto" w:fill="auto"/>
          </w:tcPr>
          <w:p w:rsidR="00D57690" w:rsidRDefault="00D57690" w:rsidP="00952558">
            <w:pPr>
              <w:ind w:left="-180"/>
              <w:rPr>
                <w:rFonts w:ascii="Calibri" w:hAnsi="Calibri"/>
              </w:rPr>
            </w:pPr>
            <w:r>
              <w:rPr>
                <w:rFonts w:ascii="Calibri" w:hAnsi="Calibri"/>
              </w:rPr>
              <w:t>Ms Stephen-Smith</w:t>
            </w:r>
          </w:p>
        </w:tc>
      </w:tr>
      <w:tr w:rsidR="00D57690" w:rsidTr="00D57690">
        <w:trPr>
          <w:trHeight w:hRule="exact" w:val="312"/>
        </w:trPr>
        <w:tc>
          <w:tcPr>
            <w:tcW w:w="1998" w:type="dxa"/>
            <w:shd w:val="clear" w:color="auto" w:fill="auto"/>
          </w:tcPr>
          <w:p w:rsidR="00D57690" w:rsidRDefault="00D57690" w:rsidP="00D57690">
            <w:pPr>
              <w:spacing w:before="120"/>
              <w:rPr>
                <w:rFonts w:ascii="Calibri" w:hAnsi="Calibri"/>
              </w:rPr>
            </w:pPr>
          </w:p>
        </w:tc>
        <w:tc>
          <w:tcPr>
            <w:tcW w:w="1602" w:type="dxa"/>
            <w:shd w:val="clear" w:color="auto" w:fill="auto"/>
          </w:tcPr>
          <w:p w:rsidR="00D57690" w:rsidRDefault="00D57690" w:rsidP="00D57690">
            <w:pPr>
              <w:spacing w:before="120"/>
              <w:rPr>
                <w:rFonts w:ascii="Calibri" w:hAnsi="Calibri"/>
              </w:rPr>
            </w:pPr>
          </w:p>
        </w:tc>
        <w:tc>
          <w:tcPr>
            <w:tcW w:w="796" w:type="dxa"/>
            <w:shd w:val="clear" w:color="auto" w:fill="auto"/>
          </w:tcPr>
          <w:p w:rsidR="00D57690" w:rsidRDefault="00D57690" w:rsidP="00D57690">
            <w:pPr>
              <w:spacing w:before="120"/>
              <w:rPr>
                <w:rFonts w:ascii="Calibri" w:hAnsi="Calibri"/>
              </w:rPr>
            </w:pPr>
          </w:p>
        </w:tc>
        <w:tc>
          <w:tcPr>
            <w:tcW w:w="2354" w:type="dxa"/>
            <w:shd w:val="clear" w:color="auto" w:fill="auto"/>
          </w:tcPr>
          <w:p w:rsidR="00D57690" w:rsidRDefault="00D57690" w:rsidP="00952558">
            <w:pPr>
              <w:ind w:left="-76"/>
              <w:rPr>
                <w:rFonts w:ascii="Calibri" w:hAnsi="Calibri"/>
              </w:rPr>
            </w:pPr>
            <w:r>
              <w:rPr>
                <w:rFonts w:ascii="Calibri" w:hAnsi="Calibri"/>
              </w:rPr>
              <w:t>Mr Davis</w:t>
            </w:r>
          </w:p>
        </w:tc>
        <w:tc>
          <w:tcPr>
            <w:tcW w:w="2790" w:type="dxa"/>
            <w:shd w:val="clear" w:color="auto" w:fill="auto"/>
          </w:tcPr>
          <w:p w:rsidR="00D57690" w:rsidRDefault="00D57690" w:rsidP="00952558">
            <w:pPr>
              <w:spacing w:before="120"/>
              <w:ind w:left="-180"/>
              <w:rPr>
                <w:rFonts w:ascii="Calibri" w:hAnsi="Calibri"/>
              </w:rPr>
            </w:pPr>
          </w:p>
        </w:tc>
      </w:tr>
    </w:tbl>
    <w:p w:rsidR="00D57690" w:rsidRDefault="00D57690" w:rsidP="00D57690">
      <w:pPr>
        <w:spacing w:before="120"/>
        <w:ind w:left="720"/>
        <w:rPr>
          <w:rFonts w:ascii="Calibri" w:hAnsi="Calibri"/>
        </w:rPr>
      </w:pPr>
      <w:r>
        <w:rPr>
          <w:rFonts w:ascii="Calibri" w:hAnsi="Calibri"/>
        </w:rPr>
        <w:t>And so it was negatived.</w:t>
      </w:r>
    </w:p>
    <w:p w:rsidR="00A94E5F" w:rsidRPr="00A94E5F" w:rsidRDefault="00A94E5F" w:rsidP="00A94E5F">
      <w:pPr>
        <w:keepNext/>
        <w:keepLines/>
        <w:tabs>
          <w:tab w:val="right" w:pos="339"/>
          <w:tab w:val="left" w:pos="720"/>
        </w:tabs>
        <w:spacing w:before="240"/>
        <w:ind w:left="720" w:hanging="720"/>
        <w:jc w:val="both"/>
        <w:rPr>
          <w:rFonts w:ascii="Calibri" w:hAnsi="Calibri"/>
          <w:b/>
          <w:caps/>
        </w:rPr>
      </w:pPr>
      <w:r w:rsidRPr="00A94E5F">
        <w:rPr>
          <w:rFonts w:ascii="Calibri" w:hAnsi="Calibri"/>
          <w:b/>
          <w:caps/>
        </w:rPr>
        <w:tab/>
      </w:r>
      <w:r w:rsidR="00BF478F">
        <w:rPr>
          <w:rFonts w:ascii="Calibri" w:hAnsi="Calibri"/>
          <w:b/>
          <w:bCs/>
          <w:caps/>
        </w:rPr>
        <w:fldChar w:fldCharType="begin"/>
      </w:r>
      <w:r w:rsidR="00BF478F">
        <w:rPr>
          <w:rFonts w:ascii="Calibri" w:hAnsi="Calibri"/>
          <w:b/>
          <w:bCs/>
          <w:caps/>
        </w:rPr>
        <w:instrText xml:space="preserve"> SEQ A \* MERGEFORMAT </w:instrText>
      </w:r>
      <w:r w:rsidR="00BF478F">
        <w:rPr>
          <w:rFonts w:ascii="Calibri" w:hAnsi="Calibri"/>
          <w:b/>
          <w:bCs/>
          <w:caps/>
        </w:rPr>
        <w:fldChar w:fldCharType="separate"/>
      </w:r>
      <w:r w:rsidR="00C4170D">
        <w:rPr>
          <w:rFonts w:ascii="Calibri" w:hAnsi="Calibri"/>
          <w:b/>
          <w:bCs/>
          <w:caps/>
          <w:noProof/>
        </w:rPr>
        <w:t>3</w:t>
      </w:r>
      <w:r w:rsidR="00BF478F">
        <w:rPr>
          <w:rFonts w:ascii="Calibri" w:hAnsi="Calibri"/>
          <w:b/>
          <w:bCs/>
          <w:caps/>
        </w:rPr>
        <w:fldChar w:fldCharType="end"/>
      </w:r>
      <w:r w:rsidRPr="00A94E5F">
        <w:rPr>
          <w:rFonts w:ascii="Calibri" w:hAnsi="Calibri"/>
          <w:b/>
          <w:caps/>
        </w:rPr>
        <w:tab/>
        <w:t>petition—MINISTERIAL RESPONSE—Response noted</w:t>
      </w:r>
    </w:p>
    <w:p w:rsidR="00A94E5F" w:rsidRPr="00A94E5F" w:rsidRDefault="00A94E5F" w:rsidP="00A94E5F">
      <w:pPr>
        <w:tabs>
          <w:tab w:val="left" w:pos="1197"/>
          <w:tab w:val="left" w:pos="1767"/>
        </w:tabs>
        <w:spacing w:before="120"/>
        <w:ind w:left="720"/>
        <w:rPr>
          <w:rFonts w:ascii="Calibri" w:hAnsi="Calibri"/>
          <w:lang w:val="en-AU"/>
        </w:rPr>
      </w:pPr>
      <w:r w:rsidRPr="00A94E5F">
        <w:rPr>
          <w:rFonts w:ascii="Calibri" w:hAnsi="Calibri"/>
          <w:lang w:val="en-AU"/>
        </w:rPr>
        <w:t>The Clerk announced that the following response to a petition had been lodged:</w:t>
      </w:r>
    </w:p>
    <w:p w:rsidR="00A94E5F" w:rsidRPr="00A94E5F" w:rsidRDefault="00A94E5F" w:rsidP="00A94E5F">
      <w:pPr>
        <w:tabs>
          <w:tab w:val="left" w:pos="1197"/>
          <w:tab w:val="left" w:pos="1767"/>
        </w:tabs>
        <w:spacing w:before="120"/>
        <w:ind w:left="720"/>
        <w:rPr>
          <w:rFonts w:ascii="Calibri" w:hAnsi="Calibri"/>
          <w:lang w:val="en-AU"/>
        </w:rPr>
      </w:pPr>
      <w:r>
        <w:rPr>
          <w:rFonts w:ascii="Calibri" w:hAnsi="Calibri"/>
          <w:lang w:val="en-AU"/>
        </w:rPr>
        <w:t>Ms Berry (Minister for Sport and Recreation)</w:t>
      </w:r>
      <w:r w:rsidRPr="00A94E5F">
        <w:rPr>
          <w:rFonts w:ascii="Calibri" w:hAnsi="Calibri"/>
          <w:lang w:val="en-AU"/>
        </w:rPr>
        <w:t xml:space="preserve">, dated </w:t>
      </w:r>
      <w:r>
        <w:rPr>
          <w:rFonts w:ascii="Calibri" w:hAnsi="Calibri"/>
          <w:lang w:val="en-AU"/>
        </w:rPr>
        <w:t>7 June 2022</w:t>
      </w:r>
      <w:r w:rsidRPr="00A94E5F">
        <w:rPr>
          <w:rFonts w:ascii="Calibri" w:hAnsi="Calibri"/>
          <w:lang w:val="en-AU"/>
        </w:rPr>
        <w:t xml:space="preserve">—Response to petition No </w:t>
      </w:r>
      <w:r>
        <w:rPr>
          <w:rFonts w:ascii="Calibri" w:hAnsi="Calibri"/>
          <w:lang w:val="en-AU"/>
        </w:rPr>
        <w:t>39-21</w:t>
      </w:r>
      <w:r w:rsidRPr="00A94E5F">
        <w:rPr>
          <w:rFonts w:ascii="Calibri" w:hAnsi="Calibri"/>
          <w:lang w:val="en-AU"/>
        </w:rPr>
        <w:t>, lodged by</w:t>
      </w:r>
      <w:r w:rsidR="001805CF">
        <w:rPr>
          <w:rFonts w:ascii="Calibri" w:hAnsi="Calibri"/>
          <w:lang w:val="en-AU"/>
        </w:rPr>
        <w:t xml:space="preserve"> </w:t>
      </w:r>
      <w:r>
        <w:rPr>
          <w:rFonts w:ascii="Calibri" w:hAnsi="Calibri"/>
          <w:lang w:val="en-AU"/>
        </w:rPr>
        <w:t>Mr Rattenbury</w:t>
      </w:r>
      <w:r w:rsidRPr="00A94E5F">
        <w:rPr>
          <w:rFonts w:ascii="Calibri" w:hAnsi="Calibri"/>
          <w:lang w:val="en-AU"/>
        </w:rPr>
        <w:t xml:space="preserve"> on </w:t>
      </w:r>
      <w:r>
        <w:rPr>
          <w:rFonts w:ascii="Calibri" w:hAnsi="Calibri"/>
          <w:lang w:val="en-AU"/>
        </w:rPr>
        <w:t>22 March 2022</w:t>
      </w:r>
      <w:r w:rsidRPr="00A94E5F">
        <w:rPr>
          <w:rFonts w:ascii="Calibri" w:hAnsi="Calibri"/>
          <w:lang w:val="en-AU"/>
        </w:rPr>
        <w:t xml:space="preserve">, concerning </w:t>
      </w:r>
      <w:r>
        <w:rPr>
          <w:rFonts w:ascii="Calibri" w:hAnsi="Calibri"/>
          <w:lang w:val="en-AU"/>
        </w:rPr>
        <w:t>extending the fence at Reid Oval along Limestone Avenue.</w:t>
      </w:r>
    </w:p>
    <w:p w:rsidR="00952558" w:rsidRPr="00243AAA" w:rsidRDefault="00952558" w:rsidP="00952558">
      <w:pPr>
        <w:jc w:val="center"/>
        <w:rPr>
          <w:rFonts w:ascii="Calibri" w:hAnsi="Calibri"/>
          <w:lang w:val="en-AU"/>
        </w:rPr>
      </w:pPr>
      <w:r w:rsidRPr="00243AAA">
        <w:rPr>
          <w:rFonts w:ascii="Calibri" w:hAnsi="Calibri"/>
          <w:lang w:val="en-AU"/>
        </w:rPr>
        <w:t>____________________</w:t>
      </w:r>
    </w:p>
    <w:p w:rsidR="00A94E5F" w:rsidRPr="00A94E5F" w:rsidRDefault="00A94E5F" w:rsidP="00A94E5F">
      <w:pPr>
        <w:spacing w:before="120"/>
        <w:ind w:left="720"/>
        <w:rPr>
          <w:rFonts w:ascii="Calibri" w:hAnsi="Calibri"/>
          <w:lang w:val="en-AU"/>
        </w:rPr>
      </w:pPr>
      <w:r w:rsidRPr="00A94E5F">
        <w:rPr>
          <w:rFonts w:ascii="Calibri" w:hAnsi="Calibri"/>
          <w:lang w:val="en-AU"/>
        </w:rPr>
        <w:t>The Speaker proposed—That the response so lodged be noted.</w:t>
      </w:r>
    </w:p>
    <w:p w:rsidR="00A94E5F" w:rsidRDefault="00A94E5F" w:rsidP="00A94E5F">
      <w:pPr>
        <w:spacing w:before="120"/>
        <w:ind w:left="720"/>
        <w:rPr>
          <w:rFonts w:ascii="Calibri" w:hAnsi="Calibri"/>
          <w:lang w:val="en-AU"/>
        </w:rPr>
      </w:pPr>
      <w:r w:rsidRPr="00A94E5F">
        <w:rPr>
          <w:rFonts w:ascii="Calibri" w:hAnsi="Calibri"/>
          <w:lang w:val="en-AU"/>
        </w:rPr>
        <w:t>Question—put and passed.</w:t>
      </w:r>
    </w:p>
    <w:p w:rsidR="0039535B" w:rsidRPr="0039535B" w:rsidRDefault="0039535B" w:rsidP="0039535B">
      <w:pPr>
        <w:keepNext/>
        <w:keepLines/>
        <w:tabs>
          <w:tab w:val="right" w:pos="339"/>
          <w:tab w:val="left" w:pos="720"/>
        </w:tabs>
        <w:spacing w:before="240"/>
        <w:ind w:left="720" w:hanging="720"/>
        <w:jc w:val="both"/>
        <w:rPr>
          <w:rFonts w:ascii="Calibri" w:hAnsi="Calibri"/>
          <w:b/>
          <w:caps/>
        </w:rPr>
      </w:pPr>
      <w:r w:rsidRPr="0039535B">
        <w:rPr>
          <w:rFonts w:ascii="Calibri" w:hAnsi="Calibri"/>
          <w:b/>
          <w:caps/>
        </w:rPr>
        <w:tab/>
      </w:r>
      <w:r w:rsidR="00E1787A">
        <w:rPr>
          <w:rFonts w:ascii="Calibri" w:hAnsi="Calibri"/>
          <w:b/>
          <w:bCs/>
          <w:caps/>
        </w:rPr>
        <w:fldChar w:fldCharType="begin"/>
      </w:r>
      <w:r w:rsidR="00E1787A">
        <w:rPr>
          <w:rFonts w:ascii="Calibri" w:hAnsi="Calibri"/>
          <w:b/>
          <w:bCs/>
          <w:caps/>
        </w:rPr>
        <w:instrText xml:space="preserve"> SEQ A \* MERGEFORMAT </w:instrText>
      </w:r>
      <w:r w:rsidR="00E1787A">
        <w:rPr>
          <w:rFonts w:ascii="Calibri" w:hAnsi="Calibri"/>
          <w:b/>
          <w:bCs/>
          <w:caps/>
        </w:rPr>
        <w:fldChar w:fldCharType="separate"/>
      </w:r>
      <w:r w:rsidR="00C4170D">
        <w:rPr>
          <w:rFonts w:ascii="Calibri" w:hAnsi="Calibri"/>
          <w:b/>
          <w:bCs/>
          <w:caps/>
          <w:noProof/>
        </w:rPr>
        <w:t>4</w:t>
      </w:r>
      <w:r w:rsidR="00E1787A">
        <w:rPr>
          <w:rFonts w:ascii="Calibri" w:hAnsi="Calibri"/>
          <w:b/>
          <w:bCs/>
          <w:caps/>
        </w:rPr>
        <w:fldChar w:fldCharType="end"/>
      </w:r>
      <w:r>
        <w:rPr>
          <w:rFonts w:ascii="Calibri" w:hAnsi="Calibri"/>
          <w:b/>
          <w:caps/>
        </w:rPr>
        <w:tab/>
      </w:r>
      <w:r w:rsidR="00714979">
        <w:rPr>
          <w:rFonts w:ascii="Calibri" w:hAnsi="Calibri"/>
          <w:b/>
        </w:rPr>
        <w:t>PRESENTATION OF PAPER</w:t>
      </w:r>
    </w:p>
    <w:p w:rsidR="0039535B" w:rsidRPr="0039535B" w:rsidRDefault="0039535B" w:rsidP="0039535B">
      <w:pPr>
        <w:tabs>
          <w:tab w:val="left" w:pos="1197"/>
          <w:tab w:val="left" w:pos="1767"/>
        </w:tabs>
        <w:spacing w:before="120"/>
        <w:ind w:left="720"/>
        <w:jc w:val="both"/>
        <w:rPr>
          <w:rFonts w:ascii="Calibri" w:hAnsi="Calibri"/>
          <w:lang w:val="en-AU"/>
        </w:rPr>
      </w:pPr>
      <w:r>
        <w:rPr>
          <w:rFonts w:ascii="Calibri" w:hAnsi="Calibri"/>
          <w:lang w:val="en-AU"/>
        </w:rPr>
        <w:t>Ms Berry</w:t>
      </w:r>
      <w:r w:rsidRPr="00392B69">
        <w:rPr>
          <w:rFonts w:ascii="Calibri" w:hAnsi="Calibri"/>
          <w:lang w:val="en-AU"/>
        </w:rPr>
        <w:t xml:space="preserve"> (</w:t>
      </w:r>
      <w:r>
        <w:rPr>
          <w:rFonts w:ascii="Calibri" w:hAnsi="Calibri"/>
          <w:lang w:val="en-AU"/>
        </w:rPr>
        <w:t>Minister for the Prevention of Domestic and Family Violence</w:t>
      </w:r>
      <w:r w:rsidRPr="00392B69">
        <w:rPr>
          <w:rFonts w:ascii="Calibri" w:hAnsi="Calibri"/>
          <w:lang w:val="en-AU"/>
        </w:rPr>
        <w:t xml:space="preserve">) </w:t>
      </w:r>
      <w:r w:rsidRPr="0039535B">
        <w:rPr>
          <w:rFonts w:ascii="Calibri" w:hAnsi="Calibri"/>
          <w:lang w:val="en-AU"/>
        </w:rPr>
        <w:t>presented the following paper:</w:t>
      </w:r>
    </w:p>
    <w:p w:rsidR="0039535B" w:rsidRDefault="0039535B" w:rsidP="0039535B">
      <w:pPr>
        <w:spacing w:before="120"/>
        <w:ind w:left="720"/>
        <w:jc w:val="both"/>
        <w:rPr>
          <w:rFonts w:ascii="Calibri" w:hAnsi="Calibri"/>
          <w:lang w:val="en-AU"/>
        </w:rPr>
      </w:pPr>
      <w:r>
        <w:rPr>
          <w:rFonts w:ascii="Calibri" w:hAnsi="Calibri"/>
          <w:lang w:val="en-AU"/>
        </w:rPr>
        <w:t xml:space="preserve">Domestic </w:t>
      </w:r>
      <w:r w:rsidR="00E81F91">
        <w:rPr>
          <w:rFonts w:ascii="Calibri" w:hAnsi="Calibri"/>
          <w:lang w:val="en-AU"/>
        </w:rPr>
        <w:t xml:space="preserve">and Family </w:t>
      </w:r>
      <w:r>
        <w:rPr>
          <w:rFonts w:ascii="Calibri" w:hAnsi="Calibri"/>
          <w:lang w:val="en-AU"/>
        </w:rPr>
        <w:t>Violence (Information Sharing) Amendment Bill 2022</w:t>
      </w:r>
      <w:r w:rsidRPr="004E0F1D">
        <w:rPr>
          <w:rFonts w:ascii="Calibri" w:hAnsi="Calibri"/>
          <w:lang w:val="en-AU"/>
        </w:rPr>
        <w:t xml:space="preserve">—Ministerial statement, </w:t>
      </w:r>
      <w:r w:rsidR="009040C4">
        <w:rPr>
          <w:rFonts w:ascii="Calibri" w:hAnsi="Calibri"/>
          <w:lang w:val="en-AU"/>
        </w:rPr>
        <w:t xml:space="preserve">dated </w:t>
      </w:r>
      <w:r>
        <w:rPr>
          <w:rFonts w:ascii="Calibri" w:hAnsi="Calibri"/>
          <w:lang w:val="en-AU"/>
        </w:rPr>
        <w:t>8 June 2022</w:t>
      </w:r>
      <w:r w:rsidRPr="004E0F1D">
        <w:rPr>
          <w:rFonts w:ascii="Calibri" w:hAnsi="Calibri"/>
          <w:lang w:val="en-AU"/>
        </w:rPr>
        <w:t>.</w:t>
      </w:r>
    </w:p>
    <w:p w:rsidR="0039535B" w:rsidRPr="0039535B" w:rsidRDefault="0039535B" w:rsidP="0039535B">
      <w:pPr>
        <w:keepNext/>
        <w:keepLines/>
        <w:tabs>
          <w:tab w:val="right" w:pos="339"/>
          <w:tab w:val="left" w:pos="720"/>
        </w:tabs>
        <w:spacing w:before="240"/>
        <w:ind w:left="720" w:hanging="720"/>
        <w:jc w:val="both"/>
        <w:rPr>
          <w:rFonts w:ascii="Calibri" w:hAnsi="Calibri"/>
          <w:b/>
          <w:caps/>
        </w:rPr>
      </w:pPr>
      <w:r w:rsidRPr="0039535B">
        <w:rPr>
          <w:rFonts w:ascii="Calibri" w:hAnsi="Calibri"/>
          <w:b/>
          <w:caps/>
        </w:rPr>
        <w:lastRenderedPageBreak/>
        <w:tab/>
      </w:r>
      <w:r w:rsidR="00E1787A">
        <w:rPr>
          <w:rFonts w:ascii="Calibri" w:hAnsi="Calibri"/>
          <w:b/>
          <w:bCs/>
          <w:caps/>
        </w:rPr>
        <w:fldChar w:fldCharType="begin"/>
      </w:r>
      <w:r w:rsidR="00E1787A">
        <w:rPr>
          <w:rFonts w:ascii="Calibri" w:hAnsi="Calibri"/>
          <w:b/>
          <w:bCs/>
          <w:caps/>
        </w:rPr>
        <w:instrText xml:space="preserve"> SEQ A \* MERGEFORMAT </w:instrText>
      </w:r>
      <w:r w:rsidR="00E1787A">
        <w:rPr>
          <w:rFonts w:ascii="Calibri" w:hAnsi="Calibri"/>
          <w:b/>
          <w:bCs/>
          <w:caps/>
        </w:rPr>
        <w:fldChar w:fldCharType="separate"/>
      </w:r>
      <w:r w:rsidR="00C4170D">
        <w:rPr>
          <w:rFonts w:ascii="Calibri" w:hAnsi="Calibri"/>
          <w:b/>
          <w:bCs/>
          <w:caps/>
          <w:noProof/>
        </w:rPr>
        <w:t>5</w:t>
      </w:r>
      <w:r w:rsidR="00E1787A">
        <w:rPr>
          <w:rFonts w:ascii="Calibri" w:hAnsi="Calibri"/>
          <w:b/>
          <w:bCs/>
          <w:caps/>
        </w:rPr>
        <w:fldChar w:fldCharType="end"/>
      </w:r>
      <w:r w:rsidRPr="0039535B">
        <w:rPr>
          <w:rFonts w:ascii="Calibri" w:hAnsi="Calibri"/>
          <w:b/>
          <w:caps/>
        </w:rPr>
        <w:tab/>
      </w:r>
      <w:r w:rsidR="008B115F">
        <w:rPr>
          <w:rFonts w:ascii="Calibri" w:hAnsi="Calibri"/>
          <w:b/>
          <w:caps/>
        </w:rPr>
        <w:t>LONG SERVICE (PORTABLE SCHEMES) ACT—Update on progress to expand—GOVERNMENT RESPONSE TO RESOLUTION OF THE ASSEMBLY—</w:t>
      </w:r>
      <w:r w:rsidR="00394E1C">
        <w:rPr>
          <w:rFonts w:ascii="Calibri" w:hAnsi="Calibri"/>
          <w:b/>
          <w:caps/>
        </w:rPr>
        <w:t>MINISTERIAL STATEMENT</w:t>
      </w:r>
      <w:r w:rsidR="008B115F">
        <w:rPr>
          <w:rFonts w:ascii="Calibri" w:hAnsi="Calibri"/>
          <w:b/>
          <w:caps/>
        </w:rPr>
        <w:t>—PAPER</w:t>
      </w:r>
      <w:r w:rsidRPr="0039535B">
        <w:rPr>
          <w:rFonts w:ascii="Calibri" w:hAnsi="Calibri"/>
          <w:b/>
          <w:caps/>
        </w:rPr>
        <w:t>—PAPER NOTED</w:t>
      </w:r>
    </w:p>
    <w:p w:rsidR="0039535B" w:rsidRPr="0039535B" w:rsidRDefault="0039535B" w:rsidP="0039535B">
      <w:pPr>
        <w:tabs>
          <w:tab w:val="left" w:pos="1197"/>
          <w:tab w:val="left" w:pos="1767"/>
        </w:tabs>
        <w:spacing w:before="120"/>
        <w:ind w:left="720"/>
        <w:jc w:val="both"/>
        <w:rPr>
          <w:rFonts w:ascii="Calibri" w:hAnsi="Calibri"/>
          <w:lang w:val="en-AU"/>
        </w:rPr>
      </w:pPr>
      <w:r>
        <w:rPr>
          <w:rFonts w:ascii="Calibri" w:hAnsi="Calibri"/>
          <w:lang w:val="en-AU"/>
        </w:rPr>
        <w:t>Mr Gentleman (M</w:t>
      </w:r>
      <w:r w:rsidR="008B115F">
        <w:rPr>
          <w:rFonts w:ascii="Calibri" w:hAnsi="Calibri"/>
          <w:lang w:val="en-AU"/>
        </w:rPr>
        <w:t>inister for Industrial Relations and Workplace Safety</w:t>
      </w:r>
      <w:r>
        <w:rPr>
          <w:rFonts w:ascii="Calibri" w:hAnsi="Calibri"/>
          <w:lang w:val="en-AU"/>
        </w:rPr>
        <w:t>)</w:t>
      </w:r>
      <w:r w:rsidRPr="0039535B">
        <w:rPr>
          <w:rFonts w:ascii="Calibri" w:hAnsi="Calibri"/>
          <w:lang w:val="en-AU"/>
        </w:rPr>
        <w:t xml:space="preserve"> presented the following paper:</w:t>
      </w:r>
    </w:p>
    <w:p w:rsidR="00394E1C" w:rsidRPr="00F64F59" w:rsidRDefault="008B115F" w:rsidP="00394E1C">
      <w:pPr>
        <w:spacing w:before="120"/>
        <w:ind w:left="720"/>
        <w:jc w:val="both"/>
        <w:rPr>
          <w:rFonts w:ascii="Calibri" w:hAnsi="Calibri"/>
          <w:lang w:val="en-AU"/>
        </w:rPr>
      </w:pPr>
      <w:r w:rsidRPr="008B115F">
        <w:rPr>
          <w:rFonts w:ascii="Calibri" w:hAnsi="Calibri"/>
          <w:i/>
          <w:lang w:val="en-AU"/>
        </w:rPr>
        <w:t>Long Service (Portable Schemes) Act 2009</w:t>
      </w:r>
      <w:r w:rsidR="00394E1C">
        <w:rPr>
          <w:rFonts w:ascii="Calibri" w:hAnsi="Calibri"/>
          <w:lang w:val="en-AU"/>
        </w:rPr>
        <w:t>—</w:t>
      </w:r>
      <w:r>
        <w:rPr>
          <w:rFonts w:ascii="Calibri" w:hAnsi="Calibri"/>
          <w:lang w:val="en-AU"/>
        </w:rPr>
        <w:t>Update on progress to expand—</w:t>
      </w:r>
      <w:r w:rsidR="00394E1C">
        <w:rPr>
          <w:rFonts w:ascii="Calibri" w:hAnsi="Calibri"/>
          <w:lang w:val="en-AU"/>
        </w:rPr>
        <w:t>Government response</w:t>
      </w:r>
      <w:r>
        <w:rPr>
          <w:rFonts w:ascii="Calibri" w:hAnsi="Calibri"/>
          <w:lang w:val="en-AU"/>
        </w:rPr>
        <w:t xml:space="preserve"> to resolution of the Assembly of 9 November 2021—</w:t>
      </w:r>
      <w:r w:rsidR="00394E1C" w:rsidRPr="00347004">
        <w:rPr>
          <w:rFonts w:ascii="Calibri" w:hAnsi="Calibri"/>
          <w:lang w:val="en-AU"/>
        </w:rPr>
        <w:t xml:space="preserve">Ministerial statement, </w:t>
      </w:r>
      <w:r w:rsidR="00394E1C">
        <w:rPr>
          <w:rFonts w:ascii="Calibri" w:hAnsi="Calibri"/>
          <w:lang w:val="en-AU"/>
        </w:rPr>
        <w:t>8</w:t>
      </w:r>
      <w:r w:rsidR="002B2404">
        <w:rPr>
          <w:rFonts w:ascii="Calibri" w:hAnsi="Calibri"/>
          <w:lang w:val="en-AU"/>
        </w:rPr>
        <w:t> </w:t>
      </w:r>
      <w:r w:rsidR="00394E1C">
        <w:rPr>
          <w:rFonts w:ascii="Calibri" w:hAnsi="Calibri"/>
          <w:lang w:val="en-AU"/>
        </w:rPr>
        <w:t>June 2022</w:t>
      </w:r>
      <w:r>
        <w:rPr>
          <w:rFonts w:ascii="Calibri" w:hAnsi="Calibri"/>
          <w:lang w:val="en-AU"/>
        </w:rPr>
        <w:t>—</w:t>
      </w:r>
    </w:p>
    <w:p w:rsidR="0039535B" w:rsidRPr="0039535B" w:rsidRDefault="0039535B" w:rsidP="0039535B">
      <w:pPr>
        <w:tabs>
          <w:tab w:val="left" w:pos="1197"/>
          <w:tab w:val="left" w:pos="1767"/>
        </w:tabs>
        <w:spacing w:before="120"/>
        <w:ind w:left="720"/>
        <w:jc w:val="both"/>
        <w:rPr>
          <w:rFonts w:ascii="Calibri" w:hAnsi="Calibri"/>
          <w:lang w:val="en-AU"/>
        </w:rPr>
      </w:pPr>
      <w:r w:rsidRPr="0039535B">
        <w:rPr>
          <w:rFonts w:ascii="Calibri" w:hAnsi="Calibri"/>
          <w:lang w:val="en-AU"/>
        </w:rPr>
        <w:t>and moved—That the Assembly take note of the paper.</w:t>
      </w:r>
    </w:p>
    <w:p w:rsidR="0039535B" w:rsidRPr="0039535B" w:rsidRDefault="0039535B" w:rsidP="0039535B">
      <w:pPr>
        <w:tabs>
          <w:tab w:val="left" w:pos="1197"/>
          <w:tab w:val="left" w:pos="1767"/>
        </w:tabs>
        <w:spacing w:before="120"/>
        <w:ind w:left="720"/>
        <w:jc w:val="both"/>
        <w:rPr>
          <w:rFonts w:ascii="Calibri" w:hAnsi="Calibri"/>
          <w:lang w:val="en-AU"/>
        </w:rPr>
      </w:pPr>
      <w:r w:rsidRPr="0039535B">
        <w:rPr>
          <w:rFonts w:ascii="Calibri" w:hAnsi="Calibri"/>
          <w:lang w:val="en-AU"/>
        </w:rPr>
        <w:t>Question—put and passed.</w:t>
      </w:r>
    </w:p>
    <w:p w:rsidR="00893DE6" w:rsidRPr="00893DE6" w:rsidRDefault="00893DE6" w:rsidP="00893DE6">
      <w:pPr>
        <w:keepNext/>
        <w:keepLines/>
        <w:tabs>
          <w:tab w:val="right" w:pos="339"/>
          <w:tab w:val="left" w:pos="720"/>
        </w:tabs>
        <w:spacing w:before="240"/>
        <w:ind w:left="720" w:hanging="720"/>
        <w:rPr>
          <w:rFonts w:ascii="Calibri" w:hAnsi="Calibri"/>
          <w:b/>
          <w:lang w:val="en-AU"/>
        </w:rPr>
      </w:pPr>
      <w:r w:rsidRPr="00893DE6">
        <w:rPr>
          <w:rFonts w:ascii="Calibri" w:hAnsi="Calibri"/>
          <w:b/>
          <w:lang w:val="en-AU"/>
        </w:rPr>
        <w:tab/>
      </w:r>
      <w:r w:rsidR="00BF478F">
        <w:rPr>
          <w:rFonts w:ascii="Calibri" w:hAnsi="Calibri"/>
          <w:b/>
          <w:bCs/>
          <w:lang w:val="en-AU"/>
        </w:rPr>
        <w:fldChar w:fldCharType="begin"/>
      </w:r>
      <w:r w:rsidR="00BF478F">
        <w:rPr>
          <w:rFonts w:ascii="Calibri" w:hAnsi="Calibri"/>
          <w:b/>
          <w:bCs/>
          <w:lang w:val="en-AU"/>
        </w:rPr>
        <w:instrText xml:space="preserve"> SEQ A \* MERGEFORMAT </w:instrText>
      </w:r>
      <w:r w:rsidR="00BF478F">
        <w:rPr>
          <w:rFonts w:ascii="Calibri" w:hAnsi="Calibri"/>
          <w:b/>
          <w:bCs/>
          <w:lang w:val="en-AU"/>
        </w:rPr>
        <w:fldChar w:fldCharType="separate"/>
      </w:r>
      <w:r w:rsidR="00C4170D">
        <w:rPr>
          <w:rFonts w:ascii="Calibri" w:hAnsi="Calibri"/>
          <w:b/>
          <w:bCs/>
          <w:noProof/>
          <w:lang w:val="en-AU"/>
        </w:rPr>
        <w:t>6</w:t>
      </w:r>
      <w:r w:rsidR="00BF478F">
        <w:rPr>
          <w:rFonts w:ascii="Calibri" w:hAnsi="Calibri"/>
          <w:b/>
          <w:bCs/>
          <w:lang w:val="en-AU"/>
        </w:rPr>
        <w:fldChar w:fldCharType="end"/>
      </w:r>
      <w:r w:rsidRPr="00893DE6">
        <w:rPr>
          <w:rFonts w:ascii="Calibri" w:hAnsi="Calibri"/>
          <w:b/>
          <w:lang w:val="en-AU"/>
        </w:rPr>
        <w:tab/>
      </w:r>
      <w:r>
        <w:rPr>
          <w:rFonts w:ascii="Calibri" w:hAnsi="Calibri"/>
          <w:b/>
          <w:caps/>
          <w:lang w:val="en-AU"/>
        </w:rPr>
        <w:t>Key infrastructure projects update</w:t>
      </w:r>
      <w:r w:rsidRPr="00893DE6">
        <w:rPr>
          <w:rFonts w:ascii="Calibri" w:hAnsi="Calibri"/>
          <w:b/>
          <w:caps/>
          <w:lang w:val="en-AU"/>
        </w:rPr>
        <w:t>—MINISTERIAL STATEMENT—PAPER NOTED</w:t>
      </w:r>
    </w:p>
    <w:p w:rsidR="00893DE6" w:rsidRPr="00893DE6" w:rsidRDefault="00893DE6" w:rsidP="00893DE6">
      <w:pPr>
        <w:spacing w:before="120"/>
        <w:ind w:left="720"/>
        <w:rPr>
          <w:rFonts w:ascii="Calibri" w:hAnsi="Calibri"/>
          <w:lang w:val="en-AU"/>
        </w:rPr>
      </w:pPr>
      <w:r>
        <w:rPr>
          <w:rFonts w:ascii="Calibri" w:hAnsi="Calibri"/>
          <w:lang w:val="en-AU"/>
        </w:rPr>
        <w:t>Mr Steel (Minister for Transport and City Services)</w:t>
      </w:r>
      <w:r w:rsidRPr="00893DE6">
        <w:rPr>
          <w:rFonts w:ascii="Calibri" w:hAnsi="Calibri"/>
          <w:lang w:val="en-AU"/>
        </w:rPr>
        <w:t xml:space="preserve"> made a ministerial statement concerning </w:t>
      </w:r>
      <w:r w:rsidR="007E0F72">
        <w:rPr>
          <w:rFonts w:ascii="Calibri" w:hAnsi="Calibri"/>
          <w:lang w:val="en-AU"/>
        </w:rPr>
        <w:t>an update to</w:t>
      </w:r>
      <w:r w:rsidR="007831BF">
        <w:rPr>
          <w:rFonts w:ascii="Calibri" w:hAnsi="Calibri"/>
          <w:lang w:val="en-AU"/>
        </w:rPr>
        <w:t xml:space="preserve"> k</w:t>
      </w:r>
      <w:r>
        <w:rPr>
          <w:rFonts w:ascii="Calibri" w:hAnsi="Calibri"/>
          <w:lang w:val="en-AU"/>
        </w:rPr>
        <w:t xml:space="preserve">ey infrastructure projects </w:t>
      </w:r>
      <w:r w:rsidRPr="00893DE6">
        <w:rPr>
          <w:rFonts w:ascii="Calibri" w:hAnsi="Calibri"/>
          <w:lang w:val="en-AU"/>
        </w:rPr>
        <w:t>and presented the following paper:</w:t>
      </w:r>
    </w:p>
    <w:p w:rsidR="00893DE6" w:rsidRPr="00893DE6" w:rsidRDefault="00893DE6" w:rsidP="00893DE6">
      <w:pPr>
        <w:spacing w:before="120"/>
        <w:ind w:left="720"/>
        <w:rPr>
          <w:rFonts w:ascii="Calibri" w:hAnsi="Calibri"/>
          <w:lang w:val="en-AU"/>
        </w:rPr>
      </w:pPr>
      <w:r>
        <w:rPr>
          <w:rFonts w:ascii="Calibri" w:hAnsi="Calibri"/>
          <w:lang w:val="en-AU"/>
        </w:rPr>
        <w:t>Key infrastructure projects update</w:t>
      </w:r>
      <w:r w:rsidRPr="00893DE6">
        <w:rPr>
          <w:rFonts w:ascii="Calibri" w:hAnsi="Calibri"/>
          <w:lang w:val="en-AU"/>
        </w:rPr>
        <w:t xml:space="preserve">—Ministerial statement, </w:t>
      </w:r>
      <w:r>
        <w:rPr>
          <w:rFonts w:ascii="Calibri" w:hAnsi="Calibri"/>
          <w:lang w:val="en-AU"/>
        </w:rPr>
        <w:t>8 June 2022</w:t>
      </w:r>
      <w:r w:rsidRPr="00893DE6">
        <w:rPr>
          <w:rFonts w:ascii="Calibri" w:hAnsi="Calibri"/>
          <w:lang w:val="en-AU"/>
        </w:rPr>
        <w:t>.</w:t>
      </w:r>
    </w:p>
    <w:p w:rsidR="00893DE6" w:rsidRPr="00893DE6" w:rsidRDefault="00893DE6" w:rsidP="00893DE6">
      <w:pPr>
        <w:spacing w:before="120"/>
        <w:ind w:left="720"/>
        <w:rPr>
          <w:rFonts w:ascii="Calibri" w:hAnsi="Calibri"/>
          <w:lang w:val="en-AU"/>
        </w:rPr>
      </w:pPr>
      <w:r>
        <w:rPr>
          <w:rFonts w:ascii="Calibri" w:hAnsi="Calibri"/>
          <w:lang w:val="en-AU"/>
        </w:rPr>
        <w:t>Mr Steel</w:t>
      </w:r>
      <w:r w:rsidRPr="00893DE6">
        <w:rPr>
          <w:rFonts w:ascii="Calibri" w:hAnsi="Calibri"/>
          <w:lang w:val="en-AU"/>
        </w:rPr>
        <w:t xml:space="preserve"> moved—That the Assembly take note of the paper.</w:t>
      </w:r>
    </w:p>
    <w:p w:rsidR="00893DE6" w:rsidRPr="00893DE6" w:rsidRDefault="00893DE6" w:rsidP="00893DE6">
      <w:pPr>
        <w:spacing w:before="120"/>
        <w:ind w:left="720"/>
        <w:rPr>
          <w:rFonts w:ascii="Calibri" w:hAnsi="Calibri"/>
          <w:lang w:val="en-AU"/>
        </w:rPr>
      </w:pPr>
      <w:r w:rsidRPr="00893DE6">
        <w:rPr>
          <w:rFonts w:ascii="Calibri" w:hAnsi="Calibri"/>
          <w:lang w:val="en-AU"/>
        </w:rPr>
        <w:t>Debate ensued.</w:t>
      </w:r>
    </w:p>
    <w:p w:rsidR="00893DE6" w:rsidRDefault="00893DE6" w:rsidP="00893DE6">
      <w:pPr>
        <w:spacing w:before="120"/>
        <w:ind w:left="720"/>
        <w:rPr>
          <w:rFonts w:ascii="Calibri" w:hAnsi="Calibri"/>
          <w:lang w:val="en-AU"/>
        </w:rPr>
      </w:pPr>
      <w:r w:rsidRPr="00893DE6">
        <w:rPr>
          <w:rFonts w:ascii="Calibri" w:hAnsi="Calibri"/>
          <w:lang w:val="en-AU"/>
        </w:rPr>
        <w:t>Question—put and passed.</w:t>
      </w:r>
    </w:p>
    <w:p w:rsidR="00A5297C" w:rsidRPr="00A5297C" w:rsidRDefault="00A5297C" w:rsidP="00A5297C">
      <w:pPr>
        <w:keepNext/>
        <w:keepLines/>
        <w:tabs>
          <w:tab w:val="right" w:pos="339"/>
          <w:tab w:val="left" w:pos="720"/>
        </w:tabs>
        <w:spacing w:before="240"/>
        <w:ind w:left="720" w:hanging="720"/>
        <w:jc w:val="both"/>
        <w:rPr>
          <w:rFonts w:ascii="Calibri" w:hAnsi="Calibri"/>
          <w:b/>
          <w:caps/>
        </w:rPr>
      </w:pPr>
      <w:r w:rsidRPr="00A5297C">
        <w:rPr>
          <w:rFonts w:ascii="Calibri" w:hAnsi="Calibri"/>
          <w:b/>
          <w:caps/>
        </w:rPr>
        <w:tab/>
      </w:r>
      <w:r w:rsidR="00E1787A">
        <w:rPr>
          <w:rFonts w:ascii="Calibri" w:hAnsi="Calibri"/>
          <w:b/>
          <w:bCs/>
          <w:caps/>
        </w:rPr>
        <w:fldChar w:fldCharType="begin"/>
      </w:r>
      <w:r w:rsidR="00E1787A">
        <w:rPr>
          <w:rFonts w:ascii="Calibri" w:hAnsi="Calibri"/>
          <w:b/>
          <w:bCs/>
          <w:caps/>
        </w:rPr>
        <w:instrText xml:space="preserve"> SEQ A \* MERGEFORMAT </w:instrText>
      </w:r>
      <w:r w:rsidR="00E1787A">
        <w:rPr>
          <w:rFonts w:ascii="Calibri" w:hAnsi="Calibri"/>
          <w:b/>
          <w:bCs/>
          <w:caps/>
        </w:rPr>
        <w:fldChar w:fldCharType="separate"/>
      </w:r>
      <w:r w:rsidR="00C4170D">
        <w:rPr>
          <w:rFonts w:ascii="Calibri" w:hAnsi="Calibri"/>
          <w:b/>
          <w:bCs/>
          <w:caps/>
          <w:noProof/>
        </w:rPr>
        <w:t>7</w:t>
      </w:r>
      <w:r w:rsidR="00E1787A">
        <w:rPr>
          <w:rFonts w:ascii="Calibri" w:hAnsi="Calibri"/>
          <w:b/>
          <w:bCs/>
          <w:caps/>
        </w:rPr>
        <w:fldChar w:fldCharType="end"/>
      </w:r>
      <w:r w:rsidRPr="00A5297C">
        <w:rPr>
          <w:rFonts w:ascii="Calibri" w:hAnsi="Calibri"/>
          <w:b/>
          <w:caps/>
        </w:rPr>
        <w:tab/>
      </w:r>
      <w:r>
        <w:rPr>
          <w:rFonts w:ascii="Calibri" w:hAnsi="Calibri"/>
          <w:b/>
          <w:caps/>
        </w:rPr>
        <w:t>next step</w:t>
      </w:r>
      <w:r w:rsidR="004921D4">
        <w:rPr>
          <w:rFonts w:ascii="Calibri" w:hAnsi="Calibri"/>
          <w:b/>
          <w:caps/>
        </w:rPr>
        <w:t>s</w:t>
      </w:r>
      <w:r>
        <w:rPr>
          <w:rFonts w:ascii="Calibri" w:hAnsi="Calibri"/>
          <w:b/>
          <w:caps/>
        </w:rPr>
        <w:t xml:space="preserve"> for our kids</w:t>
      </w:r>
      <w:r w:rsidR="004921D4">
        <w:rPr>
          <w:rFonts w:ascii="Calibri" w:hAnsi="Calibri"/>
          <w:b/>
          <w:caps/>
        </w:rPr>
        <w:t xml:space="preserve"> 2022-2030</w:t>
      </w:r>
      <w:r w:rsidR="008B115F">
        <w:rPr>
          <w:rFonts w:ascii="Calibri" w:hAnsi="Calibri"/>
          <w:b/>
          <w:caps/>
        </w:rPr>
        <w:t xml:space="preserve"> AND PROGRESS UPDATE ON RESOLUTION OF THE ASSEMBLY</w:t>
      </w:r>
      <w:r>
        <w:rPr>
          <w:rFonts w:ascii="Calibri" w:hAnsi="Calibri"/>
          <w:b/>
          <w:caps/>
        </w:rPr>
        <w:t>—</w:t>
      </w:r>
      <w:r w:rsidR="008673CC">
        <w:rPr>
          <w:rFonts w:ascii="Calibri" w:hAnsi="Calibri"/>
          <w:b/>
          <w:caps/>
        </w:rPr>
        <w:t xml:space="preserve">Ministerial statement and </w:t>
      </w:r>
      <w:r w:rsidRPr="00A5297C">
        <w:rPr>
          <w:rFonts w:ascii="Calibri" w:hAnsi="Calibri"/>
          <w:b/>
          <w:caps/>
        </w:rPr>
        <w:t>PAPER</w:t>
      </w:r>
      <w:r>
        <w:rPr>
          <w:rFonts w:ascii="Calibri" w:hAnsi="Calibri"/>
          <w:b/>
          <w:caps/>
        </w:rPr>
        <w:t>s</w:t>
      </w:r>
      <w:r w:rsidRPr="00A5297C">
        <w:rPr>
          <w:rFonts w:ascii="Calibri" w:hAnsi="Calibri"/>
          <w:b/>
          <w:caps/>
        </w:rPr>
        <w:t>—PAPER NOTED</w:t>
      </w:r>
    </w:p>
    <w:p w:rsidR="00A5297C" w:rsidRPr="00A5297C" w:rsidRDefault="00A5297C" w:rsidP="00A5297C">
      <w:pPr>
        <w:tabs>
          <w:tab w:val="left" w:pos="1197"/>
          <w:tab w:val="left" w:pos="1767"/>
        </w:tabs>
        <w:spacing w:before="120"/>
        <w:ind w:left="720"/>
        <w:jc w:val="both"/>
        <w:rPr>
          <w:rFonts w:ascii="Calibri" w:hAnsi="Calibri"/>
          <w:lang w:val="en-AU"/>
        </w:rPr>
      </w:pPr>
      <w:r>
        <w:rPr>
          <w:rFonts w:ascii="Calibri" w:hAnsi="Calibri"/>
          <w:lang w:val="en-AU"/>
        </w:rPr>
        <w:t>Ms Stephen-Smith (Minister for Families and Community Servic</w:t>
      </w:r>
      <w:r w:rsidR="002B2404">
        <w:rPr>
          <w:rFonts w:ascii="Calibri" w:hAnsi="Calibri"/>
          <w:lang w:val="en-AU"/>
        </w:rPr>
        <w:t>e</w:t>
      </w:r>
      <w:r>
        <w:rPr>
          <w:rFonts w:ascii="Calibri" w:hAnsi="Calibri"/>
          <w:lang w:val="en-AU"/>
        </w:rPr>
        <w:t>s)</w:t>
      </w:r>
      <w:r w:rsidRPr="00A5297C">
        <w:rPr>
          <w:rFonts w:ascii="Calibri" w:hAnsi="Calibri"/>
          <w:lang w:val="en-AU"/>
        </w:rPr>
        <w:t xml:space="preserve"> presented the following paper</w:t>
      </w:r>
      <w:r>
        <w:rPr>
          <w:rFonts w:ascii="Calibri" w:hAnsi="Calibri"/>
          <w:lang w:val="en-AU"/>
        </w:rPr>
        <w:t>s</w:t>
      </w:r>
      <w:r w:rsidRPr="00A5297C">
        <w:rPr>
          <w:rFonts w:ascii="Calibri" w:hAnsi="Calibri"/>
          <w:lang w:val="en-AU"/>
        </w:rPr>
        <w:t>:</w:t>
      </w:r>
    </w:p>
    <w:p w:rsidR="00A5297C" w:rsidRDefault="00A5297C" w:rsidP="00A5297C">
      <w:pPr>
        <w:spacing w:before="120"/>
        <w:ind w:left="720"/>
        <w:rPr>
          <w:rFonts w:ascii="Calibri" w:hAnsi="Calibri"/>
          <w:lang w:val="en-AU"/>
        </w:rPr>
      </w:pPr>
      <w:r>
        <w:rPr>
          <w:rFonts w:ascii="Calibri" w:hAnsi="Calibri"/>
          <w:lang w:val="en-AU"/>
        </w:rPr>
        <w:t>Next Step</w:t>
      </w:r>
      <w:r w:rsidR="004921D4">
        <w:rPr>
          <w:rFonts w:ascii="Calibri" w:hAnsi="Calibri"/>
          <w:lang w:val="en-AU"/>
        </w:rPr>
        <w:t>s</w:t>
      </w:r>
      <w:r w:rsidR="008673CC">
        <w:rPr>
          <w:rFonts w:ascii="Calibri" w:hAnsi="Calibri"/>
          <w:lang w:val="en-AU"/>
        </w:rPr>
        <w:t xml:space="preserve"> for O</w:t>
      </w:r>
      <w:r w:rsidR="008B115F">
        <w:rPr>
          <w:rFonts w:ascii="Calibri" w:hAnsi="Calibri"/>
          <w:lang w:val="en-AU"/>
        </w:rPr>
        <w:t>ur Kids 2022-</w:t>
      </w:r>
      <w:r>
        <w:rPr>
          <w:rFonts w:ascii="Calibri" w:hAnsi="Calibri"/>
          <w:lang w:val="en-AU"/>
        </w:rPr>
        <w:t>2030—</w:t>
      </w:r>
    </w:p>
    <w:p w:rsidR="00A5297C" w:rsidRDefault="004921D4" w:rsidP="00A5297C">
      <w:pPr>
        <w:spacing w:before="120"/>
        <w:ind w:left="720" w:firstLine="144"/>
      </w:pPr>
      <w:r>
        <w:t>Report, dated June 2022.</w:t>
      </w:r>
    </w:p>
    <w:p w:rsidR="00A5297C" w:rsidRDefault="00A5297C" w:rsidP="00A5297C">
      <w:pPr>
        <w:pStyle w:val="DPSEntryDetailIndentLev1"/>
      </w:pPr>
      <w:r>
        <w:t>Ap</w:t>
      </w:r>
      <w:r w:rsidR="008673CC">
        <w:t>pendix A—A Step Up for O</w:t>
      </w:r>
      <w:r>
        <w:t xml:space="preserve">ur Kids </w:t>
      </w:r>
      <w:r w:rsidR="004921D4">
        <w:t>j</w:t>
      </w:r>
      <w:r>
        <w:t>ourney</w:t>
      </w:r>
      <w:r w:rsidR="008673CC">
        <w:t>, dated June 2022</w:t>
      </w:r>
      <w:r w:rsidR="004921D4">
        <w:t>.</w:t>
      </w:r>
    </w:p>
    <w:p w:rsidR="00A5297C" w:rsidRDefault="008673CC" w:rsidP="00A5297C">
      <w:pPr>
        <w:pStyle w:val="DPSEntryDetailIndentLev1"/>
      </w:pPr>
      <w:r>
        <w:t>Appendix B—</w:t>
      </w:r>
      <w:r w:rsidR="00A5297C">
        <w:t xml:space="preserve">Review of </w:t>
      </w:r>
      <w:r w:rsidR="004921D4">
        <w:t>c</w:t>
      </w:r>
      <w:r w:rsidR="00A5297C">
        <w:t xml:space="preserve">ontemporary </w:t>
      </w:r>
      <w:r w:rsidR="004921D4">
        <w:t>p</w:t>
      </w:r>
      <w:r w:rsidR="00A5297C">
        <w:t xml:space="preserve">ractice in </w:t>
      </w:r>
      <w:r w:rsidR="004921D4">
        <w:t>o</w:t>
      </w:r>
      <w:r w:rsidR="00A5297C">
        <w:t xml:space="preserve">ut of </w:t>
      </w:r>
      <w:r w:rsidR="004921D4">
        <w:t>h</w:t>
      </w:r>
      <w:r w:rsidR="00A5297C">
        <w:t xml:space="preserve">ome </w:t>
      </w:r>
      <w:r w:rsidR="004921D4">
        <w:t>c</w:t>
      </w:r>
      <w:r w:rsidR="00A5297C">
        <w:t>are</w:t>
      </w:r>
      <w:r>
        <w:t>, dated June 2022.</w:t>
      </w:r>
    </w:p>
    <w:p w:rsidR="00A5297C" w:rsidRDefault="00A5297C" w:rsidP="00A5297C">
      <w:pPr>
        <w:pStyle w:val="DPSEntryDetailIndentLev1"/>
      </w:pPr>
      <w:r>
        <w:t>Sources</w:t>
      </w:r>
      <w:r w:rsidR="004921D4">
        <w:t>—</w:t>
      </w:r>
      <w:r>
        <w:t xml:space="preserve">References and </w:t>
      </w:r>
      <w:r w:rsidR="004921D4">
        <w:t>u</w:t>
      </w:r>
      <w:r>
        <w:t>seful resources that guide our work</w:t>
      </w:r>
      <w:r w:rsidR="008673CC">
        <w:t>, dated June 2022</w:t>
      </w:r>
      <w:r>
        <w:t>.</w:t>
      </w:r>
    </w:p>
    <w:p w:rsidR="004921D4" w:rsidRDefault="008673CC" w:rsidP="004921D4">
      <w:pPr>
        <w:spacing w:before="120"/>
        <w:ind w:left="720"/>
        <w:rPr>
          <w:rFonts w:ascii="Calibri" w:hAnsi="Calibri"/>
          <w:lang w:val="en-AU"/>
        </w:rPr>
      </w:pPr>
      <w:r>
        <w:rPr>
          <w:rFonts w:ascii="Calibri" w:hAnsi="Calibri"/>
          <w:lang w:val="en-AU"/>
        </w:rPr>
        <w:t>Next Step for O</w:t>
      </w:r>
      <w:r w:rsidR="008B115F">
        <w:rPr>
          <w:rFonts w:ascii="Calibri" w:hAnsi="Calibri"/>
          <w:lang w:val="en-AU"/>
        </w:rPr>
        <w:t>ur Kids 2022-</w:t>
      </w:r>
      <w:r>
        <w:rPr>
          <w:rFonts w:ascii="Calibri" w:hAnsi="Calibri"/>
          <w:lang w:val="en-AU"/>
        </w:rPr>
        <w:t>2030 and p</w:t>
      </w:r>
      <w:r w:rsidR="004921D4">
        <w:rPr>
          <w:rFonts w:ascii="Calibri" w:hAnsi="Calibri"/>
          <w:lang w:val="en-AU"/>
        </w:rPr>
        <w:t xml:space="preserve">rogress update on </w:t>
      </w:r>
      <w:r w:rsidR="008B115F">
        <w:rPr>
          <w:rFonts w:ascii="Calibri" w:hAnsi="Calibri"/>
          <w:lang w:val="en-AU"/>
        </w:rPr>
        <w:t>resolution of the Assembly</w:t>
      </w:r>
      <w:r w:rsidR="004921D4">
        <w:rPr>
          <w:rFonts w:ascii="Calibri" w:hAnsi="Calibri"/>
          <w:lang w:val="en-AU"/>
        </w:rPr>
        <w:t xml:space="preserve"> of 11 May 2021—Care and Protection Orders—Ministerial statement, 8 June 2022.</w:t>
      </w:r>
    </w:p>
    <w:p w:rsidR="00A5297C" w:rsidRPr="00A5297C" w:rsidRDefault="00A5297C" w:rsidP="00A5297C">
      <w:pPr>
        <w:tabs>
          <w:tab w:val="left" w:pos="1197"/>
          <w:tab w:val="left" w:pos="1767"/>
        </w:tabs>
        <w:spacing w:before="120"/>
        <w:ind w:left="720"/>
        <w:jc w:val="both"/>
        <w:rPr>
          <w:rFonts w:ascii="Calibri" w:hAnsi="Calibri"/>
          <w:lang w:val="en-AU"/>
        </w:rPr>
      </w:pPr>
      <w:r w:rsidRPr="00A5297C">
        <w:rPr>
          <w:rFonts w:ascii="Calibri" w:hAnsi="Calibri"/>
          <w:lang w:val="en-AU"/>
        </w:rPr>
        <w:t xml:space="preserve">and moved—That the Assembly take note of the </w:t>
      </w:r>
      <w:r w:rsidR="00BF3C56">
        <w:rPr>
          <w:rFonts w:ascii="Calibri" w:hAnsi="Calibri"/>
          <w:lang w:val="en-AU"/>
        </w:rPr>
        <w:t>ministerial statement</w:t>
      </w:r>
      <w:r w:rsidRPr="00A5297C">
        <w:rPr>
          <w:rFonts w:ascii="Calibri" w:hAnsi="Calibri"/>
          <w:lang w:val="en-AU"/>
        </w:rPr>
        <w:t>.</w:t>
      </w:r>
    </w:p>
    <w:p w:rsidR="00A5297C" w:rsidRDefault="00A5297C" w:rsidP="00A5297C">
      <w:pPr>
        <w:tabs>
          <w:tab w:val="left" w:pos="1197"/>
          <w:tab w:val="left" w:pos="1767"/>
        </w:tabs>
        <w:spacing w:before="120"/>
        <w:ind w:left="720"/>
        <w:jc w:val="both"/>
        <w:rPr>
          <w:rFonts w:ascii="Calibri" w:hAnsi="Calibri"/>
          <w:lang w:val="en-AU"/>
        </w:rPr>
      </w:pPr>
      <w:r w:rsidRPr="00A5297C">
        <w:rPr>
          <w:rFonts w:ascii="Calibri" w:hAnsi="Calibri"/>
          <w:lang w:val="en-AU"/>
        </w:rPr>
        <w:t>Question—put and passed.</w:t>
      </w:r>
    </w:p>
    <w:p w:rsidR="00B649A0" w:rsidRPr="00B649A0" w:rsidRDefault="00B649A0" w:rsidP="00B649A0">
      <w:pPr>
        <w:keepNext/>
        <w:keepLines/>
        <w:tabs>
          <w:tab w:val="right" w:pos="339"/>
          <w:tab w:val="left" w:pos="720"/>
        </w:tabs>
        <w:spacing w:before="240"/>
        <w:ind w:left="720" w:hanging="720"/>
        <w:rPr>
          <w:rFonts w:ascii="Calibri" w:hAnsi="Calibri"/>
          <w:b/>
          <w:caps/>
        </w:rPr>
      </w:pPr>
      <w:r w:rsidRPr="00B649A0">
        <w:rPr>
          <w:rFonts w:ascii="Calibri" w:hAnsi="Calibri"/>
          <w:b/>
          <w:caps/>
        </w:rPr>
        <w:tab/>
      </w:r>
      <w:r w:rsidR="007B1159">
        <w:rPr>
          <w:rFonts w:ascii="Calibri" w:hAnsi="Calibri"/>
          <w:b/>
          <w:bCs/>
          <w:caps/>
        </w:rPr>
        <w:fldChar w:fldCharType="begin"/>
      </w:r>
      <w:r w:rsidR="007B1159">
        <w:rPr>
          <w:rFonts w:ascii="Calibri" w:hAnsi="Calibri"/>
          <w:b/>
          <w:bCs/>
          <w:caps/>
        </w:rPr>
        <w:instrText xml:space="preserve"> SEQ A \* MERGEFORMAT </w:instrText>
      </w:r>
      <w:r w:rsidR="007B1159">
        <w:rPr>
          <w:rFonts w:ascii="Calibri" w:hAnsi="Calibri"/>
          <w:b/>
          <w:bCs/>
          <w:caps/>
        </w:rPr>
        <w:fldChar w:fldCharType="separate"/>
      </w:r>
      <w:r w:rsidR="00C4170D">
        <w:rPr>
          <w:rFonts w:ascii="Calibri" w:hAnsi="Calibri"/>
          <w:b/>
          <w:bCs/>
          <w:caps/>
          <w:noProof/>
        </w:rPr>
        <w:t>8</w:t>
      </w:r>
      <w:r w:rsidR="007B1159">
        <w:rPr>
          <w:rFonts w:ascii="Calibri" w:hAnsi="Calibri"/>
          <w:b/>
          <w:bCs/>
          <w:caps/>
        </w:rPr>
        <w:fldChar w:fldCharType="end"/>
      </w:r>
      <w:r w:rsidRPr="00B649A0">
        <w:rPr>
          <w:rFonts w:ascii="Calibri" w:hAnsi="Calibri"/>
          <w:b/>
          <w:caps/>
        </w:rPr>
        <w:tab/>
        <w:t>MINISTERIAL ARRANGEMENTS</w:t>
      </w:r>
    </w:p>
    <w:p w:rsidR="008673CC" w:rsidRDefault="00B649A0" w:rsidP="00B649A0">
      <w:pPr>
        <w:tabs>
          <w:tab w:val="left" w:pos="1197"/>
          <w:tab w:val="left" w:pos="1767"/>
        </w:tabs>
        <w:spacing w:before="120"/>
        <w:ind w:left="741"/>
        <w:rPr>
          <w:rFonts w:ascii="Calibri" w:hAnsi="Calibri"/>
          <w:lang w:val="en-AU"/>
        </w:rPr>
      </w:pPr>
      <w:r>
        <w:rPr>
          <w:rFonts w:ascii="Calibri" w:hAnsi="Calibri"/>
          <w:lang w:val="en-AU"/>
        </w:rPr>
        <w:t>Mr Barr (Chief Minister)</w:t>
      </w:r>
      <w:r w:rsidRPr="00B649A0">
        <w:rPr>
          <w:rFonts w:ascii="Calibri" w:hAnsi="Calibri"/>
          <w:lang w:val="en-AU"/>
        </w:rPr>
        <w:t xml:space="preserve"> informed the Assembly of the absence of </w:t>
      </w:r>
      <w:r w:rsidR="004E24D2">
        <w:rPr>
          <w:rFonts w:ascii="Calibri" w:hAnsi="Calibri"/>
          <w:lang w:val="en-AU"/>
        </w:rPr>
        <w:t>Minister</w:t>
      </w:r>
      <w:r>
        <w:rPr>
          <w:rFonts w:ascii="Calibri" w:hAnsi="Calibri"/>
          <w:lang w:val="en-AU"/>
        </w:rPr>
        <w:t xml:space="preserve"> Steel and </w:t>
      </w:r>
      <w:r w:rsidR="008673CC">
        <w:rPr>
          <w:rFonts w:ascii="Calibri" w:hAnsi="Calibri"/>
          <w:lang w:val="en-AU"/>
        </w:rPr>
        <w:t>Minister</w:t>
      </w:r>
      <w:r w:rsidR="00D25B34">
        <w:rPr>
          <w:rFonts w:ascii="Calibri" w:hAnsi="Calibri"/>
          <w:lang w:val="en-AU"/>
        </w:rPr>
        <w:t> </w:t>
      </w:r>
      <w:r>
        <w:rPr>
          <w:rFonts w:ascii="Calibri" w:hAnsi="Calibri"/>
          <w:lang w:val="en-AU"/>
        </w:rPr>
        <w:t xml:space="preserve">Vassarotti </w:t>
      </w:r>
      <w:r w:rsidRPr="00B649A0">
        <w:rPr>
          <w:rFonts w:ascii="Calibri" w:hAnsi="Calibri"/>
          <w:lang w:val="en-AU"/>
        </w:rPr>
        <w:t xml:space="preserve">and advised the Assembly that questions without notice normally directed to </w:t>
      </w:r>
      <w:r>
        <w:rPr>
          <w:rFonts w:ascii="Calibri" w:hAnsi="Calibri"/>
          <w:lang w:val="en-AU"/>
        </w:rPr>
        <w:t xml:space="preserve">the </w:t>
      </w:r>
      <w:r w:rsidRPr="008A5AAB">
        <w:rPr>
          <w:rFonts w:ascii="Calibri" w:hAnsi="Calibri"/>
          <w:lang w:val="en-AU"/>
        </w:rPr>
        <w:t xml:space="preserve">Minister </w:t>
      </w:r>
      <w:r>
        <w:rPr>
          <w:rFonts w:ascii="Calibri" w:hAnsi="Calibri"/>
          <w:lang w:val="en-AU"/>
        </w:rPr>
        <w:t xml:space="preserve">for Homelessness and Housing Services, Minister for the Environment and the Minister for Heritage could be directed to </w:t>
      </w:r>
      <w:r w:rsidR="008673CC">
        <w:rPr>
          <w:rFonts w:ascii="Calibri" w:hAnsi="Calibri"/>
          <w:lang w:val="en-AU"/>
        </w:rPr>
        <w:t>Minister</w:t>
      </w:r>
      <w:r>
        <w:rPr>
          <w:rFonts w:ascii="Calibri" w:hAnsi="Calibri"/>
          <w:lang w:val="en-AU"/>
        </w:rPr>
        <w:t xml:space="preserve"> Gentleman, and questions without notice normally directed to the Minister for Sustainable Building and Construction could be directed to </w:t>
      </w:r>
      <w:r w:rsidR="008673CC">
        <w:rPr>
          <w:rFonts w:ascii="Calibri" w:hAnsi="Calibri"/>
          <w:lang w:val="en-AU"/>
        </w:rPr>
        <w:t>Minister Berry.</w:t>
      </w:r>
    </w:p>
    <w:p w:rsidR="00B649A0" w:rsidRPr="00B649A0" w:rsidRDefault="00B649A0" w:rsidP="00B649A0">
      <w:pPr>
        <w:tabs>
          <w:tab w:val="left" w:pos="1197"/>
          <w:tab w:val="left" w:pos="1767"/>
        </w:tabs>
        <w:spacing w:before="120"/>
        <w:ind w:left="741"/>
        <w:rPr>
          <w:rFonts w:ascii="Calibri" w:hAnsi="Calibri"/>
          <w:lang w:val="en-AU"/>
        </w:rPr>
      </w:pPr>
      <w:r>
        <w:rPr>
          <w:rFonts w:ascii="Calibri" w:hAnsi="Calibri"/>
          <w:lang w:val="en-AU"/>
        </w:rPr>
        <w:t xml:space="preserve">Questions without notice normally directed to </w:t>
      </w:r>
      <w:r w:rsidR="00821FA3">
        <w:rPr>
          <w:rFonts w:ascii="Calibri" w:hAnsi="Calibri"/>
          <w:lang w:val="en-AU"/>
        </w:rPr>
        <w:t>Minister Steel</w:t>
      </w:r>
      <w:r w:rsidR="008673CC">
        <w:rPr>
          <w:rFonts w:ascii="Calibri" w:hAnsi="Calibri"/>
          <w:lang w:val="en-AU"/>
        </w:rPr>
        <w:t xml:space="preserve"> could be directed to Mr </w:t>
      </w:r>
      <w:r>
        <w:rPr>
          <w:rFonts w:ascii="Calibri" w:hAnsi="Calibri"/>
          <w:lang w:val="en-AU"/>
        </w:rPr>
        <w:t>Barr.</w:t>
      </w:r>
    </w:p>
    <w:p w:rsidR="00761252" w:rsidRPr="00761252" w:rsidRDefault="00761252" w:rsidP="00761252">
      <w:pPr>
        <w:keepNext/>
        <w:keepLines/>
        <w:tabs>
          <w:tab w:val="right" w:pos="339"/>
          <w:tab w:val="left" w:pos="720"/>
        </w:tabs>
        <w:spacing w:before="240"/>
        <w:ind w:left="720" w:hanging="720"/>
        <w:jc w:val="both"/>
        <w:rPr>
          <w:rFonts w:ascii="Calibri" w:hAnsi="Calibri"/>
          <w:b/>
          <w:caps/>
        </w:rPr>
      </w:pPr>
      <w:r w:rsidRPr="00761252">
        <w:rPr>
          <w:rFonts w:ascii="Calibri" w:hAnsi="Calibri"/>
          <w:b/>
          <w:caps/>
        </w:rPr>
        <w:tab/>
      </w:r>
      <w:r w:rsidR="00BF478F">
        <w:rPr>
          <w:rFonts w:ascii="Calibri" w:hAnsi="Calibri"/>
          <w:b/>
          <w:bCs/>
          <w:caps/>
          <w:lang w:val="en-AU"/>
        </w:rPr>
        <w:fldChar w:fldCharType="begin"/>
      </w:r>
      <w:r w:rsidR="00BF478F">
        <w:rPr>
          <w:rFonts w:ascii="Calibri" w:hAnsi="Calibri"/>
          <w:b/>
          <w:bCs/>
          <w:caps/>
          <w:lang w:val="en-AU"/>
        </w:rPr>
        <w:instrText xml:space="preserve"> SEQ A \* MERGEFORMAT </w:instrText>
      </w:r>
      <w:r w:rsidR="00BF478F">
        <w:rPr>
          <w:rFonts w:ascii="Calibri" w:hAnsi="Calibri"/>
          <w:b/>
          <w:bCs/>
          <w:caps/>
          <w:lang w:val="en-AU"/>
        </w:rPr>
        <w:fldChar w:fldCharType="separate"/>
      </w:r>
      <w:r w:rsidR="00C4170D">
        <w:rPr>
          <w:rFonts w:ascii="Calibri" w:hAnsi="Calibri"/>
          <w:b/>
          <w:bCs/>
          <w:caps/>
          <w:noProof/>
          <w:lang w:val="en-AU"/>
        </w:rPr>
        <w:t>9</w:t>
      </w:r>
      <w:r w:rsidR="00BF478F">
        <w:rPr>
          <w:rFonts w:ascii="Calibri" w:hAnsi="Calibri"/>
          <w:b/>
          <w:bCs/>
          <w:caps/>
          <w:lang w:val="en-AU"/>
        </w:rPr>
        <w:fldChar w:fldCharType="end"/>
      </w:r>
      <w:r w:rsidRPr="00761252">
        <w:rPr>
          <w:rFonts w:ascii="Calibri" w:hAnsi="Calibri"/>
          <w:b/>
          <w:caps/>
        </w:rPr>
        <w:tab/>
        <w:t>QUESTIONS</w:t>
      </w:r>
    </w:p>
    <w:p w:rsidR="00761252" w:rsidRDefault="00761252" w:rsidP="00761252">
      <w:pPr>
        <w:spacing w:before="120"/>
        <w:ind w:left="720"/>
        <w:jc w:val="both"/>
        <w:rPr>
          <w:rFonts w:ascii="Calibri" w:hAnsi="Calibri"/>
          <w:lang w:val="en-AU"/>
        </w:rPr>
      </w:pPr>
      <w:r w:rsidRPr="00761252">
        <w:rPr>
          <w:rFonts w:ascii="Calibri" w:hAnsi="Calibri"/>
          <w:lang w:val="en-AU"/>
        </w:rPr>
        <w:t>Questions without notice were asked.</w:t>
      </w:r>
    </w:p>
    <w:p w:rsidR="002856B2" w:rsidRPr="002856B2" w:rsidRDefault="002856B2" w:rsidP="002856B2">
      <w:pPr>
        <w:keepNext/>
        <w:keepLines/>
        <w:tabs>
          <w:tab w:val="right" w:pos="339"/>
          <w:tab w:val="left" w:pos="720"/>
        </w:tabs>
        <w:spacing w:before="240"/>
        <w:ind w:left="720" w:hanging="720"/>
        <w:jc w:val="both"/>
        <w:rPr>
          <w:rFonts w:ascii="Calibri" w:hAnsi="Calibri"/>
          <w:b/>
          <w:caps/>
          <w:lang w:val="en-AU"/>
        </w:rPr>
      </w:pPr>
      <w:r w:rsidRPr="002856B2">
        <w:rPr>
          <w:rFonts w:ascii="Calibri" w:hAnsi="Calibri"/>
          <w:b/>
          <w:caps/>
          <w:lang w:val="en-AU"/>
        </w:rPr>
        <w:tab/>
      </w:r>
      <w:r w:rsidR="00F62C0C">
        <w:rPr>
          <w:rFonts w:ascii="Calibri" w:hAnsi="Calibri"/>
          <w:b/>
          <w:bCs/>
          <w:caps/>
          <w:lang w:val="en-AU"/>
        </w:rPr>
        <w:fldChar w:fldCharType="begin"/>
      </w:r>
      <w:r w:rsidR="00F62C0C">
        <w:rPr>
          <w:rFonts w:ascii="Calibri" w:hAnsi="Calibri"/>
          <w:b/>
          <w:bCs/>
          <w:caps/>
          <w:lang w:val="en-AU"/>
        </w:rPr>
        <w:instrText xml:space="preserve"> SEQ A \* MERGEFORMAT </w:instrText>
      </w:r>
      <w:r w:rsidR="00F62C0C">
        <w:rPr>
          <w:rFonts w:ascii="Calibri" w:hAnsi="Calibri"/>
          <w:b/>
          <w:bCs/>
          <w:caps/>
          <w:lang w:val="en-AU"/>
        </w:rPr>
        <w:fldChar w:fldCharType="separate"/>
      </w:r>
      <w:r w:rsidR="00C4170D">
        <w:rPr>
          <w:rFonts w:ascii="Calibri" w:hAnsi="Calibri"/>
          <w:b/>
          <w:bCs/>
          <w:caps/>
          <w:noProof/>
          <w:lang w:val="en-AU"/>
        </w:rPr>
        <w:t>10</w:t>
      </w:r>
      <w:r w:rsidR="00F62C0C">
        <w:rPr>
          <w:rFonts w:ascii="Calibri" w:hAnsi="Calibri"/>
          <w:b/>
          <w:bCs/>
          <w:caps/>
          <w:lang w:val="en-AU"/>
        </w:rPr>
        <w:fldChar w:fldCharType="end"/>
      </w:r>
      <w:r w:rsidRPr="002856B2">
        <w:rPr>
          <w:rFonts w:ascii="Calibri" w:hAnsi="Calibri"/>
          <w:b/>
          <w:caps/>
          <w:lang w:val="en-AU"/>
        </w:rPr>
        <w:tab/>
        <w:t xml:space="preserve">QUESTION ON NOTICE NO </w:t>
      </w:r>
      <w:r>
        <w:rPr>
          <w:rFonts w:ascii="Calibri" w:hAnsi="Calibri"/>
          <w:b/>
          <w:caps/>
          <w:lang w:val="en-AU"/>
        </w:rPr>
        <w:t>771</w:t>
      </w:r>
      <w:r w:rsidRPr="002856B2">
        <w:rPr>
          <w:rFonts w:ascii="Calibri" w:hAnsi="Calibri"/>
          <w:b/>
          <w:caps/>
          <w:lang w:val="en-AU"/>
        </w:rPr>
        <w:t>—ANSWER—EXPLANATION</w:t>
      </w:r>
    </w:p>
    <w:p w:rsidR="002856B2" w:rsidRPr="002856B2" w:rsidRDefault="002856B2" w:rsidP="002856B2">
      <w:pPr>
        <w:spacing w:before="120"/>
        <w:ind w:left="720"/>
        <w:jc w:val="both"/>
        <w:rPr>
          <w:rFonts w:ascii="Calibri" w:hAnsi="Calibri"/>
        </w:rPr>
      </w:pPr>
      <w:r>
        <w:rPr>
          <w:rFonts w:ascii="Calibri" w:hAnsi="Calibri"/>
          <w:lang w:val="en-AU"/>
        </w:rPr>
        <w:t>Ms Castley</w:t>
      </w:r>
      <w:r w:rsidRPr="002856B2">
        <w:rPr>
          <w:rFonts w:ascii="Calibri" w:hAnsi="Calibri"/>
          <w:lang w:val="en-AU"/>
        </w:rPr>
        <w:t xml:space="preserve">, pursuant to standing order 118A, asked </w:t>
      </w:r>
      <w:r>
        <w:rPr>
          <w:rFonts w:ascii="Calibri" w:hAnsi="Calibri"/>
          <w:lang w:val="en-AU"/>
        </w:rPr>
        <w:t>Ms Stephen-Smith (Minister for Health)</w:t>
      </w:r>
      <w:r w:rsidRPr="002856B2">
        <w:rPr>
          <w:rFonts w:ascii="Calibri" w:hAnsi="Calibri"/>
          <w:lang w:val="en-AU"/>
        </w:rPr>
        <w:t xml:space="preserve"> for an explanation concerning the answer to question on notice No </w:t>
      </w:r>
      <w:r>
        <w:rPr>
          <w:rFonts w:ascii="Calibri" w:hAnsi="Calibri"/>
        </w:rPr>
        <w:t>771</w:t>
      </w:r>
      <w:r w:rsidRPr="002856B2">
        <w:rPr>
          <w:rFonts w:ascii="Calibri" w:hAnsi="Calibri"/>
        </w:rPr>
        <w:t>.</w:t>
      </w:r>
    </w:p>
    <w:p w:rsidR="002856B2" w:rsidRPr="002856B2" w:rsidRDefault="002856B2" w:rsidP="002856B2">
      <w:pPr>
        <w:spacing w:before="120"/>
        <w:ind w:left="720"/>
        <w:jc w:val="both"/>
        <w:rPr>
          <w:rFonts w:ascii="Calibri" w:hAnsi="Calibri"/>
          <w:lang w:val="en-AU"/>
        </w:rPr>
      </w:pPr>
      <w:r>
        <w:rPr>
          <w:rFonts w:ascii="Calibri" w:hAnsi="Calibri"/>
          <w:lang w:val="en-AU"/>
        </w:rPr>
        <w:t>Ms Stephen-Smith</w:t>
      </w:r>
      <w:r w:rsidRPr="002856B2">
        <w:rPr>
          <w:rFonts w:ascii="Calibri" w:hAnsi="Calibri"/>
          <w:lang w:val="en-AU"/>
        </w:rPr>
        <w:t xml:space="preserve"> gave an explanation.</w:t>
      </w:r>
    </w:p>
    <w:p w:rsidR="002856B2" w:rsidRPr="002856B2" w:rsidRDefault="002856B2" w:rsidP="002856B2">
      <w:pPr>
        <w:keepNext/>
        <w:keepLines/>
        <w:tabs>
          <w:tab w:val="right" w:pos="339"/>
          <w:tab w:val="left" w:pos="720"/>
        </w:tabs>
        <w:spacing w:before="240"/>
        <w:ind w:left="720" w:hanging="720"/>
        <w:jc w:val="both"/>
        <w:rPr>
          <w:rFonts w:ascii="Calibri" w:hAnsi="Calibri"/>
          <w:b/>
          <w:caps/>
          <w:lang w:val="en-AU"/>
        </w:rPr>
      </w:pPr>
      <w:r w:rsidRPr="002856B2">
        <w:rPr>
          <w:rFonts w:ascii="Calibri" w:hAnsi="Calibri"/>
          <w:b/>
          <w:caps/>
          <w:lang w:val="en-AU"/>
        </w:rPr>
        <w:tab/>
      </w:r>
      <w:r w:rsidR="00F62C0C">
        <w:rPr>
          <w:rFonts w:ascii="Calibri" w:hAnsi="Calibri"/>
          <w:b/>
          <w:bCs/>
          <w:caps/>
          <w:lang w:val="en-AU"/>
        </w:rPr>
        <w:fldChar w:fldCharType="begin"/>
      </w:r>
      <w:r w:rsidR="00F62C0C">
        <w:rPr>
          <w:rFonts w:ascii="Calibri" w:hAnsi="Calibri"/>
          <w:b/>
          <w:bCs/>
          <w:caps/>
          <w:lang w:val="en-AU"/>
        </w:rPr>
        <w:instrText xml:space="preserve"> SEQ A \* MERGEFORMAT </w:instrText>
      </w:r>
      <w:r w:rsidR="00F62C0C">
        <w:rPr>
          <w:rFonts w:ascii="Calibri" w:hAnsi="Calibri"/>
          <w:b/>
          <w:bCs/>
          <w:caps/>
          <w:lang w:val="en-AU"/>
        </w:rPr>
        <w:fldChar w:fldCharType="separate"/>
      </w:r>
      <w:r w:rsidR="00C4170D">
        <w:rPr>
          <w:rFonts w:ascii="Calibri" w:hAnsi="Calibri"/>
          <w:b/>
          <w:bCs/>
          <w:caps/>
          <w:noProof/>
          <w:lang w:val="en-AU"/>
        </w:rPr>
        <w:t>11</w:t>
      </w:r>
      <w:r w:rsidR="00F62C0C">
        <w:rPr>
          <w:rFonts w:ascii="Calibri" w:hAnsi="Calibri"/>
          <w:b/>
          <w:bCs/>
          <w:caps/>
          <w:lang w:val="en-AU"/>
        </w:rPr>
        <w:fldChar w:fldCharType="end"/>
      </w:r>
      <w:r w:rsidRPr="002856B2">
        <w:rPr>
          <w:rFonts w:ascii="Calibri" w:hAnsi="Calibri"/>
          <w:b/>
          <w:caps/>
          <w:lang w:val="en-AU"/>
        </w:rPr>
        <w:tab/>
        <w:t xml:space="preserve">QUESTION ON NOTICE NO </w:t>
      </w:r>
      <w:r>
        <w:rPr>
          <w:rFonts w:ascii="Calibri" w:hAnsi="Calibri"/>
          <w:b/>
          <w:caps/>
          <w:lang w:val="en-AU"/>
        </w:rPr>
        <w:t>776</w:t>
      </w:r>
      <w:r w:rsidRPr="002856B2">
        <w:rPr>
          <w:rFonts w:ascii="Calibri" w:hAnsi="Calibri"/>
          <w:b/>
          <w:caps/>
          <w:lang w:val="en-AU"/>
        </w:rPr>
        <w:t>—ANSWER—EXPLANATION</w:t>
      </w:r>
    </w:p>
    <w:p w:rsidR="002856B2" w:rsidRPr="002856B2" w:rsidRDefault="002856B2" w:rsidP="002856B2">
      <w:pPr>
        <w:spacing w:before="120"/>
        <w:ind w:left="720"/>
        <w:jc w:val="both"/>
        <w:rPr>
          <w:rFonts w:ascii="Calibri" w:hAnsi="Calibri"/>
        </w:rPr>
      </w:pPr>
      <w:r>
        <w:rPr>
          <w:rFonts w:ascii="Calibri" w:hAnsi="Calibri"/>
          <w:lang w:val="en-AU"/>
        </w:rPr>
        <w:t>Ms Castley</w:t>
      </w:r>
      <w:r w:rsidRPr="002856B2">
        <w:rPr>
          <w:rFonts w:ascii="Calibri" w:hAnsi="Calibri"/>
          <w:lang w:val="en-AU"/>
        </w:rPr>
        <w:t xml:space="preserve">, pursuant to standing order 118A, asked </w:t>
      </w:r>
      <w:r>
        <w:rPr>
          <w:rFonts w:ascii="Calibri" w:hAnsi="Calibri"/>
          <w:lang w:val="en-AU"/>
        </w:rPr>
        <w:t>Ms Berry (Minister for Education and Youth Affairs)</w:t>
      </w:r>
      <w:r w:rsidRPr="002856B2">
        <w:rPr>
          <w:rFonts w:ascii="Calibri" w:hAnsi="Calibri"/>
          <w:lang w:val="en-AU"/>
        </w:rPr>
        <w:t xml:space="preserve"> for an explanation concerning the answer to question on notice No </w:t>
      </w:r>
      <w:r>
        <w:rPr>
          <w:rFonts w:ascii="Calibri" w:hAnsi="Calibri"/>
        </w:rPr>
        <w:t>776</w:t>
      </w:r>
      <w:r w:rsidRPr="002856B2">
        <w:rPr>
          <w:rFonts w:ascii="Calibri" w:hAnsi="Calibri"/>
        </w:rPr>
        <w:t>.</w:t>
      </w:r>
    </w:p>
    <w:p w:rsidR="002856B2" w:rsidRPr="002856B2" w:rsidRDefault="002856B2" w:rsidP="002856B2">
      <w:pPr>
        <w:spacing w:before="120"/>
        <w:ind w:left="720"/>
        <w:jc w:val="both"/>
        <w:rPr>
          <w:rFonts w:ascii="Calibri" w:hAnsi="Calibri"/>
          <w:lang w:val="en-AU"/>
        </w:rPr>
      </w:pPr>
      <w:r>
        <w:rPr>
          <w:rFonts w:ascii="Calibri" w:hAnsi="Calibri"/>
          <w:lang w:val="en-AU"/>
        </w:rPr>
        <w:t>Ms Berry</w:t>
      </w:r>
      <w:r w:rsidRPr="002856B2">
        <w:rPr>
          <w:rFonts w:ascii="Calibri" w:hAnsi="Calibri"/>
          <w:lang w:val="en-AU"/>
        </w:rPr>
        <w:t xml:space="preserve"> gave an explanation.</w:t>
      </w:r>
    </w:p>
    <w:p w:rsidR="00F64F59" w:rsidRPr="00F64F59" w:rsidRDefault="00F64F59" w:rsidP="00F64F59">
      <w:pPr>
        <w:keepNext/>
        <w:keepLines/>
        <w:tabs>
          <w:tab w:val="right" w:pos="339"/>
          <w:tab w:val="left" w:pos="720"/>
        </w:tabs>
        <w:spacing w:before="240"/>
        <w:ind w:left="720" w:hanging="720"/>
        <w:jc w:val="both"/>
        <w:rPr>
          <w:rFonts w:ascii="Calibri" w:hAnsi="Calibri"/>
          <w:b/>
          <w:lang w:val="en-AU"/>
        </w:rPr>
      </w:pPr>
      <w:r w:rsidRPr="00F64F59">
        <w:rPr>
          <w:rFonts w:ascii="Calibri" w:hAnsi="Calibri"/>
          <w:b/>
          <w:lang w:val="en-AU"/>
        </w:rPr>
        <w:tab/>
      </w:r>
      <w:r w:rsidR="00BF478F">
        <w:rPr>
          <w:rFonts w:ascii="Calibri" w:hAnsi="Calibri"/>
          <w:b/>
          <w:bCs/>
          <w:lang w:val="en-AU"/>
        </w:rPr>
        <w:fldChar w:fldCharType="begin"/>
      </w:r>
      <w:r w:rsidR="00BF478F">
        <w:rPr>
          <w:rFonts w:ascii="Calibri" w:hAnsi="Calibri"/>
          <w:b/>
          <w:bCs/>
          <w:lang w:val="en-AU"/>
        </w:rPr>
        <w:instrText xml:space="preserve"> SEQ A \* MERGEFORMAT </w:instrText>
      </w:r>
      <w:r w:rsidR="00BF478F">
        <w:rPr>
          <w:rFonts w:ascii="Calibri" w:hAnsi="Calibri"/>
          <w:b/>
          <w:bCs/>
          <w:lang w:val="en-AU"/>
        </w:rPr>
        <w:fldChar w:fldCharType="separate"/>
      </w:r>
      <w:r w:rsidR="00C4170D">
        <w:rPr>
          <w:rFonts w:ascii="Calibri" w:hAnsi="Calibri"/>
          <w:b/>
          <w:bCs/>
          <w:noProof/>
          <w:lang w:val="en-AU"/>
        </w:rPr>
        <w:t>12</w:t>
      </w:r>
      <w:r w:rsidR="00BF478F">
        <w:rPr>
          <w:rFonts w:ascii="Calibri" w:hAnsi="Calibri"/>
          <w:b/>
          <w:bCs/>
          <w:lang w:val="en-AU"/>
        </w:rPr>
        <w:fldChar w:fldCharType="end"/>
      </w:r>
      <w:r w:rsidRPr="00F64F59">
        <w:rPr>
          <w:rFonts w:ascii="Calibri" w:hAnsi="Calibri"/>
          <w:b/>
          <w:lang w:val="en-AU"/>
        </w:rPr>
        <w:tab/>
        <w:t>PRESENTATION OF PAPER</w:t>
      </w:r>
      <w:r>
        <w:rPr>
          <w:rFonts w:ascii="Calibri" w:hAnsi="Calibri"/>
          <w:b/>
          <w:lang w:val="en-AU"/>
        </w:rPr>
        <w:t>S</w:t>
      </w:r>
    </w:p>
    <w:p w:rsidR="00F64F59" w:rsidRPr="00F64F59" w:rsidRDefault="008673CC" w:rsidP="00821FA3">
      <w:pPr>
        <w:tabs>
          <w:tab w:val="left" w:pos="3600"/>
        </w:tabs>
        <w:spacing w:before="120"/>
        <w:ind w:left="720"/>
        <w:jc w:val="both"/>
        <w:rPr>
          <w:rFonts w:ascii="Calibri" w:hAnsi="Calibri"/>
          <w:lang w:val="en-AU"/>
        </w:rPr>
      </w:pPr>
      <w:r>
        <w:rPr>
          <w:rFonts w:ascii="Calibri" w:hAnsi="Calibri"/>
          <w:lang w:val="en-AU"/>
        </w:rPr>
        <w:t>The Speaker</w:t>
      </w:r>
      <w:r w:rsidR="00F64F59" w:rsidRPr="00F64F59">
        <w:rPr>
          <w:rFonts w:ascii="Calibri" w:hAnsi="Calibri"/>
          <w:lang w:val="en-AU"/>
        </w:rPr>
        <w:t xml:space="preserve"> presented the following paper</w:t>
      </w:r>
      <w:r w:rsidR="00F64F59">
        <w:rPr>
          <w:rFonts w:ascii="Calibri" w:hAnsi="Calibri"/>
          <w:lang w:val="en-AU"/>
        </w:rPr>
        <w:t>s</w:t>
      </w:r>
      <w:r w:rsidR="00F64F59" w:rsidRPr="00F64F59">
        <w:rPr>
          <w:rFonts w:ascii="Calibri" w:hAnsi="Calibri"/>
          <w:lang w:val="en-AU"/>
        </w:rPr>
        <w:t>:</w:t>
      </w:r>
    </w:p>
    <w:p w:rsidR="00F62C0C" w:rsidRPr="006B5DE7" w:rsidRDefault="008673CC" w:rsidP="00F62C0C">
      <w:pPr>
        <w:pStyle w:val="DPSEntryDetail"/>
      </w:pPr>
      <w:r>
        <w:t>Bill referred to Committee</w:t>
      </w:r>
      <w:r w:rsidR="00F62C0C" w:rsidRPr="006B5DE7">
        <w:t>, pursuant to resolution of the Assembly of 2 December 2020</w:t>
      </w:r>
      <w:r w:rsidR="00F62C0C">
        <w:t>, as amended</w:t>
      </w:r>
      <w:r w:rsidR="00F62C0C" w:rsidRPr="006B5DE7">
        <w:t>—</w:t>
      </w:r>
      <w:r w:rsidR="00F62C0C">
        <w:t>Correspondence</w:t>
      </w:r>
      <w:r w:rsidR="00F62C0C" w:rsidRPr="006B5DE7">
        <w:t>—</w:t>
      </w:r>
      <w:r>
        <w:t>Bill</w:t>
      </w:r>
      <w:r w:rsidR="00F62C0C">
        <w:t>—Not inquired into—Statute Law Amendment Bill 2022</w:t>
      </w:r>
      <w:r>
        <w:t>—Copy of letter to the Speaker from the Chair of the Standing Committee on Justice and Community Safety, dated 6 June 2022</w:t>
      </w:r>
      <w:r w:rsidR="00F62C0C">
        <w:t>.</w:t>
      </w:r>
    </w:p>
    <w:p w:rsidR="00F62C0C" w:rsidRPr="00970DFD" w:rsidRDefault="00F62C0C" w:rsidP="00F62C0C">
      <w:pPr>
        <w:spacing w:before="120"/>
        <w:ind w:left="720"/>
        <w:rPr>
          <w:rFonts w:ascii="Calibri" w:hAnsi="Calibri"/>
          <w:iCs/>
          <w:lang w:val="en-AU"/>
        </w:rPr>
      </w:pPr>
      <w:r>
        <w:rPr>
          <w:rFonts w:ascii="Calibri" w:hAnsi="Calibri"/>
          <w:bCs/>
          <w:lang w:val="en-AU"/>
        </w:rPr>
        <w:t>Public Accounts—Standing Committee</w:t>
      </w:r>
      <w:r w:rsidRPr="00970DFD">
        <w:rPr>
          <w:rFonts w:ascii="Calibri" w:hAnsi="Calibri"/>
          <w:lang w:val="en-AU"/>
        </w:rPr>
        <w:t xml:space="preserve">—Report </w:t>
      </w:r>
      <w:r>
        <w:rPr>
          <w:rFonts w:ascii="Calibri" w:hAnsi="Calibri"/>
          <w:caps/>
          <w:lang w:val="en-AU"/>
        </w:rPr>
        <w:t>8</w:t>
      </w:r>
      <w:r w:rsidRPr="00970DFD">
        <w:rPr>
          <w:rFonts w:ascii="Calibri" w:hAnsi="Calibri"/>
          <w:lang w:val="en-AU"/>
        </w:rPr>
        <w:t>—</w:t>
      </w:r>
      <w:r>
        <w:rPr>
          <w:rFonts w:ascii="Calibri" w:hAnsi="Calibri"/>
          <w:i/>
          <w:iCs/>
          <w:lang w:val="en-AU"/>
        </w:rPr>
        <w:t>Inquiry into Annual and Financial Reports 2020-21</w:t>
      </w:r>
      <w:r w:rsidRPr="00970DFD">
        <w:rPr>
          <w:rFonts w:ascii="Calibri" w:hAnsi="Calibri"/>
          <w:iCs/>
          <w:lang w:val="en-AU"/>
        </w:rPr>
        <w:t>—</w:t>
      </w:r>
      <w:r w:rsidR="00D65B67">
        <w:rPr>
          <w:rFonts w:ascii="Calibri" w:hAnsi="Calibri"/>
          <w:iCs/>
          <w:lang w:val="en-AU"/>
        </w:rPr>
        <w:t>Speaker’s response to Recommendations 8 and 9, dated 7 June 2022</w:t>
      </w:r>
      <w:r>
        <w:rPr>
          <w:rFonts w:ascii="Calibri" w:hAnsi="Calibri"/>
          <w:iCs/>
          <w:lang w:val="en-AU"/>
        </w:rPr>
        <w:t>.</w:t>
      </w:r>
    </w:p>
    <w:p w:rsidR="007A2DDA" w:rsidRPr="007A2DDA" w:rsidRDefault="007A2DDA" w:rsidP="007A2DDA">
      <w:pPr>
        <w:keepNext/>
        <w:keepLines/>
        <w:tabs>
          <w:tab w:val="right" w:pos="339"/>
          <w:tab w:val="left" w:pos="720"/>
        </w:tabs>
        <w:spacing w:before="240"/>
        <w:ind w:left="720" w:hanging="720"/>
        <w:rPr>
          <w:rFonts w:ascii="Calibri" w:hAnsi="Calibri"/>
          <w:b/>
          <w:caps/>
          <w:lang w:val="en-AU"/>
        </w:rPr>
      </w:pPr>
      <w:r w:rsidRPr="007A2DDA">
        <w:rPr>
          <w:rFonts w:ascii="Calibri" w:hAnsi="Calibri"/>
          <w:b/>
          <w:caps/>
          <w:lang w:val="en-AU"/>
        </w:rPr>
        <w:tab/>
      </w:r>
      <w:r w:rsidR="00BF478F">
        <w:rPr>
          <w:rFonts w:ascii="Calibri" w:hAnsi="Calibri"/>
          <w:b/>
          <w:bCs/>
          <w:caps/>
          <w:lang w:val="en-AU"/>
        </w:rPr>
        <w:fldChar w:fldCharType="begin"/>
      </w:r>
      <w:r w:rsidR="00BF478F">
        <w:rPr>
          <w:rFonts w:ascii="Calibri" w:hAnsi="Calibri"/>
          <w:b/>
          <w:bCs/>
          <w:caps/>
          <w:lang w:val="en-AU"/>
        </w:rPr>
        <w:instrText xml:space="preserve"> SEQ A \* MERGEFORMAT </w:instrText>
      </w:r>
      <w:r w:rsidR="00BF478F">
        <w:rPr>
          <w:rFonts w:ascii="Calibri" w:hAnsi="Calibri"/>
          <w:b/>
          <w:bCs/>
          <w:caps/>
          <w:lang w:val="en-AU"/>
        </w:rPr>
        <w:fldChar w:fldCharType="separate"/>
      </w:r>
      <w:r w:rsidR="00C4170D">
        <w:rPr>
          <w:rFonts w:ascii="Calibri" w:hAnsi="Calibri"/>
          <w:b/>
          <w:bCs/>
          <w:caps/>
          <w:noProof/>
          <w:lang w:val="en-AU"/>
        </w:rPr>
        <w:t>13</w:t>
      </w:r>
      <w:r w:rsidR="00BF478F">
        <w:rPr>
          <w:rFonts w:ascii="Calibri" w:hAnsi="Calibri"/>
          <w:b/>
          <w:bCs/>
          <w:caps/>
          <w:lang w:val="en-AU"/>
        </w:rPr>
        <w:fldChar w:fldCharType="end"/>
      </w:r>
      <w:r w:rsidRPr="007A2DDA">
        <w:rPr>
          <w:rFonts w:ascii="Calibri" w:hAnsi="Calibri"/>
          <w:b/>
          <w:caps/>
          <w:lang w:val="en-AU"/>
        </w:rPr>
        <w:tab/>
      </w:r>
      <w:r>
        <w:rPr>
          <w:rFonts w:ascii="Calibri" w:hAnsi="Calibri"/>
          <w:b/>
          <w:caps/>
          <w:lang w:val="en-AU"/>
        </w:rPr>
        <w:t>Nurse and midwifery ratios</w:t>
      </w:r>
    </w:p>
    <w:p w:rsidR="007A2DDA" w:rsidRPr="007A2DDA" w:rsidRDefault="007A2DDA" w:rsidP="007A2DDA">
      <w:pPr>
        <w:spacing w:before="120"/>
        <w:ind w:left="720"/>
        <w:rPr>
          <w:rFonts w:ascii="Calibri" w:hAnsi="Calibri"/>
          <w:color w:val="000000"/>
          <w:lang w:val="en-AU"/>
        </w:rPr>
      </w:pPr>
      <w:r>
        <w:rPr>
          <w:rFonts w:ascii="Calibri" w:hAnsi="Calibri"/>
          <w:color w:val="000000"/>
          <w:lang w:val="en-AU"/>
        </w:rPr>
        <w:t>Ms Castley</w:t>
      </w:r>
      <w:r w:rsidRPr="007A2DDA">
        <w:rPr>
          <w:rFonts w:ascii="Calibri" w:hAnsi="Calibri"/>
          <w:color w:val="000000"/>
          <w:lang w:val="en-AU"/>
        </w:rPr>
        <w:t>, pursuant to notice, moved—That this Assembly:</w:t>
      </w:r>
    </w:p>
    <w:p w:rsidR="007A2DDA" w:rsidRPr="009166A1" w:rsidRDefault="007A2DDA" w:rsidP="007A2DDA">
      <w:pPr>
        <w:pStyle w:val="DPSEntryIndents"/>
        <w:rPr>
          <w:lang w:eastAsia="en-US"/>
        </w:rPr>
      </w:pPr>
      <w:r w:rsidRPr="009166A1">
        <w:rPr>
          <w:lang w:eastAsia="en-US"/>
        </w:rPr>
        <w:t>notes:</w:t>
      </w:r>
    </w:p>
    <w:p w:rsidR="007A2DDA" w:rsidRPr="009166A1" w:rsidRDefault="007A2DDA" w:rsidP="007A2DDA">
      <w:pPr>
        <w:pStyle w:val="DPSEntryIndents"/>
        <w:numPr>
          <w:ilvl w:val="1"/>
          <w:numId w:val="3"/>
        </w:numPr>
        <w:rPr>
          <w:lang w:eastAsia="en-US"/>
        </w:rPr>
      </w:pPr>
      <w:r w:rsidRPr="009166A1">
        <w:rPr>
          <w:lang w:eastAsia="en-US"/>
        </w:rPr>
        <w:t>phase 1 of the nursing and midwifery ratios began on 1 February 2022;</w:t>
      </w:r>
    </w:p>
    <w:p w:rsidR="007A2DDA" w:rsidRPr="009166A1" w:rsidRDefault="007A2DDA" w:rsidP="007A2DDA">
      <w:pPr>
        <w:pStyle w:val="DPSEntryIndents"/>
        <w:numPr>
          <w:ilvl w:val="1"/>
          <w:numId w:val="3"/>
        </w:numPr>
        <w:rPr>
          <w:lang w:eastAsia="en-US"/>
        </w:rPr>
      </w:pPr>
      <w:r w:rsidRPr="009166A1">
        <w:rPr>
          <w:lang w:eastAsia="en-US"/>
        </w:rPr>
        <w:t>the three key compliance measures being reported are:</w:t>
      </w:r>
    </w:p>
    <w:p w:rsidR="007A2DDA" w:rsidRPr="009166A1" w:rsidRDefault="007A2DDA" w:rsidP="007A2DDA">
      <w:pPr>
        <w:pStyle w:val="DPSEntryIndents"/>
        <w:numPr>
          <w:ilvl w:val="2"/>
          <w:numId w:val="3"/>
        </w:numPr>
        <w:rPr>
          <w:lang w:eastAsia="en-US"/>
        </w:rPr>
      </w:pPr>
      <w:r w:rsidRPr="009166A1">
        <w:rPr>
          <w:lang w:eastAsia="en-US"/>
        </w:rPr>
        <w:t>a supernumerary team leader on morning and afternoon shifts;</w:t>
      </w:r>
    </w:p>
    <w:p w:rsidR="007A2DDA" w:rsidRPr="009166A1" w:rsidRDefault="007A2DDA" w:rsidP="007A2DDA">
      <w:pPr>
        <w:pStyle w:val="DPSEntryIndents"/>
        <w:numPr>
          <w:ilvl w:val="2"/>
          <w:numId w:val="3"/>
        </w:numPr>
        <w:rPr>
          <w:lang w:eastAsia="en-US"/>
        </w:rPr>
      </w:pPr>
      <w:r w:rsidRPr="009166A1">
        <w:rPr>
          <w:lang w:eastAsia="en-US"/>
        </w:rPr>
        <w:t>a nurse/patient ratio of 1:4 for morning shift, 1:4 for evening shift and 1:6 for night shift; and</w:t>
      </w:r>
    </w:p>
    <w:p w:rsidR="007A2DDA" w:rsidRPr="009166A1" w:rsidRDefault="007A2DDA" w:rsidP="007A2DDA">
      <w:pPr>
        <w:pStyle w:val="DPSEntryIndents"/>
        <w:numPr>
          <w:ilvl w:val="2"/>
          <w:numId w:val="3"/>
        </w:numPr>
        <w:rPr>
          <w:lang w:eastAsia="en-US"/>
        </w:rPr>
      </w:pPr>
      <w:r w:rsidRPr="009166A1">
        <w:rPr>
          <w:lang w:eastAsia="en-US"/>
        </w:rPr>
        <w:t>skill mix of no more than 25 percent enrolled nurses and 75 percent registered nurses;</w:t>
      </w:r>
    </w:p>
    <w:p w:rsidR="007A2DDA" w:rsidRPr="009166A1" w:rsidRDefault="007A2DDA" w:rsidP="007A2DDA">
      <w:pPr>
        <w:pStyle w:val="DPSEntryIndents"/>
        <w:numPr>
          <w:ilvl w:val="1"/>
          <w:numId w:val="3"/>
        </w:numPr>
        <w:rPr>
          <w:lang w:eastAsia="en-US"/>
        </w:rPr>
      </w:pPr>
      <w:r w:rsidRPr="009166A1">
        <w:rPr>
          <w:lang w:eastAsia="en-US"/>
        </w:rPr>
        <w:t>an amnesty period was granted until 22 June;</w:t>
      </w:r>
    </w:p>
    <w:p w:rsidR="007A2DDA" w:rsidRPr="009166A1" w:rsidRDefault="007A2DDA" w:rsidP="007A2DDA">
      <w:pPr>
        <w:pStyle w:val="DPSEntryIndents"/>
        <w:rPr>
          <w:lang w:eastAsia="en-US"/>
        </w:rPr>
      </w:pPr>
      <w:r w:rsidRPr="009166A1">
        <w:rPr>
          <w:lang w:eastAsia="en-US"/>
        </w:rPr>
        <w:t>further notes:</w:t>
      </w:r>
    </w:p>
    <w:p w:rsidR="007A2DDA" w:rsidRPr="009166A1" w:rsidRDefault="007A2DDA" w:rsidP="007A2DDA">
      <w:pPr>
        <w:pStyle w:val="DPSEntryIndents"/>
        <w:numPr>
          <w:ilvl w:val="1"/>
          <w:numId w:val="3"/>
        </w:numPr>
        <w:rPr>
          <w:lang w:eastAsia="en-US"/>
        </w:rPr>
      </w:pPr>
      <w:r w:rsidRPr="009166A1">
        <w:rPr>
          <w:lang w:eastAsia="en-US"/>
        </w:rPr>
        <w:t xml:space="preserve">a Freedom of Information (FOI) document obtained by the Canberra Liberals reveals Canberra Health Services (CHS) </w:t>
      </w:r>
      <w:r w:rsidR="002777E5">
        <w:rPr>
          <w:lang w:eastAsia="en-US"/>
        </w:rPr>
        <w:t>“</w:t>
      </w:r>
      <w:r w:rsidRPr="009166A1">
        <w:rPr>
          <w:lang w:eastAsia="en-US"/>
        </w:rPr>
        <w:t>remain confident that we will be fully compliant with phase 1 of the ratios by June 2022</w:t>
      </w:r>
      <w:r w:rsidR="002777E5">
        <w:rPr>
          <w:lang w:eastAsia="en-US"/>
        </w:rPr>
        <w:t>”</w:t>
      </w:r>
      <w:r w:rsidRPr="009166A1">
        <w:rPr>
          <w:lang w:eastAsia="en-US"/>
        </w:rPr>
        <w:t>;</w:t>
      </w:r>
    </w:p>
    <w:p w:rsidR="007A2DDA" w:rsidRPr="009166A1" w:rsidRDefault="007A2DDA" w:rsidP="007A2DDA">
      <w:pPr>
        <w:pStyle w:val="DPSEntryIndents"/>
        <w:numPr>
          <w:ilvl w:val="1"/>
          <w:numId w:val="3"/>
        </w:numPr>
        <w:rPr>
          <w:lang w:eastAsia="en-US"/>
        </w:rPr>
      </w:pPr>
      <w:r w:rsidRPr="009166A1">
        <w:rPr>
          <w:lang w:eastAsia="en-US"/>
        </w:rPr>
        <w:t xml:space="preserve">FOI documents showing a </w:t>
      </w:r>
      <w:r w:rsidR="002777E5">
        <w:rPr>
          <w:lang w:eastAsia="en-US"/>
        </w:rPr>
        <w:t>“</w:t>
      </w:r>
      <w:r w:rsidRPr="009166A1">
        <w:rPr>
          <w:lang w:eastAsia="en-US"/>
        </w:rPr>
        <w:t>snapshot on ward compliance</w:t>
      </w:r>
      <w:r w:rsidR="002777E5">
        <w:rPr>
          <w:lang w:eastAsia="en-US"/>
        </w:rPr>
        <w:t>”</w:t>
      </w:r>
      <w:r w:rsidRPr="009166A1">
        <w:rPr>
          <w:lang w:eastAsia="en-US"/>
        </w:rPr>
        <w:t xml:space="preserve"> on 15 February 2022 reveal only partial compliance with ratios;</w:t>
      </w:r>
    </w:p>
    <w:p w:rsidR="007A2DDA" w:rsidRPr="009166A1" w:rsidRDefault="007A2DDA" w:rsidP="007A2DDA">
      <w:pPr>
        <w:pStyle w:val="DPSEntryIndents"/>
        <w:numPr>
          <w:ilvl w:val="1"/>
          <w:numId w:val="3"/>
        </w:numPr>
        <w:rPr>
          <w:lang w:eastAsia="en-US"/>
        </w:rPr>
      </w:pPr>
      <w:r w:rsidRPr="009166A1">
        <w:rPr>
          <w:lang w:eastAsia="en-US"/>
        </w:rPr>
        <w:t>for the morning shift, only 9 out of 17 wards were fully compliant;</w:t>
      </w:r>
    </w:p>
    <w:p w:rsidR="007A2DDA" w:rsidRPr="009166A1" w:rsidRDefault="007A2DDA" w:rsidP="007A2DDA">
      <w:pPr>
        <w:pStyle w:val="DPSEntryIndents"/>
        <w:numPr>
          <w:ilvl w:val="1"/>
          <w:numId w:val="3"/>
        </w:numPr>
        <w:rPr>
          <w:lang w:eastAsia="en-US"/>
        </w:rPr>
      </w:pPr>
      <w:r w:rsidRPr="009166A1">
        <w:rPr>
          <w:lang w:eastAsia="en-US"/>
        </w:rPr>
        <w:t>for the evening shift, only 8 out of 17 wards were fully compli</w:t>
      </w:r>
      <w:r>
        <w:rPr>
          <w:lang w:eastAsia="en-US"/>
        </w:rPr>
        <w:t>a</w:t>
      </w:r>
      <w:r w:rsidRPr="009166A1">
        <w:rPr>
          <w:lang w:eastAsia="en-US"/>
        </w:rPr>
        <w:t>nt; and</w:t>
      </w:r>
    </w:p>
    <w:p w:rsidR="007A2DDA" w:rsidRPr="009166A1" w:rsidRDefault="007A2DDA" w:rsidP="007A2DDA">
      <w:pPr>
        <w:pStyle w:val="DPSEntryIndents"/>
        <w:numPr>
          <w:ilvl w:val="1"/>
          <w:numId w:val="3"/>
        </w:numPr>
        <w:rPr>
          <w:lang w:eastAsia="en-US"/>
        </w:rPr>
      </w:pPr>
      <w:r w:rsidRPr="009166A1">
        <w:rPr>
          <w:lang w:eastAsia="en-US"/>
        </w:rPr>
        <w:t>predictions for the night shift were that it would not be fully compliant; and</w:t>
      </w:r>
    </w:p>
    <w:p w:rsidR="007A2DDA" w:rsidRPr="009166A1" w:rsidRDefault="007A2DDA" w:rsidP="007A2DDA">
      <w:pPr>
        <w:pStyle w:val="DPSEntryIndents"/>
        <w:rPr>
          <w:lang w:eastAsia="en-US"/>
        </w:rPr>
      </w:pPr>
      <w:r w:rsidRPr="009166A1">
        <w:rPr>
          <w:lang w:eastAsia="en-US"/>
        </w:rPr>
        <w:t>calls on the ACT Government to:</w:t>
      </w:r>
    </w:p>
    <w:p w:rsidR="007A2DDA" w:rsidRPr="009166A1" w:rsidRDefault="007A2DDA" w:rsidP="007A2DDA">
      <w:pPr>
        <w:pStyle w:val="DPSEntryIndents"/>
        <w:numPr>
          <w:ilvl w:val="1"/>
          <w:numId w:val="3"/>
        </w:numPr>
        <w:rPr>
          <w:lang w:eastAsia="en-US"/>
        </w:rPr>
      </w:pPr>
      <w:r w:rsidRPr="009166A1">
        <w:rPr>
          <w:lang w:eastAsia="en-US"/>
        </w:rPr>
        <w:t>provide nurse ratio compliance figures since February 2022 (with a breakdown of the three key compliance measures being reported);</w:t>
      </w:r>
    </w:p>
    <w:p w:rsidR="007A2DDA" w:rsidRPr="009166A1" w:rsidRDefault="007A2DDA" w:rsidP="00B244EB">
      <w:pPr>
        <w:pStyle w:val="DPSEntryIndents"/>
        <w:keepNext/>
        <w:numPr>
          <w:ilvl w:val="1"/>
          <w:numId w:val="3"/>
        </w:numPr>
        <w:rPr>
          <w:lang w:eastAsia="en-US"/>
        </w:rPr>
      </w:pPr>
      <w:r w:rsidRPr="009166A1">
        <w:rPr>
          <w:lang w:eastAsia="en-US"/>
        </w:rPr>
        <w:t xml:space="preserve">disclose if CHS are now </w:t>
      </w:r>
      <w:r w:rsidR="002777E5">
        <w:rPr>
          <w:lang w:eastAsia="en-US"/>
        </w:rPr>
        <w:t>“</w:t>
      </w:r>
      <w:r w:rsidRPr="009166A1">
        <w:rPr>
          <w:lang w:eastAsia="en-US"/>
        </w:rPr>
        <w:t>fully compliant</w:t>
      </w:r>
      <w:r w:rsidR="002777E5">
        <w:rPr>
          <w:lang w:eastAsia="en-US"/>
        </w:rPr>
        <w:t>”</w:t>
      </w:r>
      <w:r w:rsidRPr="009166A1">
        <w:rPr>
          <w:lang w:eastAsia="en-US"/>
        </w:rPr>
        <w:t xml:space="preserve"> with phase 1 of the ratios, given we are now near the end of the amnesty period;</w:t>
      </w:r>
    </w:p>
    <w:p w:rsidR="007A2DDA" w:rsidRPr="009166A1" w:rsidRDefault="007A2DDA" w:rsidP="007A2DDA">
      <w:pPr>
        <w:pStyle w:val="DPSEntryIndents"/>
        <w:numPr>
          <w:ilvl w:val="1"/>
          <w:numId w:val="3"/>
        </w:numPr>
        <w:rPr>
          <w:lang w:eastAsia="en-US"/>
        </w:rPr>
      </w:pPr>
      <w:r w:rsidRPr="009166A1">
        <w:rPr>
          <w:lang w:eastAsia="en-US"/>
        </w:rPr>
        <w:t>commit to publicly releasing nurse ratio compliance figures for CHS as happens in the Queensland health system; and</w:t>
      </w:r>
    </w:p>
    <w:p w:rsidR="007A2DDA" w:rsidRPr="007A2DDA" w:rsidRDefault="007A2DDA" w:rsidP="007A2DDA">
      <w:pPr>
        <w:pStyle w:val="DPSEntryIndents"/>
        <w:numPr>
          <w:ilvl w:val="1"/>
          <w:numId w:val="3"/>
        </w:numPr>
        <w:rPr>
          <w:color w:val="000000"/>
        </w:rPr>
      </w:pPr>
      <w:r w:rsidRPr="009166A1">
        <w:rPr>
          <w:lang w:eastAsia="en-US"/>
        </w:rPr>
        <w:t>commit to publicly releasing nurse ratio compliance figures for the Calvary Public Hospital.</w:t>
      </w:r>
    </w:p>
    <w:p w:rsidR="00D65B10" w:rsidRDefault="00D65B10" w:rsidP="007A2DDA">
      <w:pPr>
        <w:spacing w:before="120"/>
        <w:ind w:left="720" w:right="-35"/>
        <w:rPr>
          <w:rFonts w:ascii="Calibri" w:hAnsi="Calibri"/>
          <w:color w:val="000000"/>
          <w:lang w:val="en-AU"/>
        </w:rPr>
      </w:pPr>
      <w:r>
        <w:rPr>
          <w:rFonts w:ascii="Calibri" w:hAnsi="Calibri"/>
          <w:color w:val="000000"/>
          <w:lang w:val="en-AU"/>
        </w:rPr>
        <w:t>Ms Stephen-Smith (Minister for Health) moved the following amendment:</w:t>
      </w:r>
      <w:r w:rsidR="003C1BD9">
        <w:rPr>
          <w:rFonts w:ascii="Calibri" w:hAnsi="Calibri"/>
          <w:color w:val="000000"/>
          <w:lang w:val="en-AU"/>
        </w:rPr>
        <w:t xml:space="preserve">  </w:t>
      </w:r>
      <w:r>
        <w:rPr>
          <w:rFonts w:ascii="Calibri" w:hAnsi="Calibri"/>
          <w:color w:val="000000"/>
          <w:lang w:val="en-AU"/>
        </w:rPr>
        <w:t xml:space="preserve">Omit all words after </w:t>
      </w:r>
      <w:r w:rsidR="002777E5">
        <w:rPr>
          <w:rFonts w:ascii="Calibri" w:hAnsi="Calibri"/>
          <w:color w:val="000000"/>
          <w:lang w:val="en-AU"/>
        </w:rPr>
        <w:t>“</w:t>
      </w:r>
      <w:r>
        <w:rPr>
          <w:rFonts w:ascii="Calibri" w:hAnsi="Calibri"/>
          <w:color w:val="000000"/>
          <w:lang w:val="en-AU"/>
        </w:rPr>
        <w:t>That this Assembly</w:t>
      </w:r>
      <w:r w:rsidR="002777E5">
        <w:rPr>
          <w:rFonts w:ascii="Calibri" w:hAnsi="Calibri"/>
          <w:color w:val="000000"/>
          <w:lang w:val="en-AU"/>
        </w:rPr>
        <w:t>”</w:t>
      </w:r>
      <w:r w:rsidR="003C1BD9">
        <w:rPr>
          <w:rFonts w:ascii="Calibri" w:hAnsi="Calibri"/>
          <w:color w:val="000000"/>
          <w:lang w:val="en-AU"/>
        </w:rPr>
        <w:t xml:space="preserve">, </w:t>
      </w:r>
      <w:r>
        <w:rPr>
          <w:rFonts w:ascii="Calibri" w:hAnsi="Calibri"/>
          <w:color w:val="000000"/>
          <w:lang w:val="en-AU"/>
        </w:rPr>
        <w:t>substitute:</w:t>
      </w:r>
    </w:p>
    <w:p w:rsidR="00A105F1" w:rsidRDefault="002777E5" w:rsidP="00374F9C">
      <w:pPr>
        <w:tabs>
          <w:tab w:val="left" w:pos="1350"/>
          <w:tab w:val="left" w:pos="1440"/>
        </w:tabs>
        <w:spacing w:before="60" w:after="60"/>
        <w:ind w:left="720"/>
      </w:pPr>
      <w:r>
        <w:rPr>
          <w:rFonts w:ascii="Calibri" w:hAnsi="Calibri"/>
          <w:color w:val="000000"/>
          <w:lang w:val="en-AU"/>
        </w:rPr>
        <w:t>“</w:t>
      </w:r>
      <w:r w:rsidR="00D65B10">
        <w:rPr>
          <w:rFonts w:ascii="Calibri" w:hAnsi="Calibri"/>
          <w:color w:val="000000"/>
          <w:lang w:val="en-AU"/>
        </w:rPr>
        <w:t>(1)</w:t>
      </w:r>
      <w:r w:rsidR="00D65B10">
        <w:rPr>
          <w:rFonts w:ascii="Calibri" w:hAnsi="Calibri"/>
          <w:color w:val="000000"/>
          <w:lang w:val="en-AU"/>
        </w:rPr>
        <w:tab/>
      </w:r>
      <w:r w:rsidR="00A105F1">
        <w:t>notes:</w:t>
      </w:r>
    </w:p>
    <w:p w:rsidR="00A105F1" w:rsidRDefault="00A105F1" w:rsidP="00374F9C">
      <w:pPr>
        <w:pStyle w:val="DPSEntryIndents"/>
        <w:numPr>
          <w:ilvl w:val="1"/>
          <w:numId w:val="26"/>
        </w:numPr>
      </w:pPr>
      <w:r>
        <w:t>mandated minimum Nurse/Midwife-to-Patient Ratios is a process of organising patient care with a mandated number of nurses and midwives every shift;</w:t>
      </w:r>
    </w:p>
    <w:p w:rsidR="00A105F1" w:rsidRDefault="00A105F1" w:rsidP="00A105F1">
      <w:pPr>
        <w:pStyle w:val="DPSEntryIndents"/>
        <w:numPr>
          <w:ilvl w:val="1"/>
          <w:numId w:val="3"/>
        </w:numPr>
      </w:pPr>
      <w:r>
        <w:t>implementation of phase one of ratios commenced on 1 February 2022 at Canberra Hospital and Calvary Public Hospital Bruce following approval of the ACT Public Sector Nursing and Midwifery Enterprise Agreement 2020</w:t>
      </w:r>
      <w:r w:rsidR="00AA412A">
        <w:noBreakHyphen/>
      </w:r>
      <w:r>
        <w:t xml:space="preserve">2022 by the Fair Work Commission; </w:t>
      </w:r>
    </w:p>
    <w:p w:rsidR="00A105F1" w:rsidRDefault="00A105F1" w:rsidP="00A105F1">
      <w:pPr>
        <w:pStyle w:val="DPSEntryIndents"/>
        <w:numPr>
          <w:ilvl w:val="1"/>
          <w:numId w:val="3"/>
        </w:numPr>
      </w:pPr>
      <w:r>
        <w:t>an amnesty period was agreed between the ACT Government and the Australian Nursing and Midwifery Federation until 30 June 2022 to allow time for implementation of ratios in both health services;</w:t>
      </w:r>
      <w:r w:rsidR="00D25B34">
        <w:t xml:space="preserve"> and</w:t>
      </w:r>
    </w:p>
    <w:p w:rsidR="00A105F1" w:rsidRDefault="00A105F1" w:rsidP="00A105F1">
      <w:pPr>
        <w:pStyle w:val="DPSEntryIndents"/>
        <w:numPr>
          <w:ilvl w:val="1"/>
          <w:numId w:val="3"/>
        </w:numPr>
      </w:pPr>
      <w:r>
        <w:t>ratios are currently being implemented in phase one across acute aged care, general medical, general surgical and adult mental health units with three key compliance measures:</w:t>
      </w:r>
    </w:p>
    <w:p w:rsidR="00A105F1" w:rsidRDefault="00A105F1" w:rsidP="00A105F1">
      <w:pPr>
        <w:pStyle w:val="DPSEntryIndents"/>
        <w:numPr>
          <w:ilvl w:val="2"/>
          <w:numId w:val="3"/>
        </w:numPr>
      </w:pPr>
      <w:r>
        <w:t>a supernumerary team leader on the morning and afternoon shifts;</w:t>
      </w:r>
    </w:p>
    <w:p w:rsidR="00A105F1" w:rsidRDefault="00A105F1" w:rsidP="00A105F1">
      <w:pPr>
        <w:pStyle w:val="DPSEntryIndents"/>
        <w:numPr>
          <w:ilvl w:val="2"/>
          <w:numId w:val="3"/>
        </w:numPr>
      </w:pPr>
      <w:r>
        <w:t>the appropriate ratio for each shift which is dependent on the unit type, level of care being provided within that unit and the shift; and</w:t>
      </w:r>
    </w:p>
    <w:p w:rsidR="00A105F1" w:rsidRPr="00A105F1" w:rsidRDefault="00A105F1" w:rsidP="00A105F1">
      <w:pPr>
        <w:pStyle w:val="DPSEntryIndents"/>
        <w:numPr>
          <w:ilvl w:val="2"/>
          <w:numId w:val="3"/>
        </w:numPr>
        <w:rPr>
          <w:bCs/>
        </w:rPr>
      </w:pPr>
      <w:r>
        <w:t>skill mix of no more than 25 percent Enrolled Nurses to 75 percent Registered Nurses.</w:t>
      </w:r>
    </w:p>
    <w:p w:rsidR="00A105F1" w:rsidRPr="00BD50A4" w:rsidRDefault="00A105F1" w:rsidP="00B40EC9">
      <w:pPr>
        <w:tabs>
          <w:tab w:val="left" w:pos="1350"/>
        </w:tabs>
        <w:spacing w:before="60" w:after="60"/>
        <w:ind w:left="720"/>
      </w:pPr>
      <w:r>
        <w:t>(2)</w:t>
      </w:r>
      <w:r>
        <w:tab/>
        <w:t>further notes:</w:t>
      </w:r>
    </w:p>
    <w:p w:rsidR="00A105F1" w:rsidRDefault="00A105F1" w:rsidP="00A105F1">
      <w:pPr>
        <w:pStyle w:val="DPSEntryIndents"/>
        <w:numPr>
          <w:ilvl w:val="1"/>
          <w:numId w:val="27"/>
        </w:numPr>
      </w:pPr>
      <w:r w:rsidRPr="000F006B">
        <w:t>the ACT is</w:t>
      </w:r>
      <w:r>
        <w:t xml:space="preserve"> just</w:t>
      </w:r>
      <w:r w:rsidRPr="000F006B">
        <w:t xml:space="preserve"> the third jurisdiction in Australia to implement ratios;</w:t>
      </w:r>
    </w:p>
    <w:p w:rsidR="00A105F1" w:rsidRDefault="00A105F1" w:rsidP="00A105F1">
      <w:pPr>
        <w:pStyle w:val="DPSEntryIndents"/>
        <w:numPr>
          <w:ilvl w:val="1"/>
          <w:numId w:val="3"/>
        </w:numPr>
      </w:pPr>
      <w:r>
        <w:t>the Canberra Liberals did not commit to the implementation of ratios at the 2020 ACT Election unlike ACT Labor and the ACT Greens;</w:t>
      </w:r>
    </w:p>
    <w:p w:rsidR="00A105F1" w:rsidRDefault="00A105F1" w:rsidP="00A105F1">
      <w:pPr>
        <w:pStyle w:val="DPSEntryIndents"/>
        <w:numPr>
          <w:ilvl w:val="1"/>
          <w:numId w:val="3"/>
        </w:numPr>
      </w:pPr>
      <w:r>
        <w:t>in the 2021-22 ACT Budget the AC</w:t>
      </w:r>
      <w:r w:rsidR="00374F9C">
        <w:t>T Government committed over $50 </w:t>
      </w:r>
      <w:r>
        <w:t>million to implement phase one of ratios, which has supported the recruitment of 90 full-time equivalent nurses;</w:t>
      </w:r>
    </w:p>
    <w:p w:rsidR="00A105F1" w:rsidRPr="000F006B" w:rsidRDefault="00A105F1" w:rsidP="00A105F1">
      <w:pPr>
        <w:pStyle w:val="DPSEntryIndents"/>
        <w:numPr>
          <w:ilvl w:val="1"/>
          <w:numId w:val="3"/>
        </w:numPr>
      </w:pPr>
      <w:r>
        <w:t>there is a recognised international shortage of nurses and other health professionals that is placing</w:t>
      </w:r>
      <w:r w:rsidR="00D25B34">
        <w:t xml:space="preserve"> pressure on all health systems; and</w:t>
      </w:r>
    </w:p>
    <w:p w:rsidR="00A105F1" w:rsidRPr="00BD50A4" w:rsidRDefault="00A105F1" w:rsidP="00B40EC9">
      <w:pPr>
        <w:tabs>
          <w:tab w:val="left" w:pos="1350"/>
        </w:tabs>
        <w:spacing w:before="60" w:after="60"/>
        <w:ind w:left="720"/>
        <w:rPr>
          <w:bCs/>
        </w:rPr>
      </w:pPr>
      <w:r>
        <w:rPr>
          <w:bCs/>
        </w:rPr>
        <w:t>(3)</w:t>
      </w:r>
      <w:r>
        <w:rPr>
          <w:bCs/>
        </w:rPr>
        <w:tab/>
        <w:t>calls on the ACT Government to:</w:t>
      </w:r>
    </w:p>
    <w:p w:rsidR="00A105F1" w:rsidRPr="00D56551" w:rsidRDefault="00A105F1" w:rsidP="00A105F1">
      <w:pPr>
        <w:pStyle w:val="DPSEntryIndents"/>
        <w:numPr>
          <w:ilvl w:val="1"/>
          <w:numId w:val="28"/>
        </w:numPr>
      </w:pPr>
      <w:r>
        <w:t>continue planning for ratios compliance to be publicly reported by health service and compliance measure each month;</w:t>
      </w:r>
    </w:p>
    <w:p w:rsidR="00A105F1" w:rsidRDefault="00A105F1" w:rsidP="00A105F1">
      <w:pPr>
        <w:pStyle w:val="DPSEntryIndents"/>
        <w:numPr>
          <w:ilvl w:val="1"/>
          <w:numId w:val="3"/>
        </w:numPr>
      </w:pPr>
      <w:r>
        <w:t>continue to work with the Australian Nursing and Midwifery Federation to implement and manage phase one of ratios across Canberra Hospital and Calvary Public Hospital Bruce;</w:t>
      </w:r>
      <w:r w:rsidRPr="005D2365">
        <w:t xml:space="preserve"> </w:t>
      </w:r>
    </w:p>
    <w:p w:rsidR="00A105F1" w:rsidRDefault="00A105F1" w:rsidP="00A105F1">
      <w:pPr>
        <w:pStyle w:val="DPSEntryIndents"/>
        <w:numPr>
          <w:ilvl w:val="1"/>
          <w:numId w:val="3"/>
        </w:numPr>
      </w:pPr>
      <w:r>
        <w:t>continue to work with the Australian Nursing and Midwifery Federation to negotiate the implementation, management and review of the next phase of ratios through the ACT Public Sector Nursing and Midwifery Enterprise Agreement;</w:t>
      </w:r>
      <w:r w:rsidR="00D25B34">
        <w:t xml:space="preserve"> and</w:t>
      </w:r>
    </w:p>
    <w:p w:rsidR="00D65B10" w:rsidRDefault="00A105F1" w:rsidP="00A105F1">
      <w:pPr>
        <w:pStyle w:val="DPSEntryIndents"/>
        <w:numPr>
          <w:ilvl w:val="1"/>
          <w:numId w:val="3"/>
        </w:numPr>
        <w:rPr>
          <w:color w:val="000000"/>
        </w:rPr>
      </w:pPr>
      <w:r>
        <w:t>continue to progress work on the Territory-Wide Health Workforce Plan to support a sustainable health workforce in the ACT.</w:t>
      </w:r>
      <w:r w:rsidR="00374F9C">
        <w:t>”.</w:t>
      </w:r>
    </w:p>
    <w:p w:rsidR="00D65B10" w:rsidRDefault="00D65B10" w:rsidP="00D65B10">
      <w:pPr>
        <w:spacing w:before="120"/>
        <w:ind w:left="720" w:right="-35"/>
        <w:rPr>
          <w:rFonts w:ascii="Calibri" w:hAnsi="Calibri"/>
          <w:color w:val="000000"/>
          <w:lang w:val="en-AU"/>
        </w:rPr>
      </w:pPr>
      <w:r w:rsidRPr="00D65B10">
        <w:rPr>
          <w:rFonts w:ascii="Calibri" w:hAnsi="Calibri"/>
          <w:i/>
          <w:color w:val="000000"/>
          <w:lang w:val="en-AU"/>
        </w:rPr>
        <w:t>Paper:</w:t>
      </w:r>
      <w:r>
        <w:rPr>
          <w:rFonts w:ascii="Calibri" w:hAnsi="Calibri"/>
          <w:color w:val="000000"/>
          <w:lang w:val="en-AU"/>
        </w:rPr>
        <w:t xml:space="preserve"> Ms Stephen-Smith presented the following paper:</w:t>
      </w:r>
    </w:p>
    <w:p w:rsidR="00D65B10" w:rsidRDefault="00D65B10" w:rsidP="00D65B10">
      <w:pPr>
        <w:spacing w:before="120"/>
        <w:ind w:left="720" w:right="-35"/>
        <w:rPr>
          <w:rFonts w:ascii="Calibri" w:hAnsi="Calibri"/>
          <w:color w:val="000000"/>
          <w:lang w:val="en-AU"/>
        </w:rPr>
      </w:pPr>
      <w:r>
        <w:rPr>
          <w:rFonts w:ascii="Calibri" w:hAnsi="Calibri"/>
          <w:color w:val="000000"/>
          <w:lang w:val="en-AU"/>
        </w:rPr>
        <w:t>Overall CHS</w:t>
      </w:r>
      <w:r w:rsidR="00374F9C">
        <w:rPr>
          <w:rFonts w:ascii="Calibri" w:hAnsi="Calibri"/>
          <w:color w:val="000000"/>
          <w:lang w:val="en-AU"/>
        </w:rPr>
        <w:t xml:space="preserve"> Ratio Compliance—Point in Time—Period 23 to 29 May 2022</w:t>
      </w:r>
      <w:r>
        <w:rPr>
          <w:rFonts w:ascii="Calibri" w:hAnsi="Calibri"/>
          <w:color w:val="000000"/>
          <w:lang w:val="en-AU"/>
        </w:rPr>
        <w:t>.</w:t>
      </w:r>
    </w:p>
    <w:p w:rsidR="00D65B10" w:rsidRDefault="00D65B10" w:rsidP="007A2DDA">
      <w:pPr>
        <w:spacing w:before="120"/>
        <w:ind w:left="720" w:right="-35"/>
        <w:rPr>
          <w:rFonts w:ascii="Calibri" w:hAnsi="Calibri"/>
          <w:color w:val="000000"/>
          <w:lang w:val="en-AU"/>
        </w:rPr>
      </w:pPr>
      <w:r>
        <w:rPr>
          <w:rFonts w:ascii="Calibri" w:hAnsi="Calibri"/>
          <w:color w:val="000000"/>
          <w:lang w:val="en-AU"/>
        </w:rPr>
        <w:t xml:space="preserve">Debate </w:t>
      </w:r>
      <w:r w:rsidR="00374F9C">
        <w:rPr>
          <w:rFonts w:ascii="Calibri" w:hAnsi="Calibri"/>
          <w:color w:val="000000"/>
          <w:lang w:val="en-AU"/>
        </w:rPr>
        <w:t>continued</w:t>
      </w:r>
      <w:r w:rsidR="004036FE">
        <w:rPr>
          <w:rFonts w:ascii="Calibri" w:hAnsi="Calibri"/>
          <w:color w:val="000000"/>
          <w:lang w:val="en-AU"/>
        </w:rPr>
        <w:t>.</w:t>
      </w:r>
    </w:p>
    <w:p w:rsidR="004036FE" w:rsidRDefault="004036FE" w:rsidP="007A2DDA">
      <w:pPr>
        <w:spacing w:before="120"/>
        <w:ind w:left="720" w:right="-35"/>
        <w:rPr>
          <w:rFonts w:ascii="Calibri" w:hAnsi="Calibri"/>
          <w:color w:val="000000"/>
          <w:lang w:val="en-AU"/>
        </w:rPr>
      </w:pPr>
      <w:r>
        <w:rPr>
          <w:rFonts w:ascii="Calibri" w:hAnsi="Calibri"/>
          <w:color w:val="000000"/>
          <w:lang w:val="en-AU"/>
        </w:rPr>
        <w:t>Question—put.</w:t>
      </w:r>
    </w:p>
    <w:p w:rsidR="004036FE" w:rsidRDefault="004036FE" w:rsidP="004036FE">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828" w:type="dxa"/>
        <w:tblLayout w:type="fixed"/>
        <w:tblCellMar>
          <w:left w:w="720" w:type="dxa"/>
          <w:right w:w="56" w:type="dxa"/>
        </w:tblCellMar>
        <w:tblLook w:val="0000" w:firstRow="0" w:lastRow="0" w:firstColumn="0" w:lastColumn="0" w:noHBand="0" w:noVBand="0"/>
      </w:tblPr>
      <w:tblGrid>
        <w:gridCol w:w="2520"/>
        <w:gridCol w:w="2340"/>
        <w:gridCol w:w="796"/>
        <w:gridCol w:w="2174"/>
        <w:gridCol w:w="1998"/>
      </w:tblGrid>
      <w:tr w:rsidR="004036FE" w:rsidTr="005B71DC">
        <w:tc>
          <w:tcPr>
            <w:tcW w:w="4860" w:type="dxa"/>
            <w:gridSpan w:val="2"/>
            <w:shd w:val="clear" w:color="auto" w:fill="auto"/>
          </w:tcPr>
          <w:p w:rsidR="004036FE" w:rsidRDefault="004036FE" w:rsidP="005B71DC">
            <w:pPr>
              <w:tabs>
                <w:tab w:val="center" w:pos="1710"/>
              </w:tabs>
              <w:spacing w:before="120"/>
              <w:ind w:right="-35"/>
              <w:rPr>
                <w:rFonts w:ascii="Calibri" w:hAnsi="Calibri"/>
                <w:color w:val="000000"/>
                <w:lang w:val="en-AU"/>
              </w:rPr>
            </w:pPr>
            <w:r>
              <w:rPr>
                <w:rFonts w:ascii="Calibri" w:hAnsi="Calibri"/>
                <w:color w:val="000000"/>
                <w:lang w:val="en-AU"/>
              </w:rPr>
              <w:tab/>
              <w:t>AYES, 14</w:t>
            </w:r>
          </w:p>
        </w:tc>
        <w:tc>
          <w:tcPr>
            <w:tcW w:w="796" w:type="dxa"/>
            <w:shd w:val="clear" w:color="auto" w:fill="auto"/>
          </w:tcPr>
          <w:p w:rsidR="004036FE" w:rsidRDefault="004036FE" w:rsidP="004036FE">
            <w:pPr>
              <w:spacing w:before="120"/>
              <w:ind w:right="-35"/>
              <w:rPr>
                <w:rFonts w:ascii="Calibri" w:hAnsi="Calibri"/>
                <w:color w:val="000000"/>
                <w:lang w:val="en-AU"/>
              </w:rPr>
            </w:pPr>
          </w:p>
        </w:tc>
        <w:tc>
          <w:tcPr>
            <w:tcW w:w="4172" w:type="dxa"/>
            <w:gridSpan w:val="2"/>
            <w:shd w:val="clear" w:color="auto" w:fill="auto"/>
          </w:tcPr>
          <w:p w:rsidR="004036FE" w:rsidRDefault="004036FE" w:rsidP="005B71DC">
            <w:pPr>
              <w:tabs>
                <w:tab w:val="center" w:pos="1184"/>
              </w:tabs>
              <w:spacing w:before="120"/>
              <w:ind w:right="-35"/>
              <w:rPr>
                <w:rFonts w:ascii="Calibri" w:hAnsi="Calibri"/>
                <w:color w:val="000000"/>
                <w:lang w:val="en-AU"/>
              </w:rPr>
            </w:pPr>
            <w:r>
              <w:rPr>
                <w:rFonts w:ascii="Calibri" w:hAnsi="Calibri"/>
                <w:color w:val="000000"/>
                <w:lang w:val="en-AU"/>
              </w:rPr>
              <w:tab/>
              <w:t>NOES, 6</w:t>
            </w:r>
          </w:p>
        </w:tc>
      </w:tr>
      <w:tr w:rsidR="004036FE" w:rsidTr="005B71DC">
        <w:trPr>
          <w:trHeight w:hRule="exact" w:val="312"/>
        </w:trPr>
        <w:tc>
          <w:tcPr>
            <w:tcW w:w="2520" w:type="dxa"/>
            <w:shd w:val="clear" w:color="auto" w:fill="auto"/>
          </w:tcPr>
          <w:p w:rsidR="004036FE" w:rsidRDefault="004036FE" w:rsidP="004036FE">
            <w:pPr>
              <w:ind w:right="-35"/>
              <w:rPr>
                <w:rFonts w:ascii="Calibri" w:hAnsi="Calibri"/>
                <w:color w:val="000000"/>
                <w:lang w:val="en-AU"/>
              </w:rPr>
            </w:pPr>
            <w:r>
              <w:rPr>
                <w:rFonts w:ascii="Calibri" w:hAnsi="Calibri"/>
                <w:color w:val="000000"/>
                <w:lang w:val="en-AU"/>
              </w:rPr>
              <w:t>Mr Barr</w:t>
            </w:r>
          </w:p>
        </w:tc>
        <w:tc>
          <w:tcPr>
            <w:tcW w:w="2340" w:type="dxa"/>
            <w:shd w:val="clear" w:color="auto" w:fill="auto"/>
          </w:tcPr>
          <w:p w:rsidR="004036FE" w:rsidRDefault="005B71DC" w:rsidP="005B71DC">
            <w:pPr>
              <w:ind w:left="-360" w:right="-35"/>
              <w:rPr>
                <w:rFonts w:ascii="Calibri" w:hAnsi="Calibri"/>
                <w:color w:val="000000"/>
                <w:lang w:val="en-AU"/>
              </w:rPr>
            </w:pPr>
            <w:r>
              <w:rPr>
                <w:rFonts w:ascii="Calibri" w:hAnsi="Calibri"/>
                <w:color w:val="000000"/>
                <w:lang w:val="en-AU"/>
              </w:rPr>
              <w:t>Mr Davis</w:t>
            </w:r>
          </w:p>
        </w:tc>
        <w:tc>
          <w:tcPr>
            <w:tcW w:w="796" w:type="dxa"/>
            <w:shd w:val="clear" w:color="auto" w:fill="auto"/>
          </w:tcPr>
          <w:p w:rsidR="004036FE" w:rsidRDefault="004036FE" w:rsidP="005B71DC">
            <w:pPr>
              <w:spacing w:before="120"/>
              <w:ind w:left="-360" w:right="-35"/>
              <w:rPr>
                <w:rFonts w:ascii="Calibri" w:hAnsi="Calibri"/>
                <w:color w:val="000000"/>
                <w:lang w:val="en-AU"/>
              </w:rPr>
            </w:pPr>
          </w:p>
        </w:tc>
        <w:tc>
          <w:tcPr>
            <w:tcW w:w="2174" w:type="dxa"/>
            <w:shd w:val="clear" w:color="auto" w:fill="auto"/>
          </w:tcPr>
          <w:p w:rsidR="004036FE" w:rsidRDefault="004036FE" w:rsidP="005B71DC">
            <w:pPr>
              <w:ind w:left="-616" w:right="-35"/>
              <w:rPr>
                <w:rFonts w:ascii="Calibri" w:hAnsi="Calibri"/>
                <w:color w:val="000000"/>
                <w:lang w:val="en-AU"/>
              </w:rPr>
            </w:pPr>
            <w:r>
              <w:rPr>
                <w:rFonts w:ascii="Calibri" w:hAnsi="Calibri"/>
                <w:color w:val="000000"/>
                <w:lang w:val="en-AU"/>
              </w:rPr>
              <w:t>Mr Cain</w:t>
            </w:r>
          </w:p>
        </w:tc>
        <w:tc>
          <w:tcPr>
            <w:tcW w:w="1998" w:type="dxa"/>
            <w:shd w:val="clear" w:color="auto" w:fill="auto"/>
          </w:tcPr>
          <w:p w:rsidR="004036FE" w:rsidRDefault="004036FE" w:rsidP="005B71DC">
            <w:pPr>
              <w:spacing w:before="120"/>
              <w:ind w:left="-616" w:right="-35"/>
              <w:rPr>
                <w:rFonts w:ascii="Calibri" w:hAnsi="Calibri"/>
                <w:color w:val="000000"/>
                <w:lang w:val="en-AU"/>
              </w:rPr>
            </w:pPr>
          </w:p>
        </w:tc>
      </w:tr>
      <w:tr w:rsidR="004036FE" w:rsidTr="005B71DC">
        <w:trPr>
          <w:trHeight w:hRule="exact" w:val="312"/>
        </w:trPr>
        <w:tc>
          <w:tcPr>
            <w:tcW w:w="2520" w:type="dxa"/>
            <w:shd w:val="clear" w:color="auto" w:fill="auto"/>
          </w:tcPr>
          <w:p w:rsidR="004036FE" w:rsidRDefault="004036FE" w:rsidP="004036FE">
            <w:pPr>
              <w:ind w:right="-35"/>
              <w:rPr>
                <w:rFonts w:ascii="Calibri" w:hAnsi="Calibri"/>
                <w:color w:val="000000"/>
                <w:lang w:val="en-AU"/>
              </w:rPr>
            </w:pPr>
            <w:r>
              <w:rPr>
                <w:rFonts w:ascii="Calibri" w:hAnsi="Calibri"/>
                <w:color w:val="000000"/>
                <w:lang w:val="en-AU"/>
              </w:rPr>
              <w:t>Ms Berry</w:t>
            </w:r>
          </w:p>
        </w:tc>
        <w:tc>
          <w:tcPr>
            <w:tcW w:w="2340" w:type="dxa"/>
            <w:shd w:val="clear" w:color="auto" w:fill="auto"/>
          </w:tcPr>
          <w:p w:rsidR="004036FE" w:rsidRDefault="005B71DC" w:rsidP="005B71DC">
            <w:pPr>
              <w:ind w:left="-360" w:right="-35"/>
              <w:rPr>
                <w:rFonts w:ascii="Calibri" w:hAnsi="Calibri"/>
                <w:color w:val="000000"/>
                <w:lang w:val="en-AU"/>
              </w:rPr>
            </w:pPr>
            <w:r>
              <w:rPr>
                <w:rFonts w:ascii="Calibri" w:hAnsi="Calibri"/>
                <w:color w:val="000000"/>
                <w:lang w:val="en-AU"/>
              </w:rPr>
              <w:t>Mr Gentleman</w:t>
            </w:r>
          </w:p>
        </w:tc>
        <w:tc>
          <w:tcPr>
            <w:tcW w:w="796" w:type="dxa"/>
            <w:shd w:val="clear" w:color="auto" w:fill="auto"/>
          </w:tcPr>
          <w:p w:rsidR="004036FE" w:rsidRDefault="004036FE" w:rsidP="005B71DC">
            <w:pPr>
              <w:spacing w:before="120"/>
              <w:ind w:left="-360" w:right="-35"/>
              <w:rPr>
                <w:rFonts w:ascii="Calibri" w:hAnsi="Calibri"/>
                <w:color w:val="000000"/>
                <w:lang w:val="en-AU"/>
              </w:rPr>
            </w:pPr>
          </w:p>
        </w:tc>
        <w:tc>
          <w:tcPr>
            <w:tcW w:w="2174" w:type="dxa"/>
            <w:shd w:val="clear" w:color="auto" w:fill="auto"/>
          </w:tcPr>
          <w:p w:rsidR="004036FE" w:rsidRDefault="004036FE" w:rsidP="005B71DC">
            <w:pPr>
              <w:ind w:left="-616" w:right="-35"/>
              <w:rPr>
                <w:rFonts w:ascii="Calibri" w:hAnsi="Calibri"/>
                <w:color w:val="000000"/>
                <w:lang w:val="en-AU"/>
              </w:rPr>
            </w:pPr>
            <w:r>
              <w:rPr>
                <w:rFonts w:ascii="Calibri" w:hAnsi="Calibri"/>
                <w:color w:val="000000"/>
                <w:lang w:val="en-AU"/>
              </w:rPr>
              <w:t>Ms Castley</w:t>
            </w:r>
          </w:p>
        </w:tc>
        <w:tc>
          <w:tcPr>
            <w:tcW w:w="1998" w:type="dxa"/>
            <w:shd w:val="clear" w:color="auto" w:fill="auto"/>
          </w:tcPr>
          <w:p w:rsidR="004036FE" w:rsidRDefault="004036FE" w:rsidP="005B71DC">
            <w:pPr>
              <w:spacing w:before="120"/>
              <w:ind w:left="-616" w:right="-35"/>
              <w:rPr>
                <w:rFonts w:ascii="Calibri" w:hAnsi="Calibri"/>
                <w:color w:val="000000"/>
                <w:lang w:val="en-AU"/>
              </w:rPr>
            </w:pPr>
          </w:p>
        </w:tc>
      </w:tr>
      <w:tr w:rsidR="004036FE" w:rsidTr="005B71DC">
        <w:trPr>
          <w:trHeight w:hRule="exact" w:val="312"/>
        </w:trPr>
        <w:tc>
          <w:tcPr>
            <w:tcW w:w="2520" w:type="dxa"/>
            <w:shd w:val="clear" w:color="auto" w:fill="auto"/>
          </w:tcPr>
          <w:p w:rsidR="004036FE" w:rsidRDefault="004036FE" w:rsidP="004036FE">
            <w:pPr>
              <w:ind w:right="-35"/>
              <w:rPr>
                <w:rFonts w:ascii="Calibri" w:hAnsi="Calibri"/>
                <w:color w:val="000000"/>
                <w:lang w:val="en-AU"/>
              </w:rPr>
            </w:pPr>
            <w:r>
              <w:rPr>
                <w:rFonts w:ascii="Calibri" w:hAnsi="Calibri"/>
                <w:color w:val="000000"/>
                <w:lang w:val="en-AU"/>
              </w:rPr>
              <w:t>Mr Braddock</w:t>
            </w:r>
          </w:p>
        </w:tc>
        <w:tc>
          <w:tcPr>
            <w:tcW w:w="2340" w:type="dxa"/>
            <w:shd w:val="clear" w:color="auto" w:fill="auto"/>
          </w:tcPr>
          <w:p w:rsidR="004036FE" w:rsidRDefault="005B71DC" w:rsidP="005B71DC">
            <w:pPr>
              <w:ind w:left="-360" w:right="-35"/>
              <w:rPr>
                <w:rFonts w:ascii="Calibri" w:hAnsi="Calibri"/>
                <w:color w:val="000000"/>
                <w:lang w:val="en-AU"/>
              </w:rPr>
            </w:pPr>
            <w:r>
              <w:rPr>
                <w:rFonts w:ascii="Calibri" w:hAnsi="Calibri"/>
                <w:color w:val="000000"/>
                <w:lang w:val="en-AU"/>
              </w:rPr>
              <w:t>Ms Orr</w:t>
            </w:r>
          </w:p>
        </w:tc>
        <w:tc>
          <w:tcPr>
            <w:tcW w:w="796" w:type="dxa"/>
            <w:shd w:val="clear" w:color="auto" w:fill="auto"/>
          </w:tcPr>
          <w:p w:rsidR="004036FE" w:rsidRDefault="004036FE" w:rsidP="005B71DC">
            <w:pPr>
              <w:spacing w:before="120"/>
              <w:ind w:left="-360" w:right="-35"/>
              <w:rPr>
                <w:rFonts w:ascii="Calibri" w:hAnsi="Calibri"/>
                <w:color w:val="000000"/>
                <w:lang w:val="en-AU"/>
              </w:rPr>
            </w:pPr>
          </w:p>
        </w:tc>
        <w:tc>
          <w:tcPr>
            <w:tcW w:w="2174" w:type="dxa"/>
            <w:shd w:val="clear" w:color="auto" w:fill="auto"/>
          </w:tcPr>
          <w:p w:rsidR="004036FE" w:rsidRDefault="004036FE" w:rsidP="005B71DC">
            <w:pPr>
              <w:ind w:left="-616" w:right="-35"/>
              <w:rPr>
                <w:rFonts w:ascii="Calibri" w:hAnsi="Calibri"/>
                <w:color w:val="000000"/>
                <w:lang w:val="en-AU"/>
              </w:rPr>
            </w:pPr>
            <w:r>
              <w:rPr>
                <w:rFonts w:ascii="Calibri" w:hAnsi="Calibri"/>
                <w:color w:val="000000"/>
                <w:lang w:val="en-AU"/>
              </w:rPr>
              <w:t>Mrs Kikkert</w:t>
            </w:r>
          </w:p>
        </w:tc>
        <w:tc>
          <w:tcPr>
            <w:tcW w:w="1998" w:type="dxa"/>
            <w:shd w:val="clear" w:color="auto" w:fill="auto"/>
          </w:tcPr>
          <w:p w:rsidR="004036FE" w:rsidRDefault="004036FE" w:rsidP="005B71DC">
            <w:pPr>
              <w:spacing w:before="120"/>
              <w:ind w:left="-616" w:right="-35"/>
              <w:rPr>
                <w:rFonts w:ascii="Calibri" w:hAnsi="Calibri"/>
                <w:color w:val="000000"/>
                <w:lang w:val="en-AU"/>
              </w:rPr>
            </w:pPr>
          </w:p>
        </w:tc>
      </w:tr>
      <w:tr w:rsidR="004036FE" w:rsidTr="005B71DC">
        <w:trPr>
          <w:trHeight w:hRule="exact" w:val="312"/>
        </w:trPr>
        <w:tc>
          <w:tcPr>
            <w:tcW w:w="2520" w:type="dxa"/>
            <w:shd w:val="clear" w:color="auto" w:fill="auto"/>
          </w:tcPr>
          <w:p w:rsidR="004036FE" w:rsidRDefault="004036FE" w:rsidP="004036FE">
            <w:pPr>
              <w:ind w:right="-35"/>
              <w:rPr>
                <w:rFonts w:ascii="Calibri" w:hAnsi="Calibri"/>
                <w:color w:val="000000"/>
                <w:lang w:val="en-AU"/>
              </w:rPr>
            </w:pPr>
            <w:r>
              <w:rPr>
                <w:rFonts w:ascii="Calibri" w:hAnsi="Calibri"/>
                <w:color w:val="000000"/>
                <w:lang w:val="en-AU"/>
              </w:rPr>
              <w:t>Ms Burch</w:t>
            </w:r>
          </w:p>
        </w:tc>
        <w:tc>
          <w:tcPr>
            <w:tcW w:w="2340" w:type="dxa"/>
            <w:shd w:val="clear" w:color="auto" w:fill="auto"/>
          </w:tcPr>
          <w:p w:rsidR="004036FE" w:rsidRDefault="005B71DC" w:rsidP="005B71DC">
            <w:pPr>
              <w:ind w:left="-360" w:right="-35"/>
              <w:rPr>
                <w:rFonts w:ascii="Calibri" w:hAnsi="Calibri"/>
                <w:color w:val="000000"/>
                <w:lang w:val="en-AU"/>
              </w:rPr>
            </w:pPr>
            <w:r>
              <w:rPr>
                <w:rFonts w:ascii="Calibri" w:hAnsi="Calibri"/>
                <w:color w:val="000000"/>
                <w:lang w:val="en-AU"/>
              </w:rPr>
              <w:t>Dr Paterson</w:t>
            </w:r>
          </w:p>
        </w:tc>
        <w:tc>
          <w:tcPr>
            <w:tcW w:w="796" w:type="dxa"/>
            <w:shd w:val="clear" w:color="auto" w:fill="auto"/>
          </w:tcPr>
          <w:p w:rsidR="004036FE" w:rsidRDefault="004036FE" w:rsidP="005B71DC">
            <w:pPr>
              <w:spacing w:before="120"/>
              <w:ind w:left="-360" w:right="-35"/>
              <w:rPr>
                <w:rFonts w:ascii="Calibri" w:hAnsi="Calibri"/>
                <w:color w:val="000000"/>
                <w:lang w:val="en-AU"/>
              </w:rPr>
            </w:pPr>
          </w:p>
        </w:tc>
        <w:tc>
          <w:tcPr>
            <w:tcW w:w="2174" w:type="dxa"/>
            <w:shd w:val="clear" w:color="auto" w:fill="auto"/>
          </w:tcPr>
          <w:p w:rsidR="004036FE" w:rsidRDefault="004036FE" w:rsidP="005B71DC">
            <w:pPr>
              <w:ind w:left="-616" w:right="-35"/>
              <w:rPr>
                <w:rFonts w:ascii="Calibri" w:hAnsi="Calibri"/>
                <w:color w:val="000000"/>
                <w:lang w:val="en-AU"/>
              </w:rPr>
            </w:pPr>
            <w:r>
              <w:rPr>
                <w:rFonts w:ascii="Calibri" w:hAnsi="Calibri"/>
                <w:color w:val="000000"/>
                <w:lang w:val="en-AU"/>
              </w:rPr>
              <w:t>Ms Lawder</w:t>
            </w:r>
          </w:p>
        </w:tc>
        <w:tc>
          <w:tcPr>
            <w:tcW w:w="1998" w:type="dxa"/>
            <w:shd w:val="clear" w:color="auto" w:fill="auto"/>
          </w:tcPr>
          <w:p w:rsidR="004036FE" w:rsidRDefault="004036FE" w:rsidP="005B71DC">
            <w:pPr>
              <w:spacing w:before="120"/>
              <w:ind w:left="-616" w:right="-35"/>
              <w:rPr>
                <w:rFonts w:ascii="Calibri" w:hAnsi="Calibri"/>
                <w:color w:val="000000"/>
                <w:lang w:val="en-AU"/>
              </w:rPr>
            </w:pPr>
          </w:p>
        </w:tc>
      </w:tr>
      <w:tr w:rsidR="004036FE" w:rsidTr="005B71DC">
        <w:trPr>
          <w:trHeight w:hRule="exact" w:val="312"/>
        </w:trPr>
        <w:tc>
          <w:tcPr>
            <w:tcW w:w="2520" w:type="dxa"/>
            <w:shd w:val="clear" w:color="auto" w:fill="auto"/>
          </w:tcPr>
          <w:p w:rsidR="004036FE" w:rsidRDefault="004036FE" w:rsidP="004036FE">
            <w:pPr>
              <w:ind w:right="-35"/>
              <w:rPr>
                <w:rFonts w:ascii="Calibri" w:hAnsi="Calibri"/>
                <w:color w:val="000000"/>
                <w:lang w:val="en-AU"/>
              </w:rPr>
            </w:pPr>
            <w:r>
              <w:rPr>
                <w:rFonts w:ascii="Calibri" w:hAnsi="Calibri"/>
                <w:color w:val="000000"/>
                <w:lang w:val="en-AU"/>
              </w:rPr>
              <w:t>Ms Cheyne</w:t>
            </w:r>
          </w:p>
        </w:tc>
        <w:tc>
          <w:tcPr>
            <w:tcW w:w="2340" w:type="dxa"/>
            <w:shd w:val="clear" w:color="auto" w:fill="auto"/>
          </w:tcPr>
          <w:p w:rsidR="004036FE" w:rsidRDefault="005B71DC" w:rsidP="005B71DC">
            <w:pPr>
              <w:ind w:left="-360" w:right="-35"/>
              <w:rPr>
                <w:rFonts w:ascii="Calibri" w:hAnsi="Calibri"/>
                <w:color w:val="000000"/>
                <w:lang w:val="en-AU"/>
              </w:rPr>
            </w:pPr>
            <w:r>
              <w:rPr>
                <w:rFonts w:ascii="Calibri" w:hAnsi="Calibri"/>
                <w:color w:val="000000"/>
                <w:lang w:val="en-AU"/>
              </w:rPr>
              <w:t>Mr Pettersson</w:t>
            </w:r>
          </w:p>
        </w:tc>
        <w:tc>
          <w:tcPr>
            <w:tcW w:w="796" w:type="dxa"/>
            <w:shd w:val="clear" w:color="auto" w:fill="auto"/>
          </w:tcPr>
          <w:p w:rsidR="004036FE" w:rsidRDefault="004036FE" w:rsidP="005B71DC">
            <w:pPr>
              <w:spacing w:before="120"/>
              <w:ind w:left="-360" w:right="-35"/>
              <w:rPr>
                <w:rFonts w:ascii="Calibri" w:hAnsi="Calibri"/>
                <w:color w:val="000000"/>
                <w:lang w:val="en-AU"/>
              </w:rPr>
            </w:pPr>
          </w:p>
        </w:tc>
        <w:tc>
          <w:tcPr>
            <w:tcW w:w="2174" w:type="dxa"/>
            <w:shd w:val="clear" w:color="auto" w:fill="auto"/>
          </w:tcPr>
          <w:p w:rsidR="004036FE" w:rsidRDefault="004036FE" w:rsidP="005B71DC">
            <w:pPr>
              <w:ind w:left="-616" w:right="-35"/>
              <w:rPr>
                <w:rFonts w:ascii="Calibri" w:hAnsi="Calibri"/>
                <w:color w:val="000000"/>
                <w:lang w:val="en-AU"/>
              </w:rPr>
            </w:pPr>
            <w:r>
              <w:rPr>
                <w:rFonts w:ascii="Calibri" w:hAnsi="Calibri"/>
                <w:color w:val="000000"/>
                <w:lang w:val="en-AU"/>
              </w:rPr>
              <w:t>Mr Milligan</w:t>
            </w:r>
          </w:p>
        </w:tc>
        <w:tc>
          <w:tcPr>
            <w:tcW w:w="1998" w:type="dxa"/>
            <w:shd w:val="clear" w:color="auto" w:fill="auto"/>
          </w:tcPr>
          <w:p w:rsidR="004036FE" w:rsidRDefault="004036FE" w:rsidP="005B71DC">
            <w:pPr>
              <w:spacing w:before="120"/>
              <w:ind w:left="-616" w:right="-35"/>
              <w:rPr>
                <w:rFonts w:ascii="Calibri" w:hAnsi="Calibri"/>
                <w:color w:val="000000"/>
                <w:lang w:val="en-AU"/>
              </w:rPr>
            </w:pPr>
          </w:p>
        </w:tc>
      </w:tr>
      <w:tr w:rsidR="004036FE" w:rsidTr="005B71DC">
        <w:trPr>
          <w:trHeight w:hRule="exact" w:val="312"/>
        </w:trPr>
        <w:tc>
          <w:tcPr>
            <w:tcW w:w="2520" w:type="dxa"/>
            <w:shd w:val="clear" w:color="auto" w:fill="auto"/>
          </w:tcPr>
          <w:p w:rsidR="004036FE" w:rsidRDefault="004036FE" w:rsidP="004036FE">
            <w:pPr>
              <w:ind w:right="-35"/>
              <w:rPr>
                <w:rFonts w:ascii="Calibri" w:hAnsi="Calibri"/>
                <w:color w:val="000000"/>
                <w:lang w:val="en-AU"/>
              </w:rPr>
            </w:pPr>
            <w:r>
              <w:rPr>
                <w:rFonts w:ascii="Calibri" w:hAnsi="Calibri"/>
                <w:color w:val="000000"/>
                <w:lang w:val="en-AU"/>
              </w:rPr>
              <w:t>Ms Clay</w:t>
            </w:r>
          </w:p>
        </w:tc>
        <w:tc>
          <w:tcPr>
            <w:tcW w:w="2340" w:type="dxa"/>
            <w:shd w:val="clear" w:color="auto" w:fill="auto"/>
          </w:tcPr>
          <w:p w:rsidR="004036FE" w:rsidRDefault="005B71DC" w:rsidP="005B71DC">
            <w:pPr>
              <w:ind w:left="-360" w:right="-35"/>
              <w:rPr>
                <w:rFonts w:ascii="Calibri" w:hAnsi="Calibri"/>
                <w:color w:val="000000"/>
                <w:lang w:val="en-AU"/>
              </w:rPr>
            </w:pPr>
            <w:r>
              <w:rPr>
                <w:rFonts w:ascii="Calibri" w:hAnsi="Calibri"/>
                <w:color w:val="000000"/>
                <w:lang w:val="en-AU"/>
              </w:rPr>
              <w:t>Mr Rattenbury</w:t>
            </w:r>
          </w:p>
        </w:tc>
        <w:tc>
          <w:tcPr>
            <w:tcW w:w="796" w:type="dxa"/>
            <w:shd w:val="clear" w:color="auto" w:fill="auto"/>
          </w:tcPr>
          <w:p w:rsidR="004036FE" w:rsidRDefault="004036FE" w:rsidP="005B71DC">
            <w:pPr>
              <w:spacing w:before="120"/>
              <w:ind w:left="-360" w:right="-35"/>
              <w:rPr>
                <w:rFonts w:ascii="Calibri" w:hAnsi="Calibri"/>
                <w:color w:val="000000"/>
                <w:lang w:val="en-AU"/>
              </w:rPr>
            </w:pPr>
          </w:p>
        </w:tc>
        <w:tc>
          <w:tcPr>
            <w:tcW w:w="2174" w:type="dxa"/>
            <w:shd w:val="clear" w:color="auto" w:fill="auto"/>
          </w:tcPr>
          <w:p w:rsidR="004036FE" w:rsidRDefault="004036FE" w:rsidP="005B71DC">
            <w:pPr>
              <w:ind w:left="-616" w:right="-35"/>
              <w:rPr>
                <w:rFonts w:ascii="Calibri" w:hAnsi="Calibri"/>
                <w:color w:val="000000"/>
                <w:lang w:val="en-AU"/>
              </w:rPr>
            </w:pPr>
            <w:r>
              <w:rPr>
                <w:rFonts w:ascii="Calibri" w:hAnsi="Calibri"/>
                <w:color w:val="000000"/>
                <w:lang w:val="en-AU"/>
              </w:rPr>
              <w:t>Mr Parton</w:t>
            </w:r>
          </w:p>
        </w:tc>
        <w:tc>
          <w:tcPr>
            <w:tcW w:w="1998" w:type="dxa"/>
            <w:shd w:val="clear" w:color="auto" w:fill="auto"/>
          </w:tcPr>
          <w:p w:rsidR="004036FE" w:rsidRDefault="004036FE" w:rsidP="005B71DC">
            <w:pPr>
              <w:spacing w:before="120"/>
              <w:ind w:left="-616" w:right="-35"/>
              <w:rPr>
                <w:rFonts w:ascii="Calibri" w:hAnsi="Calibri"/>
                <w:color w:val="000000"/>
                <w:lang w:val="en-AU"/>
              </w:rPr>
            </w:pPr>
          </w:p>
        </w:tc>
      </w:tr>
      <w:tr w:rsidR="004036FE" w:rsidTr="005B71DC">
        <w:trPr>
          <w:trHeight w:hRule="exact" w:val="312"/>
        </w:trPr>
        <w:tc>
          <w:tcPr>
            <w:tcW w:w="2520" w:type="dxa"/>
            <w:shd w:val="clear" w:color="auto" w:fill="auto"/>
          </w:tcPr>
          <w:p w:rsidR="004036FE" w:rsidRDefault="004036FE" w:rsidP="004036FE">
            <w:pPr>
              <w:ind w:right="-35"/>
              <w:rPr>
                <w:rFonts w:ascii="Calibri" w:hAnsi="Calibri"/>
                <w:color w:val="000000"/>
                <w:lang w:val="en-AU"/>
              </w:rPr>
            </w:pPr>
            <w:r>
              <w:rPr>
                <w:rFonts w:ascii="Calibri" w:hAnsi="Calibri"/>
                <w:color w:val="000000"/>
                <w:lang w:val="en-AU"/>
              </w:rPr>
              <w:t>Ms Davidson</w:t>
            </w:r>
          </w:p>
        </w:tc>
        <w:tc>
          <w:tcPr>
            <w:tcW w:w="2340" w:type="dxa"/>
            <w:shd w:val="clear" w:color="auto" w:fill="auto"/>
          </w:tcPr>
          <w:p w:rsidR="004036FE" w:rsidRDefault="005B71DC" w:rsidP="005B71DC">
            <w:pPr>
              <w:ind w:left="-360" w:right="-35"/>
              <w:rPr>
                <w:rFonts w:ascii="Calibri" w:hAnsi="Calibri"/>
                <w:color w:val="000000"/>
                <w:lang w:val="en-AU"/>
              </w:rPr>
            </w:pPr>
            <w:r>
              <w:rPr>
                <w:rFonts w:ascii="Calibri" w:hAnsi="Calibri"/>
                <w:color w:val="000000"/>
                <w:lang w:val="en-AU"/>
              </w:rPr>
              <w:t>Ms Stephen-Smith</w:t>
            </w:r>
          </w:p>
        </w:tc>
        <w:tc>
          <w:tcPr>
            <w:tcW w:w="796" w:type="dxa"/>
            <w:shd w:val="clear" w:color="auto" w:fill="auto"/>
          </w:tcPr>
          <w:p w:rsidR="004036FE" w:rsidRDefault="004036FE" w:rsidP="005B71DC">
            <w:pPr>
              <w:ind w:left="-360" w:right="-35"/>
              <w:rPr>
                <w:rFonts w:ascii="Calibri" w:hAnsi="Calibri"/>
                <w:color w:val="000000"/>
                <w:lang w:val="en-AU"/>
              </w:rPr>
            </w:pPr>
          </w:p>
        </w:tc>
        <w:tc>
          <w:tcPr>
            <w:tcW w:w="2174" w:type="dxa"/>
            <w:shd w:val="clear" w:color="auto" w:fill="auto"/>
          </w:tcPr>
          <w:p w:rsidR="004036FE" w:rsidRDefault="004036FE" w:rsidP="005B71DC">
            <w:pPr>
              <w:ind w:left="-616" w:right="-35"/>
              <w:rPr>
                <w:rFonts w:ascii="Calibri" w:hAnsi="Calibri"/>
                <w:color w:val="000000"/>
                <w:lang w:val="en-AU"/>
              </w:rPr>
            </w:pPr>
          </w:p>
        </w:tc>
        <w:tc>
          <w:tcPr>
            <w:tcW w:w="1998" w:type="dxa"/>
            <w:shd w:val="clear" w:color="auto" w:fill="auto"/>
          </w:tcPr>
          <w:p w:rsidR="004036FE" w:rsidRDefault="004036FE" w:rsidP="005B71DC">
            <w:pPr>
              <w:spacing w:before="120"/>
              <w:ind w:left="-616" w:right="-35"/>
              <w:rPr>
                <w:rFonts w:ascii="Calibri" w:hAnsi="Calibri"/>
                <w:color w:val="000000"/>
                <w:lang w:val="en-AU"/>
              </w:rPr>
            </w:pPr>
          </w:p>
        </w:tc>
      </w:tr>
    </w:tbl>
    <w:p w:rsidR="004036FE" w:rsidRDefault="004036FE" w:rsidP="004036FE">
      <w:pPr>
        <w:spacing w:before="120"/>
        <w:ind w:left="720" w:right="-35"/>
        <w:rPr>
          <w:rFonts w:ascii="Calibri" w:hAnsi="Calibri"/>
          <w:color w:val="000000"/>
          <w:lang w:val="en-AU"/>
        </w:rPr>
      </w:pPr>
      <w:r>
        <w:rPr>
          <w:rFonts w:ascii="Calibri" w:hAnsi="Calibri"/>
          <w:color w:val="000000"/>
          <w:lang w:val="en-AU"/>
        </w:rPr>
        <w:t>And so it was resolved in the affirmative.</w:t>
      </w:r>
    </w:p>
    <w:p w:rsidR="00D65B10" w:rsidRDefault="007A2DDA" w:rsidP="007A2DDA">
      <w:pPr>
        <w:spacing w:before="120"/>
        <w:ind w:left="720"/>
        <w:rPr>
          <w:rFonts w:ascii="Calibri" w:hAnsi="Calibri"/>
          <w:color w:val="000000"/>
          <w:lang w:val="en-AU"/>
        </w:rPr>
      </w:pPr>
      <w:r w:rsidRPr="007A2DDA">
        <w:rPr>
          <w:rFonts w:ascii="Calibri" w:hAnsi="Calibri"/>
          <w:color w:val="000000"/>
          <w:lang w:val="en-AU"/>
        </w:rPr>
        <w:t>Question—</w:t>
      </w:r>
      <w:r w:rsidR="00D65B10">
        <w:rPr>
          <w:rFonts w:ascii="Calibri" w:hAnsi="Calibri"/>
          <w:color w:val="000000"/>
          <w:lang w:val="en-AU"/>
        </w:rPr>
        <w:t>That the motion, as amended, viz:</w:t>
      </w:r>
    </w:p>
    <w:p w:rsidR="00D65B10" w:rsidRDefault="002777E5" w:rsidP="007A2DDA">
      <w:pPr>
        <w:spacing w:before="120"/>
        <w:ind w:left="720"/>
        <w:rPr>
          <w:rFonts w:ascii="Calibri" w:hAnsi="Calibri"/>
          <w:color w:val="000000"/>
          <w:lang w:val="en-AU"/>
        </w:rPr>
      </w:pPr>
      <w:r>
        <w:rPr>
          <w:rFonts w:ascii="Calibri" w:hAnsi="Calibri"/>
          <w:color w:val="000000"/>
          <w:lang w:val="en-AU"/>
        </w:rPr>
        <w:t>“</w:t>
      </w:r>
      <w:r w:rsidR="00D65B10">
        <w:rPr>
          <w:rFonts w:ascii="Calibri" w:hAnsi="Calibri"/>
          <w:color w:val="000000"/>
          <w:lang w:val="en-AU"/>
        </w:rPr>
        <w:t>That this Assembly:</w:t>
      </w:r>
    </w:p>
    <w:p w:rsidR="006E2CF1" w:rsidRDefault="006E2CF1" w:rsidP="006E2CF1">
      <w:pPr>
        <w:pStyle w:val="DPSEntryIndentsLev1"/>
      </w:pPr>
      <w:r>
        <w:t>notes:</w:t>
      </w:r>
    </w:p>
    <w:p w:rsidR="006E2CF1" w:rsidRDefault="006E2CF1" w:rsidP="006E2CF1">
      <w:pPr>
        <w:pStyle w:val="DPSEntryIndents"/>
        <w:numPr>
          <w:ilvl w:val="1"/>
          <w:numId w:val="29"/>
        </w:numPr>
      </w:pPr>
      <w:r>
        <w:t>mandated minimum Nurse/Midwife-to-Patient Ratios is a process of organising patient care with a mandated number of nurses and midwives every shift;</w:t>
      </w:r>
    </w:p>
    <w:p w:rsidR="006E2CF1" w:rsidRDefault="006E2CF1" w:rsidP="006E2CF1">
      <w:pPr>
        <w:pStyle w:val="DPSEntryIndents"/>
        <w:numPr>
          <w:ilvl w:val="1"/>
          <w:numId w:val="3"/>
        </w:numPr>
      </w:pPr>
      <w:r>
        <w:t>implementation of phase one of ratios commenced on 1 February 2022 at Canberra Hospital and Calvary Public Hospital Bruce following approval of the ACT Public Sector Nursing and Midwifery Enterprise Agreement 2020</w:t>
      </w:r>
      <w:r w:rsidR="00AD58F7">
        <w:noBreakHyphen/>
      </w:r>
      <w:r>
        <w:t xml:space="preserve">2022 by the Fair Work Commission; </w:t>
      </w:r>
    </w:p>
    <w:p w:rsidR="006E2CF1" w:rsidRDefault="006E2CF1" w:rsidP="006E2CF1">
      <w:pPr>
        <w:pStyle w:val="DPSEntryIndents"/>
        <w:numPr>
          <w:ilvl w:val="1"/>
          <w:numId w:val="3"/>
        </w:numPr>
      </w:pPr>
      <w:r>
        <w:t>an amnesty period was agreed between the ACT Government and the Australian Nursing and Midwifery Federation until 30 June 2022 to allow time for implementation of ratios in both health services;</w:t>
      </w:r>
    </w:p>
    <w:p w:rsidR="006E2CF1" w:rsidRDefault="006E2CF1" w:rsidP="006E2CF1">
      <w:pPr>
        <w:pStyle w:val="DPSEntryIndents"/>
        <w:numPr>
          <w:ilvl w:val="1"/>
          <w:numId w:val="3"/>
        </w:numPr>
      </w:pPr>
      <w:r>
        <w:t>ratios are currently being implemented in phase one across acute aged care, general medical, general surgical and adult mental health units with three key compliance measures:</w:t>
      </w:r>
    </w:p>
    <w:p w:rsidR="006E2CF1" w:rsidRDefault="006E2CF1" w:rsidP="0068365B">
      <w:pPr>
        <w:pStyle w:val="DPSEntryIndents"/>
        <w:keepNext/>
        <w:numPr>
          <w:ilvl w:val="2"/>
          <w:numId w:val="3"/>
        </w:numPr>
      </w:pPr>
      <w:r>
        <w:t>a supernumerary team leader on the morning and afternoon shifts;</w:t>
      </w:r>
    </w:p>
    <w:p w:rsidR="006E2CF1" w:rsidRDefault="006E2CF1" w:rsidP="006E2CF1">
      <w:pPr>
        <w:pStyle w:val="DPSEntryIndents"/>
        <w:numPr>
          <w:ilvl w:val="2"/>
          <w:numId w:val="3"/>
        </w:numPr>
      </w:pPr>
      <w:r>
        <w:t>the appropriate ratio for each shift which is dependent on the unit type, level of care being provided within that unit and the shift; and</w:t>
      </w:r>
    </w:p>
    <w:p w:rsidR="006E2CF1" w:rsidRPr="00A105F1" w:rsidRDefault="006E2CF1" w:rsidP="006E2CF1">
      <w:pPr>
        <w:pStyle w:val="DPSEntryIndents"/>
        <w:numPr>
          <w:ilvl w:val="2"/>
          <w:numId w:val="3"/>
        </w:numPr>
        <w:rPr>
          <w:bCs/>
        </w:rPr>
      </w:pPr>
      <w:r>
        <w:t>skill mix of no more than 25 percent Enrolled Nurses to 75 percent Registered Nurses.</w:t>
      </w:r>
    </w:p>
    <w:p w:rsidR="006E2CF1" w:rsidRPr="00BD50A4" w:rsidRDefault="006E2CF1" w:rsidP="006E2CF1">
      <w:pPr>
        <w:pStyle w:val="DPSEntryIndentsLev1"/>
      </w:pPr>
      <w:r>
        <w:t>further notes:</w:t>
      </w:r>
    </w:p>
    <w:p w:rsidR="006E2CF1" w:rsidRDefault="006E2CF1" w:rsidP="006E2CF1">
      <w:pPr>
        <w:pStyle w:val="DPSEntryIndents"/>
        <w:numPr>
          <w:ilvl w:val="1"/>
          <w:numId w:val="30"/>
        </w:numPr>
      </w:pPr>
      <w:r w:rsidRPr="000F006B">
        <w:t>the ACT is</w:t>
      </w:r>
      <w:r>
        <w:t xml:space="preserve"> just</w:t>
      </w:r>
      <w:r w:rsidRPr="000F006B">
        <w:t xml:space="preserve"> the third jurisdiction in Australia to implement ratios;</w:t>
      </w:r>
    </w:p>
    <w:p w:rsidR="006E2CF1" w:rsidRDefault="006E2CF1" w:rsidP="006E2CF1">
      <w:pPr>
        <w:pStyle w:val="DPSEntryIndents"/>
        <w:numPr>
          <w:ilvl w:val="1"/>
          <w:numId w:val="3"/>
        </w:numPr>
      </w:pPr>
      <w:r>
        <w:t>the Canberra Liberals did not commit to the implementation of ratios at the 2020 ACT Election unlike ACT Labor and the ACT Greens;</w:t>
      </w:r>
    </w:p>
    <w:p w:rsidR="006E2CF1" w:rsidRDefault="006E2CF1" w:rsidP="006E2CF1">
      <w:pPr>
        <w:pStyle w:val="DPSEntryIndents"/>
        <w:numPr>
          <w:ilvl w:val="1"/>
          <w:numId w:val="3"/>
        </w:numPr>
      </w:pPr>
      <w:r>
        <w:t>in the 2021-22 ACT Budget the ACT Government committed over $50</w:t>
      </w:r>
      <w:r w:rsidR="00AD58F7">
        <w:t> </w:t>
      </w:r>
      <w:r>
        <w:t>million to implement phase one of ratios, which has supported the recruitment of 90 full-time equivalent nurses;</w:t>
      </w:r>
      <w:r w:rsidR="00D25B34">
        <w:t xml:space="preserve"> and</w:t>
      </w:r>
    </w:p>
    <w:p w:rsidR="006E2CF1" w:rsidRPr="000F006B" w:rsidRDefault="006E2CF1" w:rsidP="006E2CF1">
      <w:pPr>
        <w:pStyle w:val="DPSEntryIndents"/>
        <w:numPr>
          <w:ilvl w:val="1"/>
          <w:numId w:val="3"/>
        </w:numPr>
      </w:pPr>
      <w:r>
        <w:t>there is a recognised international shortage of nurses and other health professionals that is placing</w:t>
      </w:r>
      <w:r w:rsidR="00D25B34">
        <w:t xml:space="preserve"> pressure on all health systems; and</w:t>
      </w:r>
    </w:p>
    <w:p w:rsidR="006E2CF1" w:rsidRPr="00BD50A4" w:rsidRDefault="006E2CF1" w:rsidP="006E2CF1">
      <w:pPr>
        <w:pStyle w:val="DPSEntryIndentsLev1"/>
      </w:pPr>
      <w:r>
        <w:t>calls on the ACT Government to:</w:t>
      </w:r>
    </w:p>
    <w:p w:rsidR="006E2CF1" w:rsidRPr="00D56551" w:rsidRDefault="006E2CF1" w:rsidP="006E2CF1">
      <w:pPr>
        <w:pStyle w:val="DPSEntryIndents"/>
        <w:numPr>
          <w:ilvl w:val="1"/>
          <w:numId w:val="31"/>
        </w:numPr>
      </w:pPr>
      <w:r>
        <w:t>continue planning for ratios compliance to be publicly reported by health service and compliance measure each month;</w:t>
      </w:r>
    </w:p>
    <w:p w:rsidR="006E2CF1" w:rsidRDefault="006E2CF1" w:rsidP="006E2CF1">
      <w:pPr>
        <w:pStyle w:val="DPSEntryIndents"/>
        <w:numPr>
          <w:ilvl w:val="1"/>
          <w:numId w:val="3"/>
        </w:numPr>
      </w:pPr>
      <w:r>
        <w:t>continue to work with the Australian Nursing and Midwifery Federation to implement and manage phase one of ratios across Canberra Hospital and Calvary Public Hospital Bruce;</w:t>
      </w:r>
      <w:r w:rsidRPr="005D2365">
        <w:t xml:space="preserve"> </w:t>
      </w:r>
    </w:p>
    <w:p w:rsidR="006E2CF1" w:rsidRDefault="006E2CF1" w:rsidP="006E2CF1">
      <w:pPr>
        <w:pStyle w:val="DPSEntryIndents"/>
        <w:numPr>
          <w:ilvl w:val="1"/>
          <w:numId w:val="3"/>
        </w:numPr>
      </w:pPr>
      <w:r>
        <w:t>continue to work with the Australian Nursing and Midwifery Federation to negotiate the implementation, management and review of the next phase of ratios through the ACT Public Sector Nursing and Midwifery Enterprise Agreement;</w:t>
      </w:r>
      <w:r w:rsidR="00D25B34">
        <w:t xml:space="preserve"> and</w:t>
      </w:r>
    </w:p>
    <w:p w:rsidR="00D65B10" w:rsidRPr="006E2CF1" w:rsidRDefault="006E2CF1" w:rsidP="006E2CF1">
      <w:pPr>
        <w:pStyle w:val="DPSEntryIndents"/>
        <w:numPr>
          <w:ilvl w:val="1"/>
          <w:numId w:val="3"/>
        </w:numPr>
        <w:rPr>
          <w:color w:val="000000"/>
        </w:rPr>
      </w:pPr>
      <w:r>
        <w:t>continue to progress work on the Territory-Wide Health Workforce Plan to support a sustainable health workforce in the ACT.</w:t>
      </w:r>
      <w:r w:rsidR="002777E5">
        <w:t>”</w:t>
      </w:r>
      <w:r>
        <w:t>—</w:t>
      </w:r>
    </w:p>
    <w:p w:rsidR="007A2DDA" w:rsidRPr="007A2DDA" w:rsidRDefault="00571087" w:rsidP="007A2DDA">
      <w:pPr>
        <w:spacing w:before="120"/>
        <w:ind w:left="720"/>
        <w:rPr>
          <w:rFonts w:ascii="Calibri" w:hAnsi="Calibri"/>
          <w:color w:val="000000"/>
          <w:lang w:val="en-AU"/>
        </w:rPr>
      </w:pPr>
      <w:r>
        <w:rPr>
          <w:rFonts w:ascii="Calibri" w:hAnsi="Calibri"/>
          <w:color w:val="000000"/>
          <w:lang w:val="en-AU"/>
        </w:rPr>
        <w:t>be agreed to—</w:t>
      </w:r>
      <w:r w:rsidR="007A2DDA" w:rsidRPr="007A2DDA">
        <w:rPr>
          <w:rFonts w:ascii="Calibri" w:hAnsi="Calibri"/>
          <w:color w:val="000000"/>
          <w:lang w:val="en-AU"/>
        </w:rPr>
        <w:t>put and passed.</w:t>
      </w:r>
    </w:p>
    <w:p w:rsidR="005C69C3" w:rsidRPr="005C69C3" w:rsidRDefault="005C69C3" w:rsidP="005C69C3">
      <w:pPr>
        <w:keepNext/>
        <w:keepLines/>
        <w:tabs>
          <w:tab w:val="right" w:pos="339"/>
          <w:tab w:val="left" w:pos="720"/>
        </w:tabs>
        <w:spacing w:before="240"/>
        <w:ind w:left="720" w:hanging="720"/>
        <w:rPr>
          <w:rFonts w:ascii="Calibri" w:hAnsi="Calibri"/>
          <w:b/>
          <w:caps/>
          <w:lang w:val="en-AU"/>
        </w:rPr>
      </w:pPr>
      <w:r w:rsidRPr="005C69C3">
        <w:rPr>
          <w:rFonts w:ascii="Calibri" w:hAnsi="Calibri"/>
          <w:b/>
          <w:caps/>
          <w:lang w:val="en-AU"/>
        </w:rPr>
        <w:tab/>
      </w:r>
      <w:r w:rsidR="00BF478F">
        <w:rPr>
          <w:rFonts w:ascii="Calibri" w:hAnsi="Calibri"/>
          <w:b/>
          <w:bCs/>
          <w:caps/>
          <w:lang w:val="en-AU"/>
        </w:rPr>
        <w:fldChar w:fldCharType="begin"/>
      </w:r>
      <w:r w:rsidR="00BF478F">
        <w:rPr>
          <w:rFonts w:ascii="Calibri" w:hAnsi="Calibri"/>
          <w:b/>
          <w:bCs/>
          <w:caps/>
          <w:lang w:val="en-AU"/>
        </w:rPr>
        <w:instrText xml:space="preserve"> SEQ A \* MERGEFORMAT </w:instrText>
      </w:r>
      <w:r w:rsidR="00BF478F">
        <w:rPr>
          <w:rFonts w:ascii="Calibri" w:hAnsi="Calibri"/>
          <w:b/>
          <w:bCs/>
          <w:caps/>
          <w:lang w:val="en-AU"/>
        </w:rPr>
        <w:fldChar w:fldCharType="separate"/>
      </w:r>
      <w:r w:rsidR="00C4170D">
        <w:rPr>
          <w:rFonts w:ascii="Calibri" w:hAnsi="Calibri"/>
          <w:b/>
          <w:bCs/>
          <w:caps/>
          <w:noProof/>
          <w:lang w:val="en-AU"/>
        </w:rPr>
        <w:t>14</w:t>
      </w:r>
      <w:r w:rsidR="00BF478F">
        <w:rPr>
          <w:rFonts w:ascii="Calibri" w:hAnsi="Calibri"/>
          <w:b/>
          <w:bCs/>
          <w:caps/>
          <w:lang w:val="en-AU"/>
        </w:rPr>
        <w:fldChar w:fldCharType="end"/>
      </w:r>
      <w:r w:rsidRPr="005C69C3">
        <w:rPr>
          <w:rFonts w:ascii="Calibri" w:hAnsi="Calibri"/>
          <w:b/>
          <w:caps/>
          <w:lang w:val="en-AU"/>
        </w:rPr>
        <w:tab/>
      </w:r>
      <w:r>
        <w:rPr>
          <w:rFonts w:ascii="Calibri" w:hAnsi="Calibri"/>
          <w:b/>
          <w:caps/>
          <w:lang w:val="en-AU"/>
        </w:rPr>
        <w:t>Wood heater replacement program</w:t>
      </w:r>
    </w:p>
    <w:p w:rsidR="005C69C3" w:rsidRPr="005C69C3" w:rsidRDefault="005C69C3" w:rsidP="005C69C3">
      <w:pPr>
        <w:spacing w:before="120"/>
        <w:ind w:left="720"/>
        <w:rPr>
          <w:rFonts w:ascii="Calibri" w:hAnsi="Calibri"/>
          <w:color w:val="000000"/>
          <w:lang w:val="en-AU"/>
        </w:rPr>
      </w:pPr>
      <w:r>
        <w:rPr>
          <w:rFonts w:ascii="Calibri" w:hAnsi="Calibri"/>
          <w:color w:val="000000"/>
          <w:lang w:val="en-AU"/>
        </w:rPr>
        <w:t>Mr Davis</w:t>
      </w:r>
      <w:r w:rsidRPr="005C69C3">
        <w:rPr>
          <w:rFonts w:ascii="Calibri" w:hAnsi="Calibri"/>
          <w:color w:val="000000"/>
          <w:lang w:val="en-AU"/>
        </w:rPr>
        <w:t>, pursuant to notice, moved—That this Assembly:</w:t>
      </w:r>
    </w:p>
    <w:p w:rsidR="005C69C3" w:rsidRPr="009166A1" w:rsidRDefault="005C69C3" w:rsidP="005C69C3">
      <w:pPr>
        <w:pStyle w:val="DPSEntryIndents"/>
        <w:numPr>
          <w:ilvl w:val="0"/>
          <w:numId w:val="17"/>
        </w:numPr>
        <w:rPr>
          <w:lang w:eastAsia="en-US"/>
        </w:rPr>
      </w:pPr>
      <w:r w:rsidRPr="009166A1">
        <w:rPr>
          <w:lang w:eastAsia="en-US"/>
        </w:rPr>
        <w:t>notes that:</w:t>
      </w:r>
    </w:p>
    <w:p w:rsidR="005C69C3" w:rsidRPr="009166A1" w:rsidRDefault="005C69C3" w:rsidP="005C69C3">
      <w:pPr>
        <w:pStyle w:val="DPSEntryIndents"/>
        <w:numPr>
          <w:ilvl w:val="1"/>
          <w:numId w:val="3"/>
        </w:numPr>
        <w:rPr>
          <w:lang w:eastAsia="en-US"/>
        </w:rPr>
      </w:pPr>
      <w:r w:rsidRPr="009166A1">
        <w:rPr>
          <w:lang w:eastAsia="en-US"/>
        </w:rPr>
        <w:t>Canberrans deserve to take pride in our clean air. Clean air is a universal right;</w:t>
      </w:r>
    </w:p>
    <w:p w:rsidR="005C69C3" w:rsidRPr="009166A1" w:rsidRDefault="005C69C3" w:rsidP="005C69C3">
      <w:pPr>
        <w:pStyle w:val="DPSEntryIndents"/>
        <w:numPr>
          <w:ilvl w:val="1"/>
          <w:numId w:val="3"/>
        </w:numPr>
        <w:rPr>
          <w:lang w:eastAsia="en-US"/>
        </w:rPr>
      </w:pPr>
      <w:r w:rsidRPr="009166A1">
        <w:rPr>
          <w:lang w:eastAsia="en-US"/>
        </w:rPr>
        <w:t>as shown by the ACT Air Quality Report, air quality in the ACT is generally excellent compared with other Australian cities and is considered clean by world standards;</w:t>
      </w:r>
    </w:p>
    <w:p w:rsidR="005C69C3" w:rsidRPr="009166A1" w:rsidRDefault="005C69C3" w:rsidP="005C69C3">
      <w:pPr>
        <w:pStyle w:val="DPSEntryIndents"/>
        <w:numPr>
          <w:ilvl w:val="1"/>
          <w:numId w:val="3"/>
        </w:numPr>
        <w:rPr>
          <w:lang w:eastAsia="en-US"/>
        </w:rPr>
      </w:pPr>
      <w:r w:rsidRPr="009166A1">
        <w:rPr>
          <w:lang w:eastAsia="en-US"/>
        </w:rPr>
        <w:t>air quality standards should be as rigorous as possible, recognising that some pollutants such as PM2.5 have no known safe level; </w:t>
      </w:r>
    </w:p>
    <w:p w:rsidR="005C69C3" w:rsidRPr="009166A1" w:rsidRDefault="005C69C3" w:rsidP="0068365B">
      <w:pPr>
        <w:pStyle w:val="DPSEntryIndents"/>
        <w:keepLines/>
        <w:numPr>
          <w:ilvl w:val="1"/>
          <w:numId w:val="3"/>
        </w:numPr>
        <w:rPr>
          <w:lang w:eastAsia="en-US"/>
        </w:rPr>
      </w:pPr>
      <w:r w:rsidRPr="009166A1">
        <w:rPr>
          <w:lang w:eastAsia="en-US"/>
        </w:rPr>
        <w:t>wood heaters generate a complex mixture of particles and gasses, such as carbon dioxide, carbon monoxide, nitrogen oxides, organic compounds and organic matter. These pollutants are both damaging to human health and the environment, but of these pollutants it is PM2.5 that has the greatest health impacts; </w:t>
      </w:r>
    </w:p>
    <w:p w:rsidR="005C69C3" w:rsidRPr="009166A1" w:rsidRDefault="005C69C3" w:rsidP="005C69C3">
      <w:pPr>
        <w:pStyle w:val="DPSEntryIndents"/>
        <w:numPr>
          <w:ilvl w:val="1"/>
          <w:numId w:val="3"/>
        </w:numPr>
        <w:rPr>
          <w:lang w:eastAsia="en-US"/>
        </w:rPr>
      </w:pPr>
      <w:r w:rsidRPr="009166A1">
        <w:rPr>
          <w:lang w:eastAsia="en-US"/>
        </w:rPr>
        <w:t>although the number of Canberra households with wood heating is relatively small, these heating sources are largely responsible for increased PM2.5 pollution during the winter months;</w:t>
      </w:r>
    </w:p>
    <w:p w:rsidR="005C69C3" w:rsidRPr="009166A1" w:rsidRDefault="005C69C3" w:rsidP="005C69C3">
      <w:pPr>
        <w:pStyle w:val="DPSEntryIndents"/>
        <w:numPr>
          <w:ilvl w:val="1"/>
          <w:numId w:val="3"/>
        </w:numPr>
        <w:rPr>
          <w:lang w:eastAsia="en-US"/>
        </w:rPr>
      </w:pPr>
      <w:r w:rsidRPr="009166A1">
        <w:rPr>
          <w:lang w:eastAsia="en-US"/>
        </w:rPr>
        <w:t>Tuggeranong Valley is among the three valleys worst affected by pollution from wood heater smoke in Australia, due to the topography, cold weather inversions during winter, and as demonstrated by continued PM2.5 monitoring;</w:t>
      </w:r>
    </w:p>
    <w:p w:rsidR="005C69C3" w:rsidRPr="009166A1" w:rsidRDefault="005C69C3" w:rsidP="005C69C3">
      <w:pPr>
        <w:pStyle w:val="DPSEntryIndents"/>
        <w:numPr>
          <w:ilvl w:val="1"/>
          <w:numId w:val="3"/>
        </w:numPr>
        <w:rPr>
          <w:lang w:eastAsia="en-US"/>
        </w:rPr>
      </w:pPr>
      <w:r w:rsidRPr="009166A1">
        <w:rPr>
          <w:lang w:eastAsia="en-US"/>
        </w:rPr>
        <w:t>by the ACT Government</w:t>
      </w:r>
      <w:r w:rsidR="002777E5">
        <w:rPr>
          <w:lang w:eastAsia="en-US"/>
        </w:rPr>
        <w:t>’</w:t>
      </w:r>
      <w:r w:rsidRPr="009166A1">
        <w:rPr>
          <w:lang w:eastAsia="en-US"/>
        </w:rPr>
        <w:t>s most recent ACT Air Quality Report, the air quality sensor in Monash recorded 37 days that exceeded safe levels of PM2.5 in 2020, 13 of which were attributable to domestic wood heater emissions between May and August;</w:t>
      </w:r>
    </w:p>
    <w:p w:rsidR="005C69C3" w:rsidRPr="009166A1" w:rsidRDefault="005C69C3" w:rsidP="005C69C3">
      <w:pPr>
        <w:pStyle w:val="DPSEntryIndents"/>
        <w:numPr>
          <w:ilvl w:val="1"/>
          <w:numId w:val="3"/>
        </w:numPr>
        <w:rPr>
          <w:lang w:eastAsia="en-US"/>
        </w:rPr>
      </w:pPr>
      <w:r w:rsidRPr="009166A1">
        <w:rPr>
          <w:lang w:eastAsia="en-US"/>
        </w:rPr>
        <w:t>in 2019, only two such days were attributable to domestic wood heater emissions; and</w:t>
      </w:r>
    </w:p>
    <w:p w:rsidR="005C69C3" w:rsidRPr="009166A1" w:rsidRDefault="005C69C3" w:rsidP="005C69C3">
      <w:pPr>
        <w:pStyle w:val="DPSEntryIndents"/>
        <w:numPr>
          <w:ilvl w:val="1"/>
          <w:numId w:val="3"/>
        </w:numPr>
        <w:rPr>
          <w:lang w:eastAsia="en-US"/>
        </w:rPr>
      </w:pPr>
      <w:r w:rsidRPr="009166A1">
        <w:rPr>
          <w:lang w:eastAsia="en-US"/>
        </w:rPr>
        <w:t>higher levels of PM2.5 during winter suggest that Canberrans have been staying home and using wood heaters more since the start of the COVID-19 pandemic;</w:t>
      </w:r>
    </w:p>
    <w:p w:rsidR="005C69C3" w:rsidRPr="009166A1" w:rsidRDefault="005C69C3" w:rsidP="005C69C3">
      <w:pPr>
        <w:pStyle w:val="DPSEntryIndents"/>
        <w:rPr>
          <w:lang w:eastAsia="en-US"/>
        </w:rPr>
      </w:pPr>
      <w:r w:rsidRPr="009166A1">
        <w:rPr>
          <w:lang w:eastAsia="en-US"/>
        </w:rPr>
        <w:t>acknowledges the work that the ACT Government is doing, including: </w:t>
      </w:r>
    </w:p>
    <w:p w:rsidR="005C69C3" w:rsidRPr="009166A1" w:rsidRDefault="005C69C3" w:rsidP="005C69C3">
      <w:pPr>
        <w:pStyle w:val="DPSEntryIndents"/>
        <w:numPr>
          <w:ilvl w:val="1"/>
          <w:numId w:val="3"/>
        </w:numPr>
        <w:rPr>
          <w:lang w:eastAsia="en-US"/>
        </w:rPr>
      </w:pPr>
      <w:r w:rsidRPr="009166A1">
        <w:rPr>
          <w:lang w:eastAsia="en-US"/>
        </w:rPr>
        <w:t>releasing, in November 2021, the Bushfire Smoke and Air Quality Strategy 2021-2025 – a whole of government approach to prevent, prepare for, respond to, and recover from significant bushfire smoke events and better manage smoke from wood heaters;</w:t>
      </w:r>
    </w:p>
    <w:p w:rsidR="005C69C3" w:rsidRPr="009166A1" w:rsidRDefault="005C69C3" w:rsidP="005C69C3">
      <w:pPr>
        <w:pStyle w:val="DPSEntryIndents"/>
        <w:numPr>
          <w:ilvl w:val="1"/>
          <w:numId w:val="3"/>
        </w:numPr>
        <w:rPr>
          <w:lang w:eastAsia="en-US"/>
        </w:rPr>
      </w:pPr>
      <w:r w:rsidRPr="009166A1">
        <w:rPr>
          <w:lang w:eastAsia="en-US"/>
        </w:rPr>
        <w:t>that the first Action Plan outlines the ACT Government</w:t>
      </w:r>
      <w:r w:rsidR="002777E5">
        <w:rPr>
          <w:lang w:eastAsia="en-US"/>
        </w:rPr>
        <w:t>’</w:t>
      </w:r>
      <w:r w:rsidRPr="009166A1">
        <w:rPr>
          <w:lang w:eastAsia="en-US"/>
        </w:rPr>
        <w:t>s commitment to review and improve the Wood Heater Replacement Strategy, to strengthen wood heater emissions standards for wood heaters, and to phase out older, polluting wood heaters that do not meet the standards;</w:t>
      </w:r>
    </w:p>
    <w:p w:rsidR="005C69C3" w:rsidRPr="009166A1" w:rsidRDefault="005C69C3" w:rsidP="005C69C3">
      <w:pPr>
        <w:pStyle w:val="DPSEntryIndents"/>
        <w:numPr>
          <w:ilvl w:val="1"/>
          <w:numId w:val="3"/>
        </w:numPr>
        <w:rPr>
          <w:lang w:eastAsia="en-US"/>
        </w:rPr>
      </w:pPr>
      <w:r w:rsidRPr="009166A1">
        <w:rPr>
          <w:lang w:eastAsia="en-US"/>
        </w:rPr>
        <w:t>the ACT Government</w:t>
      </w:r>
      <w:r w:rsidR="002777E5">
        <w:rPr>
          <w:lang w:eastAsia="en-US"/>
        </w:rPr>
        <w:t>’</w:t>
      </w:r>
      <w:r w:rsidRPr="009166A1">
        <w:rPr>
          <w:lang w:eastAsia="en-US"/>
        </w:rPr>
        <w:t>s Wood Heater Replacement Strategy, which commenced in 2004 and offers financial incentives to encourage removal of wood heaters from Canberra homes; and</w:t>
      </w:r>
    </w:p>
    <w:p w:rsidR="005C69C3" w:rsidRPr="009166A1" w:rsidRDefault="005C69C3" w:rsidP="005C69C3">
      <w:pPr>
        <w:pStyle w:val="DPSEntryIndents"/>
        <w:numPr>
          <w:ilvl w:val="1"/>
          <w:numId w:val="3"/>
        </w:numPr>
        <w:rPr>
          <w:lang w:eastAsia="en-US"/>
        </w:rPr>
      </w:pPr>
      <w:r w:rsidRPr="009166A1">
        <w:rPr>
          <w:lang w:eastAsia="en-US"/>
        </w:rPr>
        <w:t>the ACT Government</w:t>
      </w:r>
      <w:r w:rsidR="002777E5">
        <w:rPr>
          <w:lang w:eastAsia="en-US"/>
        </w:rPr>
        <w:t>’</w:t>
      </w:r>
      <w:r w:rsidRPr="009166A1">
        <w:rPr>
          <w:lang w:eastAsia="en-US"/>
        </w:rPr>
        <w:t>s 2021 Sustainable Household Scheme, which complements the Replacement Strategy with zero-interest loans for household emissions reductions;</w:t>
      </w:r>
    </w:p>
    <w:p w:rsidR="005C69C3" w:rsidRPr="009166A1" w:rsidRDefault="005C69C3" w:rsidP="005C69C3">
      <w:pPr>
        <w:pStyle w:val="DPSEntryIndents"/>
        <w:rPr>
          <w:lang w:eastAsia="en-US"/>
        </w:rPr>
      </w:pPr>
      <w:r w:rsidRPr="009166A1">
        <w:rPr>
          <w:lang w:eastAsia="en-US"/>
        </w:rPr>
        <w:t>further notes that: </w:t>
      </w:r>
    </w:p>
    <w:p w:rsidR="005C69C3" w:rsidRPr="009166A1" w:rsidRDefault="005C69C3" w:rsidP="005C69C3">
      <w:pPr>
        <w:pStyle w:val="DPSEntryIndents"/>
        <w:numPr>
          <w:ilvl w:val="1"/>
          <w:numId w:val="3"/>
        </w:numPr>
        <w:rPr>
          <w:lang w:eastAsia="en-US"/>
        </w:rPr>
      </w:pPr>
      <w:r w:rsidRPr="009166A1">
        <w:rPr>
          <w:lang w:eastAsia="en-US"/>
        </w:rPr>
        <w:t>low-income households can face challenges in being able to access rebate schemes to replace heaters with energy efficient split systems if it involves an out-of-pocket cost;</w:t>
      </w:r>
    </w:p>
    <w:p w:rsidR="005C69C3" w:rsidRPr="009166A1" w:rsidRDefault="005C69C3" w:rsidP="008D6D63">
      <w:pPr>
        <w:pStyle w:val="DPSEntryIndents"/>
        <w:numPr>
          <w:ilvl w:val="1"/>
          <w:numId w:val="3"/>
        </w:numPr>
        <w:spacing w:before="110"/>
        <w:rPr>
          <w:lang w:eastAsia="en-US"/>
        </w:rPr>
      </w:pPr>
      <w:r w:rsidRPr="009166A1">
        <w:rPr>
          <w:lang w:eastAsia="en-US"/>
        </w:rPr>
        <w:t>the current Wood Heater Replacement Program could be improved to make it more effective in reducing wood heater smoke in the Tuggeranong Valley in the ACT and improving air quality; and </w:t>
      </w:r>
    </w:p>
    <w:p w:rsidR="005C69C3" w:rsidRPr="009166A1" w:rsidRDefault="005C69C3" w:rsidP="0068365B">
      <w:pPr>
        <w:pStyle w:val="DPSEntryIndents"/>
        <w:numPr>
          <w:ilvl w:val="1"/>
          <w:numId w:val="3"/>
        </w:numPr>
        <w:spacing w:before="110"/>
        <w:rPr>
          <w:lang w:eastAsia="en-US"/>
        </w:rPr>
      </w:pPr>
      <w:r w:rsidRPr="009166A1">
        <w:rPr>
          <w:lang w:eastAsia="en-US"/>
        </w:rPr>
        <w:t>work has already commenced to review the Wood Heater Replacement Program, as referred to in the aforementioned Action Plan; and</w:t>
      </w:r>
    </w:p>
    <w:p w:rsidR="005C69C3" w:rsidRPr="009166A1" w:rsidRDefault="005C69C3" w:rsidP="0068365B">
      <w:pPr>
        <w:pStyle w:val="DPSEntryIndents"/>
        <w:spacing w:before="110"/>
        <w:rPr>
          <w:lang w:eastAsia="en-US"/>
        </w:rPr>
      </w:pPr>
      <w:r w:rsidRPr="009166A1">
        <w:rPr>
          <w:lang w:eastAsia="en-US"/>
        </w:rPr>
        <w:t>calls on the Government to: </w:t>
      </w:r>
    </w:p>
    <w:p w:rsidR="005C69C3" w:rsidRPr="009166A1" w:rsidRDefault="005C69C3" w:rsidP="0068365B">
      <w:pPr>
        <w:pStyle w:val="DPSEntryIndents"/>
        <w:numPr>
          <w:ilvl w:val="1"/>
          <w:numId w:val="3"/>
        </w:numPr>
        <w:spacing w:before="110"/>
        <w:rPr>
          <w:lang w:eastAsia="en-US"/>
        </w:rPr>
      </w:pPr>
      <w:r w:rsidRPr="009166A1">
        <w:rPr>
          <w:lang w:eastAsia="en-US"/>
        </w:rPr>
        <w:t>trial a program to assist low-income households to achieve the following outcomes: </w:t>
      </w:r>
    </w:p>
    <w:p w:rsidR="005C69C3" w:rsidRPr="009166A1" w:rsidRDefault="005C69C3" w:rsidP="0068365B">
      <w:pPr>
        <w:pStyle w:val="DPSEntryIndents"/>
        <w:numPr>
          <w:ilvl w:val="2"/>
          <w:numId w:val="3"/>
        </w:numPr>
        <w:spacing w:before="110"/>
        <w:rPr>
          <w:lang w:eastAsia="en-US"/>
        </w:rPr>
      </w:pPr>
      <w:r w:rsidRPr="009166A1">
        <w:rPr>
          <w:lang w:eastAsia="en-US"/>
        </w:rPr>
        <w:t>replace wood heaters with energy-efficient reverse cycle split system units; </w:t>
      </w:r>
    </w:p>
    <w:p w:rsidR="005C69C3" w:rsidRPr="009166A1" w:rsidRDefault="005C69C3" w:rsidP="0068365B">
      <w:pPr>
        <w:pStyle w:val="DPSEntryIndents"/>
        <w:numPr>
          <w:ilvl w:val="2"/>
          <w:numId w:val="3"/>
        </w:numPr>
        <w:spacing w:before="110"/>
        <w:rPr>
          <w:lang w:eastAsia="en-US"/>
        </w:rPr>
      </w:pPr>
      <w:r w:rsidRPr="009166A1">
        <w:rPr>
          <w:lang w:eastAsia="en-US"/>
        </w:rPr>
        <w:t>limit the impost on the householder by ensuring the application process is as simple and accessible as possible; and</w:t>
      </w:r>
    </w:p>
    <w:p w:rsidR="005C69C3" w:rsidRPr="009166A1" w:rsidRDefault="005C69C3" w:rsidP="0068365B">
      <w:pPr>
        <w:pStyle w:val="DPSEntryIndents"/>
        <w:numPr>
          <w:ilvl w:val="2"/>
          <w:numId w:val="3"/>
        </w:numPr>
        <w:spacing w:before="110"/>
        <w:rPr>
          <w:lang w:eastAsia="en-US"/>
        </w:rPr>
      </w:pPr>
      <w:r w:rsidRPr="009166A1">
        <w:rPr>
          <w:lang w:eastAsia="en-US"/>
        </w:rPr>
        <w:t xml:space="preserve">in order to make this transition accessible, explore the option that such a changeover comes at no up-front expense to the household, rather than a rebate; </w:t>
      </w:r>
    </w:p>
    <w:p w:rsidR="005C69C3" w:rsidRPr="009166A1" w:rsidRDefault="005C69C3" w:rsidP="0068365B">
      <w:pPr>
        <w:pStyle w:val="DPSEntryIndents"/>
        <w:numPr>
          <w:ilvl w:val="1"/>
          <w:numId w:val="3"/>
        </w:numPr>
        <w:spacing w:before="110"/>
        <w:rPr>
          <w:lang w:eastAsia="en-US"/>
        </w:rPr>
      </w:pPr>
      <w:r w:rsidRPr="009166A1">
        <w:rPr>
          <w:lang w:eastAsia="en-US"/>
        </w:rPr>
        <w:t>promote this and existing programs to increase uptake, and make sure that any householder that would benefit from said programs is made aware of such opportunities; and</w:t>
      </w:r>
    </w:p>
    <w:p w:rsidR="005C69C3" w:rsidRPr="005C69C3" w:rsidRDefault="005C69C3" w:rsidP="0068365B">
      <w:pPr>
        <w:pStyle w:val="DPSEntryIndents"/>
        <w:numPr>
          <w:ilvl w:val="1"/>
          <w:numId w:val="3"/>
        </w:numPr>
        <w:spacing w:before="110"/>
        <w:rPr>
          <w:color w:val="000000"/>
        </w:rPr>
      </w:pPr>
      <w:r w:rsidRPr="009166A1">
        <w:rPr>
          <w:lang w:eastAsia="en-US"/>
        </w:rPr>
        <w:t>report back to the Assembly prior to the release of the next Action Plan 2023-2025.</w:t>
      </w:r>
    </w:p>
    <w:p w:rsidR="005C69C3" w:rsidRPr="005C69C3" w:rsidRDefault="005C69C3" w:rsidP="005C69C3">
      <w:pPr>
        <w:spacing w:before="120"/>
        <w:ind w:left="720" w:right="-35"/>
        <w:rPr>
          <w:rFonts w:ascii="Calibri" w:hAnsi="Calibri"/>
          <w:color w:val="000000"/>
          <w:lang w:val="en-AU"/>
        </w:rPr>
      </w:pPr>
      <w:r w:rsidRPr="005C69C3">
        <w:rPr>
          <w:rFonts w:ascii="Calibri" w:hAnsi="Calibri"/>
          <w:color w:val="000000"/>
          <w:lang w:val="en-AU"/>
        </w:rPr>
        <w:t>Debate ensued.</w:t>
      </w:r>
    </w:p>
    <w:p w:rsidR="005C69C3" w:rsidRPr="005C69C3" w:rsidRDefault="005C69C3" w:rsidP="005C69C3">
      <w:pPr>
        <w:spacing w:before="120"/>
        <w:ind w:left="720"/>
        <w:rPr>
          <w:rFonts w:ascii="Calibri" w:hAnsi="Calibri"/>
          <w:color w:val="000000"/>
          <w:lang w:val="en-AU"/>
        </w:rPr>
      </w:pPr>
      <w:r w:rsidRPr="005C69C3">
        <w:rPr>
          <w:rFonts w:ascii="Calibri" w:hAnsi="Calibri"/>
          <w:color w:val="000000"/>
          <w:lang w:val="en-AU"/>
        </w:rPr>
        <w:t>Question—put and passed.</w:t>
      </w:r>
    </w:p>
    <w:p w:rsidR="00193F0C" w:rsidRPr="001F02D8" w:rsidRDefault="00193F0C" w:rsidP="00193F0C">
      <w:pPr>
        <w:keepNext/>
        <w:keepLines/>
        <w:tabs>
          <w:tab w:val="right" w:pos="339"/>
          <w:tab w:val="left" w:pos="720"/>
        </w:tabs>
        <w:spacing w:before="240"/>
        <w:ind w:left="720" w:hanging="720"/>
        <w:rPr>
          <w:rFonts w:ascii="Calibri" w:hAnsi="Calibri"/>
          <w:b/>
          <w:lang w:val="en-AU"/>
        </w:rPr>
      </w:pPr>
      <w:r w:rsidRPr="001F02D8">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C4170D">
        <w:rPr>
          <w:rFonts w:ascii="Calibri" w:hAnsi="Calibri"/>
          <w:b/>
          <w:bCs/>
          <w:noProof/>
          <w:lang w:val="en-AU"/>
        </w:rPr>
        <w:t>15</w:t>
      </w:r>
      <w:r>
        <w:rPr>
          <w:rFonts w:ascii="Calibri" w:hAnsi="Calibri"/>
          <w:b/>
          <w:bCs/>
          <w:lang w:val="en-AU"/>
        </w:rPr>
        <w:fldChar w:fldCharType="end"/>
      </w:r>
      <w:r w:rsidRPr="001F02D8">
        <w:rPr>
          <w:rFonts w:ascii="Calibri" w:hAnsi="Calibri"/>
          <w:b/>
          <w:lang w:val="en-AU"/>
        </w:rPr>
        <w:tab/>
      </w:r>
      <w:r>
        <w:rPr>
          <w:rFonts w:ascii="Calibri" w:hAnsi="Calibri"/>
          <w:b/>
          <w:caps/>
          <w:lang w:val="en-AU"/>
        </w:rPr>
        <w:t>Better Regulation Task Force</w:t>
      </w:r>
      <w:r w:rsidRPr="001F02D8">
        <w:rPr>
          <w:rFonts w:ascii="Calibri" w:hAnsi="Calibri"/>
          <w:b/>
          <w:caps/>
          <w:lang w:val="en-AU"/>
        </w:rPr>
        <w:t>—MINISTERIAL STATEMENT</w:t>
      </w:r>
      <w:r>
        <w:rPr>
          <w:rFonts w:ascii="Calibri" w:hAnsi="Calibri"/>
          <w:b/>
          <w:caps/>
          <w:lang w:val="en-AU"/>
        </w:rPr>
        <w:t xml:space="preserve"> and papers</w:t>
      </w:r>
      <w:r w:rsidRPr="001F02D8">
        <w:rPr>
          <w:rFonts w:ascii="Calibri" w:hAnsi="Calibri"/>
          <w:b/>
          <w:caps/>
          <w:lang w:val="en-AU"/>
        </w:rPr>
        <w:t>—PAPER NOTED</w:t>
      </w:r>
    </w:p>
    <w:p w:rsidR="00193F0C" w:rsidRPr="001F02D8" w:rsidRDefault="00193F0C" w:rsidP="00193F0C">
      <w:pPr>
        <w:spacing w:before="120"/>
        <w:ind w:left="720"/>
        <w:rPr>
          <w:rFonts w:ascii="Calibri" w:hAnsi="Calibri"/>
          <w:lang w:val="en-AU"/>
        </w:rPr>
      </w:pPr>
      <w:r>
        <w:rPr>
          <w:rFonts w:ascii="Calibri" w:hAnsi="Calibri"/>
          <w:lang w:val="en-AU"/>
        </w:rPr>
        <w:t>Ms Cheyne (Minister for Business and Better Regulation)</w:t>
      </w:r>
      <w:r w:rsidRPr="001F02D8">
        <w:rPr>
          <w:rFonts w:ascii="Calibri" w:hAnsi="Calibri"/>
          <w:lang w:val="en-AU"/>
        </w:rPr>
        <w:t xml:space="preserve"> made a ministerial statement concerning </w:t>
      </w:r>
      <w:r w:rsidR="000108E5">
        <w:rPr>
          <w:rFonts w:ascii="Calibri" w:hAnsi="Calibri"/>
          <w:lang w:val="en-AU"/>
        </w:rPr>
        <w:t xml:space="preserve">the </w:t>
      </w:r>
      <w:r>
        <w:rPr>
          <w:rFonts w:ascii="Calibri" w:hAnsi="Calibri"/>
          <w:lang w:val="en-AU"/>
        </w:rPr>
        <w:t>Better Regulation Task Force</w:t>
      </w:r>
      <w:r w:rsidRPr="001F02D8">
        <w:rPr>
          <w:rFonts w:ascii="Calibri" w:hAnsi="Calibri"/>
          <w:lang w:val="en-AU"/>
        </w:rPr>
        <w:t xml:space="preserve"> and presented the following paper</w:t>
      </w:r>
      <w:r>
        <w:rPr>
          <w:rFonts w:ascii="Calibri" w:hAnsi="Calibri"/>
          <w:lang w:val="en-AU"/>
        </w:rPr>
        <w:t>s</w:t>
      </w:r>
      <w:r w:rsidRPr="001F02D8">
        <w:rPr>
          <w:rFonts w:ascii="Calibri" w:hAnsi="Calibri"/>
          <w:lang w:val="en-AU"/>
        </w:rPr>
        <w:t>:</w:t>
      </w:r>
    </w:p>
    <w:p w:rsidR="00193F0C" w:rsidRDefault="00193F0C" w:rsidP="0068365B">
      <w:pPr>
        <w:spacing w:before="110"/>
        <w:ind w:left="720"/>
        <w:rPr>
          <w:rFonts w:ascii="Calibri" w:hAnsi="Calibri"/>
          <w:lang w:val="en-AU"/>
        </w:rPr>
      </w:pPr>
      <w:r>
        <w:rPr>
          <w:rFonts w:ascii="Calibri" w:hAnsi="Calibri"/>
          <w:lang w:val="en-AU"/>
        </w:rPr>
        <w:t>Better Regulation—</w:t>
      </w:r>
    </w:p>
    <w:p w:rsidR="00193F0C" w:rsidRDefault="00193F0C" w:rsidP="0068365B">
      <w:pPr>
        <w:pStyle w:val="DPSEntryDetailIndentLev1"/>
        <w:spacing w:before="110"/>
      </w:pPr>
      <w:r>
        <w:t>Report</w:t>
      </w:r>
      <w:r w:rsidR="004F38B1">
        <w:t>, dated May 2022</w:t>
      </w:r>
      <w:r>
        <w:t>.</w:t>
      </w:r>
    </w:p>
    <w:p w:rsidR="00193F0C" w:rsidRDefault="00193F0C" w:rsidP="0068365B">
      <w:pPr>
        <w:pStyle w:val="DPSEntryDetailIndentLev1"/>
        <w:spacing w:before="110"/>
      </w:pPr>
      <w:r>
        <w:t>Report—Summary</w:t>
      </w:r>
      <w:r w:rsidR="004F38B1">
        <w:t>, dated May 2022</w:t>
      </w:r>
      <w:r>
        <w:t>.</w:t>
      </w:r>
    </w:p>
    <w:p w:rsidR="00193F0C" w:rsidRPr="001F02D8" w:rsidRDefault="00193F0C" w:rsidP="0068365B">
      <w:pPr>
        <w:pStyle w:val="DPSEntryDetailIndentLev1"/>
        <w:spacing w:before="110"/>
      </w:pPr>
      <w:r>
        <w:t>Task Force</w:t>
      </w:r>
      <w:r w:rsidRPr="001F02D8">
        <w:t xml:space="preserve">—Ministerial statement, </w:t>
      </w:r>
      <w:r>
        <w:t>8 June 2022</w:t>
      </w:r>
      <w:r w:rsidRPr="001F02D8">
        <w:t>.</w:t>
      </w:r>
    </w:p>
    <w:p w:rsidR="00193F0C" w:rsidRPr="001F02D8" w:rsidRDefault="00193F0C" w:rsidP="00193F0C">
      <w:pPr>
        <w:spacing w:before="120"/>
        <w:ind w:left="720"/>
        <w:rPr>
          <w:rFonts w:ascii="Calibri" w:hAnsi="Calibri"/>
          <w:lang w:val="en-AU"/>
        </w:rPr>
      </w:pPr>
      <w:r>
        <w:rPr>
          <w:rFonts w:ascii="Calibri" w:hAnsi="Calibri"/>
          <w:lang w:val="en-AU"/>
        </w:rPr>
        <w:t>Ms Cheyne</w:t>
      </w:r>
      <w:r w:rsidRPr="001F02D8">
        <w:rPr>
          <w:rFonts w:ascii="Calibri" w:hAnsi="Calibri"/>
          <w:lang w:val="en-AU"/>
        </w:rPr>
        <w:t xml:space="preserve"> moved—That the Assembly take note of the </w:t>
      </w:r>
      <w:r w:rsidR="00BF3C56">
        <w:rPr>
          <w:rFonts w:ascii="Calibri" w:hAnsi="Calibri"/>
          <w:lang w:val="en-AU"/>
        </w:rPr>
        <w:t>ministerial statement</w:t>
      </w:r>
      <w:r w:rsidRPr="001F02D8">
        <w:rPr>
          <w:rFonts w:ascii="Calibri" w:hAnsi="Calibri"/>
          <w:lang w:val="en-AU"/>
        </w:rPr>
        <w:t>.</w:t>
      </w:r>
    </w:p>
    <w:p w:rsidR="00193F0C" w:rsidRPr="001F02D8" w:rsidRDefault="00193F0C" w:rsidP="00193F0C">
      <w:pPr>
        <w:spacing w:before="120"/>
        <w:ind w:left="720"/>
        <w:rPr>
          <w:rFonts w:ascii="Calibri" w:hAnsi="Calibri"/>
          <w:lang w:val="en-AU"/>
        </w:rPr>
      </w:pPr>
      <w:r w:rsidRPr="001F02D8">
        <w:rPr>
          <w:rFonts w:ascii="Calibri" w:hAnsi="Calibri"/>
          <w:lang w:val="en-AU"/>
        </w:rPr>
        <w:t>Question—put and passed.</w:t>
      </w:r>
    </w:p>
    <w:p w:rsidR="00193F0C" w:rsidRPr="00801EE9" w:rsidRDefault="00193F0C" w:rsidP="00193F0C">
      <w:pPr>
        <w:keepNext/>
        <w:keepLines/>
        <w:tabs>
          <w:tab w:val="right" w:pos="339"/>
          <w:tab w:val="left" w:pos="720"/>
        </w:tabs>
        <w:spacing w:before="240"/>
        <w:ind w:left="720" w:hanging="720"/>
        <w:rPr>
          <w:rFonts w:ascii="Calibri" w:hAnsi="Calibri"/>
          <w:b/>
          <w:lang w:val="en-AU"/>
        </w:rPr>
      </w:pPr>
      <w:r w:rsidRPr="00801EE9">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C4170D">
        <w:rPr>
          <w:rFonts w:ascii="Calibri" w:hAnsi="Calibri"/>
          <w:b/>
          <w:bCs/>
          <w:noProof/>
          <w:lang w:val="en-AU"/>
        </w:rPr>
        <w:t>16</w:t>
      </w:r>
      <w:r>
        <w:rPr>
          <w:rFonts w:ascii="Calibri" w:hAnsi="Calibri"/>
          <w:b/>
          <w:bCs/>
          <w:lang w:val="en-AU"/>
        </w:rPr>
        <w:fldChar w:fldCharType="end"/>
      </w:r>
      <w:r w:rsidRPr="00801EE9">
        <w:rPr>
          <w:rFonts w:ascii="Calibri" w:hAnsi="Calibri"/>
          <w:b/>
          <w:lang w:val="en-AU"/>
        </w:rPr>
        <w:tab/>
      </w:r>
      <w:r>
        <w:rPr>
          <w:rFonts w:ascii="Calibri" w:hAnsi="Calibri"/>
          <w:b/>
          <w:caps/>
          <w:lang w:val="en-AU"/>
        </w:rPr>
        <w:t>Schizophrenia Awareness Week</w:t>
      </w:r>
      <w:r w:rsidRPr="00801EE9">
        <w:rPr>
          <w:rFonts w:ascii="Calibri" w:hAnsi="Calibri"/>
          <w:b/>
          <w:caps/>
          <w:lang w:val="en-AU"/>
        </w:rPr>
        <w:t>—MINISTERIAL STATEMENT—PAPER NOTED</w:t>
      </w:r>
    </w:p>
    <w:p w:rsidR="00193F0C" w:rsidRPr="00801EE9" w:rsidRDefault="00193F0C" w:rsidP="00193F0C">
      <w:pPr>
        <w:spacing w:before="120"/>
        <w:ind w:left="720"/>
        <w:rPr>
          <w:rFonts w:ascii="Calibri" w:hAnsi="Calibri"/>
          <w:lang w:val="en-AU"/>
        </w:rPr>
      </w:pPr>
      <w:r>
        <w:rPr>
          <w:rFonts w:ascii="Calibri" w:hAnsi="Calibri"/>
          <w:lang w:val="en-AU"/>
        </w:rPr>
        <w:t>Ms Davidson (Minister for Mental Health)</w:t>
      </w:r>
      <w:r w:rsidRPr="00801EE9">
        <w:rPr>
          <w:rFonts w:ascii="Calibri" w:hAnsi="Calibri"/>
          <w:lang w:val="en-AU"/>
        </w:rPr>
        <w:t xml:space="preserve"> made a ministerial statement concerning </w:t>
      </w:r>
      <w:r>
        <w:rPr>
          <w:rFonts w:ascii="Calibri" w:hAnsi="Calibri"/>
          <w:lang w:val="en-AU"/>
        </w:rPr>
        <w:t>Schizophrenia Awareness Week</w:t>
      </w:r>
      <w:r w:rsidRPr="00801EE9">
        <w:rPr>
          <w:rFonts w:ascii="Calibri" w:hAnsi="Calibri"/>
          <w:lang w:val="en-AU"/>
        </w:rPr>
        <w:t xml:space="preserve"> and presented the following paper:</w:t>
      </w:r>
    </w:p>
    <w:p w:rsidR="00193F0C" w:rsidRPr="00801EE9" w:rsidRDefault="00193F0C" w:rsidP="00193F0C">
      <w:pPr>
        <w:spacing w:before="120"/>
        <w:ind w:left="720"/>
        <w:rPr>
          <w:rFonts w:ascii="Calibri" w:hAnsi="Calibri"/>
          <w:lang w:val="en-AU"/>
        </w:rPr>
      </w:pPr>
      <w:r>
        <w:rPr>
          <w:rFonts w:ascii="Calibri" w:hAnsi="Calibri"/>
          <w:lang w:val="en-AU"/>
        </w:rPr>
        <w:t>Schizophrenia Awareness Week</w:t>
      </w:r>
      <w:r w:rsidRPr="00801EE9">
        <w:rPr>
          <w:rFonts w:ascii="Calibri" w:hAnsi="Calibri"/>
          <w:lang w:val="en-AU"/>
        </w:rPr>
        <w:t xml:space="preserve">—Ministerial statement, </w:t>
      </w:r>
      <w:r>
        <w:rPr>
          <w:rFonts w:ascii="Calibri" w:hAnsi="Calibri"/>
          <w:lang w:val="en-AU"/>
        </w:rPr>
        <w:t>8 June 2022</w:t>
      </w:r>
      <w:r w:rsidRPr="00801EE9">
        <w:rPr>
          <w:rFonts w:ascii="Calibri" w:hAnsi="Calibri"/>
          <w:lang w:val="en-AU"/>
        </w:rPr>
        <w:t>.</w:t>
      </w:r>
    </w:p>
    <w:p w:rsidR="00193F0C" w:rsidRPr="00801EE9" w:rsidRDefault="00193F0C" w:rsidP="00193F0C">
      <w:pPr>
        <w:spacing w:before="120"/>
        <w:ind w:left="720"/>
        <w:rPr>
          <w:rFonts w:ascii="Calibri" w:hAnsi="Calibri"/>
          <w:lang w:val="en-AU"/>
        </w:rPr>
      </w:pPr>
      <w:r>
        <w:rPr>
          <w:rFonts w:ascii="Calibri" w:hAnsi="Calibri"/>
          <w:lang w:val="en-AU"/>
        </w:rPr>
        <w:t>Ms Davidson</w:t>
      </w:r>
      <w:r w:rsidRPr="00801EE9">
        <w:rPr>
          <w:rFonts w:ascii="Calibri" w:hAnsi="Calibri"/>
          <w:lang w:val="en-AU"/>
        </w:rPr>
        <w:t xml:space="preserve"> moved—That the Assembly take note of the paper.</w:t>
      </w:r>
    </w:p>
    <w:p w:rsidR="00193F0C" w:rsidRDefault="00193F0C" w:rsidP="00193F0C">
      <w:pPr>
        <w:spacing w:before="120"/>
        <w:ind w:left="720"/>
        <w:rPr>
          <w:rFonts w:ascii="Calibri" w:hAnsi="Calibri"/>
          <w:lang w:val="en-AU"/>
        </w:rPr>
      </w:pPr>
      <w:r w:rsidRPr="00801EE9">
        <w:rPr>
          <w:rFonts w:ascii="Calibri" w:hAnsi="Calibri"/>
          <w:lang w:val="en-AU"/>
        </w:rPr>
        <w:t>Question—put and passed.</w:t>
      </w:r>
    </w:p>
    <w:p w:rsidR="00193F0C" w:rsidRPr="00913F0E" w:rsidRDefault="00193F0C" w:rsidP="000108E5">
      <w:pPr>
        <w:keepNext/>
        <w:keepLines/>
        <w:tabs>
          <w:tab w:val="right" w:pos="339"/>
          <w:tab w:val="left" w:pos="720"/>
        </w:tabs>
        <w:spacing w:before="240"/>
        <w:ind w:left="720" w:hanging="720"/>
        <w:rPr>
          <w:rFonts w:ascii="Calibri" w:hAnsi="Calibri"/>
          <w:b/>
          <w:caps/>
          <w:lang w:val="en-AU"/>
        </w:rPr>
      </w:pPr>
      <w:r w:rsidRPr="00913F0E">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C4170D">
        <w:rPr>
          <w:rFonts w:ascii="Calibri" w:hAnsi="Calibri"/>
          <w:b/>
          <w:bCs/>
          <w:caps/>
          <w:noProof/>
          <w:lang w:val="en-AU"/>
        </w:rPr>
        <w:t>17</w:t>
      </w:r>
      <w:r>
        <w:rPr>
          <w:rFonts w:ascii="Calibri" w:hAnsi="Calibri"/>
          <w:b/>
          <w:bCs/>
          <w:caps/>
          <w:lang w:val="en-AU"/>
        </w:rPr>
        <w:fldChar w:fldCharType="end"/>
      </w:r>
      <w:r w:rsidRPr="00913F0E">
        <w:rPr>
          <w:rFonts w:ascii="Calibri" w:hAnsi="Calibri"/>
          <w:b/>
          <w:caps/>
          <w:lang w:val="en-AU"/>
        </w:rPr>
        <w:tab/>
      </w:r>
      <w:r>
        <w:rPr>
          <w:rFonts w:ascii="Calibri" w:hAnsi="Calibri"/>
          <w:b/>
          <w:caps/>
          <w:lang w:val="en-AU"/>
        </w:rPr>
        <w:t>Workplace Legislation Amendment Bill 2022</w:t>
      </w:r>
    </w:p>
    <w:p w:rsidR="00193F0C" w:rsidRPr="00913F0E" w:rsidRDefault="00193F0C" w:rsidP="000108E5">
      <w:pPr>
        <w:keepNext/>
        <w:spacing w:before="120"/>
        <w:ind w:left="720"/>
        <w:rPr>
          <w:rFonts w:ascii="Calibri" w:hAnsi="Calibri"/>
          <w:lang w:val="en-AU"/>
        </w:rPr>
      </w:pPr>
      <w:r>
        <w:rPr>
          <w:rFonts w:ascii="Calibri" w:hAnsi="Calibri"/>
          <w:lang w:val="en-AU"/>
        </w:rPr>
        <w:t>Mr Gentleman (Minister for Industrial Relations and Workplace Safety)</w:t>
      </w:r>
      <w:r w:rsidRPr="00913F0E">
        <w:rPr>
          <w:rFonts w:ascii="Calibri" w:hAnsi="Calibri"/>
          <w:lang w:val="en-AU"/>
        </w:rPr>
        <w:t xml:space="preserve">, pursuant to notice, presented </w:t>
      </w:r>
      <w:r>
        <w:rPr>
          <w:rFonts w:ascii="Calibri" w:hAnsi="Calibri"/>
          <w:lang w:val="en-AU"/>
        </w:rPr>
        <w:t>a Bill for an Act to amend workplace legislation, and for other purposes</w:t>
      </w:r>
      <w:r w:rsidRPr="00913F0E">
        <w:rPr>
          <w:rFonts w:ascii="Calibri" w:hAnsi="Calibri"/>
          <w:lang w:val="en-AU"/>
        </w:rPr>
        <w:t>.</w:t>
      </w:r>
    </w:p>
    <w:p w:rsidR="00193F0C" w:rsidRPr="00913F0E" w:rsidRDefault="00193F0C" w:rsidP="00193F0C">
      <w:pPr>
        <w:spacing w:before="120"/>
        <w:ind w:left="720"/>
        <w:rPr>
          <w:rFonts w:ascii="Calibri" w:hAnsi="Calibri"/>
          <w:lang w:val="en-AU"/>
        </w:rPr>
      </w:pPr>
      <w:r w:rsidRPr="00913F0E">
        <w:rPr>
          <w:rFonts w:ascii="Calibri" w:hAnsi="Calibri"/>
          <w:i/>
          <w:lang w:val="en-AU"/>
        </w:rPr>
        <w:t>Paper:</w:t>
      </w:r>
      <w:r w:rsidRPr="00913F0E">
        <w:rPr>
          <w:rFonts w:ascii="Calibri" w:hAnsi="Calibri"/>
          <w:lang w:val="en-AU"/>
        </w:rPr>
        <w:t xml:space="preserve">  </w:t>
      </w:r>
      <w:r>
        <w:rPr>
          <w:rFonts w:ascii="Calibri" w:hAnsi="Calibri"/>
          <w:lang w:val="en-AU"/>
        </w:rPr>
        <w:t>Mr Gentleman</w:t>
      </w:r>
      <w:r w:rsidRPr="00913F0E">
        <w:rPr>
          <w:rFonts w:ascii="Calibri" w:hAnsi="Calibri"/>
          <w:lang w:val="en-AU"/>
        </w:rPr>
        <w:t xml:space="preserve"> presented the following paper:</w:t>
      </w:r>
    </w:p>
    <w:p w:rsidR="00193F0C" w:rsidRPr="00913F0E" w:rsidRDefault="00193F0C" w:rsidP="00193F0C">
      <w:pPr>
        <w:spacing w:before="120"/>
        <w:ind w:left="720"/>
        <w:rPr>
          <w:rFonts w:ascii="Calibri" w:hAnsi="Calibri"/>
          <w:lang w:val="en-AU"/>
        </w:rPr>
      </w:pPr>
      <w:r w:rsidRPr="00913F0E">
        <w:rPr>
          <w:rFonts w:ascii="Calibri" w:hAnsi="Calibri"/>
          <w:lang w:val="en-AU"/>
        </w:rPr>
        <w:t xml:space="preserve">Explanatory statement to the Bill, incorporating a compatibility statement, pursuant to section 37 of the </w:t>
      </w:r>
      <w:r w:rsidRPr="00913F0E">
        <w:rPr>
          <w:rFonts w:ascii="Calibri" w:hAnsi="Calibri"/>
          <w:i/>
          <w:lang w:val="en-AU"/>
        </w:rPr>
        <w:t>Human Rights Act 2004</w:t>
      </w:r>
      <w:r w:rsidRPr="00913F0E">
        <w:rPr>
          <w:rFonts w:ascii="Calibri" w:hAnsi="Calibri"/>
          <w:lang w:val="en-AU"/>
        </w:rPr>
        <w:t>.</w:t>
      </w:r>
    </w:p>
    <w:p w:rsidR="00193F0C" w:rsidRPr="00913F0E" w:rsidRDefault="00193F0C" w:rsidP="00193F0C">
      <w:pPr>
        <w:spacing w:before="120"/>
        <w:ind w:left="720"/>
        <w:rPr>
          <w:rFonts w:ascii="Calibri" w:hAnsi="Calibri"/>
          <w:lang w:val="en-AU"/>
        </w:rPr>
      </w:pPr>
      <w:r w:rsidRPr="00913F0E">
        <w:rPr>
          <w:rFonts w:ascii="Calibri" w:hAnsi="Calibri"/>
          <w:lang w:val="en-AU"/>
        </w:rPr>
        <w:t>Title read by Clerk.</w:t>
      </w:r>
    </w:p>
    <w:p w:rsidR="00193F0C" w:rsidRPr="00913F0E" w:rsidRDefault="00193F0C" w:rsidP="00193F0C">
      <w:pPr>
        <w:spacing w:before="120"/>
        <w:ind w:left="720"/>
        <w:rPr>
          <w:rFonts w:ascii="Calibri" w:hAnsi="Calibri"/>
          <w:lang w:val="en-AU"/>
        </w:rPr>
      </w:pPr>
      <w:r>
        <w:rPr>
          <w:rFonts w:ascii="Calibri" w:hAnsi="Calibri"/>
          <w:lang w:val="en-AU"/>
        </w:rPr>
        <w:t>Mr Gentleman</w:t>
      </w:r>
      <w:r w:rsidRPr="00913F0E">
        <w:rPr>
          <w:rFonts w:ascii="Calibri" w:hAnsi="Calibri"/>
          <w:lang w:val="en-AU"/>
        </w:rPr>
        <w:t xml:space="preserve"> moved—That this Bill be agreed to in principle.</w:t>
      </w:r>
    </w:p>
    <w:p w:rsidR="00193F0C" w:rsidRDefault="00193F0C" w:rsidP="00193F0C">
      <w:pPr>
        <w:spacing w:before="120"/>
        <w:ind w:left="720"/>
        <w:rPr>
          <w:rFonts w:ascii="Calibri" w:hAnsi="Calibri"/>
          <w:lang w:val="en-AU"/>
        </w:rPr>
      </w:pPr>
      <w:r w:rsidRPr="00913F0E">
        <w:rPr>
          <w:rFonts w:ascii="Calibri" w:hAnsi="Calibri"/>
          <w:lang w:val="en-AU"/>
        </w:rPr>
        <w:t>Deba</w:t>
      </w:r>
      <w:r>
        <w:rPr>
          <w:rFonts w:ascii="Calibri" w:hAnsi="Calibri"/>
          <w:lang w:val="en-AU"/>
        </w:rPr>
        <w:t>te adjourned (Mr Cain</w:t>
      </w:r>
      <w:r w:rsidRPr="00913F0E">
        <w:rPr>
          <w:rFonts w:ascii="Calibri" w:hAnsi="Calibri"/>
          <w:lang w:val="en-AU"/>
        </w:rPr>
        <w:t>) and the resumption of the debate made an order of the day for the next sitting.</w:t>
      </w:r>
    </w:p>
    <w:p w:rsidR="00B649A0" w:rsidRPr="00913F0E" w:rsidRDefault="00B649A0" w:rsidP="00B649A0">
      <w:pPr>
        <w:keepNext/>
        <w:keepLines/>
        <w:tabs>
          <w:tab w:val="right" w:pos="339"/>
          <w:tab w:val="left" w:pos="720"/>
        </w:tabs>
        <w:spacing w:before="240"/>
        <w:ind w:left="720" w:hanging="720"/>
        <w:rPr>
          <w:rFonts w:ascii="Calibri" w:hAnsi="Calibri"/>
          <w:b/>
          <w:caps/>
          <w:lang w:val="en-AU"/>
        </w:rPr>
      </w:pPr>
      <w:r w:rsidRPr="00913F0E">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C4170D">
        <w:rPr>
          <w:rFonts w:ascii="Calibri" w:hAnsi="Calibri"/>
          <w:b/>
          <w:bCs/>
          <w:caps/>
          <w:noProof/>
          <w:lang w:val="en-AU"/>
        </w:rPr>
        <w:t>18</w:t>
      </w:r>
      <w:r>
        <w:rPr>
          <w:rFonts w:ascii="Calibri" w:hAnsi="Calibri"/>
          <w:b/>
          <w:bCs/>
          <w:caps/>
          <w:lang w:val="en-AU"/>
        </w:rPr>
        <w:fldChar w:fldCharType="end"/>
      </w:r>
      <w:r w:rsidRPr="00913F0E">
        <w:rPr>
          <w:rFonts w:ascii="Calibri" w:hAnsi="Calibri"/>
          <w:b/>
          <w:caps/>
          <w:lang w:val="en-AU"/>
        </w:rPr>
        <w:tab/>
      </w:r>
      <w:r>
        <w:rPr>
          <w:rFonts w:ascii="Calibri" w:hAnsi="Calibri"/>
          <w:b/>
          <w:caps/>
          <w:lang w:val="en-AU"/>
        </w:rPr>
        <w:t>Education Amendment Bill 2022</w:t>
      </w:r>
    </w:p>
    <w:p w:rsidR="00B649A0" w:rsidRPr="00913F0E" w:rsidRDefault="00B649A0" w:rsidP="00B649A0">
      <w:pPr>
        <w:spacing w:before="120"/>
        <w:ind w:left="720"/>
        <w:rPr>
          <w:rFonts w:ascii="Calibri" w:hAnsi="Calibri"/>
          <w:lang w:val="en-AU"/>
        </w:rPr>
      </w:pPr>
      <w:r w:rsidRPr="00913F0E">
        <w:rPr>
          <w:rFonts w:ascii="Calibri" w:hAnsi="Calibri"/>
          <w:lang w:val="en-AU"/>
        </w:rPr>
        <w:t>The order of the day having been read for the resumption of the debate on the question—That this Bill be agreed to in principle—</w:t>
      </w:r>
    </w:p>
    <w:p w:rsidR="00B649A0" w:rsidRDefault="00B649A0" w:rsidP="00B649A0">
      <w:pPr>
        <w:spacing w:before="120"/>
        <w:ind w:left="720"/>
        <w:rPr>
          <w:rFonts w:ascii="Calibri" w:hAnsi="Calibri"/>
          <w:iCs/>
          <w:lang w:val="en-AU"/>
        </w:rPr>
      </w:pPr>
      <w:r w:rsidRPr="00913F0E">
        <w:rPr>
          <w:rFonts w:ascii="Calibri" w:hAnsi="Calibri"/>
          <w:iCs/>
          <w:lang w:val="en-AU"/>
        </w:rPr>
        <w:t>Debate resumed.</w:t>
      </w:r>
    </w:p>
    <w:p w:rsidR="00DB783A" w:rsidRDefault="00DB783A" w:rsidP="00DB783A">
      <w:pPr>
        <w:spacing w:before="120"/>
        <w:ind w:left="720"/>
        <w:rPr>
          <w:rFonts w:ascii="Calibri" w:hAnsi="Calibri"/>
          <w:iCs/>
          <w:lang w:val="en-AU"/>
        </w:rPr>
      </w:pPr>
      <w:r w:rsidRPr="00C17496">
        <w:rPr>
          <w:rFonts w:ascii="Calibri" w:hAnsi="Calibri"/>
          <w:i/>
          <w:iCs/>
          <w:lang w:val="en-AU"/>
        </w:rPr>
        <w:t>Paper:</w:t>
      </w:r>
      <w:r>
        <w:rPr>
          <w:rFonts w:ascii="Calibri" w:hAnsi="Calibri"/>
          <w:iCs/>
          <w:lang w:val="en-AU"/>
        </w:rPr>
        <w:t xml:space="preserve"> Ms Berry</w:t>
      </w:r>
      <w:r w:rsidR="00BF3C56">
        <w:rPr>
          <w:rFonts w:ascii="Calibri" w:hAnsi="Calibri"/>
          <w:iCs/>
          <w:lang w:val="en-AU"/>
        </w:rPr>
        <w:t xml:space="preserve"> (Minister for Education and Youth Affairs)</w:t>
      </w:r>
      <w:r>
        <w:rPr>
          <w:rFonts w:ascii="Calibri" w:hAnsi="Calibri"/>
          <w:iCs/>
          <w:lang w:val="en-AU"/>
        </w:rPr>
        <w:t xml:space="preserve"> tabled the following paper:</w:t>
      </w:r>
    </w:p>
    <w:p w:rsidR="00DB783A" w:rsidRPr="004E56F0" w:rsidRDefault="00DB783A" w:rsidP="00DB783A">
      <w:pPr>
        <w:spacing w:before="120"/>
        <w:ind w:left="720"/>
        <w:rPr>
          <w:rFonts w:ascii="Calibri" w:hAnsi="Calibri"/>
          <w:iCs/>
          <w:lang w:val="en-AU"/>
        </w:rPr>
      </w:pPr>
      <w:r w:rsidRPr="004E56F0">
        <w:rPr>
          <w:rFonts w:ascii="Calibri" w:hAnsi="Calibri"/>
          <w:lang w:val="en-AU"/>
        </w:rPr>
        <w:t xml:space="preserve">Justice and Community Safety—Standing Committee (Legislative Scrutiny Role)—Scrutiny Report </w:t>
      </w:r>
      <w:r>
        <w:rPr>
          <w:rFonts w:ascii="Calibri" w:hAnsi="Calibri"/>
          <w:caps/>
          <w:lang w:val="en-AU"/>
        </w:rPr>
        <w:t>17</w:t>
      </w:r>
      <w:r w:rsidRPr="004E56F0">
        <w:rPr>
          <w:rFonts w:ascii="Calibri" w:hAnsi="Calibri"/>
          <w:iCs/>
          <w:lang w:val="en-AU"/>
        </w:rPr>
        <w:t>—</w:t>
      </w:r>
      <w:r>
        <w:rPr>
          <w:rFonts w:ascii="Calibri" w:hAnsi="Calibri"/>
          <w:iCs/>
          <w:lang w:val="en-AU"/>
        </w:rPr>
        <w:t xml:space="preserve">Government response to </w:t>
      </w:r>
      <w:r w:rsidR="007935D7">
        <w:rPr>
          <w:rFonts w:ascii="Calibri" w:hAnsi="Calibri"/>
          <w:iCs/>
          <w:lang w:val="en-AU"/>
        </w:rPr>
        <w:t xml:space="preserve">Scrutiny </w:t>
      </w:r>
      <w:r>
        <w:rPr>
          <w:rFonts w:ascii="Calibri" w:hAnsi="Calibri"/>
          <w:iCs/>
          <w:lang w:val="en-AU"/>
        </w:rPr>
        <w:t>comments on the Education Amendment Bill 2022.</w:t>
      </w:r>
    </w:p>
    <w:p w:rsidR="00DB783A" w:rsidRDefault="00DB783A" w:rsidP="007935D7">
      <w:pPr>
        <w:spacing w:before="120"/>
        <w:ind w:left="720"/>
        <w:jc w:val="both"/>
        <w:rPr>
          <w:rFonts w:ascii="Calibri" w:hAnsi="Calibri"/>
          <w:iCs/>
          <w:lang w:val="en-AU"/>
        </w:rPr>
      </w:pPr>
      <w:r>
        <w:rPr>
          <w:rFonts w:ascii="Calibri" w:hAnsi="Calibri"/>
          <w:iCs/>
          <w:lang w:val="en-AU"/>
        </w:rPr>
        <w:t>Ms Berry, by leave, was granted an extension of time.</w:t>
      </w:r>
    </w:p>
    <w:p w:rsidR="00B649A0" w:rsidRPr="00913F0E" w:rsidRDefault="00B649A0" w:rsidP="00B649A0">
      <w:pPr>
        <w:spacing w:before="120"/>
        <w:ind w:left="720"/>
        <w:rPr>
          <w:rFonts w:ascii="Calibri" w:hAnsi="Calibri"/>
          <w:iCs/>
          <w:lang w:val="en-AU"/>
        </w:rPr>
      </w:pPr>
      <w:r w:rsidRPr="00913F0E">
        <w:rPr>
          <w:rFonts w:ascii="Calibri" w:hAnsi="Calibri"/>
          <w:iCs/>
          <w:lang w:val="en-AU"/>
        </w:rPr>
        <w:t>Question—That this Bill be agreed to in principle—put and passed.</w:t>
      </w:r>
    </w:p>
    <w:p w:rsidR="00B649A0" w:rsidRPr="00913F0E" w:rsidRDefault="00B649A0" w:rsidP="00B649A0">
      <w:pPr>
        <w:pBdr>
          <w:bottom w:val="thinThickLargeGap" w:sz="18" w:space="1" w:color="auto"/>
        </w:pBdr>
        <w:ind w:left="3427" w:right="3658"/>
        <w:jc w:val="center"/>
        <w:rPr>
          <w:rFonts w:ascii="Calibri" w:hAnsi="Calibri"/>
          <w:i/>
          <w:iCs/>
          <w:lang w:val="en-AU"/>
        </w:rPr>
      </w:pPr>
    </w:p>
    <w:p w:rsidR="00B649A0" w:rsidRPr="00913F0E" w:rsidRDefault="00B649A0" w:rsidP="00B649A0">
      <w:pPr>
        <w:tabs>
          <w:tab w:val="left" w:pos="1197"/>
          <w:tab w:val="left" w:pos="1767"/>
        </w:tabs>
        <w:spacing w:before="120"/>
        <w:jc w:val="center"/>
        <w:rPr>
          <w:rFonts w:ascii="Calibri" w:hAnsi="Calibri"/>
          <w:i/>
          <w:iCs/>
          <w:lang w:val="en-AU"/>
        </w:rPr>
      </w:pPr>
      <w:r w:rsidRPr="00913F0E">
        <w:rPr>
          <w:rFonts w:ascii="Calibri" w:hAnsi="Calibri"/>
          <w:i/>
          <w:iCs/>
          <w:lang w:val="en-AU"/>
        </w:rPr>
        <w:t>Detail Stage</w:t>
      </w:r>
    </w:p>
    <w:p w:rsidR="00B649A0" w:rsidRPr="00913F0E" w:rsidRDefault="00B649A0" w:rsidP="00B649A0">
      <w:pPr>
        <w:spacing w:before="120"/>
        <w:ind w:left="720"/>
        <w:rPr>
          <w:rFonts w:ascii="Calibri" w:hAnsi="Calibri"/>
          <w:iCs/>
          <w:lang w:val="en-AU"/>
        </w:rPr>
      </w:pPr>
      <w:r w:rsidRPr="00913F0E">
        <w:rPr>
          <w:rFonts w:ascii="Calibri" w:hAnsi="Calibri"/>
          <w:iCs/>
          <w:lang w:val="en-AU"/>
        </w:rPr>
        <w:t>Bill, by leave, taken as a whole—</w:t>
      </w:r>
    </w:p>
    <w:p w:rsidR="007935D7" w:rsidRDefault="007935D7" w:rsidP="00B649A0">
      <w:pPr>
        <w:spacing w:before="120"/>
        <w:ind w:left="720"/>
        <w:rPr>
          <w:rFonts w:ascii="Calibri" w:hAnsi="Calibri"/>
          <w:iCs/>
          <w:lang w:val="en-AU"/>
        </w:rPr>
      </w:pPr>
      <w:r>
        <w:rPr>
          <w:rFonts w:ascii="Calibri" w:hAnsi="Calibri"/>
          <w:iCs/>
          <w:lang w:val="en-AU"/>
        </w:rPr>
        <w:t xml:space="preserve">On the motion of </w:t>
      </w:r>
      <w:r w:rsidR="00B649A0">
        <w:rPr>
          <w:rFonts w:ascii="Calibri" w:hAnsi="Calibri"/>
          <w:iCs/>
          <w:lang w:val="en-AU"/>
        </w:rPr>
        <w:t>Ms Berry</w:t>
      </w:r>
      <w:r w:rsidR="00BF3C56">
        <w:rPr>
          <w:rFonts w:ascii="Calibri" w:hAnsi="Calibri"/>
          <w:iCs/>
          <w:lang w:val="en-AU"/>
        </w:rPr>
        <w:t xml:space="preserve">, by leave, </w:t>
      </w:r>
      <w:r w:rsidR="00B649A0">
        <w:rPr>
          <w:rFonts w:ascii="Calibri" w:hAnsi="Calibri"/>
          <w:iCs/>
          <w:lang w:val="en-AU"/>
        </w:rPr>
        <w:t>her amendments Nos 1 to 46 (</w:t>
      </w:r>
      <w:r w:rsidR="000755D6">
        <w:rPr>
          <w:rFonts w:ascii="Calibri" w:hAnsi="Calibri"/>
          <w:i/>
          <w:iCs/>
          <w:lang w:val="en-AU"/>
        </w:rPr>
        <w:t>s</w:t>
      </w:r>
      <w:r w:rsidR="00B649A0" w:rsidRPr="00C17496">
        <w:rPr>
          <w:rFonts w:ascii="Calibri" w:hAnsi="Calibri"/>
          <w:i/>
          <w:iCs/>
          <w:lang w:val="en-AU"/>
        </w:rPr>
        <w:t>ee</w:t>
      </w:r>
      <w:r w:rsidR="00DB783A">
        <w:rPr>
          <w:rFonts w:ascii="Calibri" w:hAnsi="Calibri"/>
          <w:iCs/>
          <w:lang w:val="en-AU"/>
        </w:rPr>
        <w:t xml:space="preserve"> </w:t>
      </w:r>
      <w:hyperlink w:anchor="Schedule1" w:history="1">
        <w:r w:rsidR="00DB783A" w:rsidRPr="00F03DBF">
          <w:rPr>
            <w:rStyle w:val="Hyperlink"/>
            <w:rFonts w:ascii="Calibri" w:hAnsi="Calibri"/>
            <w:iCs/>
            <w:lang w:val="en-AU"/>
          </w:rPr>
          <w:t>Schedule 1</w:t>
        </w:r>
      </w:hyperlink>
      <w:r w:rsidR="00DB783A">
        <w:rPr>
          <w:rFonts w:ascii="Calibri" w:hAnsi="Calibri"/>
          <w:iCs/>
          <w:lang w:val="en-AU"/>
        </w:rPr>
        <w:t xml:space="preserve">) </w:t>
      </w:r>
      <w:r>
        <w:rPr>
          <w:rFonts w:ascii="Calibri" w:hAnsi="Calibri"/>
          <w:iCs/>
          <w:lang w:val="en-AU"/>
        </w:rPr>
        <w:t xml:space="preserve">were made </w:t>
      </w:r>
      <w:r w:rsidR="00DB783A">
        <w:rPr>
          <w:rFonts w:ascii="Calibri" w:hAnsi="Calibri"/>
          <w:iCs/>
          <w:lang w:val="en-AU"/>
        </w:rPr>
        <w:t>together</w:t>
      </w:r>
      <w:r>
        <w:rPr>
          <w:rFonts w:ascii="Calibri" w:hAnsi="Calibri"/>
          <w:iCs/>
          <w:lang w:val="en-AU"/>
        </w:rPr>
        <w:t>.</w:t>
      </w:r>
    </w:p>
    <w:p w:rsidR="00B649A0" w:rsidRDefault="007935D7" w:rsidP="00B649A0">
      <w:pPr>
        <w:spacing w:before="120"/>
        <w:ind w:left="720"/>
        <w:rPr>
          <w:rFonts w:ascii="Calibri" w:hAnsi="Calibri"/>
          <w:iCs/>
          <w:lang w:val="en-AU"/>
        </w:rPr>
      </w:pPr>
      <w:r>
        <w:rPr>
          <w:rFonts w:ascii="Calibri" w:hAnsi="Calibri"/>
          <w:i/>
          <w:iCs/>
          <w:lang w:val="en-AU"/>
        </w:rPr>
        <w:t xml:space="preserve">Paper:  </w:t>
      </w:r>
      <w:r>
        <w:rPr>
          <w:rFonts w:ascii="Calibri" w:hAnsi="Calibri"/>
          <w:iCs/>
          <w:lang w:val="en-AU"/>
        </w:rPr>
        <w:t>Ms Berry presented a supplementary explanatory statement to the Government amendments</w:t>
      </w:r>
      <w:r w:rsidR="00DB783A">
        <w:rPr>
          <w:rFonts w:ascii="Calibri" w:hAnsi="Calibri"/>
          <w:iCs/>
          <w:lang w:val="en-AU"/>
        </w:rPr>
        <w:t>.</w:t>
      </w:r>
    </w:p>
    <w:p w:rsidR="00B649A0" w:rsidRPr="00913F0E" w:rsidRDefault="00B649A0" w:rsidP="00B649A0">
      <w:pPr>
        <w:spacing w:before="120"/>
        <w:ind w:left="720"/>
        <w:rPr>
          <w:rFonts w:ascii="Calibri" w:hAnsi="Calibri"/>
          <w:lang w:val="en-AU"/>
        </w:rPr>
      </w:pPr>
      <w:r w:rsidRPr="00913F0E">
        <w:rPr>
          <w:rFonts w:ascii="Calibri" w:hAnsi="Calibri"/>
          <w:lang w:val="en-AU"/>
        </w:rPr>
        <w:t>Bill, as a whole,</w:t>
      </w:r>
      <w:r w:rsidR="00BF3C56">
        <w:rPr>
          <w:rFonts w:ascii="Calibri" w:hAnsi="Calibri"/>
          <w:lang w:val="en-AU"/>
        </w:rPr>
        <w:t xml:space="preserve"> as amended,</w:t>
      </w:r>
      <w:r w:rsidRPr="00913F0E">
        <w:rPr>
          <w:rFonts w:ascii="Calibri" w:hAnsi="Calibri"/>
          <w:lang w:val="en-AU"/>
        </w:rPr>
        <w:t xml:space="preserve"> agreed to.</w:t>
      </w:r>
    </w:p>
    <w:p w:rsidR="00B649A0" w:rsidRPr="00913F0E" w:rsidRDefault="00B649A0" w:rsidP="00B649A0">
      <w:pPr>
        <w:pBdr>
          <w:top w:val="thickThinLargeGap" w:sz="18" w:space="1" w:color="auto"/>
        </w:pBdr>
        <w:spacing w:before="180"/>
        <w:ind w:left="3427" w:right="3658"/>
        <w:jc w:val="center"/>
        <w:rPr>
          <w:rFonts w:ascii="Calibri" w:hAnsi="Calibri"/>
          <w:lang w:val="en-AU"/>
        </w:rPr>
      </w:pPr>
    </w:p>
    <w:p w:rsidR="00B649A0" w:rsidRPr="00913F0E" w:rsidRDefault="00B649A0" w:rsidP="00B649A0">
      <w:pPr>
        <w:ind w:left="720"/>
        <w:rPr>
          <w:rFonts w:ascii="Calibri" w:hAnsi="Calibri"/>
          <w:lang w:val="en-AU"/>
        </w:rPr>
      </w:pPr>
      <w:r w:rsidRPr="00913F0E">
        <w:rPr>
          <w:rFonts w:ascii="Calibri" w:hAnsi="Calibri"/>
          <w:lang w:val="en-AU"/>
        </w:rPr>
        <w:t>Question—That this Bill, as amended, be agreed to—put and passed.</w:t>
      </w:r>
    </w:p>
    <w:p w:rsidR="00BD6FA5" w:rsidRPr="00BD6FA5" w:rsidRDefault="00BD6FA5" w:rsidP="00BD6FA5">
      <w:pPr>
        <w:keepNext/>
        <w:keepLines/>
        <w:tabs>
          <w:tab w:val="right" w:pos="339"/>
          <w:tab w:val="left" w:pos="720"/>
        </w:tabs>
        <w:spacing w:before="240"/>
        <w:ind w:left="720" w:hanging="720"/>
        <w:rPr>
          <w:rFonts w:ascii="Calibri" w:hAnsi="Calibri"/>
          <w:b/>
          <w:caps/>
        </w:rPr>
      </w:pPr>
      <w:r w:rsidRPr="00BD6FA5">
        <w:rPr>
          <w:rFonts w:ascii="Calibri" w:hAnsi="Calibri"/>
          <w:b/>
          <w:caps/>
        </w:rPr>
        <w:tab/>
      </w:r>
      <w:r w:rsidR="00AD58F7">
        <w:rPr>
          <w:rFonts w:ascii="Calibri" w:hAnsi="Calibri"/>
          <w:b/>
          <w:bCs/>
          <w:caps/>
        </w:rPr>
        <w:fldChar w:fldCharType="begin"/>
      </w:r>
      <w:r w:rsidR="00AD58F7">
        <w:rPr>
          <w:rFonts w:ascii="Calibri" w:hAnsi="Calibri"/>
          <w:b/>
          <w:bCs/>
          <w:caps/>
        </w:rPr>
        <w:instrText xml:space="preserve"> SEQ A \* MERGEFORMAT </w:instrText>
      </w:r>
      <w:r w:rsidR="00AD58F7">
        <w:rPr>
          <w:rFonts w:ascii="Calibri" w:hAnsi="Calibri"/>
          <w:b/>
          <w:bCs/>
          <w:caps/>
        </w:rPr>
        <w:fldChar w:fldCharType="separate"/>
      </w:r>
      <w:r w:rsidR="00C4170D">
        <w:rPr>
          <w:rFonts w:ascii="Calibri" w:hAnsi="Calibri"/>
          <w:b/>
          <w:bCs/>
          <w:caps/>
          <w:noProof/>
        </w:rPr>
        <w:t>19</w:t>
      </w:r>
      <w:r w:rsidR="00AD58F7">
        <w:rPr>
          <w:rFonts w:ascii="Calibri" w:hAnsi="Calibri"/>
          <w:b/>
          <w:bCs/>
          <w:caps/>
        </w:rPr>
        <w:fldChar w:fldCharType="end"/>
      </w:r>
      <w:r w:rsidRPr="00BD6FA5">
        <w:rPr>
          <w:rFonts w:ascii="Calibri" w:hAnsi="Calibri"/>
          <w:b/>
          <w:caps/>
        </w:rPr>
        <w:tab/>
        <w:t>ADJOURNMENT</w:t>
      </w:r>
    </w:p>
    <w:p w:rsidR="00BD6FA5" w:rsidRPr="00BD6FA5" w:rsidRDefault="00BD6FA5" w:rsidP="00BD6FA5">
      <w:pPr>
        <w:tabs>
          <w:tab w:val="left" w:pos="1197"/>
          <w:tab w:val="left" w:pos="1767"/>
        </w:tabs>
        <w:spacing w:before="120"/>
        <w:ind w:left="720"/>
        <w:rPr>
          <w:rFonts w:ascii="Calibri" w:hAnsi="Calibri"/>
          <w:lang w:val="en-AU"/>
        </w:rPr>
      </w:pPr>
      <w:r>
        <w:rPr>
          <w:rFonts w:ascii="Calibri" w:hAnsi="Calibri"/>
          <w:lang w:val="en-AU"/>
        </w:rPr>
        <w:t>Mr Gentleman</w:t>
      </w:r>
      <w:r w:rsidRPr="00BD6FA5">
        <w:rPr>
          <w:rFonts w:ascii="Calibri" w:hAnsi="Calibri"/>
          <w:lang w:val="en-AU"/>
        </w:rPr>
        <w:t xml:space="preserve"> (Manager of Government Business) moved—That the Assembly do now adjourn.</w:t>
      </w:r>
    </w:p>
    <w:p w:rsidR="00BD6FA5" w:rsidRPr="00BD6FA5" w:rsidRDefault="00BD6FA5" w:rsidP="00BD6FA5">
      <w:pPr>
        <w:tabs>
          <w:tab w:val="left" w:pos="1197"/>
          <w:tab w:val="left" w:pos="1767"/>
        </w:tabs>
        <w:spacing w:before="120"/>
        <w:ind w:left="720"/>
        <w:rPr>
          <w:rFonts w:ascii="Calibri" w:hAnsi="Calibri"/>
          <w:lang w:val="en-AU"/>
        </w:rPr>
      </w:pPr>
      <w:r w:rsidRPr="00BD6FA5">
        <w:rPr>
          <w:rFonts w:ascii="Calibri" w:hAnsi="Calibri"/>
          <w:lang w:val="en-AU"/>
        </w:rPr>
        <w:t>Debate ensued.</w:t>
      </w:r>
    </w:p>
    <w:p w:rsidR="00BD6FA5" w:rsidRPr="00BD6FA5" w:rsidRDefault="00BD6FA5" w:rsidP="00977019">
      <w:pPr>
        <w:keepNext/>
        <w:tabs>
          <w:tab w:val="left" w:pos="1197"/>
          <w:tab w:val="left" w:pos="1767"/>
        </w:tabs>
        <w:spacing w:before="120"/>
        <w:ind w:left="720"/>
        <w:rPr>
          <w:rFonts w:ascii="Calibri" w:hAnsi="Calibri"/>
          <w:lang w:val="en-AU"/>
        </w:rPr>
      </w:pPr>
      <w:r w:rsidRPr="00BD6FA5">
        <w:rPr>
          <w:rFonts w:ascii="Calibri" w:hAnsi="Calibri"/>
          <w:lang w:val="en-AU"/>
        </w:rPr>
        <w:t>Question—put and passed.</w:t>
      </w:r>
    </w:p>
    <w:p w:rsidR="00BD6FA5" w:rsidRPr="00BD6FA5" w:rsidRDefault="00BD6FA5" w:rsidP="00BD6FA5">
      <w:pPr>
        <w:tabs>
          <w:tab w:val="left" w:pos="1197"/>
          <w:tab w:val="left" w:pos="1767"/>
        </w:tabs>
        <w:spacing w:before="120"/>
        <w:ind w:left="720"/>
        <w:rPr>
          <w:rFonts w:ascii="Calibri" w:hAnsi="Calibri"/>
          <w:lang w:val="en-AU"/>
        </w:rPr>
      </w:pPr>
      <w:bookmarkStart w:id="1" w:name="_GoBack"/>
      <w:bookmarkEnd w:id="1"/>
      <w:r w:rsidRPr="00BD6FA5">
        <w:rPr>
          <w:rFonts w:ascii="Calibri" w:hAnsi="Calibri"/>
          <w:lang w:val="en-AU"/>
        </w:rPr>
        <w:t xml:space="preserve">And then the Assembly, at </w:t>
      </w:r>
      <w:r w:rsidR="00D25B34">
        <w:rPr>
          <w:rFonts w:ascii="Calibri" w:hAnsi="Calibri"/>
          <w:lang w:val="en-AU"/>
        </w:rPr>
        <w:t>5:56</w:t>
      </w:r>
      <w:r w:rsidRPr="00BD6FA5">
        <w:rPr>
          <w:rFonts w:ascii="Calibri" w:hAnsi="Calibri"/>
          <w:lang w:val="en-AU"/>
        </w:rPr>
        <w:t xml:space="preserve"> pm, adjourned until tomorrow at 10 am.</w:t>
      </w:r>
    </w:p>
    <w:p w:rsidR="00BD6FA5" w:rsidRPr="00BD6FA5" w:rsidRDefault="00BD6FA5" w:rsidP="00BD6FA5">
      <w:pPr>
        <w:pBdr>
          <w:bottom w:val="thinThickLargeGap" w:sz="18" w:space="1" w:color="auto"/>
        </w:pBdr>
        <w:ind w:left="3427" w:right="3658"/>
        <w:rPr>
          <w:rFonts w:ascii="Calibri" w:hAnsi="Calibri"/>
          <w:i/>
          <w:iCs/>
          <w:lang w:val="en-AU"/>
        </w:rPr>
      </w:pPr>
    </w:p>
    <w:p w:rsidR="00BD6FA5" w:rsidRDefault="00BD6FA5" w:rsidP="00DC0705">
      <w:pPr>
        <w:keepNext/>
        <w:keepLines/>
        <w:spacing w:before="240"/>
        <w:ind w:left="187"/>
        <w:jc w:val="both"/>
        <w:rPr>
          <w:rFonts w:ascii="Calibri" w:hAnsi="Calibri"/>
          <w:bCs/>
        </w:rPr>
      </w:pPr>
      <w:r w:rsidRPr="00BD6FA5">
        <w:rPr>
          <w:rFonts w:ascii="Calibri" w:hAnsi="Calibri"/>
          <w:b/>
          <w:caps/>
        </w:rPr>
        <w:t>MEMBERS</w:t>
      </w:r>
      <w:r w:rsidR="002777E5">
        <w:rPr>
          <w:rFonts w:ascii="Calibri" w:hAnsi="Calibri"/>
          <w:b/>
          <w:caps/>
        </w:rPr>
        <w:t>’</w:t>
      </w:r>
      <w:r w:rsidRPr="00BD6FA5">
        <w:rPr>
          <w:rFonts w:ascii="Calibri" w:hAnsi="Calibri"/>
          <w:b/>
          <w:caps/>
        </w:rPr>
        <w:t xml:space="preserve"> ATTENDANCE:  </w:t>
      </w:r>
      <w:r w:rsidRPr="00BD6FA5">
        <w:rPr>
          <w:rFonts w:ascii="Calibri" w:hAnsi="Calibri"/>
        </w:rPr>
        <w:t>All Members were present at some time during the sitting</w:t>
      </w:r>
      <w:r>
        <w:rPr>
          <w:rFonts w:ascii="Calibri" w:hAnsi="Calibri"/>
        </w:rPr>
        <w:t xml:space="preserve"> except Ms Vassarotti</w:t>
      </w:r>
      <w:r w:rsidRPr="00BD6FA5">
        <w:rPr>
          <w:rFonts w:ascii="Calibri" w:hAnsi="Calibri"/>
          <w:bCs/>
        </w:rPr>
        <w:t>.</w:t>
      </w:r>
      <w:r>
        <w:rPr>
          <w:rFonts w:ascii="Calibri" w:hAnsi="Calibri"/>
          <w:bCs/>
        </w:rPr>
        <w:t>*</w:t>
      </w:r>
    </w:p>
    <w:p w:rsidR="00BD6FA5" w:rsidRPr="00BD6FA5" w:rsidRDefault="00BD6FA5" w:rsidP="00BD6FA5">
      <w:pPr>
        <w:keepNext/>
        <w:keepLines/>
        <w:spacing w:before="240" w:after="100" w:afterAutospacing="1"/>
        <w:ind w:left="180"/>
        <w:jc w:val="center"/>
        <w:rPr>
          <w:rFonts w:ascii="Calibri" w:hAnsi="Calibri"/>
          <w:bCs/>
        </w:rPr>
      </w:pPr>
      <w:r w:rsidRPr="00BD6FA5">
        <w:rPr>
          <w:rFonts w:ascii="Calibri" w:hAnsi="Calibri"/>
        </w:rPr>
        <w:t>*on leave.</w:t>
      </w:r>
    </w:p>
    <w:p w:rsidR="00BD6FA5" w:rsidRPr="00BD6FA5" w:rsidRDefault="00BD6FA5" w:rsidP="00BD6FA5">
      <w:pPr>
        <w:pBdr>
          <w:top w:val="thickThinLargeGap" w:sz="18" w:space="1" w:color="auto"/>
        </w:pBdr>
        <w:spacing w:before="180"/>
        <w:ind w:left="3427" w:right="3658"/>
        <w:jc w:val="center"/>
        <w:rPr>
          <w:rFonts w:ascii="Calibri" w:hAnsi="Calibri"/>
          <w:lang w:val="en-AU"/>
        </w:rPr>
      </w:pPr>
    </w:p>
    <w:p w:rsidR="00BD6FA5" w:rsidRPr="00BD6FA5" w:rsidRDefault="00BD6FA5" w:rsidP="00BD6FA5">
      <w:pPr>
        <w:keepNext/>
        <w:keepLines/>
        <w:spacing w:before="720"/>
        <w:ind w:left="5670" w:right="-33"/>
        <w:jc w:val="center"/>
        <w:rPr>
          <w:rFonts w:ascii="Calibri" w:hAnsi="Calibri"/>
          <w:b/>
          <w:bCs/>
          <w:lang w:val="en-AU"/>
        </w:rPr>
      </w:pPr>
      <w:r w:rsidRPr="00BD6FA5">
        <w:rPr>
          <w:rFonts w:ascii="Calibri" w:hAnsi="Calibri"/>
          <w:b/>
          <w:bCs/>
          <w:lang w:val="en-AU"/>
        </w:rPr>
        <w:t>Tom Duncan</w:t>
      </w:r>
    </w:p>
    <w:p w:rsidR="00BD6FA5" w:rsidRPr="00BD6FA5" w:rsidRDefault="00BD6FA5" w:rsidP="00BD6FA5">
      <w:pPr>
        <w:keepLines/>
        <w:ind w:left="5760"/>
        <w:jc w:val="right"/>
        <w:rPr>
          <w:rFonts w:ascii="Calibri" w:hAnsi="Calibri"/>
          <w:lang w:val="en-AU"/>
        </w:rPr>
      </w:pPr>
      <w:r w:rsidRPr="00BD6FA5">
        <w:rPr>
          <w:rFonts w:ascii="Calibri" w:hAnsi="Calibri"/>
          <w:szCs w:val="24"/>
          <w:lang w:val="en-AU"/>
        </w:rPr>
        <w:t>Clerk of the Legislative Assembly</w:t>
      </w:r>
    </w:p>
    <w:p w:rsidR="00FA21B7" w:rsidRDefault="00FA21B7" w:rsidP="007A2DDA">
      <w:pPr>
        <w:pStyle w:val="DPSEntryDetail"/>
      </w:pPr>
    </w:p>
    <w:p w:rsidR="0006604A" w:rsidRDefault="0006604A" w:rsidP="007A2DDA">
      <w:pPr>
        <w:pStyle w:val="DPSEntryDetail"/>
      </w:pPr>
    </w:p>
    <w:p w:rsidR="0006604A" w:rsidRDefault="0006604A" w:rsidP="007A2DDA">
      <w:pPr>
        <w:pStyle w:val="DPSEntryDetail"/>
      </w:pPr>
    </w:p>
    <w:p w:rsidR="0006604A" w:rsidRPr="00802856" w:rsidRDefault="0006604A" w:rsidP="0006604A">
      <w:pPr>
        <w:pStyle w:val="Heading2"/>
        <w:jc w:val="center"/>
        <w:rPr>
          <w:rFonts w:asciiTheme="minorHAnsi" w:hAnsiTheme="minorHAnsi"/>
          <w:i w:val="0"/>
          <w:sz w:val="36"/>
          <w:szCs w:val="36"/>
        </w:rPr>
      </w:pPr>
      <w:r>
        <w:br w:type="column"/>
      </w:r>
      <w:r w:rsidR="006D4BFC">
        <w:rPr>
          <w:rFonts w:asciiTheme="minorHAnsi" w:hAnsiTheme="minorHAnsi"/>
          <w:i w:val="0"/>
          <w:sz w:val="36"/>
          <w:szCs w:val="36"/>
        </w:rPr>
        <w:t>SCHEDULE</w:t>
      </w:r>
      <w:r w:rsidRPr="00802856">
        <w:rPr>
          <w:rFonts w:asciiTheme="minorHAnsi" w:hAnsiTheme="minorHAnsi"/>
          <w:i w:val="0"/>
          <w:sz w:val="36"/>
          <w:szCs w:val="36"/>
        </w:rPr>
        <w:t xml:space="preserve"> OF AMENDMENTS</w:t>
      </w:r>
    </w:p>
    <w:p w:rsidR="006D4BFC" w:rsidRDefault="006D4BFC" w:rsidP="006D4BFC">
      <w:pPr>
        <w:pStyle w:val="DPSEntryDetail"/>
        <w:ind w:left="0"/>
        <w:jc w:val="center"/>
        <w:rPr>
          <w:b/>
          <w:sz w:val="36"/>
          <w:szCs w:val="36"/>
          <w:u w:val="single"/>
        </w:rPr>
        <w:sectPr w:rsidR="006D4BFC" w:rsidSect="00C7131D">
          <w:headerReference w:type="even" r:id="rId11"/>
          <w:headerReference w:type="default" r:id="rId12"/>
          <w:headerReference w:type="first" r:id="rId13"/>
          <w:footerReference w:type="first" r:id="rId14"/>
          <w:pgSz w:w="11906" w:h="16838"/>
          <w:pgMar w:top="1526" w:right="1440" w:bottom="1267" w:left="1138" w:header="634" w:footer="576" w:gutter="0"/>
          <w:pgNumType w:start="695"/>
          <w:cols w:space="708"/>
          <w:titlePg/>
          <w:docGrid w:linePitch="360"/>
        </w:sectPr>
      </w:pPr>
    </w:p>
    <w:p w:rsidR="0006604A" w:rsidRPr="00F25EF9" w:rsidRDefault="0006604A" w:rsidP="006D4BFC">
      <w:pPr>
        <w:pStyle w:val="DPSEntryDetail"/>
        <w:ind w:left="0"/>
        <w:jc w:val="center"/>
        <w:rPr>
          <w:b/>
          <w:sz w:val="36"/>
          <w:szCs w:val="36"/>
          <w:u w:val="single"/>
        </w:rPr>
      </w:pPr>
    </w:p>
    <w:p w:rsidR="0006604A" w:rsidRPr="00FC055F" w:rsidRDefault="0006604A" w:rsidP="0006604A">
      <w:pPr>
        <w:pStyle w:val="DPSEntryDetail"/>
        <w:ind w:left="0"/>
        <w:rPr>
          <w:b/>
          <w:sz w:val="28"/>
          <w:szCs w:val="28"/>
          <w:u w:val="single"/>
        </w:rPr>
      </w:pPr>
      <w:bookmarkStart w:id="2" w:name="Schedule1"/>
      <w:r w:rsidRPr="00FC055F">
        <w:rPr>
          <w:b/>
          <w:sz w:val="28"/>
          <w:szCs w:val="28"/>
          <w:u w:val="single"/>
        </w:rPr>
        <w:t>Schedule 1</w:t>
      </w:r>
    </w:p>
    <w:bookmarkEnd w:id="2"/>
    <w:p w:rsidR="0006604A" w:rsidRPr="00E90B5B" w:rsidRDefault="0006604A" w:rsidP="0006604A">
      <w:pPr>
        <w:rPr>
          <w:sz w:val="28"/>
        </w:rPr>
      </w:pPr>
    </w:p>
    <w:p w:rsidR="0006604A" w:rsidRPr="00733D8E" w:rsidRDefault="0006604A" w:rsidP="0006604A">
      <w:pPr>
        <w:pBdr>
          <w:bottom w:val="single" w:sz="4" w:space="1" w:color="auto"/>
        </w:pBdr>
        <w:tabs>
          <w:tab w:val="left" w:pos="1197"/>
          <w:tab w:val="left" w:pos="1767"/>
        </w:tabs>
        <w:spacing w:before="120" w:after="120"/>
        <w:rPr>
          <w:caps/>
          <w:spacing w:val="-2"/>
          <w:szCs w:val="24"/>
          <w:lang w:val="en-AU"/>
        </w:rPr>
      </w:pPr>
      <w:r>
        <w:rPr>
          <w:b/>
          <w:szCs w:val="24"/>
        </w:rPr>
        <w:t>EDUCATION AMENDMENT BILL 2022</w:t>
      </w:r>
    </w:p>
    <w:p w:rsidR="0006604A" w:rsidRDefault="0006604A" w:rsidP="0006604A">
      <w:pPr>
        <w:tabs>
          <w:tab w:val="left" w:pos="1197"/>
          <w:tab w:val="left" w:pos="1767"/>
        </w:tabs>
        <w:spacing w:before="120"/>
        <w:rPr>
          <w:lang w:val="en-AU"/>
        </w:rPr>
      </w:pPr>
      <w:r>
        <w:rPr>
          <w:lang w:val="en-AU"/>
        </w:rPr>
        <w:t>Amendments</w:t>
      </w:r>
      <w:r w:rsidRPr="00733D8E">
        <w:rPr>
          <w:lang w:val="en-AU"/>
        </w:rPr>
        <w:t xml:space="preserve"> circulated by </w:t>
      </w:r>
      <w:r>
        <w:rPr>
          <w:lang w:val="en-AU"/>
        </w:rPr>
        <w:t>the Minister for Education and Youth Affairs</w:t>
      </w:r>
    </w:p>
    <w:p w:rsidR="0006604A" w:rsidRPr="00B36404" w:rsidRDefault="0006604A" w:rsidP="006D4BFC">
      <w:pPr>
        <w:pStyle w:val="AH3sec"/>
      </w:pPr>
      <w:r w:rsidRPr="00A161CE">
        <w:br/>
      </w:r>
      <w:r w:rsidRPr="00B36404">
        <w:t>Clause 2</w:t>
      </w:r>
      <w:r w:rsidRPr="00B36404">
        <w:br/>
        <w:t>Page 2, line 4—</w:t>
      </w:r>
    </w:p>
    <w:p w:rsidR="0006604A" w:rsidRPr="00B36404" w:rsidRDefault="0006604A" w:rsidP="0006604A">
      <w:pPr>
        <w:pStyle w:val="direction"/>
      </w:pPr>
      <w:r w:rsidRPr="00B36404">
        <w:t>omit clause 2, substitute</w:t>
      </w:r>
    </w:p>
    <w:p w:rsidR="0006604A" w:rsidRPr="00B36404" w:rsidRDefault="0006604A" w:rsidP="0006604A">
      <w:pPr>
        <w:pStyle w:val="IshadedH5Sec"/>
      </w:pPr>
      <w:r w:rsidRPr="00B36404">
        <w:t>2</w:t>
      </w:r>
      <w:r w:rsidRPr="00B36404">
        <w:tab/>
        <w:t>Commencement</w:t>
      </w:r>
    </w:p>
    <w:p w:rsidR="0006604A" w:rsidRPr="00B36404" w:rsidRDefault="0006604A" w:rsidP="0006604A">
      <w:pPr>
        <w:pStyle w:val="Amainreturn"/>
      </w:pPr>
      <w:bookmarkStart w:id="3" w:name="_Hlk103155473"/>
      <w:r w:rsidRPr="00B36404">
        <w:t>This Act commences on 20 December 2022.</w:t>
      </w:r>
    </w:p>
    <w:p w:rsidR="0006604A" w:rsidRPr="00B36404" w:rsidRDefault="0006604A" w:rsidP="0006604A">
      <w:pPr>
        <w:pStyle w:val="aNote"/>
      </w:pPr>
      <w:r w:rsidRPr="00B36404">
        <w:rPr>
          <w:i/>
        </w:rPr>
        <w:t>Note</w:t>
      </w:r>
      <w:r w:rsidRPr="00B36404">
        <w:rPr>
          <w:i/>
        </w:rPr>
        <w:tab/>
      </w:r>
      <w:r w:rsidRPr="00B36404">
        <w:t>The naming and commencement provisions automatically commence on the notification day (see Legislation Act, s 75 (1)).</w:t>
      </w:r>
    </w:p>
    <w:bookmarkEnd w:id="3"/>
    <w:p w:rsidR="0006604A" w:rsidRPr="00B36404" w:rsidRDefault="0006604A" w:rsidP="0006604A">
      <w:pPr>
        <w:pStyle w:val="AH3sec"/>
        <w:tabs>
          <w:tab w:val="clear" w:pos="284"/>
          <w:tab w:val="num" w:pos="360"/>
        </w:tabs>
      </w:pPr>
      <w:r w:rsidRPr="00B36404">
        <w:br/>
        <w:t>Clause 8</w:t>
      </w:r>
      <w:r w:rsidRPr="00B36404">
        <w:br/>
        <w:t>Proposed new section 17B (1)</w:t>
      </w:r>
      <w:r w:rsidRPr="00B36404">
        <w:br/>
        <w:t>Page 6, line 9—</w:t>
      </w:r>
    </w:p>
    <w:p w:rsidR="0006604A" w:rsidRPr="00B36404" w:rsidRDefault="0006604A" w:rsidP="0006604A">
      <w:pPr>
        <w:pStyle w:val="direction"/>
      </w:pPr>
      <w:r w:rsidRPr="00B36404">
        <w:t>omit proposed new section 17B (1), substitute</w:t>
      </w:r>
    </w:p>
    <w:p w:rsidR="0006604A" w:rsidRPr="00B36404" w:rsidRDefault="0006604A" w:rsidP="0006604A">
      <w:pPr>
        <w:pStyle w:val="IMain"/>
      </w:pPr>
      <w:r w:rsidRPr="00B36404">
        <w:tab/>
        <w:t>(1)</w:t>
      </w:r>
      <w:r w:rsidRPr="00B36404">
        <w:tab/>
        <w:t xml:space="preserve">For this chapter, the behaviour of a student at a school is </w:t>
      </w:r>
      <w:r w:rsidRPr="00B36404">
        <w:rPr>
          <w:rStyle w:val="charBoldItals"/>
        </w:rPr>
        <w:t xml:space="preserve">unsafe or noncompliant </w:t>
      </w:r>
      <w:r w:rsidRPr="00B36404">
        <w:t>if the behaviour reduces the safety or effectiveness of the learning environment at the school because it—</w:t>
      </w:r>
    </w:p>
    <w:p w:rsidR="0006604A" w:rsidRPr="00B36404" w:rsidRDefault="0006604A" w:rsidP="0006604A">
      <w:pPr>
        <w:pStyle w:val="Ipara"/>
      </w:pPr>
      <w:r w:rsidRPr="00B36404">
        <w:tab/>
        <w:t>(a)</w:t>
      </w:r>
      <w:r w:rsidRPr="00B36404">
        <w:tab/>
        <w:t>is persistently or disruptively noncompliant; or</w:t>
      </w:r>
    </w:p>
    <w:p w:rsidR="0006604A" w:rsidRPr="00B36404" w:rsidRDefault="0006604A" w:rsidP="0006604A">
      <w:pPr>
        <w:pStyle w:val="Ipara"/>
      </w:pPr>
      <w:r w:rsidRPr="00B36404">
        <w:tab/>
        <w:t>(b)</w:t>
      </w:r>
      <w:r w:rsidRPr="00B36404">
        <w:tab/>
        <w:t>poses an unacceptable risk to the safety or wellbeing of—</w:t>
      </w:r>
    </w:p>
    <w:p w:rsidR="0006604A" w:rsidRPr="00B36404" w:rsidRDefault="0006604A" w:rsidP="0006604A">
      <w:pPr>
        <w:pStyle w:val="Isubpara"/>
      </w:pPr>
      <w:r w:rsidRPr="00B36404">
        <w:tab/>
        <w:t>(i)</w:t>
      </w:r>
      <w:r w:rsidRPr="00B36404">
        <w:tab/>
        <w:t>another student at the school; or</w:t>
      </w:r>
    </w:p>
    <w:p w:rsidR="0006604A" w:rsidRPr="00B36404" w:rsidRDefault="0006604A" w:rsidP="0006604A">
      <w:pPr>
        <w:pStyle w:val="Isubpara"/>
      </w:pPr>
      <w:r w:rsidRPr="00B36404">
        <w:tab/>
        <w:t>(ii)</w:t>
      </w:r>
      <w:r w:rsidRPr="00B36404">
        <w:tab/>
        <w:t>a member of staff of the school; or</w:t>
      </w:r>
    </w:p>
    <w:p w:rsidR="0006604A" w:rsidRPr="00B36404" w:rsidRDefault="0006604A" w:rsidP="0006604A">
      <w:pPr>
        <w:pStyle w:val="Isubpara"/>
      </w:pPr>
      <w:r w:rsidRPr="00B36404">
        <w:tab/>
        <w:t>(iii)</w:t>
      </w:r>
      <w:r w:rsidRPr="00B36404">
        <w:tab/>
        <w:t>someone else involved in the school</w:t>
      </w:r>
      <w:r w:rsidR="002777E5">
        <w:t>’</w:t>
      </w:r>
      <w:r w:rsidRPr="00B36404">
        <w:t>s operation.</w:t>
      </w:r>
    </w:p>
    <w:p w:rsidR="0006604A" w:rsidRPr="00B36404" w:rsidRDefault="0006604A" w:rsidP="0006604A">
      <w:pPr>
        <w:pStyle w:val="AH3sec"/>
        <w:tabs>
          <w:tab w:val="clear" w:pos="284"/>
          <w:tab w:val="num" w:pos="360"/>
        </w:tabs>
      </w:pPr>
      <w:r w:rsidRPr="00B36404">
        <w:br/>
        <w:t>Clause 8</w:t>
      </w:r>
      <w:r w:rsidRPr="00B36404">
        <w:br/>
        <w:t>Proposed new section 17B (2), example</w:t>
      </w:r>
      <w:r w:rsidRPr="00B36404">
        <w:br/>
        <w:t>Page 6, line 22—</w:t>
      </w:r>
    </w:p>
    <w:p w:rsidR="0006604A" w:rsidRPr="00B36404" w:rsidRDefault="0006604A" w:rsidP="0006604A">
      <w:pPr>
        <w:pStyle w:val="direction"/>
      </w:pPr>
      <w:r w:rsidRPr="00B36404">
        <w:t>omit the example, substitute</w:t>
      </w:r>
    </w:p>
    <w:p w:rsidR="0006604A" w:rsidRPr="00B36404" w:rsidRDefault="0006604A" w:rsidP="0006604A">
      <w:pPr>
        <w:pStyle w:val="aExamHdgss"/>
      </w:pPr>
      <w:r w:rsidRPr="00B36404">
        <w:t>Example</w:t>
      </w:r>
    </w:p>
    <w:p w:rsidR="0006604A" w:rsidRDefault="0006604A" w:rsidP="0006604A">
      <w:pPr>
        <w:pStyle w:val="aExamss"/>
      </w:pPr>
      <w:r w:rsidRPr="00B36404">
        <w:t>using social media outside school hours to encourage violence against a student at school the next day</w:t>
      </w:r>
    </w:p>
    <w:p w:rsidR="006D4BFC" w:rsidRPr="00B36404" w:rsidRDefault="006D4BFC" w:rsidP="006D4BFC">
      <w:pPr>
        <w:pStyle w:val="aExamss"/>
        <w:pBdr>
          <w:top w:val="single" w:sz="4" w:space="1" w:color="auto"/>
        </w:pBdr>
        <w:spacing w:before="140"/>
        <w:ind w:left="0"/>
      </w:pPr>
    </w:p>
    <w:p w:rsidR="0006604A" w:rsidRPr="00B36404" w:rsidRDefault="0006604A" w:rsidP="0006604A">
      <w:pPr>
        <w:pStyle w:val="AH3sec"/>
        <w:tabs>
          <w:tab w:val="clear" w:pos="284"/>
          <w:tab w:val="num" w:pos="360"/>
        </w:tabs>
      </w:pPr>
      <w:r w:rsidRPr="00B36404">
        <w:br/>
        <w:t>Clause 8</w:t>
      </w:r>
      <w:r w:rsidRPr="00B36404">
        <w:br/>
        <w:t xml:space="preserve">Proposed new section 17C, proposed new definition of </w:t>
      </w:r>
      <w:r w:rsidRPr="00B36404">
        <w:rPr>
          <w:i/>
          <w:iCs/>
        </w:rPr>
        <w:t>reasonable alternative</w:t>
      </w:r>
      <w:r w:rsidRPr="00B36404">
        <w:br/>
        <w:t>Page 7, line 19—</w:t>
      </w:r>
    </w:p>
    <w:p w:rsidR="0006604A" w:rsidRPr="00B36404" w:rsidRDefault="0006604A" w:rsidP="0006604A">
      <w:pPr>
        <w:pStyle w:val="direction"/>
      </w:pPr>
      <w:r w:rsidRPr="00B36404">
        <w:t>insert</w:t>
      </w:r>
    </w:p>
    <w:p w:rsidR="0006604A" w:rsidRPr="00B36404" w:rsidRDefault="0006604A" w:rsidP="0006604A">
      <w:pPr>
        <w:pStyle w:val="aDef"/>
      </w:pPr>
      <w:r w:rsidRPr="00B36404">
        <w:rPr>
          <w:b/>
          <w:bCs/>
          <w:i/>
          <w:iCs/>
          <w:shd w:val="clear" w:color="auto" w:fill="FFFFFF"/>
        </w:rPr>
        <w:t>reasonable alternative</w:t>
      </w:r>
      <w:r w:rsidRPr="00B36404">
        <w:rPr>
          <w:shd w:val="clear" w:color="auto" w:fill="FFFFFF"/>
        </w:rPr>
        <w:t xml:space="preserve"> means an alternative that a person is reasonably able to take considering all relevant matters.</w:t>
      </w:r>
      <w:r w:rsidRPr="00B36404">
        <w:rPr>
          <w:b/>
          <w:bCs/>
          <w:i/>
          <w:iCs/>
          <w:shd w:val="clear" w:color="auto" w:fill="FFFFFF"/>
        </w:rPr>
        <w:t xml:space="preserve"> </w:t>
      </w:r>
    </w:p>
    <w:p w:rsidR="0006604A" w:rsidRPr="00B36404" w:rsidRDefault="0006604A" w:rsidP="0006604A">
      <w:pPr>
        <w:pStyle w:val="AH3sec"/>
        <w:tabs>
          <w:tab w:val="clear" w:pos="284"/>
          <w:tab w:val="num" w:pos="360"/>
        </w:tabs>
      </w:pPr>
      <w:r w:rsidRPr="00B36404">
        <w:br/>
        <w:t>Clause 8</w:t>
      </w:r>
      <w:r w:rsidRPr="00B36404">
        <w:br/>
        <w:t>Proposed new section 17D (b)</w:t>
      </w:r>
      <w:r w:rsidRPr="00B36404">
        <w:br/>
        <w:t>Page 8, line 8—</w:t>
      </w:r>
    </w:p>
    <w:p w:rsidR="0006604A" w:rsidRPr="00B36404" w:rsidRDefault="0006604A" w:rsidP="0006604A">
      <w:pPr>
        <w:pStyle w:val="direction"/>
      </w:pPr>
      <w:r w:rsidRPr="00B36404">
        <w:t>before</w:t>
      </w:r>
    </w:p>
    <w:p w:rsidR="0006604A" w:rsidRPr="00B36404" w:rsidRDefault="0006604A" w:rsidP="0006604A">
      <w:pPr>
        <w:pStyle w:val="Amainreturn"/>
      </w:pPr>
      <w:r w:rsidRPr="00B36404">
        <w:t>alternative</w:t>
      </w:r>
    </w:p>
    <w:p w:rsidR="0006604A" w:rsidRPr="00B36404" w:rsidRDefault="0006604A" w:rsidP="0006604A">
      <w:pPr>
        <w:pStyle w:val="direction"/>
      </w:pPr>
      <w:r w:rsidRPr="00B36404">
        <w:t>insert</w:t>
      </w:r>
    </w:p>
    <w:p w:rsidR="0006604A" w:rsidRPr="00B36404" w:rsidRDefault="0006604A" w:rsidP="0006604A">
      <w:pPr>
        <w:pStyle w:val="Amainreturn"/>
      </w:pPr>
      <w:r w:rsidRPr="00B36404">
        <w:t>reasonable</w:t>
      </w:r>
    </w:p>
    <w:p w:rsidR="0006604A" w:rsidRPr="00B36404" w:rsidRDefault="0006604A" w:rsidP="0006604A">
      <w:pPr>
        <w:pStyle w:val="AH3sec"/>
        <w:tabs>
          <w:tab w:val="clear" w:pos="284"/>
          <w:tab w:val="num" w:pos="360"/>
        </w:tabs>
      </w:pPr>
      <w:r w:rsidRPr="00B36404">
        <w:br/>
        <w:t>Clause 8</w:t>
      </w:r>
      <w:r w:rsidRPr="00B36404">
        <w:br/>
        <w:t>Proposed new section 17H (1) (c)</w:t>
      </w:r>
      <w:r w:rsidRPr="00B36404">
        <w:br/>
        <w:t>Page 10, line 3—</w:t>
      </w:r>
    </w:p>
    <w:p w:rsidR="0006604A" w:rsidRPr="00B36404" w:rsidRDefault="0006604A" w:rsidP="0006604A">
      <w:pPr>
        <w:pStyle w:val="direction"/>
      </w:pPr>
      <w:r w:rsidRPr="00B36404">
        <w:t>omit</w:t>
      </w:r>
    </w:p>
    <w:p w:rsidR="0006604A" w:rsidRPr="00B36404" w:rsidRDefault="0006604A" w:rsidP="0006604A">
      <w:pPr>
        <w:pStyle w:val="Amainreturn"/>
      </w:pPr>
      <w:r w:rsidRPr="00B36404">
        <w:t>, proportionate and justifiable</w:t>
      </w:r>
    </w:p>
    <w:p w:rsidR="0006604A" w:rsidRPr="00B36404" w:rsidRDefault="0006604A" w:rsidP="0006604A">
      <w:pPr>
        <w:pStyle w:val="AH3sec"/>
        <w:tabs>
          <w:tab w:val="clear" w:pos="284"/>
          <w:tab w:val="num" w:pos="360"/>
        </w:tabs>
      </w:pPr>
      <w:r w:rsidRPr="00B36404">
        <w:br/>
        <w:t>Clause 8</w:t>
      </w:r>
      <w:r w:rsidRPr="00B36404">
        <w:br/>
        <w:t>Proposed new section 17H (1) (c), proposed new note</w:t>
      </w:r>
      <w:r w:rsidRPr="00B36404">
        <w:br/>
        <w:t>Page 10, line 5—</w:t>
      </w:r>
    </w:p>
    <w:p w:rsidR="0006604A" w:rsidRPr="00B36404" w:rsidRDefault="0006604A" w:rsidP="0006604A">
      <w:pPr>
        <w:pStyle w:val="direction"/>
      </w:pPr>
      <w:r w:rsidRPr="00B36404">
        <w:t>insert</w:t>
      </w:r>
    </w:p>
    <w:p w:rsidR="0006604A" w:rsidRPr="00B36404" w:rsidRDefault="0006604A" w:rsidP="0006604A">
      <w:pPr>
        <w:pStyle w:val="aNote"/>
        <w:jc w:val="left"/>
        <w:rPr>
          <w:bCs/>
          <w:iCs/>
          <w:lang w:eastAsia="en-AU"/>
        </w:rPr>
      </w:pPr>
      <w:bookmarkStart w:id="4" w:name="_Hlk103170812"/>
      <w:bookmarkStart w:id="5" w:name="_Hlk103171791"/>
      <w:r w:rsidRPr="00B36404">
        <w:rPr>
          <w:rStyle w:val="charItals"/>
        </w:rPr>
        <w:t>Note</w:t>
      </w:r>
      <w:r w:rsidRPr="00B36404">
        <w:rPr>
          <w:rStyle w:val="charItals"/>
        </w:rPr>
        <w:tab/>
      </w:r>
      <w:bookmarkStart w:id="6" w:name="_Hlk103165622"/>
      <w:r w:rsidRPr="00B36404">
        <w:rPr>
          <w:rStyle w:val="charBoldItals"/>
        </w:rPr>
        <w:t xml:space="preserve">Unsafe or noncompliant </w:t>
      </w:r>
      <w:r w:rsidRPr="00B36404">
        <w:rPr>
          <w:rStyle w:val="charBoldItals"/>
          <w:bCs/>
          <w:iCs/>
        </w:rPr>
        <w:t>behaviour—see s 17B.</w:t>
      </w:r>
      <w:bookmarkEnd w:id="6"/>
      <w:r w:rsidRPr="00B36404">
        <w:rPr>
          <w:rStyle w:val="charBoldItals"/>
          <w:bCs/>
          <w:iCs/>
        </w:rPr>
        <w:t xml:space="preserve"> </w:t>
      </w:r>
      <w:r w:rsidRPr="00B36404">
        <w:rPr>
          <w:rStyle w:val="charBoldItals"/>
          <w:bCs/>
          <w:iCs/>
        </w:rPr>
        <w:br/>
      </w:r>
      <w:r w:rsidRPr="00B36404">
        <w:rPr>
          <w:rStyle w:val="charBoldItals"/>
        </w:rPr>
        <w:t>Reasonable alternatives</w:t>
      </w:r>
      <w:r w:rsidRPr="00B36404">
        <w:rPr>
          <w:rStyle w:val="charBoldItals"/>
          <w:bCs/>
          <w:iCs/>
        </w:rPr>
        <w:t>—see s 17C.</w:t>
      </w:r>
    </w:p>
    <w:bookmarkEnd w:id="4"/>
    <w:bookmarkEnd w:id="5"/>
    <w:p w:rsidR="0006604A" w:rsidRPr="00B36404" w:rsidRDefault="0006604A" w:rsidP="0006604A">
      <w:pPr>
        <w:pStyle w:val="AH3sec"/>
        <w:tabs>
          <w:tab w:val="clear" w:pos="284"/>
          <w:tab w:val="num" w:pos="360"/>
        </w:tabs>
      </w:pPr>
      <w:r w:rsidRPr="00B36404">
        <w:br/>
        <w:t>Clause 8</w:t>
      </w:r>
      <w:r w:rsidRPr="00B36404">
        <w:br/>
        <w:t>Proposed new section 17H (3)</w:t>
      </w:r>
      <w:r w:rsidRPr="00B36404">
        <w:br/>
        <w:t>Page 10, line 20—</w:t>
      </w:r>
    </w:p>
    <w:p w:rsidR="0006604A" w:rsidRPr="00B36404" w:rsidRDefault="0006604A" w:rsidP="0006604A">
      <w:pPr>
        <w:pStyle w:val="direction"/>
      </w:pPr>
      <w:r w:rsidRPr="00B36404">
        <w:t>omit</w:t>
      </w:r>
    </w:p>
    <w:p w:rsidR="0006604A" w:rsidRDefault="0006604A" w:rsidP="0006604A">
      <w:pPr>
        <w:pStyle w:val="Amainreturn"/>
      </w:pPr>
      <w:r w:rsidRPr="00B36404">
        <w:t>, proportionate and justifiable</w:t>
      </w:r>
    </w:p>
    <w:p w:rsidR="006D4BFC" w:rsidRPr="00B36404" w:rsidRDefault="006D4BFC" w:rsidP="006D4BFC">
      <w:pPr>
        <w:pStyle w:val="Amainreturn"/>
        <w:pBdr>
          <w:top w:val="single" w:sz="4" w:space="1" w:color="auto"/>
        </w:pBdr>
        <w:ind w:left="0"/>
      </w:pPr>
    </w:p>
    <w:p w:rsidR="0006604A" w:rsidRPr="00B36404" w:rsidRDefault="0006604A" w:rsidP="0006604A">
      <w:pPr>
        <w:pStyle w:val="AH3sec"/>
        <w:tabs>
          <w:tab w:val="clear" w:pos="284"/>
          <w:tab w:val="num" w:pos="360"/>
        </w:tabs>
      </w:pPr>
      <w:r w:rsidRPr="00B36404">
        <w:br/>
        <w:t>Clause 8</w:t>
      </w:r>
      <w:r w:rsidRPr="00B36404">
        <w:br/>
        <w:t>Proposed new section 17K (4) (a) (ii)</w:t>
      </w:r>
      <w:r w:rsidRPr="00B36404">
        <w:br/>
        <w:t>Page 12, line 9—</w:t>
      </w:r>
    </w:p>
    <w:p w:rsidR="0006604A" w:rsidRPr="00B36404" w:rsidRDefault="0006604A" w:rsidP="0006604A">
      <w:pPr>
        <w:pStyle w:val="direction"/>
        <w:rPr>
          <w:i w:val="0"/>
          <w:iCs/>
        </w:rPr>
      </w:pPr>
      <w:r w:rsidRPr="00B36404">
        <w:t>omit proposed new section 17K (4) (a) (ii)</w:t>
      </w:r>
      <w:r w:rsidRPr="00B36404">
        <w:rPr>
          <w:i w:val="0"/>
          <w:iCs/>
        </w:rPr>
        <w:t xml:space="preserve">, </w:t>
      </w:r>
      <w:r w:rsidRPr="00B36404">
        <w:t>substitute</w:t>
      </w:r>
    </w:p>
    <w:p w:rsidR="0006604A" w:rsidRPr="00B36404" w:rsidRDefault="0006604A" w:rsidP="0006604A">
      <w:pPr>
        <w:pStyle w:val="Isubpara"/>
      </w:pPr>
      <w:r w:rsidRPr="00B36404">
        <w:tab/>
        <w:t>(ii)</w:t>
      </w:r>
      <w:r w:rsidRPr="00B36404">
        <w:tab/>
      </w:r>
      <w:r w:rsidRPr="00B36404">
        <w:rPr>
          <w:shd w:val="clear" w:color="auto" w:fill="FFFFFF"/>
        </w:rPr>
        <w:t>how they have exhausted reasonable alternatives to suspending the student;</w:t>
      </w:r>
    </w:p>
    <w:p w:rsidR="0006604A" w:rsidRPr="00B36404" w:rsidRDefault="0006604A" w:rsidP="0006604A">
      <w:pPr>
        <w:pStyle w:val="aNotepar"/>
        <w:jc w:val="left"/>
      </w:pPr>
      <w:r w:rsidRPr="00B36404">
        <w:rPr>
          <w:rStyle w:val="charItals"/>
        </w:rPr>
        <w:t>Note</w:t>
      </w:r>
      <w:r w:rsidRPr="00B36404">
        <w:rPr>
          <w:rStyle w:val="charItals"/>
        </w:rPr>
        <w:tab/>
      </w:r>
      <w:r w:rsidRPr="00B36404">
        <w:rPr>
          <w:rStyle w:val="charBoldItals"/>
        </w:rPr>
        <w:t xml:space="preserve">Unsafe or noncompliant </w:t>
      </w:r>
      <w:r w:rsidRPr="00B36404">
        <w:rPr>
          <w:rStyle w:val="charBoldItals"/>
          <w:bCs/>
          <w:iCs/>
        </w:rPr>
        <w:t xml:space="preserve">behaviour—see s 17B. </w:t>
      </w:r>
      <w:r w:rsidRPr="00B36404">
        <w:rPr>
          <w:rStyle w:val="charBoldItals"/>
          <w:bCs/>
          <w:iCs/>
        </w:rPr>
        <w:br/>
      </w:r>
      <w:r w:rsidRPr="00B36404">
        <w:rPr>
          <w:rStyle w:val="charBoldItals"/>
        </w:rPr>
        <w:t>Reasonable alternatives</w:t>
      </w:r>
      <w:r w:rsidRPr="00B36404">
        <w:rPr>
          <w:rStyle w:val="charBoldItals"/>
          <w:bCs/>
          <w:iCs/>
        </w:rPr>
        <w:t>—see s 17C.</w:t>
      </w:r>
    </w:p>
    <w:p w:rsidR="0006604A" w:rsidRPr="00B36404" w:rsidRDefault="0006604A" w:rsidP="0006604A">
      <w:pPr>
        <w:pStyle w:val="AH3sec"/>
        <w:tabs>
          <w:tab w:val="clear" w:pos="284"/>
          <w:tab w:val="num" w:pos="360"/>
        </w:tabs>
      </w:pPr>
      <w:r w:rsidRPr="00B36404">
        <w:br/>
        <w:t>Clause 8</w:t>
      </w:r>
      <w:r w:rsidRPr="00B36404">
        <w:br/>
        <w:t>Proposed new section 17L (2) (a) (ii)</w:t>
      </w:r>
      <w:r w:rsidRPr="00B36404">
        <w:br/>
        <w:t>Page 13, line 8—</w:t>
      </w:r>
    </w:p>
    <w:p w:rsidR="0006604A" w:rsidRPr="00B36404" w:rsidRDefault="0006604A" w:rsidP="0006604A">
      <w:pPr>
        <w:pStyle w:val="direction"/>
        <w:rPr>
          <w:i w:val="0"/>
          <w:iCs/>
        </w:rPr>
      </w:pPr>
      <w:r w:rsidRPr="00B36404">
        <w:t>omit proposed new section 17L (2) (a) (ii)</w:t>
      </w:r>
      <w:r w:rsidRPr="00B36404">
        <w:rPr>
          <w:i w:val="0"/>
          <w:iCs/>
        </w:rPr>
        <w:t xml:space="preserve">, </w:t>
      </w:r>
      <w:r w:rsidRPr="00B36404">
        <w:t>substitute</w:t>
      </w:r>
    </w:p>
    <w:p w:rsidR="0006604A" w:rsidRPr="00B36404" w:rsidRDefault="0006604A" w:rsidP="0006604A">
      <w:pPr>
        <w:pStyle w:val="Isubpara"/>
      </w:pPr>
      <w:r w:rsidRPr="00B36404">
        <w:tab/>
        <w:t>(ii)</w:t>
      </w:r>
      <w:r w:rsidRPr="00B36404">
        <w:tab/>
      </w:r>
      <w:r w:rsidRPr="00B36404">
        <w:rPr>
          <w:shd w:val="clear" w:color="auto" w:fill="FFFFFF"/>
        </w:rPr>
        <w:t>how they have exhausted reasonable alternatives to suspending the student; and</w:t>
      </w:r>
    </w:p>
    <w:p w:rsidR="0006604A" w:rsidRPr="00B36404" w:rsidRDefault="0006604A" w:rsidP="0006604A">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B36404">
        <w:rPr>
          <w:rStyle w:val="charBoldItals"/>
          <w:bCs/>
          <w:iCs/>
        </w:rPr>
        <w:t xml:space="preserve">behaviour—see s 17B. </w:t>
      </w:r>
      <w:r w:rsidRPr="00B36404">
        <w:rPr>
          <w:rStyle w:val="charBoldItals"/>
          <w:bCs/>
          <w:iCs/>
        </w:rPr>
        <w:br/>
      </w:r>
      <w:r w:rsidRPr="00B36404">
        <w:rPr>
          <w:rStyle w:val="charBoldItals"/>
        </w:rPr>
        <w:t>Reasonable alternatives</w:t>
      </w:r>
      <w:r w:rsidRPr="00B36404">
        <w:rPr>
          <w:rStyle w:val="charBoldItals"/>
          <w:bCs/>
          <w:iCs/>
        </w:rPr>
        <w:t>—see s 17C.</w:t>
      </w:r>
    </w:p>
    <w:p w:rsidR="0006604A" w:rsidRPr="00B36404" w:rsidRDefault="0006604A" w:rsidP="0006604A">
      <w:pPr>
        <w:pStyle w:val="AH3sec"/>
        <w:tabs>
          <w:tab w:val="clear" w:pos="284"/>
          <w:tab w:val="num" w:pos="360"/>
        </w:tabs>
      </w:pPr>
      <w:r w:rsidRPr="00B36404">
        <w:br/>
        <w:t>Clause 8</w:t>
      </w:r>
      <w:r w:rsidRPr="00B36404">
        <w:br/>
        <w:t>Proposed new section 17L (3) (a) and example</w:t>
      </w:r>
      <w:r w:rsidRPr="00B36404">
        <w:br/>
        <w:t>Page 13, line 18—</w:t>
      </w:r>
    </w:p>
    <w:p w:rsidR="0006604A" w:rsidRPr="00B36404" w:rsidRDefault="0006604A" w:rsidP="0006604A">
      <w:pPr>
        <w:pStyle w:val="direction"/>
      </w:pPr>
      <w:r w:rsidRPr="00B36404">
        <w:t>omit proposed new section 17L (3) (a) and example, substitute</w:t>
      </w:r>
    </w:p>
    <w:p w:rsidR="0006604A" w:rsidRPr="00B36404" w:rsidRDefault="0006604A" w:rsidP="0006604A">
      <w:pPr>
        <w:pStyle w:val="Ipara"/>
        <w:rPr>
          <w:rFonts w:ascii="Arial" w:hAnsi="Arial"/>
          <w:b/>
          <w:sz w:val="22"/>
        </w:rPr>
      </w:pPr>
      <w:r w:rsidRPr="00B36404">
        <w:tab/>
        <w:t>(a)</w:t>
      </w:r>
      <w:r w:rsidRPr="00B36404">
        <w:tab/>
        <w:t>the student</w:t>
      </w:r>
      <w:r w:rsidR="002777E5">
        <w:t>’</w:t>
      </w:r>
      <w:r w:rsidRPr="00B36404">
        <w:t>s unsafe or noncompliant behaviour presents an immediate or imminent risk of harm to a person; and</w:t>
      </w:r>
    </w:p>
    <w:p w:rsidR="0006604A" w:rsidRPr="00B36404" w:rsidRDefault="0006604A" w:rsidP="0006604A">
      <w:pPr>
        <w:pStyle w:val="aExamHdgpar"/>
      </w:pPr>
      <w:r w:rsidRPr="00B36404">
        <w:t>Example</w:t>
      </w:r>
      <w:r>
        <w:t>s</w:t>
      </w:r>
      <w:r w:rsidRPr="00B36404">
        <w:t>—behaviour that presents an immediate or imminent risk of harm to a person</w:t>
      </w:r>
    </w:p>
    <w:p w:rsidR="0006604A" w:rsidRPr="00B36404" w:rsidRDefault="0006604A" w:rsidP="0006604A">
      <w:pPr>
        <w:pStyle w:val="aExamBulletpar"/>
      </w:pPr>
      <w:r w:rsidRPr="00B36404">
        <w:t>the student was physically violent to another student</w:t>
      </w:r>
    </w:p>
    <w:p w:rsidR="0006604A" w:rsidRPr="00B36404" w:rsidRDefault="0006604A" w:rsidP="0006604A">
      <w:pPr>
        <w:pStyle w:val="aExamBulletpar"/>
      </w:pPr>
      <w:r w:rsidRPr="00B36404">
        <w:t>the student threatened to be physically violent to a staff member</w:t>
      </w:r>
    </w:p>
    <w:p w:rsidR="0006604A" w:rsidRPr="00B36404" w:rsidRDefault="0006604A" w:rsidP="0006604A">
      <w:pPr>
        <w:pStyle w:val="AH3sec"/>
        <w:tabs>
          <w:tab w:val="clear" w:pos="284"/>
          <w:tab w:val="num" w:pos="360"/>
        </w:tabs>
      </w:pPr>
      <w:r w:rsidRPr="00B36404">
        <w:br/>
        <w:t>Clause 8</w:t>
      </w:r>
      <w:r w:rsidRPr="00B36404">
        <w:br/>
        <w:t>Proposed new section 17L (5)</w:t>
      </w:r>
      <w:r w:rsidRPr="00B36404">
        <w:br/>
        <w:t>Page 14, line 9—</w:t>
      </w:r>
    </w:p>
    <w:p w:rsidR="0006604A" w:rsidRPr="00B36404" w:rsidRDefault="0006604A" w:rsidP="0006604A">
      <w:pPr>
        <w:pStyle w:val="direction"/>
      </w:pPr>
      <w:r w:rsidRPr="00B36404">
        <w:t>omit</w:t>
      </w:r>
    </w:p>
    <w:p w:rsidR="0006604A" w:rsidRDefault="0006604A" w:rsidP="0006604A">
      <w:pPr>
        <w:pStyle w:val="Amainreturn"/>
      </w:pPr>
      <w:r w:rsidRPr="00B36404">
        <w:t>, proportionate and justifiable</w:t>
      </w:r>
    </w:p>
    <w:p w:rsidR="006D4BFC" w:rsidRPr="00B36404" w:rsidRDefault="006D4BFC" w:rsidP="006D4BFC">
      <w:pPr>
        <w:pStyle w:val="Amainreturn"/>
        <w:pBdr>
          <w:top w:val="single" w:sz="4" w:space="1" w:color="auto"/>
        </w:pBdr>
        <w:ind w:left="0"/>
      </w:pPr>
    </w:p>
    <w:p w:rsidR="0006604A" w:rsidRPr="00B36404" w:rsidRDefault="0006604A" w:rsidP="006D4BFC">
      <w:pPr>
        <w:pStyle w:val="AH3sec"/>
        <w:tabs>
          <w:tab w:val="clear" w:pos="284"/>
          <w:tab w:val="num" w:pos="360"/>
        </w:tabs>
      </w:pPr>
      <w:r w:rsidRPr="00B36404">
        <w:br/>
        <w:t>Clause 8</w:t>
      </w:r>
      <w:r w:rsidRPr="00B36404">
        <w:br/>
        <w:t>Proposed new section 17N (1) (a) and (b)</w:t>
      </w:r>
      <w:r w:rsidRPr="00B36404">
        <w:br/>
        <w:t>Page 14, line 25—</w:t>
      </w:r>
    </w:p>
    <w:p w:rsidR="0006604A" w:rsidRPr="00B36404" w:rsidRDefault="0006604A" w:rsidP="006D4BFC">
      <w:pPr>
        <w:pStyle w:val="direction"/>
      </w:pPr>
      <w:r w:rsidRPr="00B36404">
        <w:t>omit proposed new section 17N (1) (a) and (b), substitute</w:t>
      </w:r>
    </w:p>
    <w:p w:rsidR="0006604A" w:rsidRPr="00B36404" w:rsidRDefault="0006604A" w:rsidP="006D4BFC">
      <w:pPr>
        <w:pStyle w:val="Ipara"/>
        <w:keepNext/>
      </w:pPr>
      <w:r w:rsidRPr="00B36404">
        <w:tab/>
        <w:t>(a)</w:t>
      </w:r>
      <w:r w:rsidRPr="00B36404">
        <w:tab/>
        <w:t>review any reasonable adjustments in place for the student, including reviewing the way an adjustment is implemented; and</w:t>
      </w:r>
    </w:p>
    <w:p w:rsidR="0006604A" w:rsidRPr="00B36404" w:rsidRDefault="0006604A" w:rsidP="0006604A">
      <w:pPr>
        <w:pStyle w:val="Ipara"/>
      </w:pPr>
      <w:bookmarkStart w:id="7" w:name="_Hlk103085178"/>
      <w:r w:rsidRPr="00B36404">
        <w:tab/>
        <w:t>(b)</w:t>
      </w:r>
      <w:r w:rsidRPr="00B36404">
        <w:tab/>
        <w:t>make any reasonable adjustments the principle considers would support the student, including changing the way an adjustment is implemented.</w:t>
      </w:r>
    </w:p>
    <w:bookmarkEnd w:id="7"/>
    <w:p w:rsidR="0006604A" w:rsidRPr="00B36404" w:rsidRDefault="0006604A" w:rsidP="0006604A">
      <w:pPr>
        <w:pStyle w:val="AH3sec"/>
        <w:tabs>
          <w:tab w:val="clear" w:pos="284"/>
          <w:tab w:val="num" w:pos="360"/>
        </w:tabs>
      </w:pPr>
      <w:r w:rsidRPr="00B36404">
        <w:br/>
        <w:t>Clause 8</w:t>
      </w:r>
      <w:r w:rsidRPr="00B36404">
        <w:br/>
        <w:t>Proposed new section 17P (1) (d)</w:t>
      </w:r>
      <w:r w:rsidRPr="00B36404">
        <w:br/>
        <w:t>Page 16, line 1—</w:t>
      </w:r>
    </w:p>
    <w:p w:rsidR="0006604A" w:rsidRPr="00B36404" w:rsidRDefault="0006604A" w:rsidP="0006604A">
      <w:pPr>
        <w:pStyle w:val="direction"/>
      </w:pPr>
      <w:r w:rsidRPr="00B36404">
        <w:t>omit</w:t>
      </w:r>
    </w:p>
    <w:p w:rsidR="0006604A" w:rsidRPr="00B36404" w:rsidRDefault="0006604A" w:rsidP="0006604A">
      <w:pPr>
        <w:pStyle w:val="Amainreturn"/>
      </w:pPr>
      <w:r w:rsidRPr="00B36404">
        <w:t>, proportionate and justifiable</w:t>
      </w:r>
    </w:p>
    <w:p w:rsidR="0006604A" w:rsidRPr="00B36404" w:rsidRDefault="0006604A" w:rsidP="0006604A">
      <w:pPr>
        <w:pStyle w:val="AH3sec"/>
        <w:tabs>
          <w:tab w:val="clear" w:pos="284"/>
          <w:tab w:val="num" w:pos="360"/>
        </w:tabs>
      </w:pPr>
      <w:r w:rsidRPr="00B36404">
        <w:br/>
        <w:t>Clause 8</w:t>
      </w:r>
      <w:r w:rsidRPr="00B36404">
        <w:br/>
        <w:t>Proposed new section 17P (3)</w:t>
      </w:r>
      <w:r w:rsidRPr="00B36404">
        <w:br/>
        <w:t>Page 16, line 8—</w:t>
      </w:r>
    </w:p>
    <w:p w:rsidR="0006604A" w:rsidRPr="00B36404" w:rsidRDefault="0006604A" w:rsidP="0006604A">
      <w:pPr>
        <w:pStyle w:val="direction"/>
      </w:pPr>
      <w:r w:rsidRPr="00B36404">
        <w:t>omit</w:t>
      </w:r>
    </w:p>
    <w:p w:rsidR="0006604A" w:rsidRPr="00B36404" w:rsidRDefault="0006604A" w:rsidP="0006604A">
      <w:pPr>
        <w:pStyle w:val="Amainreturn"/>
      </w:pPr>
      <w:r w:rsidRPr="00B36404">
        <w:t>, proportionate and justifiable</w:t>
      </w:r>
    </w:p>
    <w:p w:rsidR="0006604A" w:rsidRPr="00B36404" w:rsidRDefault="0006604A" w:rsidP="0006604A">
      <w:pPr>
        <w:pStyle w:val="AH3sec"/>
        <w:tabs>
          <w:tab w:val="clear" w:pos="284"/>
          <w:tab w:val="num" w:pos="360"/>
        </w:tabs>
      </w:pPr>
      <w:r w:rsidRPr="00B36404">
        <w:br/>
        <w:t>Clause 8</w:t>
      </w:r>
      <w:r w:rsidRPr="00B36404">
        <w:br/>
        <w:t>Proposed new section 17R (3) (a) (ii)</w:t>
      </w:r>
      <w:r w:rsidRPr="00B36404">
        <w:br/>
        <w:t>Page 17, line 13—</w:t>
      </w:r>
    </w:p>
    <w:p w:rsidR="0006604A" w:rsidRPr="00B36404" w:rsidRDefault="0006604A" w:rsidP="0006604A">
      <w:pPr>
        <w:pStyle w:val="direction"/>
        <w:rPr>
          <w:i w:val="0"/>
          <w:iCs/>
        </w:rPr>
      </w:pPr>
      <w:r w:rsidRPr="00B36404">
        <w:t>omit proposed new section 17R (3) (a) (ii)</w:t>
      </w:r>
      <w:r w:rsidRPr="00B36404">
        <w:rPr>
          <w:i w:val="0"/>
          <w:iCs/>
        </w:rPr>
        <w:t xml:space="preserve">, </w:t>
      </w:r>
      <w:r w:rsidRPr="00B36404">
        <w:t>substitute</w:t>
      </w:r>
    </w:p>
    <w:p w:rsidR="0006604A" w:rsidRPr="00B36404" w:rsidRDefault="0006604A" w:rsidP="0006604A">
      <w:pPr>
        <w:pStyle w:val="Isubpara"/>
      </w:pPr>
      <w:r w:rsidRPr="00B36404">
        <w:tab/>
        <w:t>(ii)</w:t>
      </w:r>
      <w:r w:rsidRPr="00B36404">
        <w:tab/>
      </w:r>
      <w:r w:rsidRPr="00B36404">
        <w:rPr>
          <w:shd w:val="clear" w:color="auto" w:fill="FFFFFF"/>
        </w:rPr>
        <w:t>how they have exhausted reasonable alternatives to transferring the student;</w:t>
      </w:r>
    </w:p>
    <w:p w:rsidR="0006604A" w:rsidRPr="00B36404" w:rsidRDefault="0006604A" w:rsidP="0006604A">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B36404">
        <w:rPr>
          <w:rStyle w:val="charBoldItals"/>
          <w:bCs/>
          <w:iCs/>
        </w:rPr>
        <w:t xml:space="preserve">behaviour—see s 17B. </w:t>
      </w:r>
      <w:r w:rsidRPr="00B36404">
        <w:rPr>
          <w:rStyle w:val="charBoldItals"/>
          <w:bCs/>
          <w:iCs/>
        </w:rPr>
        <w:br/>
      </w:r>
      <w:r w:rsidRPr="00B36404">
        <w:rPr>
          <w:rStyle w:val="charBoldItals"/>
        </w:rPr>
        <w:t>Reasonable alternatives</w:t>
      </w:r>
      <w:r w:rsidRPr="00B36404">
        <w:rPr>
          <w:rStyle w:val="charBoldItals"/>
          <w:bCs/>
          <w:iCs/>
        </w:rPr>
        <w:t>—see s 17C.</w:t>
      </w:r>
    </w:p>
    <w:p w:rsidR="0006604A" w:rsidRPr="00B36404" w:rsidRDefault="0006604A" w:rsidP="0006604A">
      <w:pPr>
        <w:pStyle w:val="AH3sec"/>
        <w:tabs>
          <w:tab w:val="clear" w:pos="284"/>
          <w:tab w:val="num" w:pos="360"/>
        </w:tabs>
      </w:pPr>
      <w:r w:rsidRPr="00B36404">
        <w:br/>
        <w:t>Clause 8</w:t>
      </w:r>
      <w:r w:rsidRPr="00B36404">
        <w:br/>
        <w:t>Proposed new section 17U (1) (d)</w:t>
      </w:r>
      <w:r w:rsidRPr="00B36404">
        <w:br/>
        <w:t>Page 19, line 8—</w:t>
      </w:r>
    </w:p>
    <w:p w:rsidR="0006604A" w:rsidRPr="00B36404" w:rsidRDefault="0006604A" w:rsidP="0006604A">
      <w:pPr>
        <w:pStyle w:val="direction"/>
      </w:pPr>
      <w:r w:rsidRPr="00B36404">
        <w:t>omit</w:t>
      </w:r>
    </w:p>
    <w:p w:rsidR="0006604A" w:rsidRDefault="0006604A" w:rsidP="0006604A">
      <w:pPr>
        <w:pStyle w:val="Amainreturn"/>
      </w:pPr>
      <w:r w:rsidRPr="00B36404">
        <w:t>, proportionate and justifiable</w:t>
      </w:r>
    </w:p>
    <w:p w:rsidR="006D4BFC" w:rsidRPr="00B36404" w:rsidRDefault="006D4BFC" w:rsidP="006D4BFC">
      <w:pPr>
        <w:pStyle w:val="Amainreturn"/>
        <w:pBdr>
          <w:top w:val="single" w:sz="4" w:space="1" w:color="auto"/>
        </w:pBdr>
        <w:ind w:left="0"/>
      </w:pPr>
    </w:p>
    <w:p w:rsidR="0006604A" w:rsidRPr="00B36404" w:rsidRDefault="0006604A" w:rsidP="0006604A">
      <w:pPr>
        <w:pStyle w:val="AH3sec"/>
        <w:tabs>
          <w:tab w:val="clear" w:pos="284"/>
          <w:tab w:val="num" w:pos="360"/>
        </w:tabs>
      </w:pPr>
      <w:r w:rsidRPr="00B36404">
        <w:br/>
        <w:t>Clause 8</w:t>
      </w:r>
      <w:r w:rsidRPr="00B36404">
        <w:br/>
        <w:t>Proposed new section 17U (3)</w:t>
      </w:r>
      <w:r w:rsidRPr="00B36404">
        <w:br/>
        <w:t>Page 19, line 20—</w:t>
      </w:r>
    </w:p>
    <w:p w:rsidR="0006604A" w:rsidRPr="00B36404" w:rsidRDefault="0006604A" w:rsidP="0006604A">
      <w:pPr>
        <w:pStyle w:val="direction"/>
      </w:pPr>
      <w:r w:rsidRPr="00B36404">
        <w:t>omit</w:t>
      </w:r>
    </w:p>
    <w:p w:rsidR="0006604A" w:rsidRPr="00B36404" w:rsidRDefault="0006604A" w:rsidP="0006604A">
      <w:pPr>
        <w:pStyle w:val="Amainreturn"/>
      </w:pPr>
      <w:r w:rsidRPr="00B36404">
        <w:t>, proportionate and justifiable</w:t>
      </w:r>
    </w:p>
    <w:p w:rsidR="0006604A" w:rsidRPr="00B36404" w:rsidRDefault="0006604A" w:rsidP="0006604A">
      <w:pPr>
        <w:pStyle w:val="AH3sec"/>
        <w:tabs>
          <w:tab w:val="clear" w:pos="284"/>
          <w:tab w:val="num" w:pos="360"/>
        </w:tabs>
      </w:pPr>
      <w:r w:rsidRPr="00B36404">
        <w:br/>
        <w:t>Clause 8</w:t>
      </w:r>
      <w:r w:rsidRPr="00B36404">
        <w:br/>
        <w:t>Proposed new section 17S (a) (ii)</w:t>
      </w:r>
      <w:r w:rsidRPr="00B36404">
        <w:br/>
        <w:t>Page 18, line 7—</w:t>
      </w:r>
    </w:p>
    <w:p w:rsidR="0006604A" w:rsidRPr="00B36404" w:rsidRDefault="0006604A" w:rsidP="0006604A">
      <w:pPr>
        <w:pStyle w:val="direction"/>
        <w:rPr>
          <w:i w:val="0"/>
          <w:iCs/>
        </w:rPr>
      </w:pPr>
      <w:r w:rsidRPr="00B36404">
        <w:t>omit proposed new section 17S (a) (ii)</w:t>
      </w:r>
      <w:r w:rsidRPr="00B36404">
        <w:rPr>
          <w:i w:val="0"/>
          <w:iCs/>
        </w:rPr>
        <w:t xml:space="preserve">, </w:t>
      </w:r>
      <w:r w:rsidRPr="00B36404">
        <w:t>substitute</w:t>
      </w:r>
    </w:p>
    <w:p w:rsidR="0006604A" w:rsidRPr="00B36404" w:rsidRDefault="0006604A" w:rsidP="0006604A">
      <w:pPr>
        <w:pStyle w:val="Isubpara"/>
      </w:pPr>
      <w:r w:rsidRPr="00B36404">
        <w:tab/>
        <w:t>(ii)</w:t>
      </w:r>
      <w:r w:rsidRPr="00B36404">
        <w:tab/>
      </w:r>
      <w:r w:rsidRPr="00B36404">
        <w:rPr>
          <w:shd w:val="clear" w:color="auto" w:fill="FFFFFF"/>
        </w:rPr>
        <w:t>how they have exhausted reasonable alternatives to transferring the student; and</w:t>
      </w:r>
    </w:p>
    <w:p w:rsidR="0006604A" w:rsidRPr="00B36404" w:rsidRDefault="0006604A" w:rsidP="0006604A">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B36404">
        <w:rPr>
          <w:rStyle w:val="charBoldItals"/>
          <w:bCs/>
          <w:iCs/>
        </w:rPr>
        <w:t xml:space="preserve">behaviour—see s 17B. </w:t>
      </w:r>
      <w:r w:rsidRPr="00B36404">
        <w:rPr>
          <w:rStyle w:val="charBoldItals"/>
          <w:bCs/>
          <w:iCs/>
        </w:rPr>
        <w:br/>
      </w:r>
      <w:r w:rsidRPr="00B36404">
        <w:rPr>
          <w:rStyle w:val="charBoldItals"/>
        </w:rPr>
        <w:t>Reasonable alternatives</w:t>
      </w:r>
      <w:r w:rsidRPr="00B36404">
        <w:rPr>
          <w:rStyle w:val="charBoldItals"/>
          <w:bCs/>
          <w:iCs/>
        </w:rPr>
        <w:t>—see s 17C.</w:t>
      </w:r>
    </w:p>
    <w:p w:rsidR="0006604A" w:rsidRPr="00B36404" w:rsidRDefault="0006604A" w:rsidP="0006604A">
      <w:pPr>
        <w:pStyle w:val="AH3sec"/>
        <w:tabs>
          <w:tab w:val="clear" w:pos="284"/>
          <w:tab w:val="num" w:pos="360"/>
        </w:tabs>
      </w:pPr>
      <w:r w:rsidRPr="00B36404">
        <w:br/>
        <w:t>Clause 8</w:t>
      </w:r>
      <w:r w:rsidRPr="00B36404">
        <w:br/>
        <w:t>Proposed new section 17W (3) (a) (ii)</w:t>
      </w:r>
      <w:r w:rsidRPr="00B36404">
        <w:br/>
        <w:t>Page 20, line 25—</w:t>
      </w:r>
    </w:p>
    <w:p w:rsidR="0006604A" w:rsidRPr="00B36404" w:rsidRDefault="0006604A" w:rsidP="0006604A">
      <w:pPr>
        <w:pStyle w:val="direction"/>
        <w:rPr>
          <w:i w:val="0"/>
          <w:iCs/>
        </w:rPr>
      </w:pPr>
      <w:r w:rsidRPr="00B36404">
        <w:t>omit proposed new section 17W (3) (a) (ii)</w:t>
      </w:r>
      <w:r w:rsidRPr="00B36404">
        <w:rPr>
          <w:i w:val="0"/>
          <w:iCs/>
        </w:rPr>
        <w:t xml:space="preserve">, </w:t>
      </w:r>
      <w:r w:rsidRPr="00B36404">
        <w:t>substitute</w:t>
      </w:r>
    </w:p>
    <w:p w:rsidR="0006604A" w:rsidRPr="00B36404" w:rsidRDefault="0006604A" w:rsidP="0006604A">
      <w:pPr>
        <w:pStyle w:val="Isubpara"/>
      </w:pPr>
      <w:r w:rsidRPr="00B36404">
        <w:tab/>
        <w:t>(ii)</w:t>
      </w:r>
      <w:r w:rsidRPr="00B36404">
        <w:tab/>
      </w:r>
      <w:r w:rsidRPr="00B36404">
        <w:rPr>
          <w:shd w:val="clear" w:color="auto" w:fill="FFFFFF"/>
        </w:rPr>
        <w:t>how they have exhausted reasonable alternatives to expelling the student;</w:t>
      </w:r>
    </w:p>
    <w:p w:rsidR="0006604A" w:rsidRPr="00B36404" w:rsidRDefault="0006604A" w:rsidP="0006604A">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B36404">
        <w:rPr>
          <w:rStyle w:val="charBoldItals"/>
          <w:bCs/>
          <w:iCs/>
        </w:rPr>
        <w:t xml:space="preserve">behaviour—see s 17B. </w:t>
      </w:r>
      <w:r w:rsidRPr="00B36404">
        <w:rPr>
          <w:rStyle w:val="charBoldItals"/>
          <w:bCs/>
          <w:iCs/>
        </w:rPr>
        <w:br/>
      </w:r>
      <w:r w:rsidRPr="00B36404">
        <w:rPr>
          <w:rStyle w:val="charBoldItals"/>
        </w:rPr>
        <w:t>Reasonable alternatives</w:t>
      </w:r>
      <w:r w:rsidRPr="00B36404">
        <w:rPr>
          <w:rStyle w:val="charBoldItals"/>
          <w:bCs/>
          <w:iCs/>
        </w:rPr>
        <w:t>—see s 17C.</w:t>
      </w:r>
    </w:p>
    <w:p w:rsidR="0006604A" w:rsidRPr="00B36404" w:rsidRDefault="0006604A" w:rsidP="0006604A">
      <w:pPr>
        <w:pStyle w:val="AH3sec"/>
        <w:tabs>
          <w:tab w:val="clear" w:pos="284"/>
          <w:tab w:val="num" w:pos="360"/>
        </w:tabs>
      </w:pPr>
      <w:r w:rsidRPr="00B36404">
        <w:br/>
        <w:t>Clause 8</w:t>
      </w:r>
      <w:r w:rsidRPr="00B36404">
        <w:br/>
        <w:t>Proposed new section 17X (2) (a) (ii)</w:t>
      </w:r>
      <w:r w:rsidRPr="00B36404">
        <w:br/>
        <w:t>Page 21, line 17—</w:t>
      </w:r>
    </w:p>
    <w:p w:rsidR="0006604A" w:rsidRPr="00B36404" w:rsidRDefault="0006604A" w:rsidP="0006604A">
      <w:pPr>
        <w:pStyle w:val="direction"/>
        <w:rPr>
          <w:i w:val="0"/>
          <w:iCs/>
        </w:rPr>
      </w:pPr>
      <w:r w:rsidRPr="00B36404">
        <w:t>omit proposed new section 17X (2) (a) (ii)</w:t>
      </w:r>
      <w:r w:rsidRPr="00B36404">
        <w:rPr>
          <w:i w:val="0"/>
          <w:iCs/>
        </w:rPr>
        <w:t xml:space="preserve">, </w:t>
      </w:r>
      <w:r w:rsidRPr="00B36404">
        <w:t>substitute</w:t>
      </w:r>
    </w:p>
    <w:p w:rsidR="0006604A" w:rsidRPr="00B36404" w:rsidRDefault="0006604A" w:rsidP="0006604A">
      <w:pPr>
        <w:pStyle w:val="Isubpara"/>
        <w:rPr>
          <w:shd w:val="clear" w:color="auto" w:fill="FFFFFF"/>
        </w:rPr>
      </w:pPr>
      <w:r w:rsidRPr="00B36404">
        <w:tab/>
        <w:t>(ii)</w:t>
      </w:r>
      <w:r w:rsidRPr="00B36404">
        <w:tab/>
      </w:r>
      <w:r w:rsidRPr="00B36404">
        <w:rPr>
          <w:shd w:val="clear" w:color="auto" w:fill="FFFFFF"/>
        </w:rPr>
        <w:t>how they have exhausted reasonable alternatives to expelling the student; and</w:t>
      </w:r>
    </w:p>
    <w:p w:rsidR="0006604A" w:rsidRPr="00B36404" w:rsidRDefault="0006604A" w:rsidP="0006604A">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B36404">
        <w:rPr>
          <w:rStyle w:val="charBoldItals"/>
          <w:bCs/>
          <w:iCs/>
        </w:rPr>
        <w:t xml:space="preserve">behaviour—see s 17B. </w:t>
      </w:r>
      <w:r w:rsidRPr="00B36404">
        <w:rPr>
          <w:rStyle w:val="charBoldItals"/>
          <w:bCs/>
          <w:iCs/>
        </w:rPr>
        <w:br/>
      </w:r>
      <w:r w:rsidRPr="00B36404">
        <w:rPr>
          <w:rStyle w:val="charBoldItals"/>
        </w:rPr>
        <w:t>Reasonable alternatives</w:t>
      </w:r>
      <w:r w:rsidRPr="00B36404">
        <w:rPr>
          <w:rStyle w:val="charBoldItals"/>
          <w:bCs/>
          <w:iCs/>
        </w:rPr>
        <w:t>—see s 17C.</w:t>
      </w:r>
    </w:p>
    <w:p w:rsidR="0006604A" w:rsidRPr="00B36404" w:rsidRDefault="0006604A" w:rsidP="0006604A">
      <w:pPr>
        <w:pStyle w:val="AH3sec"/>
        <w:tabs>
          <w:tab w:val="clear" w:pos="284"/>
          <w:tab w:val="num" w:pos="360"/>
        </w:tabs>
      </w:pPr>
      <w:r w:rsidRPr="00B36404">
        <w:br/>
        <w:t>Clause 8</w:t>
      </w:r>
      <w:r w:rsidRPr="00B36404">
        <w:br/>
        <w:t>Proposed new section 17ZA (1) (d)</w:t>
      </w:r>
      <w:r w:rsidRPr="00B36404">
        <w:br/>
        <w:t>Page 22, line 20—</w:t>
      </w:r>
    </w:p>
    <w:p w:rsidR="0006604A" w:rsidRPr="00B36404" w:rsidRDefault="0006604A" w:rsidP="0006604A">
      <w:pPr>
        <w:pStyle w:val="direction"/>
      </w:pPr>
      <w:r w:rsidRPr="00B36404">
        <w:t>omit</w:t>
      </w:r>
    </w:p>
    <w:p w:rsidR="0006604A" w:rsidRDefault="0006604A" w:rsidP="0006604A">
      <w:pPr>
        <w:pStyle w:val="Amainreturn"/>
      </w:pPr>
      <w:r w:rsidRPr="00B36404">
        <w:t>, proportionate and justifiable</w:t>
      </w:r>
    </w:p>
    <w:p w:rsidR="006D4BFC" w:rsidRPr="00B36404" w:rsidRDefault="006D4BFC" w:rsidP="006D4BFC">
      <w:pPr>
        <w:pStyle w:val="Amainreturn"/>
        <w:pBdr>
          <w:top w:val="single" w:sz="4" w:space="1" w:color="auto"/>
        </w:pBdr>
        <w:ind w:left="0"/>
      </w:pPr>
    </w:p>
    <w:p w:rsidR="0006604A" w:rsidRPr="00B36404" w:rsidRDefault="0006604A" w:rsidP="0006604A">
      <w:pPr>
        <w:pStyle w:val="AH3sec"/>
        <w:tabs>
          <w:tab w:val="clear" w:pos="284"/>
          <w:tab w:val="num" w:pos="360"/>
        </w:tabs>
      </w:pPr>
      <w:r w:rsidRPr="00B36404">
        <w:br/>
        <w:t>Clause 8</w:t>
      </w:r>
      <w:r w:rsidRPr="00B36404">
        <w:br/>
        <w:t>Proposed new section 17ZA (3)</w:t>
      </w:r>
      <w:r w:rsidRPr="00B36404">
        <w:br/>
        <w:t>Page 23, line 3—</w:t>
      </w:r>
    </w:p>
    <w:p w:rsidR="0006604A" w:rsidRPr="00B36404" w:rsidRDefault="0006604A" w:rsidP="006D4BFC">
      <w:pPr>
        <w:pStyle w:val="direction"/>
        <w:spacing w:before="120"/>
        <w:ind w:left="1094"/>
      </w:pPr>
      <w:r w:rsidRPr="00B36404">
        <w:t>omit</w:t>
      </w:r>
    </w:p>
    <w:p w:rsidR="0006604A" w:rsidRPr="00B36404" w:rsidRDefault="0006604A" w:rsidP="006D4BFC">
      <w:pPr>
        <w:pStyle w:val="Amainreturn"/>
        <w:spacing w:before="120"/>
        <w:ind w:left="1094"/>
      </w:pPr>
      <w:r w:rsidRPr="00B36404">
        <w:t>, proportionate and justifiable</w:t>
      </w:r>
    </w:p>
    <w:p w:rsidR="0006604A" w:rsidRPr="00B36404" w:rsidRDefault="0006604A" w:rsidP="0006604A">
      <w:pPr>
        <w:pStyle w:val="AH3sec"/>
        <w:tabs>
          <w:tab w:val="clear" w:pos="284"/>
          <w:tab w:val="num" w:pos="360"/>
        </w:tabs>
      </w:pPr>
      <w:r w:rsidRPr="00B36404">
        <w:br/>
        <w:t>Clause 8</w:t>
      </w:r>
      <w:r w:rsidRPr="00B36404">
        <w:br/>
        <w:t>Proposed new section 17ZC (3) (a) (ii)</w:t>
      </w:r>
      <w:r w:rsidRPr="00B36404">
        <w:br/>
        <w:t>Page 24, line 3—</w:t>
      </w:r>
    </w:p>
    <w:p w:rsidR="0006604A" w:rsidRPr="00B36404" w:rsidRDefault="0006604A" w:rsidP="006D4BFC">
      <w:pPr>
        <w:pStyle w:val="direction"/>
        <w:spacing w:before="120"/>
        <w:ind w:left="1094"/>
        <w:rPr>
          <w:i w:val="0"/>
          <w:iCs/>
        </w:rPr>
      </w:pPr>
      <w:r w:rsidRPr="00B36404">
        <w:t>omit proposed new section 17ZC (3) (a) (ii)</w:t>
      </w:r>
      <w:r w:rsidRPr="00B36404">
        <w:rPr>
          <w:i w:val="0"/>
          <w:iCs/>
        </w:rPr>
        <w:t xml:space="preserve">, </w:t>
      </w:r>
      <w:r w:rsidRPr="00B36404">
        <w:t>substitute</w:t>
      </w:r>
    </w:p>
    <w:p w:rsidR="0006604A" w:rsidRPr="00B36404" w:rsidRDefault="0006604A" w:rsidP="006D4BFC">
      <w:pPr>
        <w:pStyle w:val="Isubpara"/>
        <w:spacing w:before="120"/>
        <w:ind w:left="2146" w:hanging="2146"/>
      </w:pPr>
      <w:r w:rsidRPr="00B36404">
        <w:tab/>
        <w:t>(ii)</w:t>
      </w:r>
      <w:r w:rsidRPr="00B36404">
        <w:tab/>
      </w:r>
      <w:r w:rsidRPr="00B36404">
        <w:rPr>
          <w:shd w:val="clear" w:color="auto" w:fill="FFFFFF"/>
        </w:rPr>
        <w:t>how they have exhausted reasonable alternatives to excluding the student;</w:t>
      </w:r>
    </w:p>
    <w:p w:rsidR="0006604A" w:rsidRPr="00B36404" w:rsidRDefault="0006604A" w:rsidP="0006604A">
      <w:pPr>
        <w:pStyle w:val="AH3sec"/>
        <w:tabs>
          <w:tab w:val="clear" w:pos="284"/>
          <w:tab w:val="num" w:pos="360"/>
        </w:tabs>
      </w:pPr>
      <w:r w:rsidRPr="00B36404">
        <w:br/>
        <w:t>Clause 8</w:t>
      </w:r>
      <w:r w:rsidRPr="00B36404">
        <w:br/>
        <w:t>Proposed new section 17ZC (3) (a), proposed new note</w:t>
      </w:r>
      <w:r w:rsidRPr="00B36404">
        <w:br/>
        <w:t>Page 24, line 6—</w:t>
      </w:r>
    </w:p>
    <w:p w:rsidR="0006604A" w:rsidRPr="00B36404" w:rsidRDefault="0006604A" w:rsidP="006D4BFC">
      <w:pPr>
        <w:pStyle w:val="direction"/>
        <w:spacing w:before="120"/>
        <w:ind w:left="1094"/>
      </w:pPr>
      <w:r w:rsidRPr="00B36404">
        <w:t>insert</w:t>
      </w:r>
    </w:p>
    <w:p w:rsidR="0006604A" w:rsidRPr="00B36404" w:rsidRDefault="0006604A" w:rsidP="006D4BFC">
      <w:pPr>
        <w:pStyle w:val="aNotepar"/>
        <w:spacing w:before="120"/>
        <w:ind w:left="2404" w:hanging="806"/>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B36404">
        <w:rPr>
          <w:rStyle w:val="charBoldItals"/>
          <w:bCs/>
          <w:iCs/>
        </w:rPr>
        <w:t xml:space="preserve">behaviour—see s 17B. </w:t>
      </w:r>
      <w:r w:rsidRPr="00B36404">
        <w:rPr>
          <w:rStyle w:val="charBoldItals"/>
          <w:bCs/>
          <w:iCs/>
        </w:rPr>
        <w:br/>
      </w:r>
      <w:r w:rsidRPr="00B36404">
        <w:rPr>
          <w:rStyle w:val="charBoldItals"/>
        </w:rPr>
        <w:t>Reasonable alternatives</w:t>
      </w:r>
      <w:r w:rsidRPr="00B36404">
        <w:rPr>
          <w:rStyle w:val="charBoldItals"/>
          <w:bCs/>
          <w:iCs/>
        </w:rPr>
        <w:t>—see s 17C.</w:t>
      </w:r>
    </w:p>
    <w:p w:rsidR="0006604A" w:rsidRPr="00B36404" w:rsidRDefault="0006604A" w:rsidP="0006604A">
      <w:pPr>
        <w:pStyle w:val="AH3sec"/>
        <w:tabs>
          <w:tab w:val="clear" w:pos="284"/>
          <w:tab w:val="num" w:pos="360"/>
        </w:tabs>
      </w:pPr>
      <w:r w:rsidRPr="00B36404">
        <w:br/>
        <w:t>Clause 8</w:t>
      </w:r>
      <w:r w:rsidRPr="00B36404">
        <w:br/>
        <w:t>Proposed new section 17ZD (a) (ii)</w:t>
      </w:r>
      <w:r w:rsidRPr="00B36404">
        <w:br/>
        <w:t>Page 24, line 23—</w:t>
      </w:r>
    </w:p>
    <w:p w:rsidR="0006604A" w:rsidRPr="00B36404" w:rsidRDefault="0006604A" w:rsidP="006D4BFC">
      <w:pPr>
        <w:pStyle w:val="direction"/>
        <w:spacing w:before="120"/>
        <w:ind w:left="1094"/>
        <w:rPr>
          <w:i w:val="0"/>
          <w:iCs/>
        </w:rPr>
      </w:pPr>
      <w:r w:rsidRPr="00B36404">
        <w:t>omit proposed new section 17ZD (a) (ii)</w:t>
      </w:r>
      <w:r w:rsidRPr="00B36404">
        <w:rPr>
          <w:i w:val="0"/>
          <w:iCs/>
        </w:rPr>
        <w:t xml:space="preserve">, </w:t>
      </w:r>
      <w:r w:rsidRPr="00B36404">
        <w:t>substitute</w:t>
      </w:r>
    </w:p>
    <w:p w:rsidR="0006604A" w:rsidRPr="00B36404" w:rsidRDefault="0006604A" w:rsidP="006D4BFC">
      <w:pPr>
        <w:pStyle w:val="Isubpara"/>
        <w:spacing w:before="120"/>
        <w:ind w:left="2146" w:hanging="2146"/>
      </w:pPr>
      <w:r w:rsidRPr="00B36404">
        <w:tab/>
        <w:t>(ii)</w:t>
      </w:r>
      <w:r w:rsidRPr="00B36404">
        <w:tab/>
      </w:r>
      <w:r w:rsidRPr="00B36404">
        <w:rPr>
          <w:shd w:val="clear" w:color="auto" w:fill="FFFFFF"/>
        </w:rPr>
        <w:t>how they have exhausted reasonable alternatives to excluding the student;</w:t>
      </w:r>
    </w:p>
    <w:p w:rsidR="0006604A" w:rsidRPr="00B36404" w:rsidRDefault="0006604A" w:rsidP="006D4BFC">
      <w:pPr>
        <w:pStyle w:val="aNotepar"/>
        <w:spacing w:before="120"/>
        <w:ind w:left="2404" w:hanging="806"/>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B36404">
        <w:rPr>
          <w:rStyle w:val="charBoldItals"/>
          <w:bCs/>
          <w:iCs/>
        </w:rPr>
        <w:t xml:space="preserve">behaviour—see s 17B. </w:t>
      </w:r>
      <w:r w:rsidRPr="00B36404">
        <w:rPr>
          <w:rStyle w:val="charBoldItals"/>
          <w:bCs/>
          <w:iCs/>
        </w:rPr>
        <w:br/>
      </w:r>
      <w:r w:rsidRPr="00B36404">
        <w:rPr>
          <w:rStyle w:val="charBoldItals"/>
        </w:rPr>
        <w:t>Reasonable alternatives</w:t>
      </w:r>
      <w:r w:rsidRPr="00B36404">
        <w:rPr>
          <w:rStyle w:val="charBoldItals"/>
          <w:bCs/>
          <w:iCs/>
        </w:rPr>
        <w:t>—see s 17C.</w:t>
      </w:r>
    </w:p>
    <w:p w:rsidR="0006604A" w:rsidRPr="00B36404" w:rsidRDefault="0006604A" w:rsidP="0006604A">
      <w:pPr>
        <w:pStyle w:val="AH3sec"/>
        <w:tabs>
          <w:tab w:val="clear" w:pos="284"/>
          <w:tab w:val="num" w:pos="360"/>
        </w:tabs>
      </w:pPr>
      <w:r w:rsidRPr="00B36404">
        <w:br/>
        <w:t>Clause 8</w:t>
      </w:r>
      <w:r w:rsidRPr="00B36404">
        <w:br/>
        <w:t>Proposed new section 17ZF (1) (d)</w:t>
      </w:r>
      <w:r w:rsidRPr="00B36404">
        <w:br/>
        <w:t>Page 26, line 2—</w:t>
      </w:r>
    </w:p>
    <w:p w:rsidR="0006604A" w:rsidRPr="00B36404" w:rsidRDefault="0006604A" w:rsidP="006D4BFC">
      <w:pPr>
        <w:pStyle w:val="direction"/>
        <w:spacing w:before="120"/>
        <w:ind w:left="1094"/>
      </w:pPr>
      <w:r w:rsidRPr="00B36404">
        <w:t>omit</w:t>
      </w:r>
    </w:p>
    <w:p w:rsidR="0006604A" w:rsidRPr="00B36404" w:rsidRDefault="0006604A" w:rsidP="006D4BFC">
      <w:pPr>
        <w:pStyle w:val="Amainreturn"/>
        <w:spacing w:before="120"/>
        <w:ind w:left="1094"/>
      </w:pPr>
      <w:r w:rsidRPr="00B36404">
        <w:t>, proportionate and justifiable</w:t>
      </w:r>
    </w:p>
    <w:p w:rsidR="0006604A" w:rsidRPr="00B36404" w:rsidRDefault="0006604A" w:rsidP="0006604A">
      <w:pPr>
        <w:pStyle w:val="AH3sec"/>
        <w:tabs>
          <w:tab w:val="clear" w:pos="284"/>
          <w:tab w:val="num" w:pos="360"/>
        </w:tabs>
      </w:pPr>
      <w:r w:rsidRPr="00B36404">
        <w:br/>
        <w:t>Clause 8</w:t>
      </w:r>
      <w:r w:rsidRPr="00B36404">
        <w:br/>
        <w:t>Proposed new section 17ZF (3)</w:t>
      </w:r>
      <w:r w:rsidRPr="00B36404">
        <w:br/>
        <w:t>Page 26, line 8—</w:t>
      </w:r>
    </w:p>
    <w:p w:rsidR="0006604A" w:rsidRPr="00B36404" w:rsidRDefault="0006604A" w:rsidP="0006604A">
      <w:pPr>
        <w:pStyle w:val="direction"/>
      </w:pPr>
      <w:r w:rsidRPr="00B36404">
        <w:t>omit</w:t>
      </w:r>
    </w:p>
    <w:p w:rsidR="0006604A" w:rsidRDefault="0006604A" w:rsidP="006D4BFC">
      <w:pPr>
        <w:pStyle w:val="Amainreturn"/>
        <w:spacing w:before="120"/>
        <w:ind w:left="1094"/>
      </w:pPr>
      <w:r w:rsidRPr="00B36404">
        <w:t>, proportionate and justifiable</w:t>
      </w:r>
    </w:p>
    <w:p w:rsidR="006D4BFC" w:rsidRPr="00B36404" w:rsidRDefault="006D4BFC" w:rsidP="006D4BFC">
      <w:pPr>
        <w:pStyle w:val="Amainreturn"/>
        <w:pBdr>
          <w:top w:val="single" w:sz="4" w:space="1" w:color="auto"/>
        </w:pBdr>
        <w:spacing w:before="120"/>
        <w:ind w:left="0"/>
      </w:pPr>
    </w:p>
    <w:p w:rsidR="0006604A" w:rsidRPr="00B36404" w:rsidRDefault="0006604A" w:rsidP="0006604A">
      <w:pPr>
        <w:pStyle w:val="AH3sec"/>
        <w:tabs>
          <w:tab w:val="clear" w:pos="284"/>
          <w:tab w:val="num" w:pos="360"/>
        </w:tabs>
      </w:pPr>
      <w:r w:rsidRPr="00B36404">
        <w:br/>
        <w:t>Clause 8</w:t>
      </w:r>
      <w:r w:rsidRPr="00B36404">
        <w:br/>
        <w:t>Proposed new section 17ZH (3) (a) (ii)</w:t>
      </w:r>
      <w:r w:rsidRPr="00B36404">
        <w:br/>
        <w:t>Page 27, line 14—</w:t>
      </w:r>
    </w:p>
    <w:p w:rsidR="0006604A" w:rsidRPr="00B36404" w:rsidRDefault="0006604A" w:rsidP="0006604A">
      <w:pPr>
        <w:pStyle w:val="direction"/>
        <w:rPr>
          <w:i w:val="0"/>
          <w:iCs/>
        </w:rPr>
      </w:pPr>
      <w:r w:rsidRPr="00B36404">
        <w:t>omit proposed new section 17ZH (3) (a) (ii)</w:t>
      </w:r>
      <w:r w:rsidRPr="00B36404">
        <w:rPr>
          <w:i w:val="0"/>
          <w:iCs/>
        </w:rPr>
        <w:t xml:space="preserve">, </w:t>
      </w:r>
      <w:r w:rsidRPr="00B36404">
        <w:t>substitute</w:t>
      </w:r>
    </w:p>
    <w:p w:rsidR="0006604A" w:rsidRPr="00B36404" w:rsidRDefault="0006604A" w:rsidP="0006604A">
      <w:pPr>
        <w:pStyle w:val="Isubpara"/>
      </w:pPr>
      <w:r w:rsidRPr="00B36404">
        <w:tab/>
        <w:t>(ii)</w:t>
      </w:r>
      <w:r w:rsidRPr="00B36404">
        <w:tab/>
      </w:r>
      <w:r w:rsidRPr="00B36404">
        <w:rPr>
          <w:shd w:val="clear" w:color="auto" w:fill="FFFFFF"/>
        </w:rPr>
        <w:t>how they have exhausted reasonable alternatives to excluding the student;</w:t>
      </w:r>
    </w:p>
    <w:p w:rsidR="0006604A" w:rsidRPr="00B36404" w:rsidRDefault="0006604A" w:rsidP="0006604A">
      <w:pPr>
        <w:pStyle w:val="AH3sec"/>
        <w:tabs>
          <w:tab w:val="clear" w:pos="284"/>
          <w:tab w:val="num" w:pos="360"/>
        </w:tabs>
      </w:pPr>
      <w:r w:rsidRPr="00B36404">
        <w:br/>
        <w:t>Clause 8</w:t>
      </w:r>
      <w:r w:rsidRPr="00B36404">
        <w:br/>
        <w:t>Proposed new section 17ZH (3) (a), proposed new note</w:t>
      </w:r>
      <w:r w:rsidRPr="00B36404">
        <w:br/>
        <w:t>Page 27, line 17—</w:t>
      </w:r>
    </w:p>
    <w:p w:rsidR="0006604A" w:rsidRPr="00B36404" w:rsidRDefault="0006604A" w:rsidP="0006604A">
      <w:pPr>
        <w:pStyle w:val="direction"/>
      </w:pPr>
      <w:r w:rsidRPr="00B36404">
        <w:t>insert</w:t>
      </w:r>
    </w:p>
    <w:p w:rsidR="0006604A" w:rsidRPr="00B36404" w:rsidRDefault="0006604A" w:rsidP="0006604A">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B36404">
        <w:rPr>
          <w:rStyle w:val="charBoldItals"/>
          <w:bCs/>
          <w:iCs/>
        </w:rPr>
        <w:t xml:space="preserve">behaviour—see s 17B. </w:t>
      </w:r>
      <w:r w:rsidRPr="00B36404">
        <w:rPr>
          <w:rStyle w:val="charBoldItals"/>
          <w:bCs/>
          <w:iCs/>
        </w:rPr>
        <w:br/>
      </w:r>
      <w:r w:rsidRPr="00B36404">
        <w:rPr>
          <w:rStyle w:val="charBoldItals"/>
        </w:rPr>
        <w:t>Reasonable alternatives</w:t>
      </w:r>
      <w:r w:rsidRPr="00B36404">
        <w:rPr>
          <w:rStyle w:val="charBoldItals"/>
          <w:bCs/>
          <w:iCs/>
        </w:rPr>
        <w:t>—see s 17C.</w:t>
      </w:r>
    </w:p>
    <w:p w:rsidR="0006604A" w:rsidRPr="00B36404" w:rsidRDefault="0006604A" w:rsidP="0006604A">
      <w:pPr>
        <w:pStyle w:val="AH3sec"/>
        <w:tabs>
          <w:tab w:val="clear" w:pos="284"/>
          <w:tab w:val="num" w:pos="360"/>
        </w:tabs>
      </w:pPr>
      <w:r w:rsidRPr="00B36404">
        <w:br/>
        <w:t>Clause 8</w:t>
      </w:r>
      <w:r w:rsidRPr="00B36404">
        <w:br/>
        <w:t>Proposed new section 17ZI (a) (ii)</w:t>
      </w:r>
      <w:r w:rsidRPr="00B36404">
        <w:br/>
        <w:t>Page 28, line 9—</w:t>
      </w:r>
    </w:p>
    <w:p w:rsidR="0006604A" w:rsidRPr="00B36404" w:rsidRDefault="0006604A" w:rsidP="0006604A">
      <w:pPr>
        <w:pStyle w:val="direction"/>
        <w:rPr>
          <w:i w:val="0"/>
          <w:iCs/>
        </w:rPr>
      </w:pPr>
      <w:r w:rsidRPr="00B36404">
        <w:t>omit proposed new section 17ZI (a) (ii)</w:t>
      </w:r>
      <w:r w:rsidRPr="00B36404">
        <w:rPr>
          <w:i w:val="0"/>
          <w:iCs/>
        </w:rPr>
        <w:t xml:space="preserve">, </w:t>
      </w:r>
      <w:r w:rsidRPr="00B36404">
        <w:t>substitute</w:t>
      </w:r>
    </w:p>
    <w:p w:rsidR="0006604A" w:rsidRPr="00B36404" w:rsidRDefault="0006604A" w:rsidP="0006604A">
      <w:pPr>
        <w:pStyle w:val="Isubpara"/>
        <w:keepNext/>
      </w:pPr>
      <w:r w:rsidRPr="00B36404">
        <w:tab/>
        <w:t>(ii)</w:t>
      </w:r>
      <w:r w:rsidRPr="00B36404">
        <w:tab/>
      </w:r>
      <w:r w:rsidRPr="00B36404">
        <w:rPr>
          <w:shd w:val="clear" w:color="auto" w:fill="FFFFFF"/>
        </w:rPr>
        <w:t>how they have exhausted reasonable alternatives to excluding the student;</w:t>
      </w:r>
    </w:p>
    <w:p w:rsidR="0006604A" w:rsidRPr="00B36404" w:rsidRDefault="0006604A" w:rsidP="0006604A">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B36404">
        <w:rPr>
          <w:rStyle w:val="charBoldItals"/>
          <w:bCs/>
          <w:iCs/>
        </w:rPr>
        <w:t xml:space="preserve">behaviour—see s 17B. </w:t>
      </w:r>
      <w:r w:rsidRPr="00B36404">
        <w:rPr>
          <w:rStyle w:val="charBoldItals"/>
          <w:bCs/>
          <w:iCs/>
        </w:rPr>
        <w:br/>
      </w:r>
      <w:r w:rsidRPr="00B36404">
        <w:rPr>
          <w:rStyle w:val="charBoldItals"/>
        </w:rPr>
        <w:t>Reasonable alternatives</w:t>
      </w:r>
      <w:r w:rsidRPr="00B36404">
        <w:rPr>
          <w:rStyle w:val="charBoldItals"/>
          <w:bCs/>
          <w:iCs/>
        </w:rPr>
        <w:t>—see s 17C.</w:t>
      </w:r>
    </w:p>
    <w:p w:rsidR="0006604A" w:rsidRPr="00B36404" w:rsidRDefault="0006604A" w:rsidP="0006604A">
      <w:pPr>
        <w:pStyle w:val="AH3sec"/>
        <w:tabs>
          <w:tab w:val="clear" w:pos="284"/>
          <w:tab w:val="num" w:pos="360"/>
        </w:tabs>
      </w:pPr>
      <w:r w:rsidRPr="00B36404">
        <w:br/>
        <w:t>Clause 33</w:t>
      </w:r>
      <w:r w:rsidRPr="00B36404">
        <w:br/>
        <w:t>Proposed new section 85 (1)</w:t>
      </w:r>
      <w:r w:rsidRPr="00B36404">
        <w:br/>
        <w:t>Page 46, line 17—</w:t>
      </w:r>
    </w:p>
    <w:p w:rsidR="0006604A" w:rsidRPr="00B36404" w:rsidRDefault="0006604A" w:rsidP="0006604A">
      <w:pPr>
        <w:pStyle w:val="direction"/>
      </w:pPr>
      <w:r w:rsidRPr="00B36404">
        <w:t>omit</w:t>
      </w:r>
    </w:p>
    <w:p w:rsidR="0006604A" w:rsidRPr="00B36404" w:rsidRDefault="0006604A" w:rsidP="0006604A">
      <w:pPr>
        <w:pStyle w:val="Amainreturn"/>
      </w:pPr>
      <w:r w:rsidRPr="00B36404">
        <w:t>may</w:t>
      </w:r>
    </w:p>
    <w:p w:rsidR="0006604A" w:rsidRPr="00B36404" w:rsidRDefault="0006604A" w:rsidP="0006604A">
      <w:pPr>
        <w:pStyle w:val="direction"/>
      </w:pPr>
      <w:r w:rsidRPr="00B36404">
        <w:t>substitute</w:t>
      </w:r>
    </w:p>
    <w:p w:rsidR="0006604A" w:rsidRPr="00B36404" w:rsidRDefault="0006604A" w:rsidP="0006604A">
      <w:pPr>
        <w:pStyle w:val="Amainreturn"/>
      </w:pPr>
      <w:r w:rsidRPr="00B36404">
        <w:t>must</w:t>
      </w:r>
    </w:p>
    <w:p w:rsidR="0006604A" w:rsidRPr="00B36404" w:rsidRDefault="0006604A" w:rsidP="0006604A">
      <w:pPr>
        <w:pStyle w:val="AH3sec"/>
        <w:tabs>
          <w:tab w:val="clear" w:pos="284"/>
          <w:tab w:val="num" w:pos="360"/>
        </w:tabs>
      </w:pPr>
      <w:bookmarkStart w:id="8" w:name="_Hlk103601952"/>
      <w:r w:rsidRPr="00B36404">
        <w:br/>
        <w:t>Clause 33</w:t>
      </w:r>
      <w:r w:rsidRPr="00B36404">
        <w:br/>
        <w:t>Proposed new section 110A</w:t>
      </w:r>
      <w:r w:rsidRPr="00B36404">
        <w:br/>
        <w:t>Page 65, line 5—</w:t>
      </w:r>
    </w:p>
    <w:p w:rsidR="0006604A" w:rsidRPr="00B36404" w:rsidRDefault="0006604A" w:rsidP="0006604A">
      <w:pPr>
        <w:pStyle w:val="direction"/>
      </w:pPr>
      <w:r w:rsidRPr="00B36404">
        <w:t>insert</w:t>
      </w:r>
    </w:p>
    <w:p w:rsidR="0006604A" w:rsidRPr="00B36404" w:rsidRDefault="0006604A" w:rsidP="0006604A">
      <w:pPr>
        <w:pStyle w:val="IH5Sec"/>
      </w:pPr>
      <w:r w:rsidRPr="00B36404">
        <w:t>110A</w:t>
      </w:r>
      <w:r w:rsidRPr="00B36404">
        <w:tab/>
        <w:t>Registrar to report concerns to registration standards advisory board</w:t>
      </w:r>
    </w:p>
    <w:p w:rsidR="0006604A" w:rsidRPr="00B36404" w:rsidRDefault="0006604A" w:rsidP="0006604A">
      <w:pPr>
        <w:pStyle w:val="IMain"/>
      </w:pPr>
      <w:r w:rsidRPr="00B36404">
        <w:tab/>
        <w:t>(1)</w:t>
      </w:r>
      <w:r w:rsidRPr="00B36404">
        <w:tab/>
        <w:t>As soon as practicable after the end of each quarter the registrar must give the registration standards advisory board a report about concerns raised under section 110.</w:t>
      </w:r>
    </w:p>
    <w:bookmarkEnd w:id="8"/>
    <w:p w:rsidR="0006604A" w:rsidRPr="00B36404" w:rsidRDefault="0006604A" w:rsidP="0006604A">
      <w:pPr>
        <w:pStyle w:val="IMain"/>
      </w:pPr>
      <w:r w:rsidRPr="00B36404">
        <w:tab/>
        <w:t>(2)</w:t>
      </w:r>
      <w:r w:rsidRPr="00B36404">
        <w:tab/>
        <w:t>The report must not, without the written consent of the person who raised the concern, include information that—</w:t>
      </w:r>
    </w:p>
    <w:p w:rsidR="0006604A" w:rsidRPr="00B36404" w:rsidRDefault="0006604A" w:rsidP="0006604A">
      <w:pPr>
        <w:pStyle w:val="Ipara"/>
      </w:pPr>
      <w:r w:rsidRPr="00B36404">
        <w:tab/>
        <w:t>(a)</w:t>
      </w:r>
      <w:r w:rsidRPr="00B36404">
        <w:tab/>
        <w:t xml:space="preserve">identifies the person as the person who raised the concern; or </w:t>
      </w:r>
    </w:p>
    <w:p w:rsidR="0006604A" w:rsidRPr="00B36404" w:rsidRDefault="0006604A" w:rsidP="0006604A">
      <w:pPr>
        <w:pStyle w:val="Ipara"/>
      </w:pPr>
      <w:r w:rsidRPr="00B36404">
        <w:tab/>
        <w:t>(b)</w:t>
      </w:r>
      <w:r w:rsidRPr="00B36404">
        <w:tab/>
        <w:t>would allow the identity of the person to be worked out.</w:t>
      </w:r>
    </w:p>
    <w:p w:rsidR="0006604A" w:rsidRPr="00B36404" w:rsidRDefault="0006604A" w:rsidP="0006604A">
      <w:pPr>
        <w:pStyle w:val="IMain"/>
      </w:pPr>
      <w:r w:rsidRPr="00B36404">
        <w:tab/>
        <w:t>(3)</w:t>
      </w:r>
      <w:r w:rsidRPr="00B36404">
        <w:tab/>
        <w:t>The report must comply with any requirements prescribed by regulation.</w:t>
      </w:r>
    </w:p>
    <w:p w:rsidR="0006604A" w:rsidRPr="00B36404" w:rsidRDefault="0006604A" w:rsidP="0006604A">
      <w:pPr>
        <w:pStyle w:val="AH3sec"/>
        <w:tabs>
          <w:tab w:val="clear" w:pos="284"/>
          <w:tab w:val="num" w:pos="360"/>
        </w:tabs>
      </w:pPr>
      <w:r w:rsidRPr="00B36404">
        <w:br/>
        <w:t>Clause 33</w:t>
      </w:r>
      <w:r w:rsidRPr="00B36404">
        <w:br/>
        <w:t>Proposed new section 116 (3)</w:t>
      </w:r>
      <w:r w:rsidRPr="00B36404">
        <w:br/>
        <w:t>Page 68, line 14—</w:t>
      </w:r>
    </w:p>
    <w:p w:rsidR="0006604A" w:rsidRPr="00B36404" w:rsidRDefault="0006604A" w:rsidP="0006604A">
      <w:pPr>
        <w:pStyle w:val="direction"/>
      </w:pPr>
      <w:r w:rsidRPr="00B36404">
        <w:t>omit</w:t>
      </w:r>
    </w:p>
    <w:p w:rsidR="0006604A" w:rsidRPr="00B36404" w:rsidRDefault="0006604A" w:rsidP="0006604A">
      <w:pPr>
        <w:pStyle w:val="Amainreturn"/>
      </w:pPr>
      <w:r w:rsidRPr="00B36404">
        <w:t>standards</w:t>
      </w:r>
    </w:p>
    <w:p w:rsidR="0006604A" w:rsidRPr="00B36404" w:rsidRDefault="0006604A" w:rsidP="0006604A">
      <w:pPr>
        <w:pStyle w:val="direction"/>
      </w:pPr>
      <w:r w:rsidRPr="00B36404">
        <w:t>substitute</w:t>
      </w:r>
    </w:p>
    <w:p w:rsidR="0006604A" w:rsidRPr="00B36404" w:rsidRDefault="0006604A" w:rsidP="0006604A">
      <w:pPr>
        <w:pStyle w:val="Amainreturn"/>
      </w:pPr>
      <w:r w:rsidRPr="00B36404">
        <w:t>review</w:t>
      </w:r>
    </w:p>
    <w:p w:rsidR="0006604A" w:rsidRPr="00B36404" w:rsidRDefault="0006604A" w:rsidP="0006604A">
      <w:pPr>
        <w:pStyle w:val="AH3sec"/>
        <w:tabs>
          <w:tab w:val="clear" w:pos="284"/>
          <w:tab w:val="num" w:pos="360"/>
        </w:tabs>
      </w:pPr>
      <w:r w:rsidRPr="00B36404">
        <w:br/>
        <w:t>Clause 33</w:t>
      </w:r>
      <w:r w:rsidRPr="00B36404">
        <w:br/>
        <w:t>Proposed new section 117</w:t>
      </w:r>
      <w:r w:rsidRPr="00B36404">
        <w:br/>
        <w:t>Page 68, line 15—</w:t>
      </w:r>
    </w:p>
    <w:p w:rsidR="0006604A" w:rsidRPr="00B36404" w:rsidRDefault="0006604A" w:rsidP="0006604A">
      <w:pPr>
        <w:pStyle w:val="direction"/>
      </w:pPr>
      <w:r w:rsidRPr="00B36404">
        <w:t>omit</w:t>
      </w:r>
    </w:p>
    <w:p w:rsidR="0006604A" w:rsidRPr="00B36404" w:rsidRDefault="0006604A" w:rsidP="0006604A">
      <w:pPr>
        <w:pStyle w:val="AH3sec"/>
        <w:tabs>
          <w:tab w:val="clear" w:pos="284"/>
          <w:tab w:val="num" w:pos="360"/>
        </w:tabs>
      </w:pPr>
      <w:r w:rsidRPr="00B36404">
        <w:br/>
        <w:t>Clause 33</w:t>
      </w:r>
      <w:r w:rsidRPr="00B36404">
        <w:br/>
        <w:t>Proposed new section 119 (1)</w:t>
      </w:r>
      <w:r w:rsidRPr="00B36404">
        <w:br/>
        <w:t>Page 69, line 21—</w:t>
      </w:r>
    </w:p>
    <w:p w:rsidR="0006604A" w:rsidRPr="00B36404" w:rsidRDefault="0006604A" w:rsidP="0006604A">
      <w:pPr>
        <w:pStyle w:val="direction"/>
      </w:pPr>
      <w:r w:rsidRPr="00B36404">
        <w:t>omit</w:t>
      </w:r>
    </w:p>
    <w:p w:rsidR="0006604A" w:rsidRPr="00B36404" w:rsidRDefault="0006604A" w:rsidP="0006604A">
      <w:pPr>
        <w:pStyle w:val="Amainreturn"/>
      </w:pPr>
      <w:r w:rsidRPr="00B36404">
        <w:t>may</w:t>
      </w:r>
    </w:p>
    <w:p w:rsidR="0006604A" w:rsidRPr="00B36404" w:rsidRDefault="0006604A" w:rsidP="0006604A">
      <w:pPr>
        <w:pStyle w:val="direction"/>
      </w:pPr>
      <w:r w:rsidRPr="00B36404">
        <w:t>substitute</w:t>
      </w:r>
    </w:p>
    <w:p w:rsidR="0006604A" w:rsidRPr="00B36404" w:rsidRDefault="0006604A" w:rsidP="0006604A">
      <w:pPr>
        <w:pStyle w:val="Amainreturn"/>
      </w:pPr>
      <w:r w:rsidRPr="00B36404">
        <w:t>must</w:t>
      </w:r>
    </w:p>
    <w:p w:rsidR="0006604A" w:rsidRPr="00B36404" w:rsidRDefault="0006604A" w:rsidP="0006604A">
      <w:pPr>
        <w:pStyle w:val="AH3sec"/>
        <w:tabs>
          <w:tab w:val="clear" w:pos="284"/>
          <w:tab w:val="num" w:pos="360"/>
        </w:tabs>
      </w:pPr>
      <w:r w:rsidRPr="00B36404">
        <w:br/>
        <w:t>Clause 39</w:t>
      </w:r>
      <w:r w:rsidRPr="00B36404">
        <w:br/>
        <w:t>Proposed new section 311M (1)</w:t>
      </w:r>
      <w:r w:rsidRPr="00B36404">
        <w:br/>
        <w:t>Page 97, line 5—</w:t>
      </w:r>
    </w:p>
    <w:p w:rsidR="0006604A" w:rsidRPr="00B36404" w:rsidRDefault="0006604A" w:rsidP="0006604A">
      <w:pPr>
        <w:pStyle w:val="direction"/>
      </w:pPr>
      <w:r w:rsidRPr="00B36404">
        <w:t>omit proposed new section 311M (1), substitute</w:t>
      </w:r>
    </w:p>
    <w:p w:rsidR="0006604A" w:rsidRDefault="0006604A" w:rsidP="0006604A">
      <w:pPr>
        <w:pStyle w:val="IMain"/>
      </w:pPr>
      <w:r w:rsidRPr="00B36404">
        <w:tab/>
        <w:t>(1)</w:t>
      </w:r>
      <w:r w:rsidRPr="00B36404">
        <w:tab/>
        <w:t>This section applies if, immediately</w:t>
      </w:r>
      <w:r w:rsidR="00C67818">
        <w:t xml:space="preserve"> before the commencement day, a </w:t>
      </w:r>
      <w:r w:rsidRPr="00B36404">
        <w:t xml:space="preserve">non-government school was registered under the pre-amendment Act, section 88 </w:t>
      </w:r>
      <w:r w:rsidRPr="00B36404">
        <w:rPr>
          <w:iCs/>
        </w:rPr>
        <w:t>(including registration renewed under the pre</w:t>
      </w:r>
      <w:r w:rsidRPr="00B36404">
        <w:rPr>
          <w:iCs/>
        </w:rPr>
        <w:noBreakHyphen/>
        <w:t xml:space="preserve">amendment Act, </w:t>
      </w:r>
      <w:r w:rsidRPr="00B36404">
        <w:t>section 97).</w:t>
      </w:r>
    </w:p>
    <w:p w:rsidR="00C67818" w:rsidRPr="00B36404" w:rsidRDefault="00C67818" w:rsidP="00C67818">
      <w:pPr>
        <w:pStyle w:val="IMain"/>
        <w:pBdr>
          <w:top w:val="single" w:sz="4" w:space="1" w:color="auto"/>
        </w:pBdr>
      </w:pPr>
    </w:p>
    <w:p w:rsidR="0006604A" w:rsidRPr="00B36404" w:rsidRDefault="0006604A" w:rsidP="0006604A">
      <w:pPr>
        <w:pStyle w:val="AH3sec"/>
        <w:tabs>
          <w:tab w:val="clear" w:pos="284"/>
          <w:tab w:val="num" w:pos="360"/>
        </w:tabs>
      </w:pPr>
      <w:bookmarkStart w:id="9" w:name="_Hlk103602141"/>
      <w:r w:rsidRPr="00B36404">
        <w:br/>
        <w:t>Clause 39</w:t>
      </w:r>
      <w:r w:rsidRPr="00B36404">
        <w:br/>
        <w:t>Proposed new section 311M (3A)</w:t>
      </w:r>
      <w:r w:rsidRPr="00B36404">
        <w:br/>
        <w:t>Page 97, line 15—</w:t>
      </w:r>
    </w:p>
    <w:p w:rsidR="0006604A" w:rsidRPr="00B36404" w:rsidRDefault="0006604A" w:rsidP="004E24D2">
      <w:pPr>
        <w:pStyle w:val="direction"/>
        <w:tabs>
          <w:tab w:val="left" w:pos="3728"/>
        </w:tabs>
      </w:pPr>
      <w:r w:rsidRPr="00B36404">
        <w:t>insert</w:t>
      </w:r>
      <w:r w:rsidR="004E24D2">
        <w:tab/>
      </w:r>
    </w:p>
    <w:p w:rsidR="0006604A" w:rsidRPr="00B36404" w:rsidRDefault="0006604A" w:rsidP="0006604A">
      <w:pPr>
        <w:pStyle w:val="IMain"/>
      </w:pPr>
      <w:r w:rsidRPr="00B36404">
        <w:tab/>
        <w:t>(3A)</w:t>
      </w:r>
      <w:r w:rsidRPr="00B36404">
        <w:tab/>
        <w:t xml:space="preserve">However, no action under this Act may be taken against the school </w:t>
      </w:r>
      <w:bookmarkEnd w:id="9"/>
      <w:r w:rsidRPr="00B36404">
        <w:t>for failing to comply with the conditions mentioned in section 93 (a) and (b) during the first 9 months following the commencement day.</w:t>
      </w:r>
    </w:p>
    <w:p w:rsidR="0006604A" w:rsidRPr="00B36404" w:rsidRDefault="0006604A" w:rsidP="0006604A">
      <w:pPr>
        <w:pStyle w:val="AH3sec"/>
        <w:tabs>
          <w:tab w:val="clear" w:pos="284"/>
          <w:tab w:val="num" w:pos="360"/>
        </w:tabs>
      </w:pPr>
      <w:r w:rsidRPr="00B36404">
        <w:br/>
        <w:t>Clause 47</w:t>
      </w:r>
      <w:r w:rsidRPr="00B36404">
        <w:br/>
        <w:t xml:space="preserve">Proposed new dictionary definition of </w:t>
      </w:r>
      <w:r w:rsidRPr="00B36404">
        <w:rPr>
          <w:i/>
          <w:iCs/>
        </w:rPr>
        <w:t>levels of education</w:t>
      </w:r>
      <w:r w:rsidRPr="00B36404">
        <w:t>, examples</w:t>
      </w:r>
      <w:r w:rsidRPr="00B36404">
        <w:br/>
        <w:t>Page 103, line 26—</w:t>
      </w:r>
    </w:p>
    <w:p w:rsidR="0006604A" w:rsidRPr="00B36404" w:rsidRDefault="0006604A" w:rsidP="0006604A">
      <w:pPr>
        <w:pStyle w:val="direction"/>
      </w:pPr>
      <w:r w:rsidRPr="00B36404">
        <w:t>omit</w:t>
      </w:r>
    </w:p>
    <w:p w:rsidR="0006604A" w:rsidRPr="00B36404" w:rsidRDefault="0006604A" w:rsidP="0006604A">
      <w:pPr>
        <w:pStyle w:val="aExamss"/>
      </w:pPr>
      <w:r w:rsidRPr="00B36404">
        <w:t>preschool,</w:t>
      </w:r>
    </w:p>
    <w:p w:rsidR="0006604A" w:rsidRPr="00B36404" w:rsidRDefault="0006604A" w:rsidP="0006604A">
      <w:pPr>
        <w:pStyle w:val="AH3sec"/>
        <w:tabs>
          <w:tab w:val="clear" w:pos="284"/>
          <w:tab w:val="num" w:pos="360"/>
        </w:tabs>
      </w:pPr>
      <w:r w:rsidRPr="00B36404">
        <w:br/>
        <w:t>Clause 58</w:t>
      </w:r>
      <w:r w:rsidRPr="00B36404">
        <w:br/>
        <w:t xml:space="preserve">Proposed new dictionary definition of </w:t>
      </w:r>
      <w:r w:rsidRPr="00B36404">
        <w:rPr>
          <w:i/>
          <w:iCs/>
        </w:rPr>
        <w:t>school</w:t>
      </w:r>
      <w:r w:rsidRPr="00B36404">
        <w:rPr>
          <w:i/>
          <w:iCs/>
        </w:rPr>
        <w:br/>
      </w:r>
      <w:r w:rsidRPr="00B36404">
        <w:t>Page 106, line 22—</w:t>
      </w:r>
    </w:p>
    <w:p w:rsidR="0006604A" w:rsidRPr="00B36404" w:rsidRDefault="0006604A" w:rsidP="0006604A">
      <w:pPr>
        <w:pStyle w:val="direction"/>
      </w:pPr>
      <w:r w:rsidRPr="00B36404">
        <w:t>omit the definition, substitute</w:t>
      </w:r>
    </w:p>
    <w:p w:rsidR="0006604A" w:rsidRPr="00B36404" w:rsidRDefault="0006604A" w:rsidP="0006604A">
      <w:pPr>
        <w:pStyle w:val="aDef"/>
      </w:pPr>
      <w:r w:rsidRPr="00B36404">
        <w:rPr>
          <w:b/>
          <w:i/>
        </w:rPr>
        <w:t>school</w:t>
      </w:r>
      <w:r w:rsidRPr="00B36404">
        <w:t xml:space="preserve"> means an institution providing 1 or more levels of education from kindergarten to year 12.</w:t>
      </w:r>
    </w:p>
    <w:p w:rsidR="0006604A" w:rsidRPr="00B36404" w:rsidRDefault="0006604A" w:rsidP="0006604A">
      <w:pPr>
        <w:pStyle w:val="aNote"/>
      </w:pPr>
      <w:bookmarkStart w:id="10" w:name="_Hlk103184165"/>
      <w:r w:rsidRPr="00B36404">
        <w:rPr>
          <w:i/>
        </w:rPr>
        <w:t>Note 1</w:t>
      </w:r>
      <w:r w:rsidRPr="00B36404">
        <w:rPr>
          <w:i/>
        </w:rPr>
        <w:tab/>
      </w:r>
      <w:r w:rsidRPr="00B36404">
        <w:t>A school may also deliver a preschool program (see</w:t>
      </w:r>
      <w:bookmarkStart w:id="11" w:name="_Hlk103602230"/>
      <w:r w:rsidRPr="00B36404">
        <w:t xml:space="preserve"> </w:t>
      </w:r>
      <w:r w:rsidRPr="00B36404">
        <w:rPr>
          <w:i/>
          <w:iCs/>
        </w:rPr>
        <w:t>Education and Care Services National Law (ACT)</w:t>
      </w:r>
      <w:bookmarkEnd w:id="11"/>
      <w:r w:rsidRPr="00B36404">
        <w:t xml:space="preserve">, s 5 (1), def </w:t>
      </w:r>
      <w:r w:rsidRPr="00B36404">
        <w:rPr>
          <w:b/>
          <w:bCs/>
          <w:i/>
          <w:iCs/>
        </w:rPr>
        <w:t>education and care service</w:t>
      </w:r>
      <w:r w:rsidRPr="00B36404">
        <w:t>).</w:t>
      </w:r>
    </w:p>
    <w:p w:rsidR="0006604A" w:rsidRPr="00B36404" w:rsidRDefault="0006604A" w:rsidP="0006604A">
      <w:pPr>
        <w:pStyle w:val="aNote"/>
      </w:pPr>
      <w:bookmarkStart w:id="12" w:name="_Hlk103602293"/>
      <w:r w:rsidRPr="00B36404">
        <w:rPr>
          <w:i/>
        </w:rPr>
        <w:t>Note 2</w:t>
      </w:r>
      <w:r w:rsidRPr="00B36404">
        <w:tab/>
      </w:r>
      <w:r w:rsidRPr="00B36404">
        <w:rPr>
          <w:rStyle w:val="aNoteChar"/>
        </w:rPr>
        <w:t xml:space="preserve">The </w:t>
      </w:r>
      <w:r w:rsidRPr="00B36404">
        <w:rPr>
          <w:rStyle w:val="aNoteChar"/>
          <w:i/>
          <w:iCs/>
        </w:rPr>
        <w:t>Education and Care Services National Law (ACT) Act 2011</w:t>
      </w:r>
      <w:r w:rsidRPr="00B36404">
        <w:rPr>
          <w:rStyle w:val="aNoteChar"/>
        </w:rPr>
        <w:t xml:space="preserve"> s 6 applies the Education and Care Services National Law set out in the </w:t>
      </w:r>
      <w:r w:rsidRPr="00B36404">
        <w:rPr>
          <w:rStyle w:val="aNoteChar"/>
          <w:i/>
          <w:iCs/>
        </w:rPr>
        <w:t>Education and Care Services National Law Act 2010</w:t>
      </w:r>
      <w:r w:rsidRPr="00B36404">
        <w:rPr>
          <w:rStyle w:val="aNoteChar"/>
        </w:rPr>
        <w:t xml:space="preserve"> (Vic), schedule as </w:t>
      </w:r>
      <w:r w:rsidRPr="00955394">
        <w:rPr>
          <w:rStyle w:val="aNoteChar"/>
          <w:spacing w:val="2"/>
        </w:rPr>
        <w:t xml:space="preserve">if it were an ACT law called the </w:t>
      </w:r>
      <w:r w:rsidR="00C67818" w:rsidRPr="00955394">
        <w:rPr>
          <w:rStyle w:val="aNoteChar"/>
          <w:i/>
          <w:iCs/>
          <w:spacing w:val="2"/>
        </w:rPr>
        <w:t>Education and Care National</w:t>
      </w:r>
      <w:r w:rsidR="00955394">
        <w:rPr>
          <w:rStyle w:val="aNoteChar"/>
          <w:i/>
          <w:iCs/>
        </w:rPr>
        <w:t xml:space="preserve"> </w:t>
      </w:r>
      <w:r w:rsidR="00C67818">
        <w:rPr>
          <w:rStyle w:val="aNoteChar"/>
          <w:i/>
          <w:iCs/>
        </w:rPr>
        <w:t>Law </w:t>
      </w:r>
      <w:r w:rsidRPr="005B2149">
        <w:rPr>
          <w:rStyle w:val="aNoteChar"/>
          <w:i/>
          <w:iCs/>
        </w:rPr>
        <w:t>(ACT)</w:t>
      </w:r>
      <w:r w:rsidRPr="00B36404">
        <w:rPr>
          <w:rStyle w:val="aNoteChar"/>
        </w:rPr>
        <w:t>.</w:t>
      </w:r>
    </w:p>
    <w:p w:rsidR="0006604A" w:rsidRPr="00B36404" w:rsidRDefault="0006604A" w:rsidP="0006604A">
      <w:pPr>
        <w:pStyle w:val="AH3sec"/>
        <w:tabs>
          <w:tab w:val="clear" w:pos="284"/>
          <w:tab w:val="num" w:pos="360"/>
        </w:tabs>
      </w:pPr>
      <w:bookmarkStart w:id="13" w:name="_Hlk103247737"/>
      <w:bookmarkEnd w:id="10"/>
      <w:bookmarkEnd w:id="12"/>
      <w:r w:rsidRPr="00B36404">
        <w:br/>
        <w:t>Clause 64</w:t>
      </w:r>
      <w:r w:rsidRPr="00B36404">
        <w:br/>
        <w:t>Proposed new standard 2.5 (1), note</w:t>
      </w:r>
      <w:r w:rsidRPr="00B36404">
        <w:br/>
        <w:t>Page 116, line 18—</w:t>
      </w:r>
    </w:p>
    <w:p w:rsidR="0006604A" w:rsidRPr="00B36404" w:rsidRDefault="0006604A" w:rsidP="0006604A">
      <w:pPr>
        <w:pStyle w:val="direction"/>
      </w:pPr>
      <w:r w:rsidRPr="00B36404">
        <w:t>omit</w:t>
      </w:r>
    </w:p>
    <w:p w:rsidR="0006604A" w:rsidRPr="00B36404" w:rsidRDefault="0006604A" w:rsidP="0006604A">
      <w:pPr>
        <w:pStyle w:val="AH3sec"/>
        <w:tabs>
          <w:tab w:val="clear" w:pos="284"/>
          <w:tab w:val="num" w:pos="360"/>
        </w:tabs>
      </w:pPr>
      <w:r w:rsidRPr="00B36404">
        <w:br/>
        <w:t>Clause 64</w:t>
      </w:r>
      <w:r w:rsidRPr="00B36404">
        <w:br/>
        <w:t>Proposed new standard 2.5 (2)</w:t>
      </w:r>
      <w:r w:rsidRPr="00B36404">
        <w:br/>
        <w:t>Page 116, line 23—</w:t>
      </w:r>
    </w:p>
    <w:p w:rsidR="0006604A" w:rsidRPr="00B36404" w:rsidRDefault="0006604A" w:rsidP="0006604A">
      <w:pPr>
        <w:pStyle w:val="direction"/>
      </w:pPr>
      <w:r w:rsidRPr="00B36404">
        <w:t>omit</w:t>
      </w:r>
    </w:p>
    <w:p w:rsidR="0006604A" w:rsidRPr="00B36404" w:rsidRDefault="0006604A" w:rsidP="0006604A">
      <w:pPr>
        <w:pStyle w:val="Amainreturn"/>
      </w:pPr>
      <w:r w:rsidRPr="00B36404">
        <w:t>the operation of the school</w:t>
      </w:r>
      <w:r w:rsidR="002777E5">
        <w:t>’</w:t>
      </w:r>
      <w:r w:rsidRPr="00B36404">
        <w:t>s policies and procedures.</w:t>
      </w:r>
    </w:p>
    <w:p w:rsidR="0006604A" w:rsidRPr="00B36404" w:rsidRDefault="0006604A" w:rsidP="0006604A">
      <w:pPr>
        <w:pStyle w:val="direction"/>
      </w:pPr>
      <w:r w:rsidRPr="00B36404">
        <w:t>substitute</w:t>
      </w:r>
    </w:p>
    <w:p w:rsidR="0006604A" w:rsidRPr="00B36404" w:rsidRDefault="0006604A" w:rsidP="0006604A">
      <w:pPr>
        <w:pStyle w:val="Amainreturn"/>
      </w:pPr>
      <w:r w:rsidRPr="00B36404">
        <w:t>the following polices for the school—</w:t>
      </w:r>
    </w:p>
    <w:p w:rsidR="0006604A" w:rsidRPr="00B36404" w:rsidRDefault="0006604A" w:rsidP="00C67818">
      <w:pPr>
        <w:pStyle w:val="Ipara"/>
        <w:keepNext/>
        <w:ind w:left="1598" w:hanging="1598"/>
      </w:pPr>
      <w:r w:rsidRPr="00B36404">
        <w:tab/>
        <w:t>(a)</w:t>
      </w:r>
      <w:r w:rsidRPr="00B36404">
        <w:tab/>
        <w:t>the enrolment policy under standard 2.8;</w:t>
      </w:r>
    </w:p>
    <w:p w:rsidR="0006604A" w:rsidRPr="00B36404" w:rsidRDefault="0006604A" w:rsidP="0006604A">
      <w:pPr>
        <w:pStyle w:val="Ipara"/>
      </w:pPr>
      <w:r w:rsidRPr="00B36404">
        <w:tab/>
        <w:t>(b)</w:t>
      </w:r>
      <w:r w:rsidRPr="00B36404">
        <w:tab/>
        <w:t>the complaints policy under standard 2.9;</w:t>
      </w:r>
    </w:p>
    <w:p w:rsidR="0006604A" w:rsidRPr="00B36404" w:rsidRDefault="0006604A" w:rsidP="0006604A">
      <w:pPr>
        <w:pStyle w:val="Ipara"/>
      </w:pPr>
      <w:r w:rsidRPr="00B36404">
        <w:tab/>
        <w:t>(c)</w:t>
      </w:r>
      <w:r w:rsidRPr="00B36404">
        <w:tab/>
        <w:t xml:space="preserve">the behaviour management policy under standard 2.18. </w:t>
      </w:r>
      <w:bookmarkEnd w:id="13"/>
    </w:p>
    <w:p w:rsidR="0006604A" w:rsidRPr="00B36404" w:rsidRDefault="0006604A" w:rsidP="0006604A">
      <w:pPr>
        <w:pStyle w:val="AH3sec"/>
        <w:tabs>
          <w:tab w:val="clear" w:pos="284"/>
          <w:tab w:val="num" w:pos="360"/>
        </w:tabs>
      </w:pPr>
      <w:r w:rsidRPr="00B36404">
        <w:br/>
        <w:t>Clause 64</w:t>
      </w:r>
      <w:r w:rsidRPr="00B36404">
        <w:br/>
        <w:t>Proposed new standard 2.6 (2), example</w:t>
      </w:r>
      <w:r w:rsidRPr="00B36404">
        <w:br/>
        <w:t>Page 117, line 13—</w:t>
      </w:r>
    </w:p>
    <w:p w:rsidR="0006604A" w:rsidRPr="00B36404" w:rsidRDefault="0006604A" w:rsidP="0006604A">
      <w:pPr>
        <w:pStyle w:val="direction"/>
      </w:pPr>
      <w:r w:rsidRPr="00B36404">
        <w:t>omit the example, substitute</w:t>
      </w:r>
    </w:p>
    <w:p w:rsidR="0006604A" w:rsidRPr="00B36404" w:rsidRDefault="0006604A" w:rsidP="0006604A">
      <w:pPr>
        <w:pStyle w:val="aExamHdgss"/>
      </w:pPr>
      <w:r w:rsidRPr="00B36404">
        <w:t>Examples—made available to the public</w:t>
      </w:r>
    </w:p>
    <w:p w:rsidR="0006604A" w:rsidRPr="00B36404" w:rsidRDefault="0006604A" w:rsidP="0006604A">
      <w:pPr>
        <w:pStyle w:val="aExamBulletss"/>
        <w:tabs>
          <w:tab w:val="clear" w:pos="360"/>
          <w:tab w:val="num" w:pos="1500"/>
        </w:tabs>
        <w:ind w:left="1500" w:hanging="400"/>
      </w:pPr>
      <w:r w:rsidRPr="00B36404">
        <w:t>included in a publicly available annual report</w:t>
      </w:r>
    </w:p>
    <w:p w:rsidR="0006604A" w:rsidRPr="00B36404" w:rsidRDefault="0006604A" w:rsidP="0006604A">
      <w:pPr>
        <w:pStyle w:val="aExamBulletss"/>
        <w:tabs>
          <w:tab w:val="clear" w:pos="360"/>
          <w:tab w:val="num" w:pos="1500"/>
        </w:tabs>
        <w:ind w:left="1500" w:hanging="400"/>
      </w:pPr>
      <w:r w:rsidRPr="00B36404">
        <w:t>published on the school</w:t>
      </w:r>
      <w:r w:rsidR="002777E5">
        <w:t>’</w:t>
      </w:r>
      <w:r w:rsidRPr="00B36404">
        <w:t>s website</w:t>
      </w:r>
    </w:p>
    <w:p w:rsidR="0006604A" w:rsidRPr="00B36404" w:rsidRDefault="0006604A" w:rsidP="0006604A">
      <w:pPr>
        <w:pStyle w:val="AH3sec"/>
        <w:tabs>
          <w:tab w:val="clear" w:pos="284"/>
          <w:tab w:val="num" w:pos="360"/>
        </w:tabs>
      </w:pPr>
      <w:r w:rsidRPr="00B36404">
        <w:br/>
        <w:t>Clause 64</w:t>
      </w:r>
      <w:r w:rsidRPr="00B36404">
        <w:br/>
        <w:t>Proposed new standard 2.8 (3), note</w:t>
      </w:r>
      <w:r w:rsidRPr="00B36404">
        <w:br/>
        <w:t>Page 118, line 20—</w:t>
      </w:r>
    </w:p>
    <w:p w:rsidR="0006604A" w:rsidRPr="00B36404" w:rsidRDefault="0006604A" w:rsidP="0006604A">
      <w:pPr>
        <w:pStyle w:val="direction"/>
      </w:pPr>
      <w:r w:rsidRPr="00B36404">
        <w:t>omit</w:t>
      </w:r>
    </w:p>
    <w:p w:rsidR="0006604A" w:rsidRPr="00B36404" w:rsidRDefault="0006604A" w:rsidP="0006604A">
      <w:pPr>
        <w:pStyle w:val="Amainreturn"/>
        <w:rPr>
          <w:sz w:val="20"/>
        </w:rPr>
      </w:pPr>
      <w:r w:rsidRPr="00B36404">
        <w:rPr>
          <w:sz w:val="20"/>
        </w:rPr>
        <w:t>policies and procedures and ensure they are</w:t>
      </w:r>
    </w:p>
    <w:p w:rsidR="0006604A" w:rsidRPr="00B36404" w:rsidRDefault="0006604A" w:rsidP="0006604A">
      <w:pPr>
        <w:pStyle w:val="direction"/>
      </w:pPr>
      <w:r w:rsidRPr="00B36404">
        <w:t>substitute</w:t>
      </w:r>
    </w:p>
    <w:p w:rsidR="0006604A" w:rsidRPr="00B36404" w:rsidRDefault="0006604A" w:rsidP="0006604A">
      <w:pPr>
        <w:pStyle w:val="Amainreturn"/>
        <w:rPr>
          <w:sz w:val="20"/>
        </w:rPr>
      </w:pPr>
      <w:r w:rsidRPr="00B36404">
        <w:rPr>
          <w:sz w:val="20"/>
        </w:rPr>
        <w:t>the school</w:t>
      </w:r>
      <w:r w:rsidR="002777E5">
        <w:rPr>
          <w:sz w:val="20"/>
        </w:rPr>
        <w:t>’</w:t>
      </w:r>
      <w:r w:rsidRPr="00B36404">
        <w:rPr>
          <w:sz w:val="20"/>
        </w:rPr>
        <w:t>s enrolment policy and ensure it is</w:t>
      </w:r>
    </w:p>
    <w:p w:rsidR="0006604A" w:rsidRPr="00B36404" w:rsidRDefault="0006604A" w:rsidP="0006604A">
      <w:pPr>
        <w:pStyle w:val="AH3sec"/>
        <w:tabs>
          <w:tab w:val="clear" w:pos="284"/>
          <w:tab w:val="num" w:pos="360"/>
        </w:tabs>
      </w:pPr>
      <w:r w:rsidRPr="00B36404">
        <w:br/>
        <w:t>Clause 64</w:t>
      </w:r>
      <w:r w:rsidRPr="00B36404">
        <w:br/>
        <w:t>Proposed new standard 2.9 (2), note</w:t>
      </w:r>
      <w:r w:rsidRPr="00B36404">
        <w:br/>
        <w:t>Page 119, line 13—</w:t>
      </w:r>
    </w:p>
    <w:p w:rsidR="0006604A" w:rsidRPr="00B36404" w:rsidRDefault="0006604A" w:rsidP="0006604A">
      <w:pPr>
        <w:pStyle w:val="direction"/>
      </w:pPr>
      <w:r w:rsidRPr="00B36404">
        <w:t>omit</w:t>
      </w:r>
    </w:p>
    <w:p w:rsidR="0006604A" w:rsidRPr="00B36404" w:rsidRDefault="0006604A" w:rsidP="0006604A">
      <w:pPr>
        <w:pStyle w:val="Amainreturn"/>
        <w:rPr>
          <w:sz w:val="20"/>
        </w:rPr>
      </w:pPr>
      <w:r w:rsidRPr="00B36404">
        <w:rPr>
          <w:sz w:val="20"/>
        </w:rPr>
        <w:t>policies and procedures and ensure they are</w:t>
      </w:r>
    </w:p>
    <w:p w:rsidR="0006604A" w:rsidRPr="00B36404" w:rsidRDefault="0006604A" w:rsidP="0006604A">
      <w:pPr>
        <w:pStyle w:val="direction"/>
      </w:pPr>
      <w:r w:rsidRPr="00B36404">
        <w:t>substitute</w:t>
      </w:r>
    </w:p>
    <w:p w:rsidR="0006604A" w:rsidRPr="00B36404" w:rsidRDefault="0006604A" w:rsidP="0006604A">
      <w:pPr>
        <w:pStyle w:val="Amainreturn"/>
        <w:rPr>
          <w:sz w:val="20"/>
        </w:rPr>
      </w:pPr>
      <w:bookmarkStart w:id="14" w:name="_Hlk103252056"/>
      <w:r w:rsidRPr="00B36404">
        <w:rPr>
          <w:sz w:val="20"/>
        </w:rPr>
        <w:t>the school</w:t>
      </w:r>
      <w:r w:rsidR="002777E5">
        <w:rPr>
          <w:sz w:val="20"/>
        </w:rPr>
        <w:t>’</w:t>
      </w:r>
      <w:r w:rsidRPr="00B36404">
        <w:rPr>
          <w:sz w:val="20"/>
        </w:rPr>
        <w:t>s complaints policy and ensure it is</w:t>
      </w:r>
      <w:bookmarkEnd w:id="14"/>
    </w:p>
    <w:p w:rsidR="0006604A" w:rsidRPr="00B36404" w:rsidRDefault="0006604A" w:rsidP="0006604A">
      <w:pPr>
        <w:pStyle w:val="AH3sec"/>
        <w:tabs>
          <w:tab w:val="clear" w:pos="284"/>
          <w:tab w:val="num" w:pos="360"/>
        </w:tabs>
      </w:pPr>
      <w:r w:rsidRPr="00B36404">
        <w:br/>
        <w:t>Clause 64</w:t>
      </w:r>
      <w:r w:rsidRPr="00B36404">
        <w:br/>
        <w:t>Proposed new standard 2.18 (2), note</w:t>
      </w:r>
      <w:r w:rsidRPr="00B36404">
        <w:br/>
        <w:t>Page 124, line 6—</w:t>
      </w:r>
    </w:p>
    <w:p w:rsidR="0006604A" w:rsidRPr="00B36404" w:rsidRDefault="0006604A" w:rsidP="0006604A">
      <w:pPr>
        <w:pStyle w:val="direction"/>
      </w:pPr>
      <w:r w:rsidRPr="00B36404">
        <w:t>omit</w:t>
      </w:r>
    </w:p>
    <w:p w:rsidR="0006604A" w:rsidRPr="00B36404" w:rsidRDefault="0006604A" w:rsidP="0006604A">
      <w:pPr>
        <w:pStyle w:val="Amainreturn"/>
        <w:rPr>
          <w:sz w:val="20"/>
        </w:rPr>
      </w:pPr>
      <w:r w:rsidRPr="00B36404">
        <w:rPr>
          <w:sz w:val="20"/>
        </w:rPr>
        <w:t>policies and procedures and ensure they are</w:t>
      </w:r>
    </w:p>
    <w:p w:rsidR="0006604A" w:rsidRPr="00B36404" w:rsidRDefault="0006604A" w:rsidP="0006604A">
      <w:pPr>
        <w:pStyle w:val="direction"/>
      </w:pPr>
      <w:r w:rsidRPr="00B36404">
        <w:t>substitute</w:t>
      </w:r>
    </w:p>
    <w:p w:rsidR="0006604A" w:rsidRPr="00B36404" w:rsidRDefault="0006604A" w:rsidP="0006604A">
      <w:pPr>
        <w:pStyle w:val="Amainreturn"/>
        <w:rPr>
          <w:sz w:val="20"/>
        </w:rPr>
      </w:pPr>
      <w:r w:rsidRPr="00B36404">
        <w:rPr>
          <w:sz w:val="20"/>
        </w:rPr>
        <w:t>the school</w:t>
      </w:r>
      <w:r w:rsidR="002777E5">
        <w:rPr>
          <w:sz w:val="20"/>
        </w:rPr>
        <w:t>’</w:t>
      </w:r>
      <w:r w:rsidRPr="00B36404">
        <w:rPr>
          <w:sz w:val="20"/>
        </w:rPr>
        <w:t>s behaviour policy and ensure it is</w:t>
      </w:r>
    </w:p>
    <w:p w:rsidR="0006604A" w:rsidRDefault="0006604A" w:rsidP="00C67818">
      <w:pPr>
        <w:pStyle w:val="DPSEntryDetail"/>
        <w:pBdr>
          <w:top w:val="single" w:sz="4" w:space="1" w:color="auto"/>
        </w:pBdr>
        <w:ind w:left="0"/>
      </w:pPr>
    </w:p>
    <w:p w:rsidR="0079405D" w:rsidRPr="004E0F1D" w:rsidRDefault="0079405D" w:rsidP="00C67818">
      <w:pPr>
        <w:pStyle w:val="DPSEntryDetail"/>
        <w:pBdr>
          <w:top w:val="single" w:sz="4" w:space="1" w:color="auto"/>
        </w:pBdr>
        <w:ind w:left="0"/>
      </w:pPr>
    </w:p>
    <w:sectPr w:rsidR="0079405D" w:rsidRPr="004E0F1D" w:rsidSect="00A5763A">
      <w:headerReference w:type="default" r:id="rId15"/>
      <w:type w:val="continuous"/>
      <w:pgSz w:w="11906" w:h="16838"/>
      <w:pgMar w:top="1526" w:right="3024" w:bottom="1267" w:left="1138" w:header="634" w:footer="5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63A" w:rsidRDefault="00A5763A" w:rsidP="000F3D35">
      <w:r>
        <w:separator/>
      </w:r>
    </w:p>
  </w:endnote>
  <w:endnote w:type="continuationSeparator" w:id="0">
    <w:p w:rsidR="00A5763A" w:rsidRDefault="00A5763A"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63A" w:rsidRDefault="00A5763A" w:rsidP="00A9381B">
    <w:pPr>
      <w:pBdr>
        <w:top w:val="single" w:sz="4" w:space="0" w:color="auto"/>
      </w:pBdr>
      <w:jc w:val="center"/>
      <w:rPr>
        <w:b/>
        <w:sz w:val="20"/>
      </w:rPr>
    </w:pPr>
  </w:p>
  <w:p w:rsidR="00A5763A" w:rsidRDefault="00C82689" w:rsidP="00A9381B">
    <w:pPr>
      <w:pStyle w:val="Footer"/>
      <w:pBdr>
        <w:top w:val="single" w:sz="4" w:space="0" w:color="auto"/>
      </w:pBdr>
      <w:jc w:val="center"/>
    </w:pPr>
    <w:hyperlink r:id="rId1" w:history="1">
      <w:r w:rsidR="00A5763A">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63A" w:rsidRDefault="00A5763A" w:rsidP="000F3D35">
      <w:r>
        <w:separator/>
      </w:r>
    </w:p>
  </w:footnote>
  <w:footnote w:type="continuationSeparator" w:id="0">
    <w:p w:rsidR="00A5763A" w:rsidRDefault="00A5763A"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63A" w:rsidRPr="000E4643" w:rsidRDefault="00A5763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C82689">
      <w:rPr>
        <w:noProof/>
        <w:sz w:val="22"/>
        <w:szCs w:val="22"/>
      </w:rPr>
      <w:t>704</w:t>
    </w:r>
    <w:r w:rsidRPr="000E4643">
      <w:rPr>
        <w:noProof/>
        <w:sz w:val="22"/>
        <w:szCs w:val="22"/>
      </w:rPr>
      <w:fldChar w:fldCharType="end"/>
    </w:r>
    <w:r>
      <w:rPr>
        <w:sz w:val="22"/>
        <w:szCs w:val="22"/>
      </w:rPr>
      <w:tab/>
    </w:r>
    <w:r w:rsidRPr="000E4643">
      <w:rPr>
        <w:i/>
        <w:sz w:val="22"/>
        <w:szCs w:val="22"/>
      </w:rPr>
      <w:t xml:space="preserve">No </w:t>
    </w:r>
    <w:r>
      <w:rPr>
        <w:i/>
        <w:sz w:val="22"/>
        <w:szCs w:val="22"/>
      </w:rPr>
      <w:t>52</w:t>
    </w:r>
    <w:r w:rsidRPr="000E4643">
      <w:rPr>
        <w:rFonts w:ascii="Arial" w:hAnsi="Arial" w:cs="Arial"/>
        <w:i/>
        <w:color w:val="222222"/>
        <w:sz w:val="22"/>
        <w:szCs w:val="22"/>
        <w:shd w:val="clear" w:color="auto" w:fill="FFFFFF"/>
      </w:rPr>
      <w:t>—</w:t>
    </w:r>
    <w:r>
      <w:rPr>
        <w:i/>
        <w:sz w:val="22"/>
        <w:szCs w:val="22"/>
      </w:rPr>
      <w:t>8 June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63A" w:rsidRPr="001B5139" w:rsidRDefault="00A5763A" w:rsidP="008D6D63">
    <w:pPr>
      <w:pStyle w:val="Header"/>
      <w:tabs>
        <w:tab w:val="clear" w:pos="4153"/>
        <w:tab w:val="clear" w:pos="8306"/>
        <w:tab w:val="center" w:pos="4680"/>
        <w:tab w:val="right" w:pos="9180"/>
      </w:tabs>
      <w:ind w:right="148"/>
      <w:jc w:val="center"/>
      <w:rPr>
        <w:sz w:val="22"/>
        <w:szCs w:val="22"/>
      </w:rPr>
    </w:pPr>
    <w:r>
      <w:rPr>
        <w:sz w:val="22"/>
        <w:szCs w:val="22"/>
      </w:rPr>
      <w:tab/>
    </w:r>
    <w:r w:rsidRPr="001B5139">
      <w:rPr>
        <w:i/>
        <w:sz w:val="22"/>
        <w:szCs w:val="22"/>
      </w:rPr>
      <w:t xml:space="preserve">No </w:t>
    </w:r>
    <w:r>
      <w:rPr>
        <w:i/>
        <w:sz w:val="22"/>
        <w:szCs w:val="22"/>
      </w:rPr>
      <w:t>52</w:t>
    </w:r>
    <w:r w:rsidRPr="001B5139">
      <w:rPr>
        <w:rFonts w:ascii="Arial" w:hAnsi="Arial" w:cs="Arial"/>
        <w:i/>
        <w:color w:val="222222"/>
        <w:sz w:val="22"/>
        <w:szCs w:val="22"/>
        <w:shd w:val="clear" w:color="auto" w:fill="FFFFFF"/>
      </w:rPr>
      <w:t>—</w:t>
    </w:r>
    <w:r>
      <w:rPr>
        <w:i/>
        <w:sz w:val="22"/>
        <w:szCs w:val="22"/>
      </w:rPr>
      <w:t>8 June 2022</w:t>
    </w:r>
    <w:r>
      <w:rPr>
        <w:i/>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C82689">
      <w:rPr>
        <w:noProof/>
        <w:sz w:val="22"/>
        <w:szCs w:val="22"/>
      </w:rPr>
      <w:t>705</w:t>
    </w:r>
    <w:r w:rsidRPr="001B5139">
      <w:rPr>
        <w:noProof/>
        <w:sz w:val="22"/>
        <w:szCs w:val="22"/>
      </w:rPr>
      <w:fldChar w:fldCharType="end"/>
    </w:r>
  </w:p>
  <w:p w:rsidR="00A5763A" w:rsidRPr="0075625A" w:rsidRDefault="00A5763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A5763A" w:rsidRPr="000E4643" w:rsidRDefault="00A5763A" w:rsidP="008D6D63">
        <w:pPr>
          <w:pStyle w:val="Header"/>
          <w:tabs>
            <w:tab w:val="clear" w:pos="8306"/>
            <w:tab w:val="right" w:pos="9270"/>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C82689">
          <w:rPr>
            <w:noProof/>
            <w:sz w:val="22"/>
            <w:szCs w:val="22"/>
          </w:rPr>
          <w:t>695</w:t>
        </w:r>
        <w:r w:rsidRPr="000E4643">
          <w:rPr>
            <w:noProof/>
            <w:sz w:val="22"/>
            <w:szCs w:val="22"/>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63A" w:rsidRPr="001B5139" w:rsidRDefault="00A5763A" w:rsidP="008D6D63">
    <w:pPr>
      <w:pStyle w:val="Header"/>
      <w:tabs>
        <w:tab w:val="clear" w:pos="4153"/>
        <w:tab w:val="clear" w:pos="8306"/>
        <w:tab w:val="center" w:pos="4680"/>
        <w:tab w:val="right" w:pos="9180"/>
      </w:tabs>
      <w:ind w:right="-1436"/>
      <w:jc w:val="center"/>
      <w:rPr>
        <w:sz w:val="22"/>
        <w:szCs w:val="22"/>
      </w:rPr>
    </w:pPr>
    <w:r>
      <w:rPr>
        <w:sz w:val="22"/>
        <w:szCs w:val="22"/>
      </w:rPr>
      <w:tab/>
    </w:r>
    <w:r w:rsidRPr="001B5139">
      <w:rPr>
        <w:i/>
        <w:sz w:val="22"/>
        <w:szCs w:val="22"/>
      </w:rPr>
      <w:t xml:space="preserve">No </w:t>
    </w:r>
    <w:r>
      <w:rPr>
        <w:i/>
        <w:sz w:val="22"/>
        <w:szCs w:val="22"/>
      </w:rPr>
      <w:t>52</w:t>
    </w:r>
    <w:r w:rsidRPr="001B5139">
      <w:rPr>
        <w:rFonts w:ascii="Arial" w:hAnsi="Arial" w:cs="Arial"/>
        <w:i/>
        <w:color w:val="222222"/>
        <w:sz w:val="22"/>
        <w:szCs w:val="22"/>
        <w:shd w:val="clear" w:color="auto" w:fill="FFFFFF"/>
      </w:rPr>
      <w:t>—</w:t>
    </w:r>
    <w:r>
      <w:rPr>
        <w:i/>
        <w:sz w:val="22"/>
        <w:szCs w:val="22"/>
      </w:rPr>
      <w:t>8 June 2022</w:t>
    </w:r>
    <w:r>
      <w:rPr>
        <w:i/>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B43626">
      <w:rPr>
        <w:noProof/>
        <w:sz w:val="22"/>
        <w:szCs w:val="22"/>
      </w:rPr>
      <w:t>715</w:t>
    </w:r>
    <w:r w:rsidRPr="001B5139">
      <w:rPr>
        <w:noProof/>
        <w:sz w:val="22"/>
        <w:szCs w:val="22"/>
      </w:rPr>
      <w:fldChar w:fldCharType="end"/>
    </w:r>
  </w:p>
  <w:p w:rsidR="00A5763A" w:rsidRPr="0075625A" w:rsidRDefault="00A5763A" w:rsidP="00756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E624C0E"/>
    <w:multiLevelType w:val="hybridMultilevel"/>
    <w:tmpl w:val="A3BC0A4A"/>
    <w:lvl w:ilvl="0" w:tplc="2D1E24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6CC0A30"/>
    <w:multiLevelType w:val="hybridMultilevel"/>
    <w:tmpl w:val="E44A8466"/>
    <w:lvl w:ilvl="0" w:tplc="FFFFFFFF">
      <w:start w:val="1"/>
      <w:numFmt w:val="lowerLetter"/>
      <w:lvlText w:val="(%1)"/>
      <w:lvlJc w:val="left"/>
      <w:pPr>
        <w:ind w:left="2271" w:hanging="570"/>
      </w:pPr>
      <w:rPr>
        <w:rFonts w:hint="default"/>
      </w:rPr>
    </w:lvl>
    <w:lvl w:ilvl="1" w:tplc="FFFFFFFF">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9"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2B861FE"/>
    <w:multiLevelType w:val="singleLevel"/>
    <w:tmpl w:val="E73A5CF8"/>
    <w:lvl w:ilvl="0">
      <w:start w:val="1"/>
      <w:numFmt w:val="bullet"/>
      <w:pStyle w:val="aExamBulletss"/>
      <w:lvlText w:val=""/>
      <w:lvlJc w:val="left"/>
      <w:pPr>
        <w:tabs>
          <w:tab w:val="num" w:pos="1500"/>
        </w:tabs>
        <w:ind w:left="1500" w:hanging="400"/>
      </w:pPr>
      <w:rPr>
        <w:rFonts w:ascii="Symbol" w:hAnsi="Symbol" w:hint="default"/>
        <w:sz w:val="20"/>
      </w:rPr>
    </w:lvl>
  </w:abstractNum>
  <w:abstractNum w:abstractNumId="12" w15:restartNumberingAfterBreak="0">
    <w:nsid w:val="43222EB3"/>
    <w:multiLevelType w:val="hybridMultilevel"/>
    <w:tmpl w:val="89AE646C"/>
    <w:lvl w:ilvl="0" w:tplc="237A7076">
      <w:start w:val="1"/>
      <w:numFmt w:val="lowerLetter"/>
      <w:pStyle w:val="DPSEntryIndentsLev2"/>
      <w:lvlText w:val="(%1)"/>
      <w:lvlJc w:val="left"/>
      <w:pPr>
        <w:ind w:left="432" w:hanging="360"/>
      </w:pPr>
      <w:rPr>
        <w:rFonts w:hint="default"/>
      </w:rPr>
    </w:lvl>
    <w:lvl w:ilvl="1" w:tplc="0C090019" w:tentative="1">
      <w:start w:val="1"/>
      <w:numFmt w:val="lowerLetter"/>
      <w:lvlText w:val="%2."/>
      <w:lvlJc w:val="left"/>
      <w:pPr>
        <w:ind w:left="2146" w:hanging="360"/>
      </w:pPr>
    </w:lvl>
    <w:lvl w:ilvl="2" w:tplc="0C09001B" w:tentative="1">
      <w:start w:val="1"/>
      <w:numFmt w:val="lowerRoman"/>
      <w:lvlText w:val="%3."/>
      <w:lvlJc w:val="right"/>
      <w:pPr>
        <w:ind w:left="2866" w:hanging="180"/>
      </w:pPr>
    </w:lvl>
    <w:lvl w:ilvl="3" w:tplc="0C09000F" w:tentative="1">
      <w:start w:val="1"/>
      <w:numFmt w:val="decimal"/>
      <w:lvlText w:val="%4."/>
      <w:lvlJc w:val="left"/>
      <w:pPr>
        <w:ind w:left="3586" w:hanging="360"/>
      </w:pPr>
    </w:lvl>
    <w:lvl w:ilvl="4" w:tplc="0C090019" w:tentative="1">
      <w:start w:val="1"/>
      <w:numFmt w:val="lowerLetter"/>
      <w:lvlText w:val="%5."/>
      <w:lvlJc w:val="left"/>
      <w:pPr>
        <w:ind w:left="4306" w:hanging="360"/>
      </w:pPr>
    </w:lvl>
    <w:lvl w:ilvl="5" w:tplc="0C09001B" w:tentative="1">
      <w:start w:val="1"/>
      <w:numFmt w:val="lowerRoman"/>
      <w:lvlText w:val="%6."/>
      <w:lvlJc w:val="right"/>
      <w:pPr>
        <w:ind w:left="5026" w:hanging="180"/>
      </w:pPr>
    </w:lvl>
    <w:lvl w:ilvl="6" w:tplc="0C09000F" w:tentative="1">
      <w:start w:val="1"/>
      <w:numFmt w:val="decimal"/>
      <w:lvlText w:val="%7."/>
      <w:lvlJc w:val="left"/>
      <w:pPr>
        <w:ind w:left="5746" w:hanging="360"/>
      </w:pPr>
    </w:lvl>
    <w:lvl w:ilvl="7" w:tplc="0C090019" w:tentative="1">
      <w:start w:val="1"/>
      <w:numFmt w:val="lowerLetter"/>
      <w:lvlText w:val="%8."/>
      <w:lvlJc w:val="left"/>
      <w:pPr>
        <w:ind w:left="6466" w:hanging="360"/>
      </w:pPr>
    </w:lvl>
    <w:lvl w:ilvl="8" w:tplc="0C09001B" w:tentative="1">
      <w:start w:val="1"/>
      <w:numFmt w:val="lowerRoman"/>
      <w:lvlText w:val="%9."/>
      <w:lvlJc w:val="right"/>
      <w:pPr>
        <w:ind w:left="7186" w:hanging="180"/>
      </w:pPr>
    </w:lvl>
  </w:abstractNum>
  <w:abstractNum w:abstractNumId="13"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4" w15:restartNumberingAfterBreak="0">
    <w:nsid w:val="55F27E30"/>
    <w:multiLevelType w:val="hybridMultilevel"/>
    <w:tmpl w:val="16DEC230"/>
    <w:lvl w:ilvl="0" w:tplc="2F3A2E56">
      <w:start w:val="1"/>
      <w:numFmt w:val="lowerLetter"/>
      <w:lvlText w:val="(%1)"/>
      <w:lvlJc w:val="left"/>
      <w:pPr>
        <w:ind w:left="2271" w:hanging="57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5" w15:restartNumberingAfterBreak="0">
    <w:nsid w:val="602E02F0"/>
    <w:multiLevelType w:val="hybridMultilevel"/>
    <w:tmpl w:val="E048E038"/>
    <w:lvl w:ilvl="0" w:tplc="8206851E">
      <w:start w:val="1"/>
      <w:numFmt w:val="bullet"/>
      <w:pStyle w:val="aExamBulletpar"/>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788C6734"/>
    <w:multiLevelType w:val="hybridMultilevel"/>
    <w:tmpl w:val="E44A8466"/>
    <w:lvl w:ilvl="0" w:tplc="2F3A2E56">
      <w:start w:val="1"/>
      <w:numFmt w:val="lowerLetter"/>
      <w:lvlText w:val="(%1)"/>
      <w:lvlJc w:val="left"/>
      <w:pPr>
        <w:ind w:left="2271" w:hanging="570"/>
      </w:pPr>
      <w:rPr>
        <w:rFonts w:hint="default"/>
      </w:rPr>
    </w:lvl>
    <w:lvl w:ilvl="1" w:tplc="0C090019">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8"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0"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7FE9684D"/>
    <w:multiLevelType w:val="multilevel"/>
    <w:tmpl w:val="4086B4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4"/>
  </w:num>
  <w:num w:numId="2">
    <w:abstractNumId w:val="2"/>
  </w:num>
  <w:num w:numId="3">
    <w:abstractNumId w:val="20"/>
  </w:num>
  <w:num w:numId="4">
    <w:abstractNumId w:val="16"/>
  </w:num>
  <w:num w:numId="5">
    <w:abstractNumId w:val="7"/>
  </w:num>
  <w:num w:numId="6">
    <w:abstractNumId w:val="13"/>
  </w:num>
  <w:num w:numId="7">
    <w:abstractNumId w:val="9"/>
  </w:num>
  <w:num w:numId="8">
    <w:abstractNumId w:val="10"/>
  </w:num>
  <w:num w:numId="9">
    <w:abstractNumId w:val="3"/>
  </w:num>
  <w:num w:numId="10">
    <w:abstractNumId w:val="0"/>
  </w:num>
  <w:num w:numId="11">
    <w:abstractNumId w:val="12"/>
  </w:num>
  <w:num w:numId="12">
    <w:abstractNumId w:val="18"/>
  </w:num>
  <w:num w:numId="13">
    <w:abstractNumId w:val="6"/>
  </w:num>
  <w:num w:numId="14">
    <w:abstractNumId w:val="18"/>
  </w:num>
  <w:num w:numId="15">
    <w:abstractNumId w:val="18"/>
  </w:num>
  <w:num w:numId="16">
    <w:abstractNumId w:val="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5"/>
  </w:num>
  <w:num w:numId="20">
    <w:abstractNumId w:val="21"/>
  </w:num>
  <w:num w:numId="21">
    <w:abstractNumId w:val="11"/>
    <w:lvlOverride w:ilvl="0">
      <w:startOverride w:val="1"/>
    </w:lvlOverride>
  </w:num>
  <w:num w:numId="22">
    <w:abstractNumId w:val="17"/>
  </w:num>
  <w:num w:numId="23">
    <w:abstractNumId w:val="8"/>
  </w:num>
  <w:num w:numId="24">
    <w:abstractNumId w:val="14"/>
  </w:num>
  <w:num w:numId="25">
    <w:abstractNumId w:val="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A2"/>
    <w:rsid w:val="000108E5"/>
    <w:rsid w:val="000316BA"/>
    <w:rsid w:val="000411B4"/>
    <w:rsid w:val="000453A9"/>
    <w:rsid w:val="00056B48"/>
    <w:rsid w:val="0006604A"/>
    <w:rsid w:val="000755D6"/>
    <w:rsid w:val="000A57DE"/>
    <w:rsid w:val="000A5BA3"/>
    <w:rsid w:val="000A627F"/>
    <w:rsid w:val="000C0A39"/>
    <w:rsid w:val="000C40FA"/>
    <w:rsid w:val="000E4643"/>
    <w:rsid w:val="000F3D35"/>
    <w:rsid w:val="001167CE"/>
    <w:rsid w:val="00117D25"/>
    <w:rsid w:val="0015436A"/>
    <w:rsid w:val="00157919"/>
    <w:rsid w:val="00160F59"/>
    <w:rsid w:val="001641F4"/>
    <w:rsid w:val="00175CB1"/>
    <w:rsid w:val="001805CF"/>
    <w:rsid w:val="001826BD"/>
    <w:rsid w:val="00193F0C"/>
    <w:rsid w:val="001B21F7"/>
    <w:rsid w:val="001B3B68"/>
    <w:rsid w:val="001B5139"/>
    <w:rsid w:val="001C5CAA"/>
    <w:rsid w:val="001D0DF7"/>
    <w:rsid w:val="001F02D8"/>
    <w:rsid w:val="0024087F"/>
    <w:rsid w:val="002672C3"/>
    <w:rsid w:val="002777E5"/>
    <w:rsid w:val="00281AF7"/>
    <w:rsid w:val="002856B2"/>
    <w:rsid w:val="002B2404"/>
    <w:rsid w:val="002C1A82"/>
    <w:rsid w:val="002C78CC"/>
    <w:rsid w:val="002F5566"/>
    <w:rsid w:val="00322C0A"/>
    <w:rsid w:val="00324019"/>
    <w:rsid w:val="00335A47"/>
    <w:rsid w:val="003366BB"/>
    <w:rsid w:val="00347004"/>
    <w:rsid w:val="00352ECF"/>
    <w:rsid w:val="00352FBA"/>
    <w:rsid w:val="00363133"/>
    <w:rsid w:val="00374414"/>
    <w:rsid w:val="00374F9C"/>
    <w:rsid w:val="00392B69"/>
    <w:rsid w:val="00394E1C"/>
    <w:rsid w:val="0039535B"/>
    <w:rsid w:val="003A3341"/>
    <w:rsid w:val="003B7161"/>
    <w:rsid w:val="003C1BD9"/>
    <w:rsid w:val="003D12D4"/>
    <w:rsid w:val="004036FE"/>
    <w:rsid w:val="00432F9E"/>
    <w:rsid w:val="00434476"/>
    <w:rsid w:val="004419C3"/>
    <w:rsid w:val="00476347"/>
    <w:rsid w:val="004831F8"/>
    <w:rsid w:val="004921D4"/>
    <w:rsid w:val="00495C4D"/>
    <w:rsid w:val="004A473E"/>
    <w:rsid w:val="004A6CFB"/>
    <w:rsid w:val="004B0185"/>
    <w:rsid w:val="004E0F1D"/>
    <w:rsid w:val="004E24D2"/>
    <w:rsid w:val="004F1D14"/>
    <w:rsid w:val="004F2610"/>
    <w:rsid w:val="004F38B1"/>
    <w:rsid w:val="004F3AA0"/>
    <w:rsid w:val="00505EDF"/>
    <w:rsid w:val="00514CA9"/>
    <w:rsid w:val="0052245D"/>
    <w:rsid w:val="00525EF7"/>
    <w:rsid w:val="0053064A"/>
    <w:rsid w:val="005370E0"/>
    <w:rsid w:val="00551A57"/>
    <w:rsid w:val="00556607"/>
    <w:rsid w:val="00565895"/>
    <w:rsid w:val="00571087"/>
    <w:rsid w:val="005A3E01"/>
    <w:rsid w:val="005B71DC"/>
    <w:rsid w:val="005C69C3"/>
    <w:rsid w:val="005D70A8"/>
    <w:rsid w:val="005F141F"/>
    <w:rsid w:val="005F3AB0"/>
    <w:rsid w:val="005F7151"/>
    <w:rsid w:val="006015EF"/>
    <w:rsid w:val="0060380C"/>
    <w:rsid w:val="00622D21"/>
    <w:rsid w:val="00632A05"/>
    <w:rsid w:val="00637771"/>
    <w:rsid w:val="006628C0"/>
    <w:rsid w:val="00672B66"/>
    <w:rsid w:val="00680025"/>
    <w:rsid w:val="0068117F"/>
    <w:rsid w:val="0068365B"/>
    <w:rsid w:val="006A2D21"/>
    <w:rsid w:val="006B3AB3"/>
    <w:rsid w:val="006D0D92"/>
    <w:rsid w:val="006D4BFC"/>
    <w:rsid w:val="006D6072"/>
    <w:rsid w:val="006D7183"/>
    <w:rsid w:val="006E2CF1"/>
    <w:rsid w:val="006E54FE"/>
    <w:rsid w:val="006F6540"/>
    <w:rsid w:val="00714979"/>
    <w:rsid w:val="007164B2"/>
    <w:rsid w:val="00730F9B"/>
    <w:rsid w:val="0075625A"/>
    <w:rsid w:val="00761252"/>
    <w:rsid w:val="007754A9"/>
    <w:rsid w:val="007831BF"/>
    <w:rsid w:val="007935D7"/>
    <w:rsid w:val="0079405D"/>
    <w:rsid w:val="007A2DDA"/>
    <w:rsid w:val="007B1159"/>
    <w:rsid w:val="007D05AB"/>
    <w:rsid w:val="007E0F72"/>
    <w:rsid w:val="007E3AA7"/>
    <w:rsid w:val="007E763F"/>
    <w:rsid w:val="007F2D12"/>
    <w:rsid w:val="00800B78"/>
    <w:rsid w:val="00801EE9"/>
    <w:rsid w:val="0081083C"/>
    <w:rsid w:val="00811B52"/>
    <w:rsid w:val="00812CE0"/>
    <w:rsid w:val="00821FA3"/>
    <w:rsid w:val="00826A1D"/>
    <w:rsid w:val="0083252E"/>
    <w:rsid w:val="008470DD"/>
    <w:rsid w:val="00863EEC"/>
    <w:rsid w:val="008673CC"/>
    <w:rsid w:val="008678F0"/>
    <w:rsid w:val="008907F9"/>
    <w:rsid w:val="00893DE6"/>
    <w:rsid w:val="008B115F"/>
    <w:rsid w:val="008D6D63"/>
    <w:rsid w:val="008E3D46"/>
    <w:rsid w:val="008F43D0"/>
    <w:rsid w:val="009040C4"/>
    <w:rsid w:val="0091176F"/>
    <w:rsid w:val="00913F0E"/>
    <w:rsid w:val="00915184"/>
    <w:rsid w:val="0091670C"/>
    <w:rsid w:val="009335C2"/>
    <w:rsid w:val="00936FEA"/>
    <w:rsid w:val="00947600"/>
    <w:rsid w:val="00952558"/>
    <w:rsid w:val="00955394"/>
    <w:rsid w:val="00977019"/>
    <w:rsid w:val="00992CE7"/>
    <w:rsid w:val="009A2DEA"/>
    <w:rsid w:val="009A4AED"/>
    <w:rsid w:val="009C09B3"/>
    <w:rsid w:val="009C604C"/>
    <w:rsid w:val="009C679C"/>
    <w:rsid w:val="009E4530"/>
    <w:rsid w:val="00A105F1"/>
    <w:rsid w:val="00A273E2"/>
    <w:rsid w:val="00A5297C"/>
    <w:rsid w:val="00A5763A"/>
    <w:rsid w:val="00A76A84"/>
    <w:rsid w:val="00A85D5B"/>
    <w:rsid w:val="00A911EA"/>
    <w:rsid w:val="00A9381B"/>
    <w:rsid w:val="00A94E5F"/>
    <w:rsid w:val="00AA412A"/>
    <w:rsid w:val="00AC7116"/>
    <w:rsid w:val="00AD3DEE"/>
    <w:rsid w:val="00AD58F7"/>
    <w:rsid w:val="00AF07B0"/>
    <w:rsid w:val="00AF3C23"/>
    <w:rsid w:val="00B068B4"/>
    <w:rsid w:val="00B244EB"/>
    <w:rsid w:val="00B3212B"/>
    <w:rsid w:val="00B35E85"/>
    <w:rsid w:val="00B40EC9"/>
    <w:rsid w:val="00B43626"/>
    <w:rsid w:val="00B54777"/>
    <w:rsid w:val="00B649A0"/>
    <w:rsid w:val="00B74F22"/>
    <w:rsid w:val="00B766B9"/>
    <w:rsid w:val="00B9772E"/>
    <w:rsid w:val="00BA7FD4"/>
    <w:rsid w:val="00BB08CF"/>
    <w:rsid w:val="00BD6FA5"/>
    <w:rsid w:val="00BF3C56"/>
    <w:rsid w:val="00BF478F"/>
    <w:rsid w:val="00BF5980"/>
    <w:rsid w:val="00BF6EBD"/>
    <w:rsid w:val="00C07633"/>
    <w:rsid w:val="00C173D3"/>
    <w:rsid w:val="00C17496"/>
    <w:rsid w:val="00C4170D"/>
    <w:rsid w:val="00C67818"/>
    <w:rsid w:val="00C7131D"/>
    <w:rsid w:val="00C80DE9"/>
    <w:rsid w:val="00C82689"/>
    <w:rsid w:val="00CB0C74"/>
    <w:rsid w:val="00CC449F"/>
    <w:rsid w:val="00CC5882"/>
    <w:rsid w:val="00CD05E7"/>
    <w:rsid w:val="00CE458A"/>
    <w:rsid w:val="00D035AE"/>
    <w:rsid w:val="00D17B81"/>
    <w:rsid w:val="00D25B34"/>
    <w:rsid w:val="00D314A6"/>
    <w:rsid w:val="00D3225C"/>
    <w:rsid w:val="00D55354"/>
    <w:rsid w:val="00D57690"/>
    <w:rsid w:val="00D65B10"/>
    <w:rsid w:val="00D65B67"/>
    <w:rsid w:val="00D74A28"/>
    <w:rsid w:val="00D74B53"/>
    <w:rsid w:val="00D7660C"/>
    <w:rsid w:val="00D84545"/>
    <w:rsid w:val="00D90BD9"/>
    <w:rsid w:val="00D90D70"/>
    <w:rsid w:val="00D974F0"/>
    <w:rsid w:val="00DB783A"/>
    <w:rsid w:val="00DC0705"/>
    <w:rsid w:val="00DC12B3"/>
    <w:rsid w:val="00DC6821"/>
    <w:rsid w:val="00DD2520"/>
    <w:rsid w:val="00DE5148"/>
    <w:rsid w:val="00DE6EA2"/>
    <w:rsid w:val="00DF5E8C"/>
    <w:rsid w:val="00E0149F"/>
    <w:rsid w:val="00E1787A"/>
    <w:rsid w:val="00E2410B"/>
    <w:rsid w:val="00E50CFA"/>
    <w:rsid w:val="00E60D62"/>
    <w:rsid w:val="00E722D4"/>
    <w:rsid w:val="00E758AC"/>
    <w:rsid w:val="00E81F91"/>
    <w:rsid w:val="00EB2CD4"/>
    <w:rsid w:val="00EC0D13"/>
    <w:rsid w:val="00F03DBF"/>
    <w:rsid w:val="00F149A7"/>
    <w:rsid w:val="00F62370"/>
    <w:rsid w:val="00F62C0C"/>
    <w:rsid w:val="00F62CE8"/>
    <w:rsid w:val="00F64A40"/>
    <w:rsid w:val="00F64F59"/>
    <w:rsid w:val="00F76F85"/>
    <w:rsid w:val="00F77E66"/>
    <w:rsid w:val="00FA21B7"/>
    <w:rsid w:val="00FA4907"/>
    <w:rsid w:val="00FC64FA"/>
    <w:rsid w:val="00FD35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15:chartTrackingRefBased/>
  <w15:docId w15:val="{7E497736-D62F-4421-A2F9-7C55935A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06604A"/>
    <w:rPr>
      <w:rFonts w:ascii="Calibri" w:eastAsia="Times New Roman" w:hAnsi="Calibri" w:cs="Times New Roman"/>
      <w:sz w:val="24"/>
      <w:szCs w:val="20"/>
    </w:rPr>
  </w:style>
  <w:style w:type="paragraph" w:customStyle="1" w:styleId="Amainreturn">
    <w:name w:val="A main return"/>
    <w:basedOn w:val="Normal"/>
    <w:rsid w:val="0006604A"/>
    <w:pPr>
      <w:spacing w:before="140"/>
      <w:ind w:left="1100"/>
      <w:jc w:val="both"/>
    </w:pPr>
    <w:rPr>
      <w:rFonts w:ascii="Times New Roman" w:hAnsi="Times New Roman"/>
      <w:lang w:val="en-AU" w:eastAsia="en-US"/>
    </w:rPr>
  </w:style>
  <w:style w:type="paragraph" w:customStyle="1" w:styleId="aDef">
    <w:name w:val="aDef"/>
    <w:basedOn w:val="Normal"/>
    <w:rsid w:val="0006604A"/>
    <w:pPr>
      <w:numPr>
        <w:ilvl w:val="5"/>
        <w:numId w:val="20"/>
      </w:numPr>
      <w:spacing w:before="140"/>
      <w:jc w:val="both"/>
      <w:outlineLvl w:val="5"/>
    </w:pPr>
    <w:rPr>
      <w:rFonts w:ascii="Times New Roman" w:hAnsi="Times New Roman"/>
      <w:lang w:val="en-AU" w:eastAsia="en-US"/>
    </w:rPr>
  </w:style>
  <w:style w:type="paragraph" w:customStyle="1" w:styleId="aNote">
    <w:name w:val="aNote"/>
    <w:basedOn w:val="Normal"/>
    <w:link w:val="aNoteChar"/>
    <w:rsid w:val="0006604A"/>
    <w:pPr>
      <w:spacing w:before="140"/>
      <w:ind w:left="1900" w:hanging="800"/>
      <w:jc w:val="both"/>
    </w:pPr>
    <w:rPr>
      <w:rFonts w:ascii="Times New Roman" w:hAnsi="Times New Roman"/>
      <w:sz w:val="20"/>
      <w:lang w:val="en-AU" w:eastAsia="en-US"/>
    </w:rPr>
  </w:style>
  <w:style w:type="paragraph" w:customStyle="1" w:styleId="direction">
    <w:name w:val="direction"/>
    <w:basedOn w:val="Normal"/>
    <w:next w:val="Amainreturn"/>
    <w:rsid w:val="0006604A"/>
    <w:pPr>
      <w:keepNext/>
      <w:spacing w:before="140"/>
      <w:ind w:left="1100"/>
      <w:jc w:val="both"/>
    </w:pPr>
    <w:rPr>
      <w:rFonts w:ascii="Times New Roman" w:hAnsi="Times New Roman"/>
      <w:i/>
      <w:lang w:val="en-AU" w:eastAsia="en-US"/>
    </w:rPr>
  </w:style>
  <w:style w:type="paragraph" w:customStyle="1" w:styleId="IH5Sec">
    <w:name w:val="I H5 Sec"/>
    <w:basedOn w:val="Normal"/>
    <w:next w:val="Amainreturn"/>
    <w:rsid w:val="0006604A"/>
    <w:pPr>
      <w:keepNext/>
      <w:tabs>
        <w:tab w:val="left" w:pos="1100"/>
      </w:tabs>
      <w:spacing w:before="240"/>
      <w:ind w:left="1100" w:hanging="1100"/>
    </w:pPr>
    <w:rPr>
      <w:rFonts w:ascii="Arial" w:hAnsi="Arial"/>
      <w:b/>
      <w:lang w:val="en-AU" w:eastAsia="en-US"/>
    </w:rPr>
  </w:style>
  <w:style w:type="paragraph" w:customStyle="1" w:styleId="N-line1">
    <w:name w:val="N-line1"/>
    <w:basedOn w:val="Normal"/>
    <w:rsid w:val="0006604A"/>
    <w:pPr>
      <w:pBdr>
        <w:bottom w:val="single" w:sz="4" w:space="0" w:color="auto"/>
      </w:pBdr>
      <w:spacing w:before="100"/>
      <w:ind w:left="2980" w:right="3020"/>
      <w:jc w:val="center"/>
    </w:pPr>
    <w:rPr>
      <w:rFonts w:ascii="Times New Roman" w:hAnsi="Times New Roman"/>
      <w:lang w:val="en-AU" w:eastAsia="en-US"/>
    </w:rPr>
  </w:style>
  <w:style w:type="paragraph" w:customStyle="1" w:styleId="IMain">
    <w:name w:val="I Main"/>
    <w:basedOn w:val="Normal"/>
    <w:rsid w:val="0006604A"/>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06604A"/>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06604A"/>
    <w:pPr>
      <w:tabs>
        <w:tab w:val="right" w:pos="1940"/>
        <w:tab w:val="left" w:pos="2140"/>
      </w:tabs>
      <w:spacing w:before="140"/>
      <w:ind w:left="2140" w:hanging="2140"/>
      <w:jc w:val="both"/>
    </w:pPr>
    <w:rPr>
      <w:rFonts w:ascii="Times New Roman" w:hAnsi="Times New Roman"/>
      <w:lang w:val="en-AU" w:eastAsia="en-US"/>
    </w:rPr>
  </w:style>
  <w:style w:type="paragraph" w:customStyle="1" w:styleId="aDefpara">
    <w:name w:val="aDef para"/>
    <w:basedOn w:val="Normal"/>
    <w:rsid w:val="0006604A"/>
    <w:pPr>
      <w:numPr>
        <w:ilvl w:val="6"/>
        <w:numId w:val="20"/>
      </w:numPr>
      <w:spacing w:before="140"/>
      <w:jc w:val="both"/>
      <w:outlineLvl w:val="6"/>
    </w:pPr>
    <w:rPr>
      <w:rFonts w:ascii="Times New Roman" w:hAnsi="Times New Roman"/>
      <w:lang w:val="en-AU" w:eastAsia="en-US"/>
    </w:rPr>
  </w:style>
  <w:style w:type="paragraph" w:customStyle="1" w:styleId="aDefsubpara">
    <w:name w:val="aDef subpara"/>
    <w:basedOn w:val="Normal"/>
    <w:rsid w:val="0006604A"/>
    <w:pPr>
      <w:numPr>
        <w:ilvl w:val="7"/>
        <w:numId w:val="20"/>
      </w:numPr>
      <w:spacing w:before="140"/>
      <w:ind w:left="2140" w:hanging="200"/>
      <w:jc w:val="both"/>
      <w:outlineLvl w:val="7"/>
    </w:pPr>
    <w:rPr>
      <w:rFonts w:ascii="Times New Roman" w:hAnsi="Times New Roman"/>
      <w:lang w:val="en-AU" w:eastAsia="en-US"/>
    </w:rPr>
  </w:style>
  <w:style w:type="paragraph" w:customStyle="1" w:styleId="aNotepar">
    <w:name w:val="aNotepar"/>
    <w:basedOn w:val="Normal"/>
    <w:next w:val="Normal"/>
    <w:rsid w:val="0006604A"/>
    <w:pPr>
      <w:spacing w:before="140"/>
      <w:ind w:left="2400" w:hanging="800"/>
      <w:jc w:val="both"/>
    </w:pPr>
    <w:rPr>
      <w:rFonts w:ascii="Times New Roman" w:hAnsi="Times New Roman"/>
      <w:sz w:val="20"/>
      <w:lang w:val="en-AU" w:eastAsia="en-US"/>
    </w:rPr>
  </w:style>
  <w:style w:type="character" w:customStyle="1" w:styleId="charBoldItals">
    <w:name w:val="charBoldItals"/>
    <w:basedOn w:val="DefaultParagraphFont"/>
    <w:rsid w:val="0006604A"/>
    <w:rPr>
      <w:b/>
      <w:i/>
    </w:rPr>
  </w:style>
  <w:style w:type="character" w:customStyle="1" w:styleId="charItals">
    <w:name w:val="charItals"/>
    <w:basedOn w:val="DefaultParagraphFont"/>
    <w:rsid w:val="0006604A"/>
    <w:rPr>
      <w:i/>
    </w:rPr>
  </w:style>
  <w:style w:type="paragraph" w:customStyle="1" w:styleId="IshadedH5Sec">
    <w:name w:val="I shaded H5 Sec"/>
    <w:basedOn w:val="Normal"/>
    <w:rsid w:val="0006604A"/>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06604A"/>
    <w:pPr>
      <w:keepNext/>
      <w:keepLines/>
      <w:numPr>
        <w:numId w:val="18"/>
      </w:numPr>
      <w:pBdr>
        <w:top w:val="single" w:sz="4" w:space="1" w:color="auto"/>
      </w:pBdr>
      <w:tabs>
        <w:tab w:val="left" w:pos="284"/>
      </w:tabs>
      <w:spacing w:before="240"/>
      <w:ind w:left="0" w:firstLine="0"/>
    </w:pPr>
    <w:rPr>
      <w:rFonts w:ascii="Arial" w:hAnsi="Arial"/>
      <w:b/>
      <w:sz w:val="22"/>
      <w:lang w:val="en-AU" w:eastAsia="en-US"/>
    </w:rPr>
  </w:style>
  <w:style w:type="paragraph" w:customStyle="1" w:styleId="aExamHdgss">
    <w:name w:val="aExamHdgss"/>
    <w:basedOn w:val="Normal"/>
    <w:next w:val="aExamss"/>
    <w:rsid w:val="0006604A"/>
    <w:pPr>
      <w:keepNext/>
      <w:spacing w:before="140"/>
      <w:ind w:left="1100"/>
    </w:pPr>
    <w:rPr>
      <w:rFonts w:ascii="Arial" w:hAnsi="Arial"/>
      <w:b/>
      <w:sz w:val="18"/>
      <w:lang w:val="en-AU" w:eastAsia="en-US"/>
    </w:rPr>
  </w:style>
  <w:style w:type="paragraph" w:customStyle="1" w:styleId="aExamss">
    <w:name w:val="aExamss"/>
    <w:basedOn w:val="aNote"/>
    <w:rsid w:val="0006604A"/>
    <w:pPr>
      <w:spacing w:before="60"/>
      <w:ind w:left="1100" w:firstLine="0"/>
    </w:pPr>
  </w:style>
  <w:style w:type="paragraph" w:customStyle="1" w:styleId="aExamHdgpar">
    <w:name w:val="aExamHdgpar"/>
    <w:basedOn w:val="aExamHdgss"/>
    <w:next w:val="Normal"/>
    <w:rsid w:val="0006604A"/>
    <w:pPr>
      <w:ind w:left="1600"/>
    </w:pPr>
  </w:style>
  <w:style w:type="paragraph" w:customStyle="1" w:styleId="aExamBulletss">
    <w:name w:val="aExamBulletss"/>
    <w:basedOn w:val="aExamss"/>
    <w:rsid w:val="0006604A"/>
    <w:pPr>
      <w:numPr>
        <w:numId w:val="21"/>
      </w:numPr>
      <w:tabs>
        <w:tab w:val="clear" w:pos="1500"/>
        <w:tab w:val="num" w:pos="360"/>
      </w:tabs>
      <w:ind w:left="1100" w:firstLine="0"/>
    </w:pPr>
  </w:style>
  <w:style w:type="paragraph" w:customStyle="1" w:styleId="aExamBulletpar">
    <w:name w:val="aExamBulletpar"/>
    <w:basedOn w:val="Normal"/>
    <w:rsid w:val="0006604A"/>
    <w:pPr>
      <w:numPr>
        <w:numId w:val="19"/>
      </w:numPr>
      <w:spacing w:before="60"/>
      <w:jc w:val="both"/>
    </w:pPr>
    <w:rPr>
      <w:rFonts w:ascii="Times New Roman" w:hAnsi="Times New Roman"/>
      <w:sz w:val="20"/>
      <w:lang w:val="en-AU" w:eastAsia="en-US"/>
    </w:rPr>
  </w:style>
  <w:style w:type="character" w:customStyle="1" w:styleId="aNoteChar">
    <w:name w:val="aNote Char"/>
    <w:basedOn w:val="DefaultParagraphFont"/>
    <w:link w:val="aNote"/>
    <w:locked/>
    <w:rsid w:val="0006604A"/>
    <w:rPr>
      <w:rFonts w:ascii="Times New Roman" w:eastAsia="Times New Roman" w:hAnsi="Times New Roman" w:cs="Times New Roman"/>
      <w:sz w:val="20"/>
      <w:szCs w:val="20"/>
      <w:lang w:eastAsia="en-US"/>
    </w:rPr>
  </w:style>
  <w:style w:type="character" w:customStyle="1" w:styleId="DPSEntryDetailIndentLev1Char">
    <w:name w:val="DPSEntryDetailIndentLev1 Char"/>
    <w:basedOn w:val="DefaultParagraphFont"/>
    <w:link w:val="DPSEntryDetailIndentLev1"/>
    <w:rsid w:val="00193F0C"/>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800B78"/>
    <w:pPr>
      <w:ind w:left="240" w:hanging="240"/>
    </w:pPr>
  </w:style>
  <w:style w:type="paragraph" w:styleId="Index2">
    <w:name w:val="index 2"/>
    <w:basedOn w:val="Normal"/>
    <w:next w:val="Normal"/>
    <w:autoRedefine/>
    <w:uiPriority w:val="99"/>
    <w:semiHidden/>
    <w:unhideWhenUsed/>
    <w:rsid w:val="00800B78"/>
    <w:pPr>
      <w:ind w:left="480" w:hanging="240"/>
    </w:pPr>
  </w:style>
  <w:style w:type="paragraph" w:styleId="Index3">
    <w:name w:val="index 3"/>
    <w:basedOn w:val="Normal"/>
    <w:next w:val="Normal"/>
    <w:autoRedefine/>
    <w:uiPriority w:val="99"/>
    <w:semiHidden/>
    <w:unhideWhenUsed/>
    <w:rsid w:val="00800B78"/>
    <w:pPr>
      <w:ind w:left="720" w:hanging="240"/>
    </w:pPr>
  </w:style>
  <w:style w:type="paragraph" w:styleId="Index4">
    <w:name w:val="index 4"/>
    <w:basedOn w:val="Normal"/>
    <w:next w:val="Normal"/>
    <w:autoRedefine/>
    <w:uiPriority w:val="99"/>
    <w:semiHidden/>
    <w:unhideWhenUsed/>
    <w:rsid w:val="00800B78"/>
    <w:pPr>
      <w:ind w:left="960" w:hanging="240"/>
    </w:pPr>
  </w:style>
  <w:style w:type="paragraph" w:styleId="Index5">
    <w:name w:val="index 5"/>
    <w:basedOn w:val="Normal"/>
    <w:next w:val="Normal"/>
    <w:autoRedefine/>
    <w:uiPriority w:val="99"/>
    <w:semiHidden/>
    <w:unhideWhenUsed/>
    <w:rsid w:val="00800B78"/>
    <w:pPr>
      <w:ind w:left="1200" w:hanging="240"/>
    </w:pPr>
  </w:style>
  <w:style w:type="paragraph" w:styleId="Index6">
    <w:name w:val="index 6"/>
    <w:basedOn w:val="Normal"/>
    <w:next w:val="Normal"/>
    <w:autoRedefine/>
    <w:uiPriority w:val="99"/>
    <w:semiHidden/>
    <w:unhideWhenUsed/>
    <w:rsid w:val="00800B78"/>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1472AA5-664B-4B14-A216-FB25325E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13</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Sophie</dc:creator>
  <cp:keywords/>
  <dc:description/>
  <cp:lastModifiedBy>Shannon, Anne</cp:lastModifiedBy>
  <cp:revision>2</cp:revision>
  <cp:lastPrinted>2022-07-07T04:50:00Z</cp:lastPrinted>
  <dcterms:created xsi:type="dcterms:W3CDTF">2022-08-08T02:31:00Z</dcterms:created>
  <dcterms:modified xsi:type="dcterms:W3CDTF">2022-08-08T02:31:00Z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