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7FE" w:rsidRPr="00104A8B" w:rsidRDefault="009517FE" w:rsidP="009517FE">
      <w:pPr>
        <w:spacing w:before="7560" w:after="240" w:line="259" w:lineRule="auto"/>
        <w:jc w:val="right"/>
        <w:rPr>
          <w:rFonts w:ascii="Arial Narrow" w:hAnsi="Arial Narrow"/>
          <w:sz w:val="42"/>
          <w:szCs w:val="42"/>
        </w:rPr>
      </w:pPr>
      <w:bookmarkStart w:id="0" w:name="_Toc500938167"/>
      <w:bookmarkStart w:id="1" w:name="_Toc500947015"/>
      <w:bookmarkStart w:id="2" w:name="_Toc501547024"/>
      <w:bookmarkStart w:id="3" w:name="_Toc501547379"/>
      <w:bookmarkStart w:id="4" w:name="_Toc505005664"/>
      <w:bookmarkStart w:id="5" w:name="_Toc505153755"/>
      <w:bookmarkStart w:id="6" w:name="_Toc508283423"/>
      <w:bookmarkStart w:id="7" w:name="_Toc510081779"/>
      <w:bookmarkStart w:id="8" w:name="_Toc511812216"/>
      <w:bookmarkStart w:id="9" w:name="_Toc512240154"/>
      <w:bookmarkStart w:id="10" w:name="_Toc513192151"/>
      <w:bookmarkStart w:id="11" w:name="_Toc514832413"/>
      <w:bookmarkStart w:id="12" w:name="_Toc514837957"/>
      <w:r w:rsidRPr="00104A8B">
        <w:rPr>
          <w:rFonts w:ascii="Arial Narrow" w:hAnsi="Arial Narrow"/>
          <w:sz w:val="42"/>
          <w:szCs w:val="42"/>
        </w:rPr>
        <w:t>Standing Committee on Justice and Community Safety (Legislative Scrutiny Role)</w:t>
      </w:r>
    </w:p>
    <w:p w:rsidR="000B0846" w:rsidRPr="00104A8B" w:rsidRDefault="000B0846" w:rsidP="001F1D6D">
      <w:pPr>
        <w:pStyle w:val="Heading1"/>
        <w:spacing w:before="2200"/>
      </w:pPr>
      <w:r w:rsidRPr="00104A8B">
        <w:t>S</w:t>
      </w:r>
      <w:r w:rsidR="00907785" w:rsidRPr="00104A8B">
        <w:t xml:space="preserve">crutiny Report </w:t>
      </w:r>
      <w:bookmarkEnd w:id="0"/>
      <w:bookmarkEnd w:id="1"/>
      <w:bookmarkEnd w:id="2"/>
      <w:bookmarkEnd w:id="3"/>
      <w:bookmarkEnd w:id="4"/>
      <w:bookmarkEnd w:id="5"/>
      <w:bookmarkEnd w:id="6"/>
      <w:bookmarkEnd w:id="7"/>
      <w:bookmarkEnd w:id="8"/>
      <w:bookmarkEnd w:id="9"/>
      <w:bookmarkEnd w:id="10"/>
      <w:bookmarkEnd w:id="11"/>
      <w:bookmarkEnd w:id="12"/>
      <w:r w:rsidR="00A603E2">
        <w:t>4</w:t>
      </w:r>
    </w:p>
    <w:p w:rsidR="00D4210F" w:rsidRPr="00104A8B" w:rsidRDefault="00A603E2" w:rsidP="003D000F">
      <w:pPr>
        <w:spacing w:before="1800" w:after="240"/>
        <w:jc w:val="right"/>
        <w:rPr>
          <w:sz w:val="24"/>
          <w:szCs w:val="24"/>
        </w:rPr>
      </w:pPr>
      <w:r>
        <w:rPr>
          <w:sz w:val="24"/>
          <w:szCs w:val="24"/>
        </w:rPr>
        <w:t>4 MAY</w:t>
      </w:r>
      <w:r w:rsidR="00107EEA">
        <w:rPr>
          <w:sz w:val="24"/>
          <w:szCs w:val="24"/>
        </w:rPr>
        <w:t xml:space="preserve"> 2021</w:t>
      </w:r>
    </w:p>
    <w:p w:rsidR="00D4210F" w:rsidRPr="00104A8B" w:rsidRDefault="00D4210F" w:rsidP="00D4210F">
      <w:r w:rsidRPr="00104A8B">
        <w:br w:type="page"/>
      </w:r>
    </w:p>
    <w:p w:rsidR="000B0846" w:rsidRPr="00104A8B" w:rsidRDefault="000B0846" w:rsidP="000B0846">
      <w:pPr>
        <w:spacing w:before="1800" w:after="240"/>
        <w:jc w:val="right"/>
      </w:pPr>
    </w:p>
    <w:p w:rsidR="00AE4D51" w:rsidRPr="00104A8B" w:rsidRDefault="00AE4D51" w:rsidP="00AC094E">
      <w:pPr>
        <w:pStyle w:val="Heading2"/>
        <w:rPr>
          <w:rFonts w:asciiTheme="minorHAnsi" w:hAnsiTheme="minorHAnsi"/>
        </w:rPr>
        <w:sectPr w:rsidR="00AE4D51" w:rsidRPr="00104A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bookmarkStart w:id="13" w:name="_Toc500938168"/>
      <w:bookmarkStart w:id="14" w:name="_Toc500947016"/>
    </w:p>
    <w:p w:rsidR="002A185D" w:rsidRPr="00104A8B" w:rsidRDefault="002A185D" w:rsidP="00AC094E">
      <w:pPr>
        <w:pStyle w:val="Heading2"/>
        <w:rPr>
          <w:rFonts w:asciiTheme="minorHAnsi" w:hAnsiTheme="minorHAnsi"/>
        </w:rPr>
      </w:pPr>
      <w:bookmarkStart w:id="15" w:name="_Toc502671580"/>
      <w:bookmarkStart w:id="16" w:name="_Toc502671759"/>
      <w:bookmarkStart w:id="17" w:name="_Toc502671864"/>
      <w:bookmarkStart w:id="18" w:name="_Toc502672797"/>
      <w:bookmarkStart w:id="19" w:name="_Toc514768035"/>
      <w:bookmarkStart w:id="20" w:name="_Toc514837958"/>
      <w:bookmarkStart w:id="21" w:name="_Toc518297244"/>
      <w:bookmarkStart w:id="22" w:name="_Toc519069302"/>
      <w:bookmarkStart w:id="23" w:name="_Toc519069363"/>
      <w:bookmarkStart w:id="24" w:name="_Toc519520730"/>
      <w:bookmarkStart w:id="25" w:name="_Toc520188709"/>
      <w:bookmarkStart w:id="26" w:name="_Toc521054226"/>
      <w:bookmarkStart w:id="27" w:name="_Toc521054313"/>
      <w:bookmarkStart w:id="28" w:name="_Toc521054385"/>
      <w:bookmarkStart w:id="29" w:name="_Toc523753608"/>
      <w:bookmarkStart w:id="30" w:name="_Toc523814157"/>
      <w:bookmarkStart w:id="31" w:name="_Toc523900448"/>
      <w:bookmarkStart w:id="32" w:name="_Toc526855809"/>
      <w:bookmarkStart w:id="33" w:name="_Toc528155835"/>
      <w:bookmarkStart w:id="34" w:name="_Toc528157194"/>
      <w:bookmarkStart w:id="35" w:name="_Toc528310847"/>
      <w:bookmarkStart w:id="36" w:name="_Toc529974526"/>
      <w:bookmarkStart w:id="37" w:name="_Toc530039421"/>
      <w:bookmarkStart w:id="38" w:name="_Toc536527669"/>
      <w:bookmarkStart w:id="39" w:name="_Toc536527832"/>
      <w:bookmarkStart w:id="40" w:name="_Toc536615370"/>
      <w:bookmarkStart w:id="41" w:name="_Toc172148"/>
      <w:bookmarkStart w:id="42" w:name="_Toc506073"/>
      <w:bookmarkStart w:id="43" w:name="_Toc945917"/>
      <w:bookmarkStart w:id="44" w:name="_Toc965807"/>
      <w:bookmarkStart w:id="45" w:name="_Toc2839571"/>
      <w:bookmarkStart w:id="46" w:name="_Toc2850231"/>
      <w:bookmarkStart w:id="47" w:name="_Toc3271208"/>
      <w:bookmarkStart w:id="48" w:name="_Toc4588269"/>
      <w:bookmarkStart w:id="49" w:name="_Toc4652915"/>
      <w:bookmarkStart w:id="50" w:name="_Toc5003657"/>
      <w:bookmarkStart w:id="51" w:name="_Toc6211030"/>
      <w:bookmarkStart w:id="52" w:name="_Toc9499988"/>
      <w:bookmarkStart w:id="53" w:name="_Toc14266110"/>
      <w:bookmarkStart w:id="54" w:name="_Toc14334599"/>
      <w:bookmarkStart w:id="55" w:name="_Toc14775949"/>
      <w:bookmarkStart w:id="56" w:name="_Toc15285027"/>
      <w:bookmarkStart w:id="57" w:name="_Toc15630647"/>
      <w:bookmarkStart w:id="58" w:name="_Toc18415319"/>
      <w:bookmarkStart w:id="59" w:name="_Toc18487687"/>
      <w:bookmarkStart w:id="60" w:name="_Toc19708390"/>
      <w:bookmarkStart w:id="61" w:name="_Toc20131679"/>
      <w:bookmarkStart w:id="62" w:name="_Toc21595437"/>
      <w:bookmarkStart w:id="63" w:name="_Toc22025438"/>
      <w:bookmarkStart w:id="64" w:name="_Toc24463701"/>
      <w:bookmarkStart w:id="65" w:name="_Toc24617698"/>
      <w:bookmarkStart w:id="66" w:name="_Toc25050770"/>
      <w:bookmarkStart w:id="67" w:name="_Toc31202134"/>
      <w:bookmarkStart w:id="68" w:name="_Toc31202255"/>
      <w:bookmarkStart w:id="69" w:name="_Toc32390195"/>
      <w:bookmarkStart w:id="70" w:name="_Toc32566836"/>
      <w:bookmarkStart w:id="71" w:name="_Toc35437926"/>
      <w:bookmarkStart w:id="72" w:name="_Toc38270536"/>
      <w:bookmarkStart w:id="73" w:name="_Toc38362387"/>
      <w:bookmarkStart w:id="74" w:name="_Toc38441868"/>
      <w:bookmarkStart w:id="75" w:name="_Toc38442375"/>
      <w:bookmarkStart w:id="76" w:name="_Toc38976313"/>
      <w:bookmarkStart w:id="77" w:name="_Toc40693084"/>
      <w:bookmarkStart w:id="78" w:name="_Toc40693225"/>
      <w:bookmarkStart w:id="79" w:name="_Toc41570911"/>
      <w:bookmarkStart w:id="80" w:name="_Toc42874993"/>
      <w:bookmarkStart w:id="81" w:name="_Toc44074210"/>
      <w:bookmarkStart w:id="82" w:name="_Toc44317221"/>
      <w:bookmarkStart w:id="83" w:name="_Toc44323924"/>
      <w:bookmarkStart w:id="84" w:name="_Toc70596118"/>
      <w:bookmarkStart w:id="85" w:name="_Toc70596141"/>
      <w:bookmarkStart w:id="86" w:name="_Toc71022160"/>
      <w:bookmarkStart w:id="87" w:name="_Toc500938169"/>
      <w:bookmarkStart w:id="88" w:name="_Toc500947017"/>
      <w:bookmarkStart w:id="89" w:name="_Toc501547026"/>
      <w:bookmarkStart w:id="90" w:name="_Toc501547381"/>
      <w:bookmarkStart w:id="91" w:name="_Toc505005665"/>
      <w:bookmarkStart w:id="92" w:name="_Toc505153756"/>
      <w:bookmarkStart w:id="93" w:name="_Toc508283424"/>
      <w:bookmarkStart w:id="94" w:name="_Toc510081780"/>
      <w:bookmarkStart w:id="95" w:name="_Toc511812217"/>
      <w:bookmarkStart w:id="96" w:name="_Toc512240155"/>
      <w:bookmarkStart w:id="97" w:name="_Toc513192152"/>
      <w:bookmarkStart w:id="98" w:name="_Toc514832414"/>
      <w:bookmarkEnd w:id="13"/>
      <w:bookmarkEnd w:id="14"/>
      <w:r w:rsidRPr="00104A8B">
        <w:rPr>
          <w:rFonts w:asciiTheme="minorHAnsi" w:hAnsiTheme="minorHAnsi"/>
        </w:rPr>
        <w:lastRenderedPageBreak/>
        <w:t>The Committee</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0B0846" w:rsidRPr="00104A8B" w:rsidRDefault="000B0846" w:rsidP="002A185D">
      <w:pPr>
        <w:pStyle w:val="Heading3"/>
        <w:rPr>
          <w:rFonts w:asciiTheme="minorHAnsi" w:hAnsiTheme="minorHAnsi"/>
        </w:rPr>
      </w:pPr>
      <w:bookmarkStart w:id="99" w:name="_Toc514837959"/>
      <w:bookmarkStart w:id="100" w:name="_Toc514943593"/>
      <w:bookmarkStart w:id="101" w:name="_Toc515352036"/>
      <w:bookmarkStart w:id="102" w:name="_Toc518297245"/>
      <w:bookmarkStart w:id="103" w:name="_Toc519069303"/>
      <w:bookmarkStart w:id="104" w:name="_Toc519069364"/>
      <w:bookmarkStart w:id="105" w:name="_Toc519520731"/>
      <w:bookmarkStart w:id="106" w:name="_Toc520188710"/>
      <w:bookmarkStart w:id="107" w:name="_Toc521054227"/>
      <w:bookmarkStart w:id="108" w:name="_Toc521054314"/>
      <w:bookmarkStart w:id="109" w:name="_Toc521054386"/>
      <w:bookmarkStart w:id="110" w:name="_Toc523753609"/>
      <w:bookmarkStart w:id="111" w:name="_Toc523814158"/>
      <w:bookmarkStart w:id="112" w:name="_Toc523900449"/>
      <w:bookmarkStart w:id="113" w:name="_Toc526855810"/>
      <w:bookmarkStart w:id="114" w:name="_Toc528155836"/>
      <w:bookmarkStart w:id="115" w:name="_Toc528157195"/>
      <w:bookmarkStart w:id="116" w:name="_Toc528310848"/>
      <w:bookmarkStart w:id="117" w:name="_Toc529974527"/>
      <w:bookmarkStart w:id="118" w:name="_Toc530039422"/>
      <w:bookmarkStart w:id="119" w:name="_Toc536527670"/>
      <w:bookmarkStart w:id="120" w:name="_Toc536527833"/>
      <w:bookmarkStart w:id="121" w:name="_Toc536615371"/>
      <w:bookmarkStart w:id="122" w:name="_Toc172149"/>
      <w:bookmarkStart w:id="123" w:name="_Toc506074"/>
      <w:bookmarkStart w:id="124" w:name="_Toc945918"/>
      <w:bookmarkStart w:id="125" w:name="_Toc965808"/>
      <w:bookmarkStart w:id="126" w:name="_Toc2839572"/>
      <w:bookmarkStart w:id="127" w:name="_Toc2850232"/>
      <w:bookmarkStart w:id="128" w:name="_Toc3271209"/>
      <w:bookmarkStart w:id="129" w:name="_Toc4588270"/>
      <w:bookmarkStart w:id="130" w:name="_Toc4652916"/>
      <w:bookmarkStart w:id="131" w:name="_Toc5003658"/>
      <w:bookmarkStart w:id="132" w:name="_Toc6211031"/>
      <w:bookmarkStart w:id="133" w:name="_Toc9499989"/>
      <w:bookmarkStart w:id="134" w:name="_Toc14266111"/>
      <w:bookmarkStart w:id="135" w:name="_Toc14334600"/>
      <w:bookmarkStart w:id="136" w:name="_Toc14775950"/>
      <w:bookmarkStart w:id="137" w:name="_Toc15285028"/>
      <w:bookmarkStart w:id="138" w:name="_Toc15630648"/>
      <w:bookmarkStart w:id="139" w:name="_Toc18415320"/>
      <w:bookmarkStart w:id="140" w:name="_Toc18487688"/>
      <w:bookmarkStart w:id="141" w:name="_Toc19708391"/>
      <w:bookmarkStart w:id="142" w:name="_Toc20131680"/>
      <w:bookmarkStart w:id="143" w:name="_Toc21595438"/>
      <w:bookmarkStart w:id="144" w:name="_Toc22025439"/>
      <w:bookmarkStart w:id="145" w:name="_Toc24463702"/>
      <w:bookmarkStart w:id="146" w:name="_Toc24617699"/>
      <w:bookmarkStart w:id="147" w:name="_Toc25050771"/>
      <w:bookmarkStart w:id="148" w:name="_Toc31202135"/>
      <w:bookmarkStart w:id="149" w:name="_Toc31202256"/>
      <w:bookmarkStart w:id="150" w:name="_Toc32390196"/>
      <w:bookmarkStart w:id="151" w:name="_Toc32566837"/>
      <w:bookmarkStart w:id="152" w:name="_Toc35437927"/>
      <w:bookmarkStart w:id="153" w:name="_Toc38270537"/>
      <w:bookmarkStart w:id="154" w:name="_Toc38362388"/>
      <w:bookmarkStart w:id="155" w:name="_Toc38441869"/>
      <w:bookmarkStart w:id="156" w:name="_Toc38442376"/>
      <w:bookmarkStart w:id="157" w:name="_Toc38976314"/>
      <w:bookmarkStart w:id="158" w:name="_Toc40693085"/>
      <w:bookmarkStart w:id="159" w:name="_Toc40693226"/>
      <w:bookmarkStart w:id="160" w:name="_Toc41570912"/>
      <w:bookmarkStart w:id="161" w:name="_Toc42874994"/>
      <w:bookmarkStart w:id="162" w:name="_Toc44074211"/>
      <w:bookmarkStart w:id="163" w:name="_Toc44317222"/>
      <w:bookmarkStart w:id="164" w:name="_Toc44323925"/>
      <w:bookmarkStart w:id="165" w:name="_Toc70596119"/>
      <w:bookmarkStart w:id="166" w:name="_Toc70596142"/>
      <w:bookmarkStart w:id="167" w:name="_Toc71022161"/>
      <w:r w:rsidRPr="00104A8B">
        <w:rPr>
          <w:rFonts w:asciiTheme="minorHAnsi" w:hAnsiTheme="minorHAnsi"/>
        </w:rPr>
        <w:t>C</w:t>
      </w:r>
      <w:r w:rsidR="00474136" w:rsidRPr="00104A8B">
        <w:rPr>
          <w:rFonts w:asciiTheme="minorHAnsi" w:hAnsiTheme="minorHAnsi"/>
        </w:rPr>
        <w:t>ommittee Membership</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0B0846" w:rsidRPr="00104A8B" w:rsidRDefault="00E41D9C" w:rsidP="009C4F5B">
      <w:pPr>
        <w:pStyle w:val="ListParagraph"/>
        <w:ind w:left="0"/>
      </w:pPr>
      <w:r>
        <w:t>Mr Jeremy Hanson MLA</w:t>
      </w:r>
      <w:r w:rsidR="00A919BD" w:rsidRPr="00104A8B">
        <w:t xml:space="preserve"> </w:t>
      </w:r>
      <w:r w:rsidR="000B0846" w:rsidRPr="00104A8B">
        <w:t>(Chair)</w:t>
      </w:r>
    </w:p>
    <w:p w:rsidR="000B0846" w:rsidRPr="00104A8B" w:rsidRDefault="00E41D9C" w:rsidP="009C4F5B">
      <w:pPr>
        <w:pStyle w:val="ListParagraph"/>
        <w:ind w:left="0"/>
      </w:pPr>
      <w:r>
        <w:t>Dr Marisa Pa</w:t>
      </w:r>
      <w:r w:rsidR="00F825FE">
        <w:t>t</w:t>
      </w:r>
      <w:r>
        <w:t>erson</w:t>
      </w:r>
      <w:r w:rsidR="000D626A">
        <w:t xml:space="preserve"> MLA</w:t>
      </w:r>
      <w:r w:rsidR="000B0846" w:rsidRPr="00104A8B">
        <w:t xml:space="preserve"> (Deputy Chair)</w:t>
      </w:r>
    </w:p>
    <w:p w:rsidR="000B0846" w:rsidRPr="00104A8B" w:rsidRDefault="00E41D9C" w:rsidP="009C4F5B">
      <w:pPr>
        <w:pStyle w:val="ListParagraph"/>
        <w:spacing w:after="360"/>
        <w:ind w:left="0"/>
      </w:pPr>
      <w:r>
        <w:t>Ms Jo Clay</w:t>
      </w:r>
      <w:r w:rsidR="003C4A44">
        <w:t xml:space="preserve"> ML</w:t>
      </w:r>
      <w:r w:rsidR="000B0846" w:rsidRPr="00104A8B">
        <w:t>A</w:t>
      </w:r>
    </w:p>
    <w:p w:rsidR="000B0846" w:rsidRPr="00104A8B" w:rsidRDefault="000B0846" w:rsidP="002A185D">
      <w:pPr>
        <w:pStyle w:val="Heading3"/>
        <w:rPr>
          <w:rFonts w:asciiTheme="minorHAnsi" w:hAnsiTheme="minorHAnsi"/>
        </w:rPr>
      </w:pPr>
      <w:bookmarkStart w:id="168" w:name="_Toc500938170"/>
      <w:bookmarkStart w:id="169" w:name="_Toc500947018"/>
      <w:bookmarkStart w:id="170" w:name="_Toc501547027"/>
      <w:bookmarkStart w:id="171" w:name="_Toc501547382"/>
      <w:bookmarkStart w:id="172" w:name="_Toc505005666"/>
      <w:bookmarkStart w:id="173" w:name="_Toc505153757"/>
      <w:bookmarkStart w:id="174" w:name="_Toc508283425"/>
      <w:bookmarkStart w:id="175" w:name="_Toc510081781"/>
      <w:bookmarkStart w:id="176" w:name="_Toc511812218"/>
      <w:bookmarkStart w:id="177" w:name="_Toc512240156"/>
      <w:bookmarkStart w:id="178" w:name="_Toc513192153"/>
      <w:bookmarkStart w:id="179" w:name="_Toc514832415"/>
      <w:bookmarkStart w:id="180" w:name="_Toc514837960"/>
      <w:bookmarkStart w:id="181" w:name="_Toc514943594"/>
      <w:bookmarkStart w:id="182" w:name="_Toc515352037"/>
      <w:bookmarkStart w:id="183" w:name="_Toc518297246"/>
      <w:bookmarkStart w:id="184" w:name="_Toc519069304"/>
      <w:bookmarkStart w:id="185" w:name="_Toc519069365"/>
      <w:bookmarkStart w:id="186" w:name="_Toc519520732"/>
      <w:bookmarkStart w:id="187" w:name="_Toc520188711"/>
      <w:bookmarkStart w:id="188" w:name="_Toc521054228"/>
      <w:bookmarkStart w:id="189" w:name="_Toc521054315"/>
      <w:bookmarkStart w:id="190" w:name="_Toc521054387"/>
      <w:bookmarkStart w:id="191" w:name="_Toc523753610"/>
      <w:bookmarkStart w:id="192" w:name="_Toc523814159"/>
      <w:bookmarkStart w:id="193" w:name="_Toc523900450"/>
      <w:bookmarkStart w:id="194" w:name="_Toc526855811"/>
      <w:bookmarkStart w:id="195" w:name="_Toc528155837"/>
      <w:bookmarkStart w:id="196" w:name="_Toc528157196"/>
      <w:bookmarkStart w:id="197" w:name="_Toc528310849"/>
      <w:bookmarkStart w:id="198" w:name="_Toc529974528"/>
      <w:bookmarkStart w:id="199" w:name="_Toc530039423"/>
      <w:bookmarkStart w:id="200" w:name="_Toc536527671"/>
      <w:bookmarkStart w:id="201" w:name="_Toc536527834"/>
      <w:bookmarkStart w:id="202" w:name="_Toc536615372"/>
      <w:bookmarkStart w:id="203" w:name="_Toc172150"/>
      <w:bookmarkStart w:id="204" w:name="_Toc506075"/>
      <w:bookmarkStart w:id="205" w:name="_Toc945919"/>
      <w:bookmarkStart w:id="206" w:name="_Toc965809"/>
      <w:bookmarkStart w:id="207" w:name="_Toc2839573"/>
      <w:bookmarkStart w:id="208" w:name="_Toc2850233"/>
      <w:bookmarkStart w:id="209" w:name="_Toc3271210"/>
      <w:bookmarkStart w:id="210" w:name="_Toc4588271"/>
      <w:bookmarkStart w:id="211" w:name="_Toc4652917"/>
      <w:bookmarkStart w:id="212" w:name="_Toc5003659"/>
      <w:bookmarkStart w:id="213" w:name="_Toc6211032"/>
      <w:bookmarkStart w:id="214" w:name="_Toc9499990"/>
      <w:bookmarkStart w:id="215" w:name="_Toc14266112"/>
      <w:bookmarkStart w:id="216" w:name="_Toc14334601"/>
      <w:bookmarkStart w:id="217" w:name="_Toc14775951"/>
      <w:bookmarkStart w:id="218" w:name="_Toc15285029"/>
      <w:bookmarkStart w:id="219" w:name="_Toc15630649"/>
      <w:bookmarkStart w:id="220" w:name="_Toc18415321"/>
      <w:bookmarkStart w:id="221" w:name="_Toc18487689"/>
      <w:bookmarkStart w:id="222" w:name="_Toc19708392"/>
      <w:bookmarkStart w:id="223" w:name="_Toc20131681"/>
      <w:bookmarkStart w:id="224" w:name="_Toc21595439"/>
      <w:bookmarkStart w:id="225" w:name="_Toc22025440"/>
      <w:bookmarkStart w:id="226" w:name="_Toc24463703"/>
      <w:bookmarkStart w:id="227" w:name="_Toc24617700"/>
      <w:bookmarkStart w:id="228" w:name="_Toc25050772"/>
      <w:bookmarkStart w:id="229" w:name="_Toc31202136"/>
      <w:bookmarkStart w:id="230" w:name="_Toc31202257"/>
      <w:bookmarkStart w:id="231" w:name="_Toc32390197"/>
      <w:bookmarkStart w:id="232" w:name="_Toc32566838"/>
      <w:bookmarkStart w:id="233" w:name="_Toc35437928"/>
      <w:bookmarkStart w:id="234" w:name="_Toc38270538"/>
      <w:bookmarkStart w:id="235" w:name="_Toc38362389"/>
      <w:bookmarkStart w:id="236" w:name="_Toc38441870"/>
      <w:bookmarkStart w:id="237" w:name="_Toc38442377"/>
      <w:bookmarkStart w:id="238" w:name="_Toc38976315"/>
      <w:bookmarkStart w:id="239" w:name="_Toc40693086"/>
      <w:bookmarkStart w:id="240" w:name="_Toc40693227"/>
      <w:bookmarkStart w:id="241" w:name="_Toc41570913"/>
      <w:bookmarkStart w:id="242" w:name="_Toc42874995"/>
      <w:bookmarkStart w:id="243" w:name="_Toc44074212"/>
      <w:bookmarkStart w:id="244" w:name="_Toc44317223"/>
      <w:bookmarkStart w:id="245" w:name="_Toc44323926"/>
      <w:bookmarkStart w:id="246" w:name="_Toc70596120"/>
      <w:bookmarkStart w:id="247" w:name="_Toc70596143"/>
      <w:bookmarkStart w:id="248" w:name="_Toc71022162"/>
      <w:r w:rsidRPr="00104A8B">
        <w:rPr>
          <w:rFonts w:asciiTheme="minorHAnsi" w:hAnsiTheme="minorHAnsi"/>
        </w:rPr>
        <w:t>S</w:t>
      </w:r>
      <w:bookmarkEnd w:id="168"/>
      <w:r w:rsidR="00474136" w:rsidRPr="00104A8B">
        <w:rPr>
          <w:rFonts w:asciiTheme="minorHAnsi" w:hAnsiTheme="minorHAnsi"/>
        </w:rPr>
        <w:t>ecretariat</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5D7839" w:rsidRDefault="00E41D9C" w:rsidP="009C4F5B">
      <w:pPr>
        <w:pStyle w:val="ListParagraph"/>
        <w:ind w:left="0"/>
      </w:pPr>
      <w:r>
        <w:t xml:space="preserve">Ms Julia Agostino </w:t>
      </w:r>
      <w:r w:rsidR="005D7839">
        <w:t>(Secretary)</w:t>
      </w:r>
    </w:p>
    <w:p w:rsidR="000B0846" w:rsidRPr="00104A8B" w:rsidRDefault="00BA64E2" w:rsidP="009C4F5B">
      <w:pPr>
        <w:pStyle w:val="ListParagraph"/>
        <w:ind w:left="0"/>
      </w:pPr>
      <w:r>
        <w:t xml:space="preserve">Ms </w:t>
      </w:r>
      <w:r w:rsidR="00E41D9C">
        <w:t>Sophie Milne</w:t>
      </w:r>
      <w:r>
        <w:t xml:space="preserve"> </w:t>
      </w:r>
      <w:r w:rsidR="000B0846" w:rsidRPr="00104A8B">
        <w:t>(Assistant Secretary)</w:t>
      </w:r>
    </w:p>
    <w:p w:rsidR="000B0846" w:rsidRPr="00104A8B" w:rsidRDefault="000B0846" w:rsidP="009C4F5B">
      <w:pPr>
        <w:pStyle w:val="ListParagraph"/>
        <w:ind w:left="0"/>
      </w:pPr>
      <w:r w:rsidRPr="00104A8B">
        <w:t>Mr Stephen Argument (Legal Adviser—Subordinate Legislation)</w:t>
      </w:r>
    </w:p>
    <w:p w:rsidR="000B0846" w:rsidRDefault="000B0846" w:rsidP="009C4F5B">
      <w:pPr>
        <w:pStyle w:val="ListParagraph"/>
        <w:spacing w:after="360"/>
        <w:ind w:left="0"/>
      </w:pPr>
      <w:r w:rsidRPr="00104A8B">
        <w:t>Mr Daniel Stewart (Legal Adviser—Bills)</w:t>
      </w:r>
    </w:p>
    <w:p w:rsidR="000B0846" w:rsidRPr="00104A8B" w:rsidRDefault="000B0846" w:rsidP="002A185D">
      <w:pPr>
        <w:pStyle w:val="Heading3"/>
        <w:rPr>
          <w:rFonts w:asciiTheme="minorHAnsi" w:hAnsiTheme="minorHAnsi"/>
        </w:rPr>
      </w:pPr>
      <w:bookmarkStart w:id="249" w:name="_Toc500938171"/>
      <w:bookmarkStart w:id="250" w:name="_Toc500947019"/>
      <w:bookmarkStart w:id="251" w:name="_Toc501547028"/>
      <w:bookmarkStart w:id="252" w:name="_Toc501547383"/>
      <w:bookmarkStart w:id="253" w:name="_Toc505005667"/>
      <w:bookmarkStart w:id="254" w:name="_Toc505153758"/>
      <w:bookmarkStart w:id="255" w:name="_Toc508283426"/>
      <w:bookmarkStart w:id="256" w:name="_Toc510081782"/>
      <w:bookmarkStart w:id="257" w:name="_Toc511812219"/>
      <w:bookmarkStart w:id="258" w:name="_Toc512240157"/>
      <w:bookmarkStart w:id="259" w:name="_Toc513192154"/>
      <w:bookmarkStart w:id="260" w:name="_Toc514832416"/>
      <w:bookmarkStart w:id="261" w:name="_Toc514837961"/>
      <w:bookmarkStart w:id="262" w:name="_Toc514943595"/>
      <w:bookmarkStart w:id="263" w:name="_Toc515352038"/>
      <w:bookmarkStart w:id="264" w:name="_Toc518297247"/>
      <w:bookmarkStart w:id="265" w:name="_Toc519069305"/>
      <w:bookmarkStart w:id="266" w:name="_Toc519069366"/>
      <w:bookmarkStart w:id="267" w:name="_Toc519520733"/>
      <w:bookmarkStart w:id="268" w:name="_Toc520188712"/>
      <w:bookmarkStart w:id="269" w:name="_Toc521054229"/>
      <w:bookmarkStart w:id="270" w:name="_Toc521054316"/>
      <w:bookmarkStart w:id="271" w:name="_Toc521054388"/>
      <w:bookmarkStart w:id="272" w:name="_Toc523753611"/>
      <w:bookmarkStart w:id="273" w:name="_Toc523814160"/>
      <w:bookmarkStart w:id="274" w:name="_Toc523900451"/>
      <w:bookmarkStart w:id="275" w:name="_Toc526855812"/>
      <w:bookmarkStart w:id="276" w:name="_Toc528155838"/>
      <w:bookmarkStart w:id="277" w:name="_Toc528157197"/>
      <w:bookmarkStart w:id="278" w:name="_Toc528310850"/>
      <w:bookmarkStart w:id="279" w:name="_Toc529974529"/>
      <w:bookmarkStart w:id="280" w:name="_Toc530039424"/>
      <w:bookmarkStart w:id="281" w:name="_Toc536527672"/>
      <w:bookmarkStart w:id="282" w:name="_Toc536527835"/>
      <w:bookmarkStart w:id="283" w:name="_Toc536615373"/>
      <w:bookmarkStart w:id="284" w:name="_Toc172151"/>
      <w:bookmarkStart w:id="285" w:name="_Toc506076"/>
      <w:bookmarkStart w:id="286" w:name="_Toc945920"/>
      <w:bookmarkStart w:id="287" w:name="_Toc965810"/>
      <w:bookmarkStart w:id="288" w:name="_Toc2839574"/>
      <w:bookmarkStart w:id="289" w:name="_Toc2850234"/>
      <w:bookmarkStart w:id="290" w:name="_Toc3271211"/>
      <w:bookmarkStart w:id="291" w:name="_Toc4588272"/>
      <w:bookmarkStart w:id="292" w:name="_Toc4652918"/>
      <w:bookmarkStart w:id="293" w:name="_Toc5003660"/>
      <w:bookmarkStart w:id="294" w:name="_Toc6211033"/>
      <w:bookmarkStart w:id="295" w:name="_Toc9499991"/>
      <w:bookmarkStart w:id="296" w:name="_Toc14266113"/>
      <w:bookmarkStart w:id="297" w:name="_Toc14334602"/>
      <w:bookmarkStart w:id="298" w:name="_Toc14775952"/>
      <w:bookmarkStart w:id="299" w:name="_Toc15285030"/>
      <w:bookmarkStart w:id="300" w:name="_Toc15630650"/>
      <w:bookmarkStart w:id="301" w:name="_Toc18415322"/>
      <w:bookmarkStart w:id="302" w:name="_Toc18487690"/>
      <w:bookmarkStart w:id="303" w:name="_Toc19708393"/>
      <w:bookmarkStart w:id="304" w:name="_Toc20131682"/>
      <w:bookmarkStart w:id="305" w:name="_Toc21595440"/>
      <w:bookmarkStart w:id="306" w:name="_Toc22025441"/>
      <w:bookmarkStart w:id="307" w:name="_Toc24463704"/>
      <w:bookmarkStart w:id="308" w:name="_Toc24617701"/>
      <w:bookmarkStart w:id="309" w:name="_Toc25050773"/>
      <w:bookmarkStart w:id="310" w:name="_Toc31202137"/>
      <w:bookmarkStart w:id="311" w:name="_Toc31202258"/>
      <w:bookmarkStart w:id="312" w:name="_Toc32390198"/>
      <w:bookmarkStart w:id="313" w:name="_Toc32566839"/>
      <w:bookmarkStart w:id="314" w:name="_Toc35437929"/>
      <w:bookmarkStart w:id="315" w:name="_Toc38270539"/>
      <w:bookmarkStart w:id="316" w:name="_Toc38362390"/>
      <w:bookmarkStart w:id="317" w:name="_Toc38441871"/>
      <w:bookmarkStart w:id="318" w:name="_Toc38442378"/>
      <w:bookmarkStart w:id="319" w:name="_Toc38976316"/>
      <w:bookmarkStart w:id="320" w:name="_Toc40693087"/>
      <w:bookmarkStart w:id="321" w:name="_Toc40693228"/>
      <w:bookmarkStart w:id="322" w:name="_Toc41570914"/>
      <w:bookmarkStart w:id="323" w:name="_Toc42874996"/>
      <w:bookmarkStart w:id="324" w:name="_Toc44074213"/>
      <w:bookmarkStart w:id="325" w:name="_Toc44317224"/>
      <w:bookmarkStart w:id="326" w:name="_Toc44323927"/>
      <w:bookmarkStart w:id="327" w:name="_Toc70596121"/>
      <w:bookmarkStart w:id="328" w:name="_Toc70596144"/>
      <w:bookmarkStart w:id="329" w:name="_Toc71022163"/>
      <w:r w:rsidRPr="00104A8B">
        <w:rPr>
          <w:rFonts w:asciiTheme="minorHAnsi" w:hAnsiTheme="minorHAnsi"/>
        </w:rPr>
        <w:t>C</w:t>
      </w:r>
      <w:r w:rsidR="00474136" w:rsidRPr="00104A8B">
        <w:rPr>
          <w:rFonts w:asciiTheme="minorHAnsi" w:hAnsiTheme="minorHAnsi"/>
        </w:rPr>
        <w:t>ontact Information</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0B0846" w:rsidRPr="00104A8B" w:rsidRDefault="000B0846" w:rsidP="009C4F5B">
      <w:pPr>
        <w:pStyle w:val="ListParagraph"/>
        <w:tabs>
          <w:tab w:val="left" w:pos="1260"/>
        </w:tabs>
        <w:ind w:left="0"/>
      </w:pPr>
      <w:r w:rsidRPr="00104A8B">
        <w:t>Telephone</w:t>
      </w:r>
      <w:r w:rsidRPr="00104A8B">
        <w:tab/>
        <w:t xml:space="preserve">02 6205 </w:t>
      </w:r>
      <w:r w:rsidR="00415478">
        <w:t>0</w:t>
      </w:r>
      <w:r w:rsidR="00BE6460">
        <w:t>171</w:t>
      </w:r>
    </w:p>
    <w:p w:rsidR="000B0846" w:rsidRPr="00104A8B" w:rsidRDefault="000B0846" w:rsidP="009C4F5B">
      <w:pPr>
        <w:pStyle w:val="ListParagraph"/>
        <w:tabs>
          <w:tab w:val="left" w:pos="1260"/>
        </w:tabs>
        <w:ind w:left="0"/>
      </w:pPr>
      <w:r w:rsidRPr="00104A8B">
        <w:t>Facsimile</w:t>
      </w:r>
      <w:r w:rsidRPr="00104A8B">
        <w:tab/>
        <w:t>02 6205 3109</w:t>
      </w:r>
    </w:p>
    <w:p w:rsidR="000B0846" w:rsidRPr="00104A8B" w:rsidRDefault="000B0846" w:rsidP="009C4F5B">
      <w:pPr>
        <w:pStyle w:val="ListParagraph"/>
        <w:tabs>
          <w:tab w:val="left" w:pos="1260"/>
        </w:tabs>
        <w:ind w:left="0"/>
      </w:pPr>
      <w:r w:rsidRPr="00104A8B">
        <w:t>Post</w:t>
      </w:r>
      <w:r w:rsidRPr="00104A8B">
        <w:tab/>
        <w:t>GPO Box 1020, CANBERRA ACT 2601</w:t>
      </w:r>
    </w:p>
    <w:p w:rsidR="000B0846" w:rsidRPr="00104A8B" w:rsidRDefault="000B0846" w:rsidP="009C4F5B">
      <w:pPr>
        <w:pStyle w:val="ListParagraph"/>
        <w:tabs>
          <w:tab w:val="left" w:pos="1260"/>
        </w:tabs>
        <w:ind w:left="0"/>
      </w:pPr>
      <w:r w:rsidRPr="00104A8B">
        <w:t>Email</w:t>
      </w:r>
      <w:r w:rsidRPr="00104A8B">
        <w:tab/>
        <w:t>scrutiny@parliament.act.gov.au</w:t>
      </w:r>
    </w:p>
    <w:p w:rsidR="000B0846" w:rsidRPr="00104A8B" w:rsidRDefault="000B0846" w:rsidP="009C4F5B">
      <w:pPr>
        <w:pStyle w:val="ListParagraph"/>
        <w:tabs>
          <w:tab w:val="left" w:pos="1260"/>
        </w:tabs>
        <w:spacing w:after="360"/>
        <w:ind w:left="0"/>
      </w:pPr>
      <w:r w:rsidRPr="00104A8B">
        <w:t>Website</w:t>
      </w:r>
      <w:r w:rsidRPr="00104A8B">
        <w:tab/>
        <w:t>www.parliament.act.gov.au</w:t>
      </w:r>
    </w:p>
    <w:p w:rsidR="000B0846" w:rsidRPr="00104A8B" w:rsidRDefault="000B0846" w:rsidP="002A185D">
      <w:pPr>
        <w:pStyle w:val="Heading3"/>
        <w:rPr>
          <w:rFonts w:asciiTheme="minorHAnsi" w:hAnsiTheme="minorHAnsi"/>
        </w:rPr>
      </w:pPr>
      <w:bookmarkStart w:id="330" w:name="_Toc500938172"/>
      <w:bookmarkStart w:id="331" w:name="_Toc500947020"/>
      <w:bookmarkStart w:id="332" w:name="_Toc501547029"/>
      <w:bookmarkStart w:id="333" w:name="_Toc501547384"/>
      <w:bookmarkStart w:id="334" w:name="_Toc505005668"/>
      <w:bookmarkStart w:id="335" w:name="_Toc505153759"/>
      <w:bookmarkStart w:id="336" w:name="_Toc508283427"/>
      <w:bookmarkStart w:id="337" w:name="_Toc510081783"/>
      <w:bookmarkStart w:id="338" w:name="_Toc511812220"/>
      <w:bookmarkStart w:id="339" w:name="_Toc512240158"/>
      <w:bookmarkStart w:id="340" w:name="_Toc513192155"/>
      <w:bookmarkStart w:id="341" w:name="_Toc514832417"/>
      <w:bookmarkStart w:id="342" w:name="_Toc514837962"/>
      <w:bookmarkStart w:id="343" w:name="_Toc514943596"/>
      <w:bookmarkStart w:id="344" w:name="_Toc515352039"/>
      <w:bookmarkStart w:id="345" w:name="_Toc518297248"/>
      <w:bookmarkStart w:id="346" w:name="_Toc519069306"/>
      <w:bookmarkStart w:id="347" w:name="_Toc519069367"/>
      <w:bookmarkStart w:id="348" w:name="_Toc519520734"/>
      <w:bookmarkStart w:id="349" w:name="_Toc520188713"/>
      <w:bookmarkStart w:id="350" w:name="_Toc521054230"/>
      <w:bookmarkStart w:id="351" w:name="_Toc521054317"/>
      <w:bookmarkStart w:id="352" w:name="_Toc521054389"/>
      <w:bookmarkStart w:id="353" w:name="_Toc523753612"/>
      <w:bookmarkStart w:id="354" w:name="_Toc523814161"/>
      <w:bookmarkStart w:id="355" w:name="_Toc523900452"/>
      <w:bookmarkStart w:id="356" w:name="_Toc526855813"/>
      <w:bookmarkStart w:id="357" w:name="_Toc528155839"/>
      <w:bookmarkStart w:id="358" w:name="_Toc528157198"/>
      <w:bookmarkStart w:id="359" w:name="_Toc528310851"/>
      <w:bookmarkStart w:id="360" w:name="_Toc529974530"/>
      <w:bookmarkStart w:id="361" w:name="_Toc530039425"/>
      <w:bookmarkStart w:id="362" w:name="_Toc536527673"/>
      <w:bookmarkStart w:id="363" w:name="_Toc536527836"/>
      <w:bookmarkStart w:id="364" w:name="_Toc536615374"/>
      <w:bookmarkStart w:id="365" w:name="_Toc172152"/>
      <w:bookmarkStart w:id="366" w:name="_Toc506077"/>
      <w:bookmarkStart w:id="367" w:name="_Toc945921"/>
      <w:bookmarkStart w:id="368" w:name="_Toc965811"/>
      <w:bookmarkStart w:id="369" w:name="_Toc2839575"/>
      <w:bookmarkStart w:id="370" w:name="_Toc2850235"/>
      <w:bookmarkStart w:id="371" w:name="_Toc3271212"/>
      <w:bookmarkStart w:id="372" w:name="_Toc4588273"/>
      <w:bookmarkStart w:id="373" w:name="_Toc4652919"/>
      <w:bookmarkStart w:id="374" w:name="_Toc5003661"/>
      <w:bookmarkStart w:id="375" w:name="_Toc6211034"/>
      <w:bookmarkStart w:id="376" w:name="_Toc9499992"/>
      <w:bookmarkStart w:id="377" w:name="_Toc14266114"/>
      <w:bookmarkStart w:id="378" w:name="_Toc14334603"/>
      <w:bookmarkStart w:id="379" w:name="_Toc14775953"/>
      <w:bookmarkStart w:id="380" w:name="_Toc15285031"/>
      <w:bookmarkStart w:id="381" w:name="_Toc15630651"/>
      <w:bookmarkStart w:id="382" w:name="_Toc18415323"/>
      <w:bookmarkStart w:id="383" w:name="_Toc18487691"/>
      <w:bookmarkStart w:id="384" w:name="_Toc19708394"/>
      <w:bookmarkStart w:id="385" w:name="_Toc20131683"/>
      <w:bookmarkStart w:id="386" w:name="_Toc21595441"/>
      <w:bookmarkStart w:id="387" w:name="_Toc22025442"/>
      <w:bookmarkStart w:id="388" w:name="_Toc24463705"/>
      <w:bookmarkStart w:id="389" w:name="_Toc24617702"/>
      <w:bookmarkStart w:id="390" w:name="_Toc25050774"/>
      <w:bookmarkStart w:id="391" w:name="_Toc31202138"/>
      <w:bookmarkStart w:id="392" w:name="_Toc31202259"/>
      <w:bookmarkStart w:id="393" w:name="_Toc32390199"/>
      <w:bookmarkStart w:id="394" w:name="_Toc32566840"/>
      <w:bookmarkStart w:id="395" w:name="_Toc35437930"/>
      <w:bookmarkStart w:id="396" w:name="_Toc38270540"/>
      <w:bookmarkStart w:id="397" w:name="_Toc38362391"/>
      <w:bookmarkStart w:id="398" w:name="_Toc38441872"/>
      <w:bookmarkStart w:id="399" w:name="_Toc38442379"/>
      <w:bookmarkStart w:id="400" w:name="_Toc38976317"/>
      <w:bookmarkStart w:id="401" w:name="_Toc40693088"/>
      <w:bookmarkStart w:id="402" w:name="_Toc40693229"/>
      <w:bookmarkStart w:id="403" w:name="_Toc41570915"/>
      <w:bookmarkStart w:id="404" w:name="_Toc42874997"/>
      <w:bookmarkStart w:id="405" w:name="_Toc44074214"/>
      <w:bookmarkStart w:id="406" w:name="_Toc44317225"/>
      <w:bookmarkStart w:id="407" w:name="_Toc44323928"/>
      <w:bookmarkStart w:id="408" w:name="_Toc70596122"/>
      <w:bookmarkStart w:id="409" w:name="_Toc70596145"/>
      <w:bookmarkStart w:id="410" w:name="_Toc71022164"/>
      <w:r w:rsidRPr="00104A8B">
        <w:rPr>
          <w:rFonts w:asciiTheme="minorHAnsi" w:hAnsiTheme="minorHAnsi"/>
        </w:rPr>
        <w:t>R</w:t>
      </w:r>
      <w:r w:rsidR="00474136" w:rsidRPr="00104A8B">
        <w:rPr>
          <w:rFonts w:asciiTheme="minorHAnsi" w:hAnsiTheme="minorHAnsi"/>
        </w:rPr>
        <w:t>ole of Committee</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0B0846" w:rsidRPr="00104A8B" w:rsidRDefault="000B0846" w:rsidP="000B0846">
      <w:r w:rsidRPr="00104A8B">
        <w:t>The Committee examines all Bills and subordinate legislation presented to the Assembly. It does not make any comments on the policy aspects of the legislation. The Committee’s terms of reference contain principles of scrutiny that enable it to operate in the best traditions of totally non-partisan, non-political technical scrutiny of legislation. These traditions have been adopted, without exception, by all scrutiny committees in Australia. Non-partisan, non-policy scrutiny allows the Committee to help the Assembly pass into law Acts and subordinate legislation which comply with the ideals set out in its terms of reference.</w:t>
      </w:r>
    </w:p>
    <w:p w:rsidR="00045F75" w:rsidRPr="00104A8B" w:rsidRDefault="00652A64" w:rsidP="00AC094E">
      <w:pPr>
        <w:pStyle w:val="Heading2"/>
        <w:rPr>
          <w:rFonts w:asciiTheme="minorHAnsi" w:hAnsiTheme="minorHAnsi"/>
        </w:rPr>
      </w:pPr>
      <w:r w:rsidRPr="00104A8B">
        <w:rPr>
          <w:rFonts w:asciiTheme="minorHAnsi" w:hAnsiTheme="minorHAnsi"/>
        </w:rPr>
        <w:br w:type="page"/>
      </w:r>
      <w:bookmarkStart w:id="411" w:name="_Toc500938173"/>
      <w:bookmarkStart w:id="412" w:name="_Toc500947021"/>
      <w:bookmarkStart w:id="413" w:name="_Toc501547030"/>
      <w:bookmarkStart w:id="414" w:name="_Toc501547385"/>
      <w:bookmarkStart w:id="415" w:name="_Toc505005669"/>
      <w:bookmarkStart w:id="416" w:name="_Toc505153760"/>
      <w:bookmarkStart w:id="417" w:name="_Toc508283428"/>
      <w:bookmarkStart w:id="418" w:name="_Toc510081784"/>
      <w:bookmarkStart w:id="419" w:name="_Toc511812221"/>
      <w:bookmarkStart w:id="420" w:name="_Toc512240159"/>
      <w:bookmarkStart w:id="421" w:name="_Toc513192156"/>
      <w:bookmarkStart w:id="422" w:name="_Toc514832418"/>
      <w:bookmarkStart w:id="423" w:name="_Toc514837963"/>
      <w:bookmarkStart w:id="424" w:name="_Toc518297249"/>
      <w:bookmarkStart w:id="425" w:name="_Toc519069307"/>
      <w:bookmarkStart w:id="426" w:name="_Toc519069368"/>
      <w:bookmarkStart w:id="427" w:name="_Toc519520735"/>
      <w:bookmarkStart w:id="428" w:name="_Toc520188714"/>
      <w:bookmarkStart w:id="429" w:name="_Toc521054231"/>
      <w:bookmarkStart w:id="430" w:name="_Toc521054318"/>
      <w:bookmarkStart w:id="431" w:name="_Toc521054390"/>
      <w:bookmarkStart w:id="432" w:name="_Toc523753613"/>
      <w:bookmarkStart w:id="433" w:name="_Toc523814162"/>
      <w:bookmarkStart w:id="434" w:name="_Toc523900453"/>
      <w:bookmarkStart w:id="435" w:name="_Toc526855814"/>
      <w:bookmarkStart w:id="436" w:name="_Toc528155840"/>
      <w:bookmarkStart w:id="437" w:name="_Toc528157199"/>
      <w:bookmarkStart w:id="438" w:name="_Toc528310852"/>
      <w:bookmarkStart w:id="439" w:name="_Toc529974531"/>
      <w:bookmarkStart w:id="440" w:name="_Toc530039426"/>
      <w:bookmarkStart w:id="441" w:name="_Toc536527674"/>
      <w:bookmarkStart w:id="442" w:name="_Toc536527837"/>
      <w:bookmarkStart w:id="443" w:name="_Toc536615375"/>
      <w:bookmarkStart w:id="444" w:name="_Toc172153"/>
      <w:bookmarkStart w:id="445" w:name="_Toc506078"/>
      <w:bookmarkStart w:id="446" w:name="_Toc945922"/>
      <w:bookmarkStart w:id="447" w:name="_Toc965812"/>
      <w:bookmarkStart w:id="448" w:name="_Toc2839576"/>
      <w:bookmarkStart w:id="449" w:name="_Toc2850236"/>
      <w:bookmarkStart w:id="450" w:name="_Toc3271213"/>
      <w:bookmarkStart w:id="451" w:name="_Toc4588274"/>
      <w:bookmarkStart w:id="452" w:name="_Toc4652920"/>
      <w:bookmarkStart w:id="453" w:name="_Toc5003662"/>
      <w:bookmarkStart w:id="454" w:name="_Toc6211035"/>
      <w:bookmarkStart w:id="455" w:name="_Toc9499993"/>
      <w:bookmarkStart w:id="456" w:name="_Toc14266115"/>
      <w:bookmarkStart w:id="457" w:name="_Toc14334604"/>
      <w:bookmarkStart w:id="458" w:name="_Toc14775954"/>
      <w:bookmarkStart w:id="459" w:name="_Toc15285032"/>
      <w:bookmarkStart w:id="460" w:name="_Toc15630652"/>
      <w:bookmarkStart w:id="461" w:name="_Toc18415324"/>
      <w:bookmarkStart w:id="462" w:name="_Toc18487692"/>
      <w:bookmarkStart w:id="463" w:name="_Toc19708395"/>
      <w:bookmarkStart w:id="464" w:name="_Toc20131684"/>
      <w:bookmarkStart w:id="465" w:name="_Toc21595442"/>
      <w:bookmarkStart w:id="466" w:name="_Toc22025443"/>
      <w:bookmarkStart w:id="467" w:name="_Toc24463706"/>
      <w:bookmarkStart w:id="468" w:name="_Toc24617703"/>
      <w:bookmarkStart w:id="469" w:name="_Toc25050775"/>
      <w:bookmarkStart w:id="470" w:name="_Toc31202139"/>
      <w:bookmarkStart w:id="471" w:name="_Toc31202260"/>
      <w:bookmarkStart w:id="472" w:name="_Toc32390200"/>
      <w:bookmarkStart w:id="473" w:name="_Toc32566841"/>
      <w:bookmarkStart w:id="474" w:name="_Toc35437931"/>
      <w:bookmarkStart w:id="475" w:name="_Toc38270541"/>
      <w:bookmarkStart w:id="476" w:name="_Toc38362392"/>
      <w:bookmarkStart w:id="477" w:name="_Toc38441873"/>
      <w:bookmarkStart w:id="478" w:name="_Toc38442380"/>
      <w:bookmarkStart w:id="479" w:name="_Toc38976318"/>
      <w:bookmarkStart w:id="480" w:name="_Toc40693089"/>
      <w:bookmarkStart w:id="481" w:name="_Toc40693230"/>
      <w:bookmarkStart w:id="482" w:name="_Toc41570916"/>
      <w:bookmarkStart w:id="483" w:name="_Toc42874998"/>
      <w:bookmarkStart w:id="484" w:name="_Toc44074215"/>
      <w:bookmarkStart w:id="485" w:name="_Toc44317226"/>
      <w:bookmarkStart w:id="486" w:name="_Toc44323929"/>
      <w:bookmarkStart w:id="487" w:name="_Toc70596123"/>
      <w:bookmarkStart w:id="488" w:name="_Toc70596146"/>
      <w:bookmarkStart w:id="489" w:name="_Toc71022165"/>
      <w:r w:rsidR="00045F75" w:rsidRPr="00104A8B">
        <w:rPr>
          <w:rFonts w:asciiTheme="minorHAnsi" w:hAnsiTheme="minorHAnsi"/>
        </w:rPr>
        <w:lastRenderedPageBreak/>
        <w:t>Resolution of Appointment</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1D271A" w:rsidRPr="00697120" w:rsidRDefault="001D271A" w:rsidP="001D271A">
      <w:pPr>
        <w:keepNext/>
        <w:keepLines/>
        <w:tabs>
          <w:tab w:val="left" w:pos="567"/>
        </w:tabs>
        <w:spacing w:before="60" w:after="60"/>
        <w:ind w:left="1701" w:hanging="567"/>
        <w:rPr>
          <w:rFonts w:ascii="Calibri" w:hAnsi="Calibri"/>
        </w:rPr>
      </w:pPr>
      <w:r w:rsidRPr="00697120">
        <w:rPr>
          <w:rFonts w:ascii="Calibri" w:hAnsi="Calibri"/>
        </w:rPr>
        <w:t xml:space="preserve"> (10)</w:t>
      </w:r>
      <w:r w:rsidRPr="00697120">
        <w:rPr>
          <w:rFonts w:ascii="Calibri" w:hAnsi="Calibri"/>
        </w:rPr>
        <w:tab/>
      </w:r>
      <w:proofErr w:type="gramStart"/>
      <w:r w:rsidRPr="00697120">
        <w:rPr>
          <w:rFonts w:ascii="Calibri" w:hAnsi="Calibri"/>
        </w:rPr>
        <w:t>the</w:t>
      </w:r>
      <w:proofErr w:type="gramEnd"/>
      <w:r w:rsidRPr="00697120">
        <w:rPr>
          <w:rFonts w:ascii="Calibri" w:hAnsi="Calibri"/>
        </w:rPr>
        <w:t xml:space="preserve"> Standing Committee on Justice and Community Safety is also to perform a legislative scrutiny role of bills and subordinate legislation by:</w:t>
      </w:r>
    </w:p>
    <w:p w:rsidR="001D271A" w:rsidRPr="00697120" w:rsidRDefault="001D271A" w:rsidP="001D271A">
      <w:pPr>
        <w:keepNext/>
        <w:keepLines/>
        <w:tabs>
          <w:tab w:val="left" w:pos="567"/>
        </w:tabs>
        <w:spacing w:before="60" w:after="60"/>
        <w:ind w:left="2268" w:hanging="567"/>
        <w:rPr>
          <w:rFonts w:ascii="Calibri" w:hAnsi="Calibri"/>
        </w:rPr>
      </w:pPr>
      <w:r w:rsidRPr="00697120">
        <w:rPr>
          <w:rFonts w:ascii="Calibri" w:hAnsi="Calibri"/>
        </w:rPr>
        <w:t>(a)</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the clauses of bills (and amendments proposed by the Government to its own bills) introduced into the Assembly:</w:t>
      </w:r>
    </w:p>
    <w:p w:rsidR="001D271A" w:rsidRPr="00697120" w:rsidRDefault="001D271A" w:rsidP="001D271A">
      <w:pPr>
        <w:keepNext/>
        <w:keepLines/>
        <w:spacing w:before="60" w:after="60"/>
        <w:ind w:left="2835" w:hanging="567"/>
        <w:rPr>
          <w:rFonts w:ascii="Calibri" w:hAnsi="Calibri"/>
        </w:rPr>
      </w:pPr>
      <w:r w:rsidRPr="00697120">
        <w:rPr>
          <w:rFonts w:ascii="Calibri" w:hAnsi="Calibri"/>
        </w:rPr>
        <w:t>(</w:t>
      </w:r>
      <w:proofErr w:type="spellStart"/>
      <w:r w:rsidRPr="00697120">
        <w:rPr>
          <w:rFonts w:ascii="Calibri" w:hAnsi="Calibri"/>
        </w:rPr>
        <w:t>i</w:t>
      </w:r>
      <w:proofErr w:type="spellEnd"/>
      <w:r w:rsidRPr="00697120">
        <w:rPr>
          <w:rFonts w:ascii="Calibri" w:hAnsi="Calibri"/>
        </w:rPr>
        <w:t>)</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 on personal rights and liberties;</w:t>
      </w:r>
    </w:p>
    <w:p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insufficiently defined administrative powers;</w:t>
      </w:r>
    </w:p>
    <w:p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non-reviewable decisions;</w:t>
      </w:r>
    </w:p>
    <w:p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inappropriately</w:t>
      </w:r>
      <w:proofErr w:type="gramEnd"/>
      <w:r w:rsidRPr="00697120">
        <w:rPr>
          <w:rFonts w:ascii="Calibri" w:hAnsi="Calibri"/>
        </w:rPr>
        <w:t xml:space="preserve"> delegate legislative powers; or</w:t>
      </w:r>
    </w:p>
    <w:p w:rsidR="001D271A" w:rsidRPr="00697120" w:rsidRDefault="001D271A" w:rsidP="001D271A">
      <w:pPr>
        <w:spacing w:before="60" w:after="60"/>
        <w:ind w:left="2835" w:hanging="567"/>
        <w:rPr>
          <w:rFonts w:ascii="Calibri" w:hAnsi="Calibri"/>
        </w:rPr>
      </w:pPr>
      <w:r w:rsidRPr="00697120">
        <w:rPr>
          <w:rFonts w:ascii="Calibri" w:hAnsi="Calibri"/>
        </w:rPr>
        <w:t>(v)</w:t>
      </w:r>
      <w:r w:rsidRPr="00697120">
        <w:rPr>
          <w:rFonts w:ascii="Calibri" w:hAnsi="Calibri"/>
        </w:rPr>
        <w:tab/>
      </w:r>
      <w:proofErr w:type="gramStart"/>
      <w:r w:rsidRPr="00697120">
        <w:rPr>
          <w:rFonts w:ascii="Calibri" w:hAnsi="Calibri"/>
        </w:rPr>
        <w:t>insufficiently</w:t>
      </w:r>
      <w:proofErr w:type="gramEnd"/>
      <w:r w:rsidRPr="00697120">
        <w:rPr>
          <w:rFonts w:ascii="Calibri" w:hAnsi="Calibri"/>
        </w:rPr>
        <w:t xml:space="preserve"> subject the exercise of legislative power to parliamentary scrutiny; and</w:t>
      </w:r>
    </w:p>
    <w:p w:rsidR="001D271A" w:rsidRPr="00697120" w:rsidRDefault="001D271A" w:rsidP="001D271A">
      <w:pPr>
        <w:spacing w:before="60" w:after="60"/>
        <w:ind w:left="2835" w:hanging="567"/>
        <w:rPr>
          <w:rFonts w:ascii="Calibri" w:hAnsi="Calibri"/>
        </w:rPr>
      </w:pPr>
      <w:r w:rsidRPr="00697120">
        <w:rPr>
          <w:rFonts w:ascii="Calibri" w:hAnsi="Calibri"/>
        </w:rPr>
        <w:t>(vi)</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associated with legislation meets the technical or stylistic standards expected by the Assembly;</w:t>
      </w:r>
    </w:p>
    <w:p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(b)</w:t>
      </w:r>
      <w:r w:rsidRPr="00697120">
        <w:rPr>
          <w:rFonts w:ascii="Calibri" w:hAnsi="Calibri"/>
        </w:rPr>
        <w:tab/>
      </w:r>
      <w:proofErr w:type="gramStart"/>
      <w:r w:rsidRPr="00697120">
        <w:rPr>
          <w:rFonts w:ascii="Calibri" w:hAnsi="Calibri"/>
        </w:rPr>
        <w:t>reporting</w:t>
      </w:r>
      <w:proofErr w:type="gramEnd"/>
      <w:r w:rsidRPr="00697120">
        <w:rPr>
          <w:rFonts w:ascii="Calibri" w:hAnsi="Calibri"/>
        </w:rPr>
        <w:t xml:space="preserve"> to the Legislative Assembly about human rights issues raised by bills presented to the Assembly pursuant to section 38 of the </w:t>
      </w:r>
      <w:r w:rsidRPr="00697120">
        <w:rPr>
          <w:rFonts w:ascii="Calibri" w:hAnsi="Calibri"/>
          <w:i/>
        </w:rPr>
        <w:t>Human Rights Act 2004</w:t>
      </w:r>
      <w:r w:rsidRPr="00697120">
        <w:rPr>
          <w:rFonts w:ascii="Calibri" w:hAnsi="Calibri"/>
        </w:rPr>
        <w:t xml:space="preserve">; </w:t>
      </w:r>
    </w:p>
    <w:p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(c)</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any instrument of a legislative nature made under an Act which is subject to disallowance and/or disapproval by the Assembly (including a regulation, rule or by-law):</w:t>
      </w:r>
    </w:p>
    <w:p w:rsidR="001D271A" w:rsidRPr="00697120" w:rsidRDefault="001D271A" w:rsidP="001D271A">
      <w:pPr>
        <w:spacing w:before="60" w:after="60"/>
        <w:ind w:left="2835" w:hanging="567"/>
        <w:rPr>
          <w:rFonts w:ascii="Calibri" w:hAnsi="Calibri"/>
        </w:rPr>
      </w:pPr>
      <w:r w:rsidRPr="00697120">
        <w:rPr>
          <w:rFonts w:ascii="Calibri" w:hAnsi="Calibri"/>
        </w:rPr>
        <w:t>(</w:t>
      </w:r>
      <w:proofErr w:type="spellStart"/>
      <w:proofErr w:type="gramStart"/>
      <w:r w:rsidRPr="00697120">
        <w:rPr>
          <w:rFonts w:ascii="Calibri" w:hAnsi="Calibri"/>
        </w:rPr>
        <w:t>i</w:t>
      </w:r>
      <w:proofErr w:type="spellEnd"/>
      <w:proofErr w:type="gramEnd"/>
      <w:r w:rsidRPr="00697120">
        <w:rPr>
          <w:rFonts w:ascii="Calibri" w:hAnsi="Calibri"/>
        </w:rPr>
        <w:t>)</w:t>
      </w:r>
      <w:r w:rsidRPr="00697120">
        <w:rPr>
          <w:rFonts w:ascii="Calibri" w:hAnsi="Calibri"/>
        </w:rPr>
        <w:tab/>
        <w:t>is in accord with the general objects of the Act under which it is made;</w:t>
      </w:r>
    </w:p>
    <w:p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trespasses on rights previously established by law;</w:t>
      </w:r>
    </w:p>
    <w:p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makes</w:t>
      </w:r>
      <w:proofErr w:type="gramEnd"/>
      <w:r w:rsidRPr="00697120">
        <w:rPr>
          <w:rFonts w:ascii="Calibri" w:hAnsi="Calibri"/>
        </w:rPr>
        <w:t xml:space="preserve"> rights, liberties and/or obligations unduly dependent upon non-reviewable decisions; or</w:t>
      </w:r>
    </w:p>
    <w:p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contains</w:t>
      </w:r>
      <w:proofErr w:type="gramEnd"/>
      <w:r w:rsidRPr="00697120">
        <w:rPr>
          <w:rFonts w:ascii="Calibri" w:hAnsi="Calibri"/>
        </w:rPr>
        <w:t xml:space="preserve"> matter which in the opinion of the Committee should properly be dealt with in an Act of the Legislative Assembly; and</w:t>
      </w:r>
    </w:p>
    <w:p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(d)</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or explanatory memorandum associated with legislation and any regulatory impact statement meets the technical or stylistic standards expected by the Assembly;</w:t>
      </w:r>
    </w:p>
    <w:p w:rsidR="00126D9A" w:rsidRPr="00104A8B" w:rsidRDefault="00126D9A">
      <w:r w:rsidRPr="00104A8B">
        <w:br w:type="page"/>
      </w:r>
    </w:p>
    <w:p w:rsidR="00B15395" w:rsidRDefault="00D447D3" w:rsidP="00FC46AA">
      <w:pPr>
        <w:pStyle w:val="TOCHeading"/>
        <w:keepNext w:val="0"/>
        <w:keepLines w:val="0"/>
        <w:spacing w:before="120" w:after="360" w:line="500" w:lineRule="exact"/>
        <w:outlineLvl w:val="1"/>
        <w:rPr>
          <w:noProof/>
        </w:rPr>
      </w:pPr>
      <w:bookmarkStart w:id="490" w:name="_Toc514837964"/>
      <w:r w:rsidRPr="00104A8B">
        <w:rPr>
          <w:rFonts w:asciiTheme="minorHAnsi" w:eastAsia="Times New Roman" w:hAnsiTheme="minorHAnsi" w:cs="Times New Roman"/>
          <w:smallCaps/>
          <w:spacing w:val="20"/>
          <w:kern w:val="42"/>
          <w:sz w:val="44"/>
          <w:szCs w:val="44"/>
        </w:rPr>
        <w:t>Table of Contents</w:t>
      </w:r>
      <w:bookmarkEnd w:id="490"/>
      <w:r w:rsidR="00CD5AD5" w:rsidRPr="00104A8B">
        <w:rPr>
          <w:rFonts w:asciiTheme="minorHAnsi" w:hAnsiTheme="minorHAnsi"/>
        </w:rPr>
        <w:fldChar w:fldCharType="begin"/>
      </w:r>
      <w:r w:rsidR="00562E8A" w:rsidRPr="00104A8B">
        <w:rPr>
          <w:rFonts w:asciiTheme="minorHAnsi" w:hAnsiTheme="minorHAnsi"/>
        </w:rPr>
        <w:instrText xml:space="preserve"> TOC \h \z \u \t "Heading 2,1,Heading 3,2,Heading 4,3" </w:instrText>
      </w:r>
      <w:r w:rsidR="00CD5AD5" w:rsidRPr="00104A8B">
        <w:rPr>
          <w:rFonts w:asciiTheme="minorHAnsi" w:hAnsiTheme="minorHAnsi"/>
        </w:rPr>
        <w:fldChar w:fldCharType="separate"/>
      </w:r>
    </w:p>
    <w:p w:rsidR="00B15395" w:rsidRDefault="00062AF9">
      <w:pPr>
        <w:pStyle w:val="TOC1"/>
        <w:rPr>
          <w:rFonts w:asciiTheme="minorHAnsi" w:eastAsiaTheme="minorEastAsia" w:hAnsiTheme="minorHAnsi" w:cstheme="minorBidi"/>
          <w:bCs w:val="0"/>
          <w:smallCaps w:val="0"/>
          <w:spacing w:val="0"/>
          <w:sz w:val="22"/>
          <w:szCs w:val="22"/>
          <w:lang w:eastAsia="en-AU"/>
        </w:rPr>
      </w:pPr>
      <w:hyperlink w:anchor="_Toc71022166" w:history="1">
        <w:r w:rsidR="00B15395" w:rsidRPr="009B0D17">
          <w:rPr>
            <w:rStyle w:val="Hyperlink"/>
            <w:rFonts w:eastAsia="Calibri"/>
            <w:lang w:eastAsia="en-AU"/>
          </w:rPr>
          <w:t>Bills</w:t>
        </w:r>
        <w:r w:rsidR="00B15395">
          <w:rPr>
            <w:webHidden/>
          </w:rPr>
          <w:tab/>
        </w:r>
        <w:r w:rsidR="00B15395">
          <w:rPr>
            <w:webHidden/>
          </w:rPr>
          <w:fldChar w:fldCharType="begin"/>
        </w:r>
        <w:r w:rsidR="00B15395">
          <w:rPr>
            <w:webHidden/>
          </w:rPr>
          <w:instrText xml:space="preserve"> PAGEREF _Toc71022166 \h </w:instrText>
        </w:r>
        <w:r w:rsidR="00B15395">
          <w:rPr>
            <w:webHidden/>
          </w:rPr>
        </w:r>
        <w:r w:rsidR="00B15395">
          <w:rPr>
            <w:webHidden/>
          </w:rPr>
          <w:fldChar w:fldCharType="separate"/>
        </w:r>
        <w:r w:rsidR="00B15395">
          <w:rPr>
            <w:webHidden/>
          </w:rPr>
          <w:t>1</w:t>
        </w:r>
        <w:r w:rsidR="00B15395">
          <w:rPr>
            <w:webHidden/>
          </w:rPr>
          <w:fldChar w:fldCharType="end"/>
        </w:r>
      </w:hyperlink>
    </w:p>
    <w:p w:rsidR="00B15395" w:rsidRDefault="00062AF9">
      <w:pPr>
        <w:pStyle w:val="TOC2"/>
        <w:rPr>
          <w:rFonts w:asciiTheme="minorHAnsi" w:eastAsiaTheme="minorEastAsia" w:hAnsiTheme="minorHAnsi" w:cstheme="minorBidi"/>
          <w:b w:val="0"/>
          <w:noProof/>
          <w:sz w:val="22"/>
          <w:szCs w:val="22"/>
          <w:lang w:eastAsia="en-AU"/>
        </w:rPr>
      </w:pPr>
      <w:hyperlink w:anchor="_Toc71022167" w:history="1">
        <w:r w:rsidR="00B15395" w:rsidRPr="009B0D17">
          <w:rPr>
            <w:rStyle w:val="Hyperlink"/>
            <w:noProof/>
          </w:rPr>
          <w:t>Bill—No comment</w:t>
        </w:r>
        <w:r w:rsidR="00B15395">
          <w:rPr>
            <w:noProof/>
            <w:webHidden/>
          </w:rPr>
          <w:tab/>
        </w:r>
        <w:r w:rsidR="00B15395">
          <w:rPr>
            <w:noProof/>
            <w:webHidden/>
          </w:rPr>
          <w:fldChar w:fldCharType="begin"/>
        </w:r>
        <w:r w:rsidR="00B15395">
          <w:rPr>
            <w:noProof/>
            <w:webHidden/>
          </w:rPr>
          <w:instrText xml:space="preserve"> PAGEREF _Toc71022167 \h </w:instrText>
        </w:r>
        <w:r w:rsidR="00B15395">
          <w:rPr>
            <w:noProof/>
            <w:webHidden/>
          </w:rPr>
        </w:r>
        <w:r w:rsidR="00B15395">
          <w:rPr>
            <w:noProof/>
            <w:webHidden/>
          </w:rPr>
          <w:fldChar w:fldCharType="separate"/>
        </w:r>
        <w:r w:rsidR="00B15395">
          <w:rPr>
            <w:noProof/>
            <w:webHidden/>
          </w:rPr>
          <w:t>1</w:t>
        </w:r>
        <w:r w:rsidR="00B15395">
          <w:rPr>
            <w:noProof/>
            <w:webHidden/>
          </w:rPr>
          <w:fldChar w:fldCharType="end"/>
        </w:r>
      </w:hyperlink>
    </w:p>
    <w:p w:rsidR="00B15395" w:rsidRDefault="00062AF9">
      <w:pPr>
        <w:pStyle w:val="TOC3"/>
        <w:rPr>
          <w:rFonts w:eastAsiaTheme="minorEastAsia"/>
          <w:b w:val="0"/>
          <w:smallCaps w:val="0"/>
          <w:lang w:eastAsia="en-AU"/>
        </w:rPr>
      </w:pPr>
      <w:hyperlink w:anchor="_Toc71022168" w:history="1">
        <w:r w:rsidR="00B15395" w:rsidRPr="009B0D17">
          <w:rPr>
            <w:rStyle w:val="Hyperlink"/>
          </w:rPr>
          <w:t>Utilities Amendment Bill 2021</w:t>
        </w:r>
        <w:r w:rsidR="00B15395">
          <w:rPr>
            <w:webHidden/>
          </w:rPr>
          <w:tab/>
        </w:r>
        <w:r w:rsidR="00B15395">
          <w:rPr>
            <w:webHidden/>
          </w:rPr>
          <w:fldChar w:fldCharType="begin"/>
        </w:r>
        <w:r w:rsidR="00B15395">
          <w:rPr>
            <w:webHidden/>
          </w:rPr>
          <w:instrText xml:space="preserve"> PAGEREF _Toc71022168 \h </w:instrText>
        </w:r>
        <w:r w:rsidR="00B15395">
          <w:rPr>
            <w:webHidden/>
          </w:rPr>
        </w:r>
        <w:r w:rsidR="00B15395">
          <w:rPr>
            <w:webHidden/>
          </w:rPr>
          <w:fldChar w:fldCharType="separate"/>
        </w:r>
        <w:r w:rsidR="00B15395">
          <w:rPr>
            <w:webHidden/>
          </w:rPr>
          <w:t>1</w:t>
        </w:r>
        <w:r w:rsidR="00B15395">
          <w:rPr>
            <w:webHidden/>
          </w:rPr>
          <w:fldChar w:fldCharType="end"/>
        </w:r>
      </w:hyperlink>
    </w:p>
    <w:p w:rsidR="00B15395" w:rsidRDefault="00062AF9">
      <w:pPr>
        <w:pStyle w:val="TOC2"/>
        <w:rPr>
          <w:rFonts w:asciiTheme="minorHAnsi" w:eastAsiaTheme="minorEastAsia" w:hAnsiTheme="minorHAnsi" w:cstheme="minorBidi"/>
          <w:b w:val="0"/>
          <w:noProof/>
          <w:sz w:val="22"/>
          <w:szCs w:val="22"/>
          <w:lang w:eastAsia="en-AU"/>
        </w:rPr>
      </w:pPr>
      <w:hyperlink w:anchor="_Toc71022169" w:history="1">
        <w:r w:rsidR="00B15395" w:rsidRPr="009B0D17">
          <w:rPr>
            <w:rStyle w:val="Hyperlink"/>
            <w:rFonts w:eastAsia="Calibri"/>
            <w:noProof/>
            <w:lang w:eastAsia="en-AU"/>
          </w:rPr>
          <w:t>Bills—Comment</w:t>
        </w:r>
        <w:r w:rsidR="00B15395">
          <w:rPr>
            <w:noProof/>
            <w:webHidden/>
          </w:rPr>
          <w:tab/>
        </w:r>
        <w:r w:rsidR="00B15395">
          <w:rPr>
            <w:noProof/>
            <w:webHidden/>
          </w:rPr>
          <w:fldChar w:fldCharType="begin"/>
        </w:r>
        <w:r w:rsidR="00B15395">
          <w:rPr>
            <w:noProof/>
            <w:webHidden/>
          </w:rPr>
          <w:instrText xml:space="preserve"> PAGEREF _Toc71022169 \h </w:instrText>
        </w:r>
        <w:r w:rsidR="00B15395">
          <w:rPr>
            <w:noProof/>
            <w:webHidden/>
          </w:rPr>
        </w:r>
        <w:r w:rsidR="00B15395">
          <w:rPr>
            <w:noProof/>
            <w:webHidden/>
          </w:rPr>
          <w:fldChar w:fldCharType="separate"/>
        </w:r>
        <w:r w:rsidR="00B15395">
          <w:rPr>
            <w:noProof/>
            <w:webHidden/>
          </w:rPr>
          <w:t>1</w:t>
        </w:r>
        <w:r w:rsidR="00B15395">
          <w:rPr>
            <w:noProof/>
            <w:webHidden/>
          </w:rPr>
          <w:fldChar w:fldCharType="end"/>
        </w:r>
      </w:hyperlink>
    </w:p>
    <w:p w:rsidR="00B15395" w:rsidRDefault="00062AF9">
      <w:pPr>
        <w:pStyle w:val="TOC3"/>
        <w:rPr>
          <w:rFonts w:eastAsiaTheme="minorEastAsia"/>
          <w:b w:val="0"/>
          <w:smallCaps w:val="0"/>
          <w:lang w:eastAsia="en-AU"/>
        </w:rPr>
      </w:pPr>
      <w:hyperlink w:anchor="_Toc71022170" w:history="1">
        <w:r w:rsidR="00B15395" w:rsidRPr="009B0D17">
          <w:rPr>
            <w:rStyle w:val="Hyperlink"/>
          </w:rPr>
          <w:t>Courts and Other Justice Legislation Amendment Bill 2021</w:t>
        </w:r>
        <w:r w:rsidR="00B15395">
          <w:rPr>
            <w:webHidden/>
          </w:rPr>
          <w:tab/>
        </w:r>
        <w:r w:rsidR="00B15395">
          <w:rPr>
            <w:webHidden/>
          </w:rPr>
          <w:fldChar w:fldCharType="begin"/>
        </w:r>
        <w:r w:rsidR="00B15395">
          <w:rPr>
            <w:webHidden/>
          </w:rPr>
          <w:instrText xml:space="preserve"> PAGEREF _Toc71022170 \h </w:instrText>
        </w:r>
        <w:r w:rsidR="00B15395">
          <w:rPr>
            <w:webHidden/>
          </w:rPr>
        </w:r>
        <w:r w:rsidR="00B15395">
          <w:rPr>
            <w:webHidden/>
          </w:rPr>
          <w:fldChar w:fldCharType="separate"/>
        </w:r>
        <w:r w:rsidR="00B15395">
          <w:rPr>
            <w:webHidden/>
          </w:rPr>
          <w:t>1</w:t>
        </w:r>
        <w:r w:rsidR="00B15395">
          <w:rPr>
            <w:webHidden/>
          </w:rPr>
          <w:fldChar w:fldCharType="end"/>
        </w:r>
      </w:hyperlink>
    </w:p>
    <w:p w:rsidR="00B15395" w:rsidRDefault="00062AF9">
      <w:pPr>
        <w:pStyle w:val="TOC3"/>
        <w:rPr>
          <w:rFonts w:eastAsiaTheme="minorEastAsia"/>
          <w:b w:val="0"/>
          <w:smallCaps w:val="0"/>
          <w:lang w:eastAsia="en-AU"/>
        </w:rPr>
      </w:pPr>
      <w:hyperlink w:anchor="_Toc71022171" w:history="1">
        <w:r w:rsidR="00B15395" w:rsidRPr="009B0D17">
          <w:rPr>
            <w:rStyle w:val="Hyperlink"/>
          </w:rPr>
          <w:t>Crimes (Stealthing) Amendment Bill 2021</w:t>
        </w:r>
        <w:r w:rsidR="00B15395">
          <w:rPr>
            <w:webHidden/>
          </w:rPr>
          <w:tab/>
        </w:r>
        <w:r w:rsidR="00B15395">
          <w:rPr>
            <w:webHidden/>
          </w:rPr>
          <w:fldChar w:fldCharType="begin"/>
        </w:r>
        <w:r w:rsidR="00B15395">
          <w:rPr>
            <w:webHidden/>
          </w:rPr>
          <w:instrText xml:space="preserve"> PAGEREF _Toc71022171 \h </w:instrText>
        </w:r>
        <w:r w:rsidR="00B15395">
          <w:rPr>
            <w:webHidden/>
          </w:rPr>
        </w:r>
        <w:r w:rsidR="00B15395">
          <w:rPr>
            <w:webHidden/>
          </w:rPr>
          <w:fldChar w:fldCharType="separate"/>
        </w:r>
        <w:r w:rsidR="00B15395">
          <w:rPr>
            <w:webHidden/>
          </w:rPr>
          <w:t>4</w:t>
        </w:r>
        <w:r w:rsidR="00B15395">
          <w:rPr>
            <w:webHidden/>
          </w:rPr>
          <w:fldChar w:fldCharType="end"/>
        </w:r>
      </w:hyperlink>
    </w:p>
    <w:p w:rsidR="00B15395" w:rsidRDefault="00062AF9">
      <w:pPr>
        <w:pStyle w:val="TOC3"/>
        <w:rPr>
          <w:rFonts w:eastAsiaTheme="minorEastAsia"/>
          <w:b w:val="0"/>
          <w:smallCaps w:val="0"/>
          <w:lang w:eastAsia="en-AU"/>
        </w:rPr>
      </w:pPr>
      <w:hyperlink w:anchor="_Toc71022172" w:history="1">
        <w:r w:rsidR="00B15395" w:rsidRPr="009B0D17">
          <w:rPr>
            <w:rStyle w:val="Hyperlink"/>
          </w:rPr>
          <w:t>Statute Law Amendment Bill 2021</w:t>
        </w:r>
        <w:r w:rsidR="00B15395">
          <w:rPr>
            <w:webHidden/>
          </w:rPr>
          <w:tab/>
        </w:r>
        <w:r w:rsidR="00B15395">
          <w:rPr>
            <w:webHidden/>
          </w:rPr>
          <w:fldChar w:fldCharType="begin"/>
        </w:r>
        <w:r w:rsidR="00B15395">
          <w:rPr>
            <w:webHidden/>
          </w:rPr>
          <w:instrText xml:space="preserve"> PAGEREF _Toc71022172 \h </w:instrText>
        </w:r>
        <w:r w:rsidR="00B15395">
          <w:rPr>
            <w:webHidden/>
          </w:rPr>
        </w:r>
        <w:r w:rsidR="00B15395">
          <w:rPr>
            <w:webHidden/>
          </w:rPr>
          <w:fldChar w:fldCharType="separate"/>
        </w:r>
        <w:r w:rsidR="00B15395">
          <w:rPr>
            <w:webHidden/>
          </w:rPr>
          <w:t>5</w:t>
        </w:r>
        <w:r w:rsidR="00B15395">
          <w:rPr>
            <w:webHidden/>
          </w:rPr>
          <w:fldChar w:fldCharType="end"/>
        </w:r>
      </w:hyperlink>
    </w:p>
    <w:p w:rsidR="00B15395" w:rsidRDefault="00062AF9">
      <w:pPr>
        <w:pStyle w:val="TOC1"/>
        <w:rPr>
          <w:rFonts w:asciiTheme="minorHAnsi" w:eastAsiaTheme="minorEastAsia" w:hAnsiTheme="minorHAnsi" w:cstheme="minorBidi"/>
          <w:bCs w:val="0"/>
          <w:smallCaps w:val="0"/>
          <w:spacing w:val="0"/>
          <w:sz w:val="22"/>
          <w:szCs w:val="22"/>
          <w:lang w:eastAsia="en-AU"/>
        </w:rPr>
      </w:pPr>
      <w:hyperlink w:anchor="_Toc71022173" w:history="1">
        <w:r w:rsidR="00B15395" w:rsidRPr="009B0D17">
          <w:rPr>
            <w:rStyle w:val="Hyperlink"/>
            <w:rFonts w:eastAsia="Calibri"/>
            <w:lang w:eastAsia="en-AU"/>
          </w:rPr>
          <w:t>Subordinate Legislation</w:t>
        </w:r>
        <w:r w:rsidR="00B15395">
          <w:rPr>
            <w:webHidden/>
          </w:rPr>
          <w:tab/>
        </w:r>
        <w:r w:rsidR="00B15395">
          <w:rPr>
            <w:webHidden/>
          </w:rPr>
          <w:fldChar w:fldCharType="begin"/>
        </w:r>
        <w:r w:rsidR="00B15395">
          <w:rPr>
            <w:webHidden/>
          </w:rPr>
          <w:instrText xml:space="preserve"> PAGEREF _Toc71022173 \h </w:instrText>
        </w:r>
        <w:r w:rsidR="00B15395">
          <w:rPr>
            <w:webHidden/>
          </w:rPr>
        </w:r>
        <w:r w:rsidR="00B15395">
          <w:rPr>
            <w:webHidden/>
          </w:rPr>
          <w:fldChar w:fldCharType="separate"/>
        </w:r>
        <w:r w:rsidR="00B15395">
          <w:rPr>
            <w:webHidden/>
          </w:rPr>
          <w:t>6</w:t>
        </w:r>
        <w:r w:rsidR="00B15395">
          <w:rPr>
            <w:webHidden/>
          </w:rPr>
          <w:fldChar w:fldCharType="end"/>
        </w:r>
      </w:hyperlink>
    </w:p>
    <w:p w:rsidR="00B15395" w:rsidRDefault="00062AF9">
      <w:pPr>
        <w:pStyle w:val="TOC2"/>
        <w:rPr>
          <w:rFonts w:asciiTheme="minorHAnsi" w:eastAsiaTheme="minorEastAsia" w:hAnsiTheme="minorHAnsi" w:cstheme="minorBidi"/>
          <w:b w:val="0"/>
          <w:noProof/>
          <w:sz w:val="22"/>
          <w:szCs w:val="22"/>
          <w:lang w:eastAsia="en-AU"/>
        </w:rPr>
      </w:pPr>
      <w:hyperlink w:anchor="_Toc71022174" w:history="1">
        <w:r w:rsidR="00B15395" w:rsidRPr="009B0D17">
          <w:rPr>
            <w:rStyle w:val="Hyperlink"/>
            <w:noProof/>
          </w:rPr>
          <w:t>Disallowable Instruments—No comment</w:t>
        </w:r>
        <w:r w:rsidR="00B15395">
          <w:rPr>
            <w:noProof/>
            <w:webHidden/>
          </w:rPr>
          <w:tab/>
        </w:r>
        <w:r w:rsidR="00B15395">
          <w:rPr>
            <w:noProof/>
            <w:webHidden/>
          </w:rPr>
          <w:fldChar w:fldCharType="begin"/>
        </w:r>
        <w:r w:rsidR="00B15395">
          <w:rPr>
            <w:noProof/>
            <w:webHidden/>
          </w:rPr>
          <w:instrText xml:space="preserve"> PAGEREF _Toc71022174 \h </w:instrText>
        </w:r>
        <w:r w:rsidR="00B15395">
          <w:rPr>
            <w:noProof/>
            <w:webHidden/>
          </w:rPr>
        </w:r>
        <w:r w:rsidR="00B15395">
          <w:rPr>
            <w:noProof/>
            <w:webHidden/>
          </w:rPr>
          <w:fldChar w:fldCharType="separate"/>
        </w:r>
        <w:r w:rsidR="00B15395">
          <w:rPr>
            <w:noProof/>
            <w:webHidden/>
          </w:rPr>
          <w:t>6</w:t>
        </w:r>
        <w:r w:rsidR="00B15395">
          <w:rPr>
            <w:noProof/>
            <w:webHidden/>
          </w:rPr>
          <w:fldChar w:fldCharType="end"/>
        </w:r>
      </w:hyperlink>
    </w:p>
    <w:p w:rsidR="00B15395" w:rsidRDefault="00062AF9">
      <w:pPr>
        <w:pStyle w:val="TOC2"/>
        <w:rPr>
          <w:rFonts w:asciiTheme="minorHAnsi" w:eastAsiaTheme="minorEastAsia" w:hAnsiTheme="minorHAnsi" w:cstheme="minorBidi"/>
          <w:b w:val="0"/>
          <w:noProof/>
          <w:sz w:val="22"/>
          <w:szCs w:val="22"/>
          <w:lang w:eastAsia="en-AU"/>
        </w:rPr>
      </w:pPr>
      <w:hyperlink w:anchor="_Toc71022175" w:history="1">
        <w:r w:rsidR="00B15395" w:rsidRPr="009B0D17">
          <w:rPr>
            <w:rStyle w:val="Hyperlink"/>
            <w:rFonts w:eastAsia="Calibri"/>
            <w:noProof/>
            <w:lang w:eastAsia="en-AU"/>
          </w:rPr>
          <w:t>Disallowable Instruments—Comment</w:t>
        </w:r>
        <w:r w:rsidR="00B15395">
          <w:rPr>
            <w:noProof/>
            <w:webHidden/>
          </w:rPr>
          <w:tab/>
        </w:r>
        <w:r w:rsidR="00B15395">
          <w:rPr>
            <w:noProof/>
            <w:webHidden/>
          </w:rPr>
          <w:fldChar w:fldCharType="begin"/>
        </w:r>
        <w:r w:rsidR="00B15395">
          <w:rPr>
            <w:noProof/>
            <w:webHidden/>
          </w:rPr>
          <w:instrText xml:space="preserve"> PAGEREF _Toc71022175 \h </w:instrText>
        </w:r>
        <w:r w:rsidR="00B15395">
          <w:rPr>
            <w:noProof/>
            <w:webHidden/>
          </w:rPr>
        </w:r>
        <w:r w:rsidR="00B15395">
          <w:rPr>
            <w:noProof/>
            <w:webHidden/>
          </w:rPr>
          <w:fldChar w:fldCharType="separate"/>
        </w:r>
        <w:r w:rsidR="00B15395">
          <w:rPr>
            <w:noProof/>
            <w:webHidden/>
          </w:rPr>
          <w:t>7</w:t>
        </w:r>
        <w:r w:rsidR="00B15395">
          <w:rPr>
            <w:noProof/>
            <w:webHidden/>
          </w:rPr>
          <w:fldChar w:fldCharType="end"/>
        </w:r>
      </w:hyperlink>
    </w:p>
    <w:p w:rsidR="00B15395" w:rsidRDefault="00062AF9">
      <w:pPr>
        <w:pStyle w:val="TOC1"/>
        <w:rPr>
          <w:rFonts w:asciiTheme="minorHAnsi" w:eastAsiaTheme="minorEastAsia" w:hAnsiTheme="minorHAnsi" w:cstheme="minorBidi"/>
          <w:bCs w:val="0"/>
          <w:smallCaps w:val="0"/>
          <w:spacing w:val="0"/>
          <w:sz w:val="22"/>
          <w:szCs w:val="22"/>
          <w:lang w:eastAsia="en-AU"/>
        </w:rPr>
      </w:pPr>
      <w:hyperlink w:anchor="_Toc71022176" w:history="1">
        <w:r w:rsidR="00B15395" w:rsidRPr="009B0D17">
          <w:rPr>
            <w:rStyle w:val="Hyperlink"/>
            <w:rFonts w:eastAsia="Calibri"/>
            <w:lang w:eastAsia="en-AU"/>
          </w:rPr>
          <w:t>Responses</w:t>
        </w:r>
        <w:r w:rsidR="00B15395">
          <w:rPr>
            <w:webHidden/>
          </w:rPr>
          <w:tab/>
        </w:r>
        <w:r w:rsidR="00B15395">
          <w:rPr>
            <w:webHidden/>
          </w:rPr>
          <w:fldChar w:fldCharType="begin"/>
        </w:r>
        <w:r w:rsidR="00B15395">
          <w:rPr>
            <w:webHidden/>
          </w:rPr>
          <w:instrText xml:space="preserve"> PAGEREF _Toc71022176 \h </w:instrText>
        </w:r>
        <w:r w:rsidR="00B15395">
          <w:rPr>
            <w:webHidden/>
          </w:rPr>
        </w:r>
        <w:r w:rsidR="00B15395">
          <w:rPr>
            <w:webHidden/>
          </w:rPr>
          <w:fldChar w:fldCharType="separate"/>
        </w:r>
        <w:r w:rsidR="00B15395">
          <w:rPr>
            <w:webHidden/>
          </w:rPr>
          <w:t>16</w:t>
        </w:r>
        <w:r w:rsidR="00B15395">
          <w:rPr>
            <w:webHidden/>
          </w:rPr>
          <w:fldChar w:fldCharType="end"/>
        </w:r>
      </w:hyperlink>
    </w:p>
    <w:p w:rsidR="00B15395" w:rsidRDefault="00062AF9">
      <w:pPr>
        <w:pStyle w:val="TOC2"/>
        <w:rPr>
          <w:rFonts w:asciiTheme="minorHAnsi" w:eastAsiaTheme="minorEastAsia" w:hAnsiTheme="minorHAnsi" w:cstheme="minorBidi"/>
          <w:b w:val="0"/>
          <w:noProof/>
          <w:sz w:val="22"/>
          <w:szCs w:val="22"/>
          <w:lang w:eastAsia="en-AU"/>
        </w:rPr>
      </w:pPr>
      <w:hyperlink w:anchor="_Toc71022177" w:history="1">
        <w:r w:rsidR="00B15395" w:rsidRPr="009B0D17">
          <w:rPr>
            <w:rStyle w:val="Hyperlink"/>
            <w:noProof/>
            <w:lang w:eastAsia="en-AU"/>
          </w:rPr>
          <w:t>Government responses</w:t>
        </w:r>
        <w:r w:rsidR="00B15395">
          <w:rPr>
            <w:noProof/>
            <w:webHidden/>
          </w:rPr>
          <w:tab/>
        </w:r>
        <w:r w:rsidR="00B15395">
          <w:rPr>
            <w:noProof/>
            <w:webHidden/>
          </w:rPr>
          <w:fldChar w:fldCharType="begin"/>
        </w:r>
        <w:r w:rsidR="00B15395">
          <w:rPr>
            <w:noProof/>
            <w:webHidden/>
          </w:rPr>
          <w:instrText xml:space="preserve"> PAGEREF _Toc71022177 \h </w:instrText>
        </w:r>
        <w:r w:rsidR="00B15395">
          <w:rPr>
            <w:noProof/>
            <w:webHidden/>
          </w:rPr>
        </w:r>
        <w:r w:rsidR="00B15395">
          <w:rPr>
            <w:noProof/>
            <w:webHidden/>
          </w:rPr>
          <w:fldChar w:fldCharType="separate"/>
        </w:r>
        <w:r w:rsidR="00B15395">
          <w:rPr>
            <w:noProof/>
            <w:webHidden/>
          </w:rPr>
          <w:t>16</w:t>
        </w:r>
        <w:r w:rsidR="00B15395">
          <w:rPr>
            <w:noProof/>
            <w:webHidden/>
          </w:rPr>
          <w:fldChar w:fldCharType="end"/>
        </w:r>
      </w:hyperlink>
    </w:p>
    <w:p w:rsidR="00B15395" w:rsidRDefault="00062AF9">
      <w:pPr>
        <w:pStyle w:val="TOC1"/>
        <w:rPr>
          <w:rFonts w:asciiTheme="minorHAnsi" w:eastAsiaTheme="minorEastAsia" w:hAnsiTheme="minorHAnsi" w:cstheme="minorBidi"/>
          <w:bCs w:val="0"/>
          <w:smallCaps w:val="0"/>
          <w:spacing w:val="0"/>
          <w:sz w:val="22"/>
          <w:szCs w:val="22"/>
          <w:lang w:eastAsia="en-AU"/>
        </w:rPr>
      </w:pPr>
      <w:hyperlink w:anchor="_Toc71022178" w:history="1">
        <w:r w:rsidR="00B15395" w:rsidRPr="009B0D17">
          <w:rPr>
            <w:rStyle w:val="Hyperlink"/>
          </w:rPr>
          <w:t>Outstanding Responses</w:t>
        </w:r>
        <w:r w:rsidR="00B15395">
          <w:rPr>
            <w:webHidden/>
          </w:rPr>
          <w:tab/>
        </w:r>
        <w:r w:rsidR="00B15395">
          <w:rPr>
            <w:webHidden/>
          </w:rPr>
          <w:fldChar w:fldCharType="begin"/>
        </w:r>
        <w:r w:rsidR="00B15395">
          <w:rPr>
            <w:webHidden/>
          </w:rPr>
          <w:instrText xml:space="preserve"> PAGEREF _Toc71022178 \h </w:instrText>
        </w:r>
        <w:r w:rsidR="00B15395">
          <w:rPr>
            <w:webHidden/>
          </w:rPr>
        </w:r>
        <w:r w:rsidR="00B15395">
          <w:rPr>
            <w:webHidden/>
          </w:rPr>
          <w:fldChar w:fldCharType="separate"/>
        </w:r>
        <w:r w:rsidR="00B15395">
          <w:rPr>
            <w:webHidden/>
          </w:rPr>
          <w:t>17</w:t>
        </w:r>
        <w:r w:rsidR="00B15395">
          <w:rPr>
            <w:webHidden/>
          </w:rPr>
          <w:fldChar w:fldCharType="end"/>
        </w:r>
      </w:hyperlink>
    </w:p>
    <w:p w:rsidR="00B15395" w:rsidRDefault="00062AF9">
      <w:pPr>
        <w:pStyle w:val="TOC2"/>
        <w:rPr>
          <w:rFonts w:asciiTheme="minorHAnsi" w:eastAsiaTheme="minorEastAsia" w:hAnsiTheme="minorHAnsi" w:cstheme="minorBidi"/>
          <w:b w:val="0"/>
          <w:noProof/>
          <w:sz w:val="22"/>
          <w:szCs w:val="22"/>
          <w:lang w:eastAsia="en-AU"/>
        </w:rPr>
      </w:pPr>
      <w:hyperlink w:anchor="_Toc71022179" w:history="1">
        <w:r w:rsidR="00B15395" w:rsidRPr="009B0D17">
          <w:rPr>
            <w:rStyle w:val="Hyperlink"/>
            <w:noProof/>
          </w:rPr>
          <w:t>Bills/Subordinate Legislation</w:t>
        </w:r>
        <w:r w:rsidR="00B15395">
          <w:rPr>
            <w:noProof/>
            <w:webHidden/>
          </w:rPr>
          <w:tab/>
        </w:r>
        <w:r w:rsidR="00B15395">
          <w:rPr>
            <w:noProof/>
            <w:webHidden/>
          </w:rPr>
          <w:fldChar w:fldCharType="begin"/>
        </w:r>
        <w:r w:rsidR="00B15395">
          <w:rPr>
            <w:noProof/>
            <w:webHidden/>
          </w:rPr>
          <w:instrText xml:space="preserve"> PAGEREF _Toc71022179 \h </w:instrText>
        </w:r>
        <w:r w:rsidR="00B15395">
          <w:rPr>
            <w:noProof/>
            <w:webHidden/>
          </w:rPr>
        </w:r>
        <w:r w:rsidR="00B15395">
          <w:rPr>
            <w:noProof/>
            <w:webHidden/>
          </w:rPr>
          <w:fldChar w:fldCharType="separate"/>
        </w:r>
        <w:r w:rsidR="00B15395">
          <w:rPr>
            <w:noProof/>
            <w:webHidden/>
          </w:rPr>
          <w:t>17</w:t>
        </w:r>
        <w:r w:rsidR="00B15395">
          <w:rPr>
            <w:noProof/>
            <w:webHidden/>
          </w:rPr>
          <w:fldChar w:fldCharType="end"/>
        </w:r>
      </w:hyperlink>
    </w:p>
    <w:p w:rsidR="00351AD0" w:rsidRPr="00104A8B" w:rsidRDefault="00CD5AD5" w:rsidP="00A0668C">
      <w:pPr>
        <w:pStyle w:val="TOC1"/>
      </w:pPr>
      <w:r w:rsidRPr="00104A8B">
        <w:fldChar w:fldCharType="end"/>
      </w:r>
    </w:p>
    <w:p w:rsidR="00351AD0" w:rsidRPr="00104A8B" w:rsidRDefault="00351AD0" w:rsidP="00351AD0">
      <w:pPr>
        <w:sectPr w:rsidR="00351AD0" w:rsidRPr="00104A8B" w:rsidSect="00E8247B">
          <w:headerReference w:type="even" r:id="rId15"/>
          <w:headerReference w:type="default" r:id="rId16"/>
          <w:footerReference w:type="even" r:id="rId17"/>
          <w:footerReference w:type="default" r:id="rId18"/>
          <w:headerReference w:type="first" r:id="rId19"/>
          <w:pgSz w:w="11906" w:h="16838"/>
          <w:pgMar w:top="1440" w:right="1440" w:bottom="1440" w:left="1440" w:header="708" w:footer="708" w:gutter="0"/>
          <w:pgNumType w:fmt="lowerRoman" w:start="1"/>
          <w:cols w:space="708"/>
          <w:docGrid w:linePitch="360"/>
        </w:sectPr>
      </w:pPr>
    </w:p>
    <w:p w:rsidR="00632981" w:rsidRPr="00104A8B" w:rsidRDefault="00632981">
      <w:pPr>
        <w:sectPr w:rsidR="00632981" w:rsidRPr="00104A8B" w:rsidSect="00351AD0">
          <w:headerReference w:type="even" r:id="rId20"/>
          <w:headerReference w:type="default" r:id="rId21"/>
          <w:footerReference w:type="even" r:id="rId22"/>
          <w:headerReference w:type="first" r:id="rId23"/>
          <w:type w:val="continuous"/>
          <w:pgSz w:w="11906" w:h="16838"/>
          <w:pgMar w:top="1440" w:right="1440" w:bottom="1440" w:left="1440" w:header="708" w:footer="708" w:gutter="0"/>
          <w:cols w:space="708"/>
          <w:docGrid w:linePitch="360"/>
        </w:sectPr>
      </w:pPr>
    </w:p>
    <w:p w:rsidR="00D20076" w:rsidRPr="00104A8B" w:rsidRDefault="00D20076" w:rsidP="00D20076">
      <w:pPr>
        <w:pStyle w:val="Heading2"/>
        <w:rPr>
          <w:rFonts w:asciiTheme="minorHAnsi" w:eastAsia="Calibri" w:hAnsiTheme="minorHAnsi"/>
          <w:lang w:eastAsia="en-AU"/>
        </w:rPr>
      </w:pPr>
      <w:bookmarkStart w:id="491" w:name="_Toc71022166"/>
      <w:bookmarkStart w:id="492" w:name="_Toc501448810"/>
      <w:bookmarkStart w:id="493" w:name="_Toc514837969"/>
      <w:r>
        <w:rPr>
          <w:rFonts w:asciiTheme="minorHAnsi" w:eastAsia="Calibri" w:hAnsiTheme="minorHAnsi"/>
          <w:lang w:eastAsia="en-AU"/>
        </w:rPr>
        <w:t>Bills</w:t>
      </w:r>
      <w:bookmarkEnd w:id="491"/>
    </w:p>
    <w:p w:rsidR="00F9213C" w:rsidRDefault="00417022" w:rsidP="00F9213C">
      <w:pPr>
        <w:pStyle w:val="Heading3"/>
      </w:pPr>
      <w:bookmarkStart w:id="494" w:name="_Toc71022167"/>
      <w:bookmarkStart w:id="495" w:name="_Toc35437939"/>
      <w:r>
        <w:t>Bill</w:t>
      </w:r>
      <w:r w:rsidR="00F9213C" w:rsidRPr="00103E7B">
        <w:t>—</w:t>
      </w:r>
      <w:r w:rsidR="00F9213C">
        <w:t>No c</w:t>
      </w:r>
      <w:r w:rsidR="00F9213C" w:rsidRPr="00103E7B">
        <w:t>omment</w:t>
      </w:r>
      <w:bookmarkEnd w:id="494"/>
    </w:p>
    <w:p w:rsidR="000E313C" w:rsidRDefault="000E313C" w:rsidP="000E313C">
      <w:bookmarkStart w:id="496" w:name="_Toc505153767"/>
      <w:bookmarkStart w:id="497" w:name="_Toc338841796"/>
      <w:bookmarkStart w:id="498" w:name="_Hlk496454859"/>
      <w:bookmarkStart w:id="499" w:name="_Toc514837978"/>
      <w:bookmarkStart w:id="500" w:name="_Toc526855824"/>
      <w:bookmarkStart w:id="501" w:name="_Toc338841795"/>
      <w:bookmarkStart w:id="502" w:name="_Hlk483295725"/>
      <w:bookmarkEnd w:id="495"/>
      <w:bookmarkEnd w:id="492"/>
      <w:bookmarkEnd w:id="493"/>
      <w:r w:rsidRPr="00261783">
        <w:t xml:space="preserve">The Committee has examined the following </w:t>
      </w:r>
      <w:r w:rsidR="00FC5296">
        <w:t>bill</w:t>
      </w:r>
      <w:r>
        <w:t xml:space="preserve"> </w:t>
      </w:r>
      <w:r w:rsidR="00FC5296">
        <w:t>and offers no comment on it</w:t>
      </w:r>
      <w:r w:rsidRPr="00261783">
        <w:t>:</w:t>
      </w:r>
    </w:p>
    <w:p w:rsidR="000E313C" w:rsidRPr="00133AB1" w:rsidRDefault="000E313C" w:rsidP="000E313C">
      <w:pPr>
        <w:pStyle w:val="Heading4"/>
        <w:pBdr>
          <w:bottom w:val="single" w:sz="6" w:space="1" w:color="000000"/>
        </w:pBdr>
        <w:rPr>
          <w:rFonts w:eastAsia="Times New Roman"/>
        </w:rPr>
      </w:pPr>
      <w:bookmarkStart w:id="503" w:name="_Toc71022168"/>
      <w:r w:rsidRPr="0063764D">
        <w:rPr>
          <w:rFonts w:eastAsia="Times New Roman"/>
        </w:rPr>
        <w:t>Utilities Amendment Bill 2021</w:t>
      </w:r>
      <w:bookmarkEnd w:id="503"/>
    </w:p>
    <w:p w:rsidR="000E313C" w:rsidRDefault="000E313C" w:rsidP="000E313C">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amends the </w:t>
      </w:r>
      <w:r w:rsidRPr="00A11C4B">
        <w:rPr>
          <w:rFonts w:ascii="Calibri" w:eastAsia="Calibri" w:hAnsi="Calibri" w:cs="Calibri"/>
          <w:i/>
          <w:color w:val="000000"/>
          <w:szCs w:val="20"/>
          <w:lang w:eastAsia="en-AU"/>
        </w:rPr>
        <w:t>Utilities Act 2000</w:t>
      </w:r>
      <w:r>
        <w:rPr>
          <w:rFonts w:ascii="Calibri" w:eastAsia="Calibri" w:hAnsi="Calibri" w:cs="Calibri"/>
          <w:color w:val="000000"/>
          <w:szCs w:val="20"/>
          <w:lang w:eastAsia="en-AU"/>
        </w:rPr>
        <w:t xml:space="preserve"> to enable the Minister and Treasurer to determine a representative consumption level and reference price, and require electricity retailers provide small customers with a comparison between the price offered or charged to that customer and the reference price. </w:t>
      </w:r>
      <w:r>
        <w:rPr>
          <w:rFonts w:ascii="Calibri" w:eastAsia="Calibri" w:hAnsi="Calibri" w:cs="Calibri"/>
          <w:color w:val="000000"/>
          <w:szCs w:val="20"/>
          <w:lang w:eastAsia="en-AU"/>
        </w:rPr>
        <w:br/>
      </w:r>
    </w:p>
    <w:p w:rsidR="000E313C" w:rsidRPr="00F23CCD" w:rsidRDefault="000E313C" w:rsidP="000E313C">
      <w:pPr>
        <w:pStyle w:val="Heading3"/>
        <w:rPr>
          <w:rFonts w:eastAsia="Calibri"/>
          <w:lang w:eastAsia="en-AU"/>
        </w:rPr>
      </w:pPr>
      <w:bookmarkStart w:id="504" w:name="_Toc71022169"/>
      <w:r w:rsidRPr="00F23CCD">
        <w:rPr>
          <w:rFonts w:eastAsia="Calibri"/>
          <w:lang w:eastAsia="en-AU"/>
        </w:rPr>
        <w:t>Bills—Comment</w:t>
      </w:r>
      <w:bookmarkEnd w:id="504"/>
    </w:p>
    <w:p w:rsidR="000E313C" w:rsidRDefault="000E313C" w:rsidP="000E313C">
      <w:r w:rsidRPr="00261783">
        <w:t xml:space="preserve">The Committee has examined the following </w:t>
      </w:r>
      <w:r>
        <w:t xml:space="preserve">bills </w:t>
      </w:r>
      <w:r w:rsidRPr="00261783">
        <w:t xml:space="preserve">and offers </w:t>
      </w:r>
      <w:r>
        <w:t>these</w:t>
      </w:r>
      <w:r w:rsidRPr="00261783">
        <w:t xml:space="preserve"> comment</w:t>
      </w:r>
      <w:r>
        <w:t>s</w:t>
      </w:r>
      <w:r w:rsidRPr="00261783">
        <w:t xml:space="preserve"> on them:</w:t>
      </w:r>
    </w:p>
    <w:p w:rsidR="000E313C" w:rsidRPr="00133AB1" w:rsidRDefault="000E313C" w:rsidP="000E313C">
      <w:pPr>
        <w:pStyle w:val="Heading4"/>
        <w:pBdr>
          <w:bottom w:val="single" w:sz="6" w:space="1" w:color="000000"/>
        </w:pBdr>
        <w:rPr>
          <w:rFonts w:eastAsia="Times New Roman"/>
        </w:rPr>
      </w:pPr>
      <w:bookmarkStart w:id="505" w:name="_Toc71022170"/>
      <w:r w:rsidRPr="00E2778D">
        <w:rPr>
          <w:rFonts w:eastAsia="Times New Roman"/>
        </w:rPr>
        <w:t>Courts and Other Justice Legislation Amendment Bill 2021</w:t>
      </w:r>
      <w:bookmarkEnd w:id="505"/>
    </w:p>
    <w:p w:rsidR="000E313C" w:rsidRDefault="000E313C" w:rsidP="000E313C">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amends nine Acts relating to criminal justice, primarily to improve the efficiency of Courts and Tribunal processes.</w:t>
      </w:r>
    </w:p>
    <w:p w:rsidR="000E313C" w:rsidRPr="00133AB1" w:rsidRDefault="000E313C" w:rsidP="000E313C">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personal rights and liberties</w:t>
      </w:r>
      <w:proofErr w:type="gramStart"/>
      <w:r w:rsidRPr="00133AB1">
        <w:rPr>
          <w:rFonts w:ascii="Calibri" w:eastAsia="Calibri" w:hAnsi="Calibri" w:cs="Calibri"/>
          <w:b/>
          <w:bCs/>
          <w:i/>
          <w:color w:val="000000"/>
          <w:szCs w:val="20"/>
          <w:lang w:eastAsia="en-AU"/>
        </w:rPr>
        <w:t>?—</w:t>
      </w:r>
      <w:proofErr w:type="gramEnd"/>
      <w:r w:rsidRPr="00133AB1">
        <w:rPr>
          <w:rFonts w:ascii="Calibri" w:eastAsia="Calibri" w:hAnsi="Calibri" w:cs="Calibri"/>
          <w:b/>
          <w:bCs/>
          <w:i/>
          <w:color w:val="000000"/>
          <w:szCs w:val="20"/>
          <w:lang w:eastAsia="en-AU"/>
        </w:rPr>
        <w:t xml:space="preserve"> </w:t>
      </w:r>
      <w:r w:rsidRPr="00E83C75">
        <w:rPr>
          <w:b/>
          <w:i/>
          <w:lang w:val="en-US"/>
        </w:rPr>
        <w:t xml:space="preserve">Committee </w:t>
      </w:r>
      <w:r>
        <w:rPr>
          <w:b/>
          <w:i/>
          <w:lang w:val="en-US"/>
        </w:rPr>
        <w:t>Resolution of Appointment paragraph (10)(a)(</w:t>
      </w:r>
      <w:proofErr w:type="spellStart"/>
      <w:r>
        <w:rPr>
          <w:b/>
          <w:i/>
          <w:lang w:val="en-US"/>
        </w:rPr>
        <w:t>i</w:t>
      </w:r>
      <w:proofErr w:type="spellEnd"/>
      <w:r>
        <w:rPr>
          <w:b/>
          <w:i/>
          <w:lang w:val="en-US"/>
        </w:rPr>
        <w:t xml:space="preserve">) </w:t>
      </w:r>
      <w:r w:rsidRPr="00E83C75">
        <w:rPr>
          <w:b/>
          <w:i/>
          <w:lang w:val="en-US"/>
        </w:rPr>
        <w:t xml:space="preserve"> </w:t>
      </w:r>
    </w:p>
    <w:p w:rsidR="000E313C" w:rsidRPr="00133AB1" w:rsidRDefault="000E313C" w:rsidP="000E313C">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rsidR="000E313C" w:rsidRDefault="000E313C" w:rsidP="003910E1">
      <w:pPr>
        <w:pStyle w:val="Heading5"/>
      </w:pPr>
      <w:r w:rsidRPr="0067269D">
        <w:t>Right to privacy and reputation (s</w:t>
      </w:r>
      <w:r>
        <w:t>ection</w:t>
      </w:r>
      <w:r w:rsidRPr="0067269D">
        <w:t xml:space="preserve"> 12 HRA)</w:t>
      </w:r>
    </w:p>
    <w:p w:rsidR="000E313C" w:rsidRDefault="000E313C" w:rsidP="003910E1">
      <w:pPr>
        <w:pStyle w:val="Heading5"/>
      </w:pPr>
      <w:r w:rsidRPr="00E83C75">
        <w:t>Right to a fair trial (s</w:t>
      </w:r>
      <w:r>
        <w:t>ection</w:t>
      </w:r>
      <w:r w:rsidRPr="00E83C75">
        <w:t xml:space="preserve"> 21 </w:t>
      </w:r>
      <w:r>
        <w:t>HRA</w:t>
      </w:r>
      <w:r w:rsidRPr="00E83C75">
        <w:t>)</w:t>
      </w:r>
      <w:r>
        <w:t xml:space="preserve"> </w:t>
      </w:r>
    </w:p>
    <w:p w:rsidR="000E313C" w:rsidRPr="00E83C75" w:rsidRDefault="000E313C" w:rsidP="003910E1">
      <w:pPr>
        <w:pStyle w:val="Heading5"/>
      </w:pPr>
      <w:r>
        <w:t>R</w:t>
      </w:r>
      <w:r w:rsidRPr="004B74F3">
        <w:t>ight to work and other work</w:t>
      </w:r>
      <w:r>
        <w:t>-</w:t>
      </w:r>
      <w:r w:rsidRPr="004B74F3">
        <w:t>related</w:t>
      </w:r>
      <w:r>
        <w:t xml:space="preserve"> </w:t>
      </w:r>
      <w:r w:rsidRPr="004B74F3">
        <w:t>rights</w:t>
      </w:r>
      <w:r>
        <w:t xml:space="preserve"> (section 27B HRA)</w:t>
      </w:r>
      <w:r w:rsidRPr="00E83C75">
        <w:t xml:space="preserve"> </w:t>
      </w:r>
    </w:p>
    <w:p w:rsidR="000E313C" w:rsidRDefault="000E313C" w:rsidP="000E313C">
      <w:pPr>
        <w:rPr>
          <w:rFonts w:ascii="Calibri" w:eastAsia="Calibri" w:hAnsi="Calibri" w:cs="Calibri"/>
          <w:color w:val="000000"/>
          <w:szCs w:val="20"/>
          <w:lang w:eastAsia="en-AU"/>
        </w:rPr>
      </w:pPr>
      <w:r>
        <w:rPr>
          <w:rFonts w:ascii="Calibri" w:eastAsia="Calibri" w:hAnsi="Calibri" w:cs="Calibri"/>
          <w:color w:val="000000"/>
          <w:szCs w:val="20"/>
          <w:lang w:eastAsia="en-AU"/>
        </w:rPr>
        <w:t>The Bill proposes various amendments to the following Acts which may limit rights protected by the HRA:</w:t>
      </w:r>
    </w:p>
    <w:p w:rsidR="000E313C" w:rsidRDefault="000E313C" w:rsidP="000E313C">
      <w:pPr>
        <w:pStyle w:val="ListParagraph"/>
        <w:numPr>
          <w:ilvl w:val="0"/>
          <w:numId w:val="45"/>
        </w:numPr>
        <w:spacing w:before="0" w:after="160" w:line="300" w:lineRule="exact"/>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w:t>
      </w:r>
      <w:r w:rsidRPr="00926703">
        <w:rPr>
          <w:rFonts w:ascii="Calibri" w:eastAsia="Calibri" w:hAnsi="Calibri" w:cs="Calibri"/>
          <w:i/>
          <w:iCs/>
          <w:color w:val="000000"/>
          <w:szCs w:val="20"/>
          <w:lang w:eastAsia="en-AU"/>
        </w:rPr>
        <w:t>ACT Civil and Administrative Tribunal Act 2008</w:t>
      </w:r>
      <w:r w:rsidRPr="00926703">
        <w:rPr>
          <w:rFonts w:ascii="Calibri" w:eastAsia="Calibri" w:hAnsi="Calibri" w:cs="Calibri"/>
          <w:color w:val="000000"/>
          <w:szCs w:val="20"/>
          <w:lang w:eastAsia="en-AU"/>
        </w:rPr>
        <w:t xml:space="preserve"> </w:t>
      </w:r>
      <w:r>
        <w:rPr>
          <w:rFonts w:ascii="Calibri" w:eastAsia="Calibri" w:hAnsi="Calibri" w:cs="Calibri"/>
          <w:color w:val="000000"/>
          <w:szCs w:val="20"/>
          <w:lang w:eastAsia="en-AU"/>
        </w:rPr>
        <w:t xml:space="preserve">will be amended </w:t>
      </w:r>
      <w:r w:rsidRPr="00926703">
        <w:rPr>
          <w:rFonts w:ascii="Calibri" w:eastAsia="Calibri" w:hAnsi="Calibri" w:cs="Calibri"/>
          <w:color w:val="000000"/>
          <w:szCs w:val="20"/>
          <w:lang w:eastAsia="en-AU"/>
        </w:rPr>
        <w:t xml:space="preserve">to allow the ACT Civil and Administrative Tribunal (ACAT) to deal with non-attendance at any stage in an application where the Tribunal has required a party to appear before it. This provision extends the current provisions which apply only to a failure to appear at a hearing of the application. By allowing matters to be determined in the absence of one or other parties to the application this amendment may limit the right to a fair trial protected by section 21 of the HRA. </w:t>
      </w:r>
    </w:p>
    <w:p w:rsidR="000E313C" w:rsidRPr="003D5E6E" w:rsidRDefault="000E313C" w:rsidP="000E313C">
      <w:pPr>
        <w:pStyle w:val="ListParagraph"/>
        <w:numPr>
          <w:ilvl w:val="0"/>
          <w:numId w:val="45"/>
        </w:numPr>
        <w:spacing w:before="0" w:after="160" w:line="300" w:lineRule="exact"/>
        <w:rPr>
          <w:rFonts w:ascii="Calibri" w:eastAsia="Calibri" w:hAnsi="Calibri" w:cs="Calibri"/>
          <w:i/>
          <w:iCs/>
          <w:color w:val="000000"/>
          <w:szCs w:val="20"/>
          <w:lang w:eastAsia="en-AU"/>
        </w:rPr>
      </w:pPr>
      <w:r>
        <w:rPr>
          <w:rFonts w:ascii="Calibri" w:eastAsia="Calibri" w:hAnsi="Calibri" w:cs="Calibri"/>
          <w:color w:val="000000"/>
          <w:szCs w:val="20"/>
          <w:lang w:eastAsia="en-AU"/>
        </w:rPr>
        <w:t xml:space="preserve">The </w:t>
      </w:r>
      <w:r w:rsidRPr="00926703">
        <w:rPr>
          <w:rFonts w:ascii="Calibri" w:eastAsia="Calibri" w:hAnsi="Calibri" w:cs="Calibri"/>
          <w:i/>
          <w:iCs/>
          <w:color w:val="000000"/>
          <w:szCs w:val="20"/>
          <w:lang w:eastAsia="en-AU"/>
        </w:rPr>
        <w:t>Common Boundaries Act 1981</w:t>
      </w:r>
      <w:r>
        <w:rPr>
          <w:rFonts w:ascii="Calibri" w:eastAsia="Calibri" w:hAnsi="Calibri" w:cs="Calibri"/>
          <w:color w:val="000000"/>
          <w:szCs w:val="20"/>
          <w:lang w:eastAsia="en-AU"/>
        </w:rPr>
        <w:t xml:space="preserve"> will be amended to allow ACAT to determine the line where a fence should be erected when the fence is being repaired. By extending the powers of ACAT to determine the boundaries of residential property this may potentially limit the right to privacy and reputation protected by section 12 of the HRA, which includes the right to not have a person’s family or home interfered with </w:t>
      </w:r>
      <w:proofErr w:type="spellStart"/>
      <w:r>
        <w:rPr>
          <w:rFonts w:ascii="Calibri" w:eastAsia="Calibri" w:hAnsi="Calibri" w:cs="Calibri"/>
          <w:color w:val="000000"/>
          <w:szCs w:val="20"/>
          <w:lang w:eastAsia="en-AU"/>
        </w:rPr>
        <w:t>unlawfuly</w:t>
      </w:r>
      <w:proofErr w:type="spellEnd"/>
      <w:r>
        <w:rPr>
          <w:rFonts w:ascii="Calibri" w:eastAsia="Calibri" w:hAnsi="Calibri" w:cs="Calibri"/>
          <w:color w:val="000000"/>
          <w:szCs w:val="20"/>
          <w:lang w:eastAsia="en-AU"/>
        </w:rPr>
        <w:t xml:space="preserve"> or arbitrarily.  </w:t>
      </w:r>
    </w:p>
    <w:p w:rsidR="000E313C" w:rsidRPr="00A11C4B" w:rsidRDefault="000E313C" w:rsidP="000E313C">
      <w:pPr>
        <w:pStyle w:val="ListParagraph"/>
        <w:numPr>
          <w:ilvl w:val="0"/>
          <w:numId w:val="45"/>
        </w:numPr>
        <w:spacing w:before="0" w:after="160" w:line="300" w:lineRule="exact"/>
        <w:rPr>
          <w:rFonts w:ascii="Calibri" w:eastAsia="Calibri" w:hAnsi="Calibri" w:cs="Calibri"/>
          <w:i/>
          <w:iCs/>
          <w:color w:val="000000"/>
          <w:szCs w:val="20"/>
          <w:lang w:eastAsia="en-AU"/>
        </w:rPr>
      </w:pPr>
      <w:r>
        <w:rPr>
          <w:rFonts w:ascii="Calibri" w:eastAsia="Calibri" w:hAnsi="Calibri" w:cs="Calibri"/>
          <w:color w:val="000000"/>
          <w:szCs w:val="20"/>
          <w:lang w:eastAsia="en-AU"/>
        </w:rPr>
        <w:t xml:space="preserve">The </w:t>
      </w:r>
      <w:r w:rsidRPr="004B74F3">
        <w:rPr>
          <w:rFonts w:ascii="Calibri" w:eastAsia="Calibri" w:hAnsi="Calibri" w:cs="Calibri"/>
          <w:i/>
          <w:iCs/>
          <w:color w:val="000000"/>
          <w:szCs w:val="20"/>
          <w:lang w:eastAsia="en-AU"/>
        </w:rPr>
        <w:t>Supreme Court Act 1933</w:t>
      </w:r>
      <w:r>
        <w:rPr>
          <w:rFonts w:ascii="Calibri" w:eastAsia="Calibri" w:hAnsi="Calibri" w:cs="Calibri"/>
          <w:color w:val="000000"/>
          <w:szCs w:val="20"/>
          <w:lang w:eastAsia="en-AU"/>
        </w:rPr>
        <w:t xml:space="preserve"> will be amended to provide for a judge or associate judge to continue to hold office after retirement for the purpose of finalising proceedings before them. As a judge or associate judge is not entitled to additional remuneration for this work the Bill may engage the right to work and other work-related rights protected by section 27B of the HRA, which includes the </w:t>
      </w:r>
      <w:r w:rsidRPr="004B74F3">
        <w:rPr>
          <w:rFonts w:ascii="Calibri" w:eastAsia="Calibri" w:hAnsi="Calibri" w:cs="Calibri"/>
          <w:color w:val="000000"/>
          <w:szCs w:val="20"/>
          <w:lang w:eastAsia="en-AU"/>
        </w:rPr>
        <w:t>right to the enjoyment of just and favourable conditions of work</w:t>
      </w:r>
      <w:r>
        <w:rPr>
          <w:rFonts w:ascii="Calibri" w:eastAsia="Calibri" w:hAnsi="Calibri" w:cs="Calibri"/>
          <w:color w:val="000000"/>
          <w:szCs w:val="20"/>
          <w:lang w:eastAsia="en-AU"/>
        </w:rPr>
        <w:t xml:space="preserve">. </w:t>
      </w:r>
    </w:p>
    <w:p w:rsidR="000E313C" w:rsidRPr="00A11C4B" w:rsidRDefault="000E313C" w:rsidP="000E313C">
      <w:pPr>
        <w:rPr>
          <w:lang w:eastAsia="en-AU"/>
        </w:rPr>
      </w:pPr>
      <w:r>
        <w:rPr>
          <w:rFonts w:ascii="Calibri" w:eastAsia="Calibri" w:hAnsi="Calibri" w:cs="Calibri"/>
          <w:color w:val="000000"/>
          <w:szCs w:val="20"/>
          <w:lang w:eastAsia="en-AU"/>
        </w:rPr>
        <w:t>The explanatory statement accompanying the Bill recognises these potential limitations and provides for why any limitation should be considered reasonable using the framework set out in section 28 of the HRA. The Committee refers this statement to the Assembly</w:t>
      </w:r>
    </w:p>
    <w:p w:rsidR="000E313C" w:rsidRDefault="000E313C" w:rsidP="000E313C">
      <w:pPr>
        <w:rPr>
          <w:rFonts w:ascii="Calibri" w:eastAsia="Calibri" w:hAnsi="Calibri" w:cs="Calibri"/>
          <w:color w:val="000000"/>
          <w:szCs w:val="20"/>
          <w:lang w:eastAsia="en-AU"/>
        </w:rPr>
      </w:pPr>
      <w:r w:rsidRPr="0022380B">
        <w:rPr>
          <w:rFonts w:ascii="Calibri" w:eastAsia="Calibri" w:hAnsi="Calibri" w:cs="Calibri"/>
          <w:color w:val="000000"/>
          <w:szCs w:val="20"/>
          <w:lang w:eastAsia="en-AU"/>
        </w:rPr>
        <w:t>Currently, section 23 of the ACT Civil and Administrative Tribunal Act authorises ACAT to decide its own procedures in dealing with an application if no procedure is prescribed under the Act or a</w:t>
      </w:r>
      <w:r>
        <w:rPr>
          <w:rFonts w:ascii="Calibri" w:eastAsia="Calibri" w:hAnsi="Calibri" w:cs="Calibri"/>
          <w:color w:val="000000"/>
          <w:szCs w:val="20"/>
          <w:lang w:eastAsia="en-AU"/>
        </w:rPr>
        <w:t>n authorising law (</w:t>
      </w:r>
      <w:proofErr w:type="spellStart"/>
      <w:r>
        <w:rPr>
          <w:rFonts w:ascii="Calibri" w:eastAsia="Calibri" w:hAnsi="Calibri" w:cs="Calibri"/>
          <w:color w:val="000000"/>
          <w:szCs w:val="20"/>
          <w:lang w:eastAsia="en-AU"/>
        </w:rPr>
        <w:t>ie</w:t>
      </w:r>
      <w:proofErr w:type="spellEnd"/>
      <w:r>
        <w:rPr>
          <w:rFonts w:ascii="Calibri" w:eastAsia="Calibri" w:hAnsi="Calibri" w:cs="Calibri"/>
          <w:color w:val="000000"/>
          <w:szCs w:val="20"/>
          <w:lang w:eastAsia="en-AU"/>
        </w:rPr>
        <w:t xml:space="preserve"> a</w:t>
      </w:r>
      <w:r w:rsidRPr="0022380B">
        <w:rPr>
          <w:rFonts w:ascii="Calibri" w:eastAsia="Calibri" w:hAnsi="Calibri" w:cs="Calibri"/>
          <w:color w:val="000000"/>
          <w:szCs w:val="20"/>
          <w:lang w:eastAsia="en-AU"/>
        </w:rPr>
        <w:t xml:space="preserve"> law that provides for an application to be made to ACAT</w:t>
      </w:r>
      <w:r>
        <w:rPr>
          <w:rFonts w:ascii="Calibri" w:eastAsia="Calibri" w:hAnsi="Calibri" w:cs="Calibri"/>
          <w:color w:val="000000"/>
          <w:szCs w:val="20"/>
          <w:lang w:eastAsia="en-AU"/>
        </w:rPr>
        <w:t>)</w:t>
      </w:r>
      <w:r w:rsidRPr="0022380B">
        <w:rPr>
          <w:rFonts w:ascii="Calibri" w:eastAsia="Calibri" w:hAnsi="Calibri" w:cs="Calibri"/>
          <w:color w:val="000000"/>
          <w:szCs w:val="20"/>
          <w:lang w:eastAsia="en-AU"/>
        </w:rPr>
        <w:t xml:space="preserve">. The Bill will amend section </w:t>
      </w:r>
      <w:r>
        <w:rPr>
          <w:rFonts w:ascii="Calibri" w:eastAsia="Calibri" w:hAnsi="Calibri" w:cs="Calibri"/>
          <w:color w:val="000000"/>
          <w:szCs w:val="20"/>
          <w:lang w:eastAsia="en-AU"/>
        </w:rPr>
        <w:t xml:space="preserve">23 </w:t>
      </w:r>
      <w:r w:rsidRPr="0022380B">
        <w:rPr>
          <w:rFonts w:ascii="Calibri" w:eastAsia="Calibri" w:hAnsi="Calibri" w:cs="Calibri"/>
          <w:color w:val="000000"/>
          <w:szCs w:val="20"/>
          <w:lang w:eastAsia="en-AU"/>
        </w:rPr>
        <w:t xml:space="preserve">to allow ACAT, on ACAT’s own initiative or application by a party or other person, to dispense with the application of a provision of the rules to a particular proceeding on any conditions it considers appropriate. The Committee notes that section 24 of the Act provides for ACAT to make rules in relation to the practice and procedure of the Tribunal by notifiable instrument and after providing the rule-making committee under the </w:t>
      </w:r>
      <w:r w:rsidRPr="0022380B">
        <w:rPr>
          <w:rFonts w:ascii="Calibri" w:eastAsia="Calibri" w:hAnsi="Calibri" w:cs="Calibri"/>
          <w:i/>
          <w:iCs/>
          <w:color w:val="000000"/>
          <w:szCs w:val="20"/>
          <w:lang w:eastAsia="en-AU"/>
        </w:rPr>
        <w:t>Court Procedures Act 2004</w:t>
      </w:r>
      <w:r w:rsidRPr="0022380B">
        <w:rPr>
          <w:rFonts w:ascii="Calibri" w:eastAsia="Calibri" w:hAnsi="Calibri" w:cs="Calibri"/>
          <w:color w:val="000000"/>
          <w:szCs w:val="20"/>
          <w:lang w:eastAsia="en-AU"/>
        </w:rPr>
        <w:t xml:space="preserve"> with a copy. Rules may extend the time for doing things provided for under the Act or, unless otherwise provided for, in an authorising law (section 25). Any procedure under an authorising law for dealing with an application prevails over the procedures set out in the Act or the rules to the extent of any inconsistency (section 27).</w:t>
      </w:r>
      <w:r>
        <w:rPr>
          <w:rFonts w:ascii="Calibri" w:eastAsia="Calibri" w:hAnsi="Calibri" w:cs="Calibri"/>
          <w:color w:val="000000"/>
          <w:szCs w:val="20"/>
          <w:lang w:eastAsia="en-AU"/>
        </w:rPr>
        <w:t xml:space="preserve"> </w:t>
      </w:r>
    </w:p>
    <w:p w:rsidR="000E313C" w:rsidRDefault="000E313C" w:rsidP="000E313C">
      <w:pPr>
        <w:rPr>
          <w:rFonts w:ascii="Calibri" w:eastAsia="Calibri" w:hAnsi="Calibri" w:cs="Calibri"/>
          <w:color w:val="000000"/>
          <w:szCs w:val="20"/>
          <w:lang w:eastAsia="en-AU"/>
        </w:rPr>
      </w:pPr>
      <w:r w:rsidRPr="0022380B">
        <w:rPr>
          <w:rFonts w:ascii="Calibri" w:eastAsia="Calibri" w:hAnsi="Calibri" w:cs="Calibri"/>
          <w:color w:val="000000"/>
          <w:szCs w:val="20"/>
          <w:lang w:eastAsia="en-AU"/>
        </w:rPr>
        <w:t xml:space="preserve">The amendment to section 23 will authorise ACAT to depart from procedures set out in the rules, and possibly set out in authorising legislation, to the </w:t>
      </w:r>
      <w:r>
        <w:rPr>
          <w:rFonts w:ascii="Calibri" w:eastAsia="Calibri" w:hAnsi="Calibri" w:cs="Calibri"/>
          <w:color w:val="000000"/>
          <w:szCs w:val="20"/>
          <w:lang w:eastAsia="en-AU"/>
        </w:rPr>
        <w:t xml:space="preserve">possible </w:t>
      </w:r>
      <w:r w:rsidRPr="0022380B">
        <w:rPr>
          <w:rFonts w:ascii="Calibri" w:eastAsia="Calibri" w:hAnsi="Calibri" w:cs="Calibri"/>
          <w:color w:val="000000"/>
          <w:szCs w:val="20"/>
          <w:lang w:eastAsia="en-AU"/>
        </w:rPr>
        <w:t xml:space="preserve">detriment of one or more parties before it. The explanatory statement accompanying the </w:t>
      </w:r>
      <w:r>
        <w:rPr>
          <w:rFonts w:ascii="Calibri" w:eastAsia="Calibri" w:hAnsi="Calibri" w:cs="Calibri"/>
          <w:color w:val="000000"/>
          <w:szCs w:val="20"/>
          <w:lang w:eastAsia="en-AU"/>
        </w:rPr>
        <w:t>Bill outlines this amendment as providing the “</w:t>
      </w:r>
      <w:r w:rsidRPr="0022380B">
        <w:rPr>
          <w:rFonts w:ascii="Calibri" w:eastAsia="Calibri" w:hAnsi="Calibri" w:cs="Calibri"/>
          <w:color w:val="000000"/>
          <w:szCs w:val="20"/>
          <w:lang w:eastAsia="en-AU"/>
        </w:rPr>
        <w:t>tribunal with the flexibility to manage its own practices and procedures for individual matters, allowing the tribunal to dispense with the application of the ACAT Rules to a particular proceeding on any conditions it considers appropriate</w:t>
      </w:r>
      <w:r>
        <w:rPr>
          <w:rFonts w:ascii="Calibri" w:eastAsia="Calibri" w:hAnsi="Calibri" w:cs="Calibri"/>
          <w:color w:val="000000"/>
          <w:szCs w:val="20"/>
          <w:lang w:eastAsia="en-AU"/>
        </w:rPr>
        <w:t xml:space="preserve">.” </w:t>
      </w:r>
      <w:r w:rsidRPr="0022380B">
        <w:rPr>
          <w:rFonts w:ascii="Calibri" w:eastAsia="Calibri" w:hAnsi="Calibri" w:cs="Calibri"/>
          <w:color w:val="000000"/>
          <w:szCs w:val="20"/>
          <w:lang w:eastAsia="en-AU"/>
        </w:rPr>
        <w:t>The Committee recognises that in exercising functions under the Act ACAT must observe the principles of natural justice and procedural fairness (section</w:t>
      </w:r>
      <w:r w:rsidR="0089391E">
        <w:rPr>
          <w:rFonts w:ascii="Calibri" w:eastAsia="Calibri" w:hAnsi="Calibri" w:cs="Calibri"/>
          <w:color w:val="000000"/>
          <w:szCs w:val="20"/>
          <w:lang w:eastAsia="en-AU"/>
        </w:rPr>
        <w:t> </w:t>
      </w:r>
      <w:r w:rsidRPr="0022380B">
        <w:rPr>
          <w:rFonts w:ascii="Calibri" w:eastAsia="Calibri" w:hAnsi="Calibri" w:cs="Calibri"/>
          <w:color w:val="000000"/>
          <w:szCs w:val="20"/>
          <w:lang w:eastAsia="en-AU"/>
        </w:rPr>
        <w:t>7)</w:t>
      </w:r>
      <w:r>
        <w:rPr>
          <w:rFonts w:ascii="Calibri" w:eastAsia="Calibri" w:hAnsi="Calibri" w:cs="Calibri"/>
          <w:color w:val="000000"/>
          <w:szCs w:val="20"/>
          <w:lang w:eastAsia="en-AU"/>
        </w:rPr>
        <w:t>. However, t</w:t>
      </w:r>
      <w:r w:rsidRPr="0022380B">
        <w:rPr>
          <w:rFonts w:ascii="Calibri" w:eastAsia="Calibri" w:hAnsi="Calibri" w:cs="Calibri"/>
          <w:color w:val="000000"/>
          <w:szCs w:val="20"/>
          <w:lang w:eastAsia="en-AU"/>
        </w:rPr>
        <w:t xml:space="preserve">he Committee </w:t>
      </w:r>
      <w:r>
        <w:rPr>
          <w:rFonts w:ascii="Calibri" w:eastAsia="Calibri" w:hAnsi="Calibri" w:cs="Calibri"/>
          <w:color w:val="000000"/>
          <w:szCs w:val="20"/>
          <w:lang w:eastAsia="en-AU"/>
        </w:rPr>
        <w:t xml:space="preserve">is </w:t>
      </w:r>
      <w:r w:rsidRPr="0022380B">
        <w:rPr>
          <w:rFonts w:ascii="Calibri" w:eastAsia="Calibri" w:hAnsi="Calibri" w:cs="Calibri"/>
          <w:color w:val="000000"/>
          <w:szCs w:val="20"/>
          <w:lang w:eastAsia="en-AU"/>
        </w:rPr>
        <w:t xml:space="preserve">concerned </w:t>
      </w:r>
      <w:r>
        <w:rPr>
          <w:rFonts w:ascii="Calibri" w:eastAsia="Calibri" w:hAnsi="Calibri" w:cs="Calibri"/>
          <w:color w:val="000000"/>
          <w:szCs w:val="20"/>
          <w:lang w:eastAsia="en-AU"/>
        </w:rPr>
        <w:t xml:space="preserve">with the </w:t>
      </w:r>
      <w:r w:rsidRPr="0022380B">
        <w:rPr>
          <w:rFonts w:ascii="Calibri" w:eastAsia="Calibri" w:hAnsi="Calibri" w:cs="Calibri"/>
          <w:color w:val="000000"/>
          <w:szCs w:val="20"/>
          <w:lang w:eastAsia="en-AU"/>
        </w:rPr>
        <w:t>potential scope of the amendment and ACATs power to determine the procedure to be applied in dealing with an application.</w:t>
      </w:r>
      <w:r>
        <w:rPr>
          <w:rFonts w:ascii="Calibri" w:eastAsia="Calibri" w:hAnsi="Calibri" w:cs="Calibri"/>
          <w:color w:val="000000"/>
          <w:szCs w:val="20"/>
          <w:lang w:eastAsia="en-AU"/>
        </w:rPr>
        <w:t xml:space="preserve"> The Committee therefore requests further information on the inte</w:t>
      </w:r>
      <w:r w:rsidR="00964271">
        <w:rPr>
          <w:rFonts w:ascii="Calibri" w:eastAsia="Calibri" w:hAnsi="Calibri" w:cs="Calibri"/>
          <w:color w:val="000000"/>
          <w:szCs w:val="20"/>
          <w:lang w:eastAsia="en-AU"/>
        </w:rPr>
        <w:t>nded operation of the amendment</w:t>
      </w:r>
      <w:r>
        <w:rPr>
          <w:rFonts w:ascii="Calibri" w:eastAsia="Calibri" w:hAnsi="Calibri" w:cs="Calibri"/>
          <w:color w:val="000000"/>
          <w:szCs w:val="20"/>
          <w:lang w:eastAsia="en-AU"/>
        </w:rPr>
        <w:t xml:space="preserve"> to section 23, the extent to which it is intended to authorise departures from procedures set out in the rules or as provided by authorising legislation. As the amendment potentially limits the protection of the right to a fair trial protected by section 21 of the HRA consideration should be given to amending the explanatory statement to include why the amendment should be considered reasonable using the framework set out in section 28 of the HRA.</w:t>
      </w:r>
    </w:p>
    <w:p w:rsidR="000E313C" w:rsidRPr="00E83C75" w:rsidRDefault="000E313C" w:rsidP="000E313C">
      <w:pPr>
        <w:pStyle w:val="Bodycopy"/>
        <w:spacing w:line="280" w:lineRule="exact"/>
        <w:rPr>
          <w:b/>
        </w:rPr>
      </w:pPr>
      <w:r w:rsidRPr="00E83C75">
        <w:rPr>
          <w:b/>
        </w:rPr>
        <w:t>The Committee draws th</w:t>
      </w:r>
      <w:r>
        <w:rPr>
          <w:b/>
        </w:rPr>
        <w:t>is</w:t>
      </w:r>
      <w:r w:rsidRPr="00E83C75">
        <w:rPr>
          <w:b/>
        </w:rPr>
        <w:t xml:space="preserve"> matter to the attention of the Assembly, and asks the Minister to respond.</w:t>
      </w:r>
    </w:p>
    <w:p w:rsidR="000E313C" w:rsidRDefault="000E313C" w:rsidP="003910E1">
      <w:pPr>
        <w:pStyle w:val="Heading5"/>
      </w:pPr>
      <w:r w:rsidRPr="00E83C75">
        <w:t>Right</w:t>
      </w:r>
      <w:r>
        <w:t>s in criminal proceedings</w:t>
      </w:r>
      <w:r w:rsidRPr="00E83C75">
        <w:t xml:space="preserve"> (s</w:t>
      </w:r>
      <w:r>
        <w:t>ection</w:t>
      </w:r>
      <w:r w:rsidRPr="00E83C75">
        <w:t xml:space="preserve"> 22 </w:t>
      </w:r>
      <w:r w:rsidRPr="005F7002">
        <w:t>HRA</w:t>
      </w:r>
      <w:r w:rsidRPr="00E83C75">
        <w:t>)</w:t>
      </w:r>
    </w:p>
    <w:p w:rsidR="000E313C" w:rsidRDefault="000E313C" w:rsidP="000E313C">
      <w:pPr>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Bill will amend the </w:t>
      </w:r>
      <w:r w:rsidRPr="00EF5F81">
        <w:rPr>
          <w:rFonts w:ascii="Calibri" w:eastAsia="Calibri" w:hAnsi="Calibri" w:cs="Calibri"/>
          <w:i/>
          <w:iCs/>
          <w:color w:val="000000"/>
          <w:szCs w:val="20"/>
          <w:lang w:eastAsia="en-AU"/>
        </w:rPr>
        <w:t>Judicial Commissions Act 1994</w:t>
      </w:r>
      <w:r>
        <w:rPr>
          <w:rFonts w:ascii="Calibri" w:eastAsia="Calibri" w:hAnsi="Calibri" w:cs="Calibri"/>
          <w:color w:val="000000"/>
          <w:szCs w:val="20"/>
          <w:lang w:eastAsia="en-AU"/>
        </w:rPr>
        <w:t xml:space="preserve"> to allow information acquired under that Act by members, staff or lawyers assisting the Judicial Council or Commission to be recorded, used or disclosed under the </w:t>
      </w:r>
      <w:r w:rsidRPr="00EF5F81">
        <w:rPr>
          <w:rFonts w:ascii="Calibri" w:eastAsia="Calibri" w:hAnsi="Calibri" w:cs="Calibri"/>
          <w:i/>
          <w:iCs/>
          <w:color w:val="000000"/>
          <w:szCs w:val="20"/>
          <w:lang w:eastAsia="en-AU"/>
        </w:rPr>
        <w:t>Integrity Commission Act 2018</w:t>
      </w:r>
      <w:r>
        <w:rPr>
          <w:rFonts w:ascii="Calibri" w:eastAsia="Calibri" w:hAnsi="Calibri" w:cs="Calibri"/>
          <w:color w:val="000000"/>
          <w:szCs w:val="20"/>
          <w:lang w:eastAsia="en-AU"/>
        </w:rPr>
        <w:t>. The Judicial Commissions Act includes various requirements to produce information and limits the protection of privileges against self</w:t>
      </w:r>
      <w:r w:rsidR="00964271">
        <w:rPr>
          <w:rFonts w:ascii="Calibri" w:eastAsia="Calibri" w:hAnsi="Calibri" w:cs="Calibri"/>
          <w:color w:val="000000"/>
          <w:szCs w:val="20"/>
          <w:lang w:eastAsia="en-AU"/>
        </w:rPr>
        <w:noBreakHyphen/>
      </w:r>
      <w:r>
        <w:rPr>
          <w:rFonts w:ascii="Calibri" w:eastAsia="Calibri" w:hAnsi="Calibri" w:cs="Calibri"/>
          <w:color w:val="000000"/>
          <w:szCs w:val="20"/>
          <w:lang w:eastAsia="en-AU"/>
        </w:rPr>
        <w:t xml:space="preserve">incrimination and exposure to a penalty (see section 32). </w:t>
      </w:r>
    </w:p>
    <w:p w:rsidR="000E313C" w:rsidRDefault="000E313C" w:rsidP="000E313C">
      <w:pPr>
        <w:rPr>
          <w:rFonts w:ascii="Calibri" w:eastAsia="Calibri" w:hAnsi="Calibri" w:cs="Calibri"/>
          <w:color w:val="000000"/>
          <w:szCs w:val="20"/>
          <w:lang w:eastAsia="en-AU"/>
        </w:rPr>
      </w:pPr>
      <w:r>
        <w:rPr>
          <w:rFonts w:ascii="Calibri" w:eastAsia="Calibri" w:hAnsi="Calibri" w:cs="Calibri"/>
          <w:color w:val="000000"/>
          <w:szCs w:val="20"/>
          <w:lang w:eastAsia="en-AU"/>
        </w:rPr>
        <w:t>By permitting disclosure of what may include personal or prejudicial information the Bill may limit the protection of privacy and reputation protected by section 12 of the HRA, right to a fair trial protected by section 21 of the HRA and rights in criminal proceedings protected by section 22 of the HRA. Consideration should be given to amending the explanatory statement accompanying the Bill to include recognition of the possible limitations of these rights and why any limitations should be considered reasonable set out using the framework in section 28 of the HRA.</w:t>
      </w:r>
    </w:p>
    <w:p w:rsidR="000E313C" w:rsidRPr="00E83C75" w:rsidRDefault="000E313C" w:rsidP="000E313C">
      <w:pPr>
        <w:pStyle w:val="Bodycopy"/>
        <w:spacing w:line="280" w:lineRule="exact"/>
        <w:rPr>
          <w:b/>
        </w:rPr>
      </w:pPr>
      <w:r w:rsidRPr="00E83C75">
        <w:rPr>
          <w:b/>
        </w:rPr>
        <w:t>The Committee draws th</w:t>
      </w:r>
      <w:r>
        <w:rPr>
          <w:b/>
        </w:rPr>
        <w:t>is</w:t>
      </w:r>
      <w:r w:rsidRPr="00E83C75">
        <w:rPr>
          <w:b/>
        </w:rPr>
        <w:t xml:space="preserve"> matter to the attention of the Assembly, and asks the Minister to respond.</w:t>
      </w:r>
    </w:p>
    <w:p w:rsidR="000E313C" w:rsidRDefault="000E313C" w:rsidP="003910E1">
      <w:pPr>
        <w:pStyle w:val="Heading5"/>
      </w:pPr>
      <w:r w:rsidRPr="00E83C75">
        <w:t xml:space="preserve">Right to </w:t>
      </w:r>
      <w:r>
        <w:t xml:space="preserve">recognition and equality before the law </w:t>
      </w:r>
      <w:r w:rsidRPr="00E83C75">
        <w:t>(s</w:t>
      </w:r>
      <w:r>
        <w:t>ection</w:t>
      </w:r>
      <w:r w:rsidRPr="00E83C75">
        <w:t xml:space="preserve"> 8 </w:t>
      </w:r>
      <w:r>
        <w:t>HRA</w:t>
      </w:r>
      <w:r w:rsidRPr="00E83C75">
        <w:t>)</w:t>
      </w:r>
    </w:p>
    <w:p w:rsidR="000E313C" w:rsidRDefault="000E313C" w:rsidP="003910E1">
      <w:pPr>
        <w:pStyle w:val="Heading5"/>
      </w:pPr>
      <w:r w:rsidRPr="00B1063D">
        <w:t>Cultural and other rights of Aboriginal and Torres Strait Islander peoples and other minorities</w:t>
      </w:r>
      <w:r>
        <w:t xml:space="preserve"> (section 27 HRA)</w:t>
      </w:r>
    </w:p>
    <w:p w:rsidR="000E313C" w:rsidRPr="00E83C75" w:rsidRDefault="000E313C" w:rsidP="003910E1">
      <w:pPr>
        <w:pStyle w:val="Heading5"/>
      </w:pPr>
      <w:r w:rsidRPr="00B1063D">
        <w:t>Freedom of thought, conscience, religion and belief</w:t>
      </w:r>
      <w:r>
        <w:t xml:space="preserve"> (section 14 HRA)</w:t>
      </w:r>
    </w:p>
    <w:p w:rsidR="003B5F95" w:rsidRPr="003B5F95" w:rsidRDefault="000E313C" w:rsidP="003B5F95">
      <w:pPr>
        <w:rPr>
          <w:rFonts w:ascii="Calibri" w:eastAsia="Calibri" w:hAnsi="Calibri" w:cs="Calibri"/>
          <w:color w:val="000000"/>
          <w:szCs w:val="20"/>
          <w:lang w:eastAsia="en-AU"/>
        </w:rPr>
      </w:pPr>
      <w:r w:rsidRPr="00B1063D">
        <w:rPr>
          <w:rFonts w:ascii="Calibri" w:eastAsia="Calibri" w:hAnsi="Calibri" w:cs="Calibri"/>
          <w:color w:val="000000"/>
          <w:szCs w:val="20"/>
          <w:lang w:eastAsia="en-AU"/>
        </w:rPr>
        <w:t xml:space="preserve">The Bill will amend the </w:t>
      </w:r>
      <w:r w:rsidRPr="00B1063D">
        <w:rPr>
          <w:rFonts w:ascii="Calibri" w:eastAsia="Calibri" w:hAnsi="Calibri" w:cs="Calibri"/>
          <w:i/>
          <w:iCs/>
          <w:color w:val="000000"/>
          <w:szCs w:val="20"/>
          <w:lang w:eastAsia="en-AU"/>
        </w:rPr>
        <w:t>Public Trustee and Guardianship Act 1985</w:t>
      </w:r>
      <w:r w:rsidRPr="00B1063D">
        <w:rPr>
          <w:rFonts w:ascii="Calibri" w:eastAsia="Calibri" w:hAnsi="Calibri" w:cs="Calibri"/>
          <w:color w:val="000000"/>
          <w:szCs w:val="20"/>
          <w:lang w:eastAsia="en-AU"/>
        </w:rPr>
        <w:t xml:space="preserve"> to provide the Public Trustee and Guardian with the power to dispose of the remains of unclaimed bodies and the ability to investigate and administer the deceased person’s estate. The amendments will only apply to an unclaimed deceased person where the executor or next of kin has not been found despite reasonable inquiries by the police, or </w:t>
      </w:r>
      <w:r>
        <w:rPr>
          <w:rFonts w:ascii="Calibri" w:eastAsia="Calibri" w:hAnsi="Calibri" w:cs="Calibri"/>
          <w:color w:val="000000"/>
          <w:szCs w:val="20"/>
          <w:lang w:eastAsia="en-AU"/>
        </w:rPr>
        <w:t xml:space="preserve">the executor or next of kin </w:t>
      </w:r>
      <w:r w:rsidR="003408B6">
        <w:rPr>
          <w:rFonts w:ascii="Calibri" w:eastAsia="Calibri" w:hAnsi="Calibri" w:cs="Calibri"/>
          <w:color w:val="000000"/>
          <w:szCs w:val="20"/>
          <w:lang w:eastAsia="en-AU"/>
        </w:rPr>
        <w:t>i</w:t>
      </w:r>
      <w:r w:rsidRPr="00B1063D">
        <w:rPr>
          <w:rFonts w:ascii="Calibri" w:eastAsia="Calibri" w:hAnsi="Calibri" w:cs="Calibri"/>
          <w:color w:val="000000"/>
          <w:szCs w:val="20"/>
          <w:lang w:eastAsia="en-AU"/>
        </w:rPr>
        <w:t>s unwilling or unable to make funeral arrangements for the person.</w:t>
      </w:r>
      <w:r w:rsidRPr="00B1063D">
        <w:rPr>
          <w:rFonts w:ascii="Calibri" w:eastAsia="Calibri" w:hAnsi="Calibri" w:cs="Calibri"/>
          <w:color w:val="000000"/>
          <w:szCs w:val="20"/>
          <w:lang w:eastAsia="en-AU"/>
        </w:rPr>
        <w:br/>
      </w:r>
      <w:r w:rsidRPr="00B1063D">
        <w:rPr>
          <w:rFonts w:ascii="Calibri" w:eastAsia="Calibri" w:hAnsi="Calibri" w:cs="Calibri"/>
          <w:color w:val="000000"/>
          <w:szCs w:val="20"/>
          <w:lang w:eastAsia="en-AU"/>
        </w:rPr>
        <w:br/>
      </w:r>
      <w:r w:rsidR="003B5F95" w:rsidRPr="003B5F95">
        <w:rPr>
          <w:rFonts w:ascii="Calibri" w:eastAsia="Calibri" w:hAnsi="Calibri" w:cs="Calibri"/>
          <w:color w:val="000000"/>
          <w:szCs w:val="20"/>
          <w:lang w:eastAsia="en-AU"/>
        </w:rPr>
        <w:t xml:space="preserve">The explanatory statement accompanying the Bill states that this amendment does not engage any human rights, given any rights apply only where a person is living. However, the Committee is concerned that the rights of other surviving members of the deceased’s family or kinship group may be affected by this amendment. The rights limited may include the right to equality protected by section 8 of the HRA, the cultural and other rights protected by section 27 of the HRA, and freedom of thought, conscience, religion and belief protected by section 14 of the HRA. </w:t>
      </w:r>
    </w:p>
    <w:p w:rsidR="000E313C" w:rsidRDefault="003B5F95" w:rsidP="003B5F95">
      <w:pPr>
        <w:rPr>
          <w:rFonts w:ascii="Calibri" w:eastAsia="Calibri" w:hAnsi="Calibri" w:cs="Calibri"/>
          <w:color w:val="000000"/>
          <w:szCs w:val="20"/>
          <w:lang w:eastAsia="en-AU"/>
        </w:rPr>
      </w:pPr>
      <w:r w:rsidRPr="003B5F95">
        <w:rPr>
          <w:rFonts w:ascii="Calibri" w:eastAsia="Calibri" w:hAnsi="Calibri" w:cs="Calibri"/>
          <w:color w:val="000000"/>
          <w:szCs w:val="20"/>
          <w:lang w:eastAsia="en-AU"/>
        </w:rPr>
        <w:t>Under the proposed amendments, the Minister will be able to make guidelines which must be complied with by the public trustee and guardian in exercising their new functions. The explanatory statement suggests that guidelines will ensure reasonable inquiries have been made to locate the next of kin prior to this power being invoked. Guidelines will also “facilitate disposal of the person’s body in a respectful way, and, where possible, in a way consistent with their cultural or religious beliefs”. The Committee recognises that, as disallowable instruments, any guidelines made by the Minister will be subject to scrutiny by this Committee and the Assembly. However, there is no obligation to produce guidelines under the proposed amendment and no requirement that they include measures ameliorating any potential impact on rights protected by the HRA. Consideration should therefore be given to amending the explanatory statement accompanying the Bill to acknowledge any potential limitation on rights protected under the HRA and why they should be considered reasonable using the framework in section 28 of the HRA.</w:t>
      </w:r>
    </w:p>
    <w:p w:rsidR="000E313C" w:rsidRPr="00E83C75" w:rsidRDefault="000E313C" w:rsidP="000E313C">
      <w:pPr>
        <w:pStyle w:val="Bodycopy"/>
        <w:spacing w:line="280" w:lineRule="exact"/>
        <w:rPr>
          <w:b/>
        </w:rPr>
      </w:pPr>
      <w:r w:rsidRPr="00E83C75">
        <w:rPr>
          <w:b/>
        </w:rPr>
        <w:t>The Committee draws th</w:t>
      </w:r>
      <w:r>
        <w:rPr>
          <w:b/>
        </w:rPr>
        <w:t>is</w:t>
      </w:r>
      <w:r w:rsidRPr="00E83C75">
        <w:rPr>
          <w:b/>
        </w:rPr>
        <w:t xml:space="preserve"> matter to the attention of the Assembly, and asks the Minister to respond.</w:t>
      </w:r>
    </w:p>
    <w:p w:rsidR="000E313C" w:rsidRPr="00133AB1" w:rsidRDefault="000E313C" w:rsidP="000E313C">
      <w:pPr>
        <w:pStyle w:val="Heading4"/>
        <w:pBdr>
          <w:bottom w:val="single" w:sz="6" w:space="1" w:color="000000"/>
        </w:pBdr>
        <w:rPr>
          <w:rFonts w:eastAsia="Times New Roman"/>
        </w:rPr>
      </w:pPr>
      <w:bookmarkStart w:id="506" w:name="_Toc71022171"/>
      <w:r w:rsidRPr="008967FB">
        <w:rPr>
          <w:rFonts w:eastAsia="Times New Roman"/>
        </w:rPr>
        <w:t>Crimes (Stealthing) Amendment</w:t>
      </w:r>
      <w:r w:rsidRPr="0055047C">
        <w:rPr>
          <w:rFonts w:eastAsia="Times New Roman"/>
        </w:rPr>
        <w:t xml:space="preserve"> Bill 2021</w:t>
      </w:r>
      <w:bookmarkEnd w:id="506"/>
    </w:p>
    <w:p w:rsidR="000E313C" w:rsidRDefault="000E313C" w:rsidP="000E313C">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 xml:space="preserve">This </w:t>
      </w:r>
      <w:r w:rsidR="00FC16E0">
        <w:rPr>
          <w:rFonts w:ascii="Calibri" w:eastAsia="Calibri" w:hAnsi="Calibri" w:cs="Calibri"/>
          <w:color w:val="000000"/>
          <w:szCs w:val="20"/>
          <w:lang w:eastAsia="en-AU"/>
        </w:rPr>
        <w:t xml:space="preserve">Private Member’s </w:t>
      </w:r>
      <w:r w:rsidRPr="00133AB1">
        <w:rPr>
          <w:rFonts w:ascii="Calibri" w:eastAsia="Calibri" w:hAnsi="Calibri" w:cs="Calibri"/>
          <w:color w:val="000000"/>
          <w:szCs w:val="20"/>
          <w:lang w:eastAsia="en-AU"/>
        </w:rPr>
        <w:t>Bill</w:t>
      </w:r>
      <w:r>
        <w:rPr>
          <w:rFonts w:ascii="Calibri" w:eastAsia="Calibri" w:hAnsi="Calibri" w:cs="Calibri"/>
          <w:color w:val="000000"/>
          <w:szCs w:val="20"/>
          <w:lang w:eastAsia="en-AU"/>
        </w:rPr>
        <w:t xml:space="preserve"> will amend the </w:t>
      </w:r>
      <w:r w:rsidRPr="00C37A7E">
        <w:rPr>
          <w:rFonts w:ascii="Calibri" w:eastAsia="Calibri" w:hAnsi="Calibri" w:cs="Calibri"/>
          <w:i/>
          <w:iCs/>
          <w:color w:val="000000"/>
          <w:szCs w:val="20"/>
          <w:lang w:eastAsia="en-AU"/>
        </w:rPr>
        <w:t>Crimes Act 1900</w:t>
      </w:r>
      <w:r>
        <w:rPr>
          <w:rFonts w:ascii="Calibri" w:eastAsia="Calibri" w:hAnsi="Calibri" w:cs="Calibri"/>
          <w:color w:val="000000"/>
          <w:szCs w:val="20"/>
          <w:lang w:eastAsia="en-AU"/>
        </w:rPr>
        <w:t xml:space="preserve"> to negate consent for the purposes of various sexual offences where the consent is caused by an intentional misrepresentation about the use of a condom.</w:t>
      </w:r>
    </w:p>
    <w:p w:rsidR="000E313C" w:rsidRPr="00133AB1" w:rsidRDefault="000E313C" w:rsidP="000E313C">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personal rights and liberties</w:t>
      </w:r>
      <w:proofErr w:type="gramStart"/>
      <w:r w:rsidRPr="00133AB1">
        <w:rPr>
          <w:rFonts w:ascii="Calibri" w:eastAsia="Calibri" w:hAnsi="Calibri" w:cs="Calibri"/>
          <w:b/>
          <w:bCs/>
          <w:i/>
          <w:color w:val="000000"/>
          <w:szCs w:val="20"/>
          <w:lang w:eastAsia="en-AU"/>
        </w:rPr>
        <w:t>?—</w:t>
      </w:r>
      <w:proofErr w:type="gramEnd"/>
      <w:r w:rsidRPr="00133AB1">
        <w:rPr>
          <w:rFonts w:ascii="Calibri" w:eastAsia="Calibri" w:hAnsi="Calibri" w:cs="Calibri"/>
          <w:b/>
          <w:bCs/>
          <w:i/>
          <w:color w:val="000000"/>
          <w:szCs w:val="20"/>
          <w:lang w:eastAsia="en-AU"/>
        </w:rPr>
        <w:t xml:space="preserve"> </w:t>
      </w:r>
      <w:r w:rsidRPr="00E83C75">
        <w:rPr>
          <w:b/>
          <w:i/>
          <w:lang w:val="en-US"/>
        </w:rPr>
        <w:t xml:space="preserve">Committee </w:t>
      </w:r>
      <w:r>
        <w:rPr>
          <w:b/>
          <w:i/>
          <w:lang w:val="en-US"/>
        </w:rPr>
        <w:t>Resolution of Appointment paragraph (10)(a)(</w:t>
      </w:r>
      <w:proofErr w:type="spellStart"/>
      <w:r>
        <w:rPr>
          <w:b/>
          <w:i/>
          <w:lang w:val="en-US"/>
        </w:rPr>
        <w:t>i</w:t>
      </w:r>
      <w:proofErr w:type="spellEnd"/>
      <w:r>
        <w:rPr>
          <w:b/>
          <w:i/>
          <w:lang w:val="en-US"/>
        </w:rPr>
        <w:t xml:space="preserve">) </w:t>
      </w:r>
      <w:r w:rsidRPr="00E83C75">
        <w:rPr>
          <w:b/>
          <w:i/>
          <w:lang w:val="en-US"/>
        </w:rPr>
        <w:t xml:space="preserve"> </w:t>
      </w:r>
    </w:p>
    <w:p w:rsidR="000E313C" w:rsidRPr="00133AB1" w:rsidRDefault="000E313C" w:rsidP="000E313C">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rsidR="000E313C" w:rsidRPr="00C3743F" w:rsidRDefault="000E313C" w:rsidP="00C3743F">
      <w:pPr>
        <w:pStyle w:val="Heading5"/>
      </w:pPr>
      <w:r w:rsidRPr="00C3743F">
        <w:t>Right to recognition and equality before the law (section 8 HRA)</w:t>
      </w:r>
    </w:p>
    <w:p w:rsidR="000E313C" w:rsidRPr="00C3743F" w:rsidRDefault="000E313C" w:rsidP="00C3743F">
      <w:pPr>
        <w:pStyle w:val="Heading5"/>
      </w:pPr>
      <w:r w:rsidRPr="00C3743F">
        <w:t>Freedom of expression (section 16 HRA)</w:t>
      </w:r>
    </w:p>
    <w:p w:rsidR="000E313C" w:rsidRDefault="000E313C" w:rsidP="00E073FF">
      <w:pPr>
        <w:spacing w:line="233" w:lineRule="auto"/>
        <w:rPr>
          <w:rFonts w:ascii="Calibri" w:eastAsia="Calibri" w:hAnsi="Calibri" w:cs="Calibri"/>
          <w:color w:val="000000"/>
          <w:szCs w:val="20"/>
          <w:lang w:eastAsia="en-AU"/>
        </w:rPr>
      </w:pPr>
      <w:r>
        <w:t xml:space="preserve">Subsection 67(1) of the Crimes Act provides grounds on which consent is negated for the purposes of various sexual offences (namely the offences of </w:t>
      </w:r>
      <w:r>
        <w:rPr>
          <w:rFonts w:ascii="Calibri" w:eastAsia="Calibri" w:hAnsi="Calibri" w:cs="Calibri"/>
          <w:color w:val="000000"/>
          <w:szCs w:val="20"/>
          <w:lang w:eastAsia="en-AU"/>
        </w:rPr>
        <w:t>sexual intercourse without consent, sexual intercourse with young person and act of indecency with young people). The grounds can also be the basis of attributing knowledge of the lack of consent to the perpetrator of the offences (subsection 67(3)). Without limiting other grounds on which consent may be negatived, subsection 67(1) includes infliction or the threat of infliction of violence, extortion, humiliation, mistaken belief as to a person’s identity, the effect of intoxicating liquor, abuse of position or influence, and a person’s physical helplessness or mental incapacity. The grounds in subsection 67(1) also include where consent is caused by “</w:t>
      </w:r>
      <w:r w:rsidRPr="00F963D7">
        <w:rPr>
          <w:rFonts w:ascii="Calibri" w:eastAsia="Calibri" w:hAnsi="Calibri" w:cs="Calibri"/>
          <w:color w:val="000000"/>
          <w:szCs w:val="20"/>
          <w:lang w:eastAsia="en-AU"/>
        </w:rPr>
        <w:t>a fraudulent misrepresentation of any fact made by the other person, or by a third person to the knowledge of the other person</w:t>
      </w:r>
      <w:r>
        <w:rPr>
          <w:rFonts w:ascii="Calibri" w:eastAsia="Calibri" w:hAnsi="Calibri" w:cs="Calibri"/>
          <w:color w:val="000000"/>
          <w:szCs w:val="20"/>
          <w:lang w:eastAsia="en-AU"/>
        </w:rPr>
        <w:t>” (paragraph 67(1</w:t>
      </w:r>
      <w:proofErr w:type="gramStart"/>
      <w:r>
        <w:rPr>
          <w:rFonts w:ascii="Calibri" w:eastAsia="Calibri" w:hAnsi="Calibri" w:cs="Calibri"/>
          <w:color w:val="000000"/>
          <w:szCs w:val="20"/>
          <w:lang w:eastAsia="en-AU"/>
        </w:rPr>
        <w:t>)(</w:t>
      </w:r>
      <w:proofErr w:type="gramEnd"/>
      <w:r>
        <w:rPr>
          <w:rFonts w:ascii="Calibri" w:eastAsia="Calibri" w:hAnsi="Calibri" w:cs="Calibri"/>
          <w:color w:val="000000"/>
          <w:szCs w:val="20"/>
          <w:lang w:eastAsia="en-AU"/>
        </w:rPr>
        <w:t xml:space="preserve">g)). </w:t>
      </w:r>
    </w:p>
    <w:p w:rsidR="000E313C" w:rsidRDefault="000E313C" w:rsidP="00E073FF">
      <w:pPr>
        <w:spacing w:line="233" w:lineRule="auto"/>
        <w:rPr>
          <w:rFonts w:ascii="Calibri" w:eastAsia="Calibri" w:hAnsi="Calibri" w:cs="Calibri"/>
          <w:color w:val="000000"/>
          <w:szCs w:val="20"/>
          <w:lang w:eastAsia="en-AU"/>
        </w:rPr>
      </w:pPr>
      <w:r>
        <w:rPr>
          <w:rFonts w:ascii="Calibri" w:eastAsia="Calibri" w:hAnsi="Calibri" w:cs="Calibri"/>
          <w:color w:val="000000"/>
          <w:szCs w:val="20"/>
          <w:lang w:eastAsia="en-AU"/>
        </w:rPr>
        <w:t>The Bill will insert a new ground where consent is caused “</w:t>
      </w:r>
      <w:r w:rsidRPr="00F963D7">
        <w:rPr>
          <w:rFonts w:ascii="Calibri" w:eastAsia="Calibri" w:hAnsi="Calibri" w:cs="Calibri"/>
          <w:color w:val="000000"/>
          <w:szCs w:val="20"/>
          <w:lang w:eastAsia="en-AU"/>
        </w:rPr>
        <w:t>by an intentional misrepresentation by the other person about the use of a condom</w:t>
      </w:r>
      <w:r>
        <w:rPr>
          <w:rFonts w:ascii="Calibri" w:eastAsia="Calibri" w:hAnsi="Calibri" w:cs="Calibri"/>
          <w:color w:val="000000"/>
          <w:szCs w:val="20"/>
          <w:lang w:eastAsia="en-AU"/>
        </w:rPr>
        <w:t>”. The explanatory statement accompanying the Bill states that the intention of this amendment is to cover the practice of ‘stealthing’ or the removal of a condom without consent. It is intended that the new ground:</w:t>
      </w:r>
    </w:p>
    <w:p w:rsidR="000E313C" w:rsidRDefault="000E313C" w:rsidP="000E313C">
      <w:pPr>
        <w:ind w:left="720"/>
        <w:rPr>
          <w:rFonts w:ascii="Calibri" w:eastAsia="Calibri" w:hAnsi="Calibri" w:cs="Calibri"/>
          <w:color w:val="000000"/>
          <w:szCs w:val="20"/>
          <w:lang w:eastAsia="en-AU"/>
        </w:rPr>
      </w:pPr>
      <w:proofErr w:type="gramStart"/>
      <w:r w:rsidRPr="00C44622">
        <w:rPr>
          <w:rFonts w:ascii="Calibri" w:eastAsia="Calibri" w:hAnsi="Calibri" w:cs="Calibri"/>
          <w:color w:val="000000"/>
          <w:szCs w:val="20"/>
          <w:lang w:eastAsia="en-AU"/>
        </w:rPr>
        <w:t>would</w:t>
      </w:r>
      <w:proofErr w:type="gramEnd"/>
      <w:r w:rsidRPr="00C44622">
        <w:rPr>
          <w:rFonts w:ascii="Calibri" w:eastAsia="Calibri" w:hAnsi="Calibri" w:cs="Calibri"/>
          <w:color w:val="000000"/>
          <w:szCs w:val="20"/>
          <w:lang w:eastAsia="en-AU"/>
        </w:rPr>
        <w:t xml:space="preserve"> ensure that where consent is given on the basis that a condom be used during intercourse, and the alleged offender either removes the condom or does not put on a condom at all, and intentionally does not inform the other person, then the other person’s consent is taken to be negated</w:t>
      </w:r>
      <w:r>
        <w:rPr>
          <w:rFonts w:ascii="Calibri" w:eastAsia="Calibri" w:hAnsi="Calibri" w:cs="Calibri"/>
          <w:color w:val="000000"/>
          <w:szCs w:val="20"/>
          <w:lang w:eastAsia="en-AU"/>
        </w:rPr>
        <w:t>.</w:t>
      </w:r>
    </w:p>
    <w:p w:rsidR="000E313C" w:rsidRDefault="000E313C" w:rsidP="00E073FF">
      <w:pPr>
        <w:spacing w:line="233" w:lineRule="auto"/>
        <w:rPr>
          <w:rFonts w:ascii="Calibri" w:eastAsia="Calibri" w:hAnsi="Calibri" w:cs="Calibri"/>
          <w:color w:val="000000"/>
          <w:szCs w:val="20"/>
          <w:lang w:eastAsia="en-AU"/>
        </w:rPr>
      </w:pPr>
      <w:r>
        <w:rPr>
          <w:rFonts w:ascii="Calibri" w:eastAsia="Calibri" w:hAnsi="Calibri" w:cs="Calibri"/>
          <w:color w:val="000000"/>
          <w:szCs w:val="20"/>
          <w:lang w:eastAsia="en-AU"/>
        </w:rPr>
        <w:t xml:space="preserve">As this intended application of the provision would generally apply to males, the Bill potentially limits the right to equality protected by 8 of the HRA. The explanatory statement accompanying the Bill recognises this potential limitation and provides a justification using the framework in section 28 of the HRA. The Committee refers this statement to the Assembly. </w:t>
      </w:r>
    </w:p>
    <w:p w:rsidR="000E313C" w:rsidRDefault="000E313C" w:rsidP="00E073FF">
      <w:pPr>
        <w:spacing w:line="233" w:lineRule="auto"/>
        <w:rPr>
          <w:rFonts w:ascii="Calibri" w:eastAsia="Calibri" w:hAnsi="Calibri" w:cs="Calibri"/>
          <w:color w:val="000000"/>
          <w:szCs w:val="20"/>
          <w:lang w:eastAsia="en-AU"/>
        </w:rPr>
      </w:pPr>
      <w:r>
        <w:rPr>
          <w:rFonts w:ascii="Calibri" w:eastAsia="Calibri" w:hAnsi="Calibri" w:cs="Calibri"/>
          <w:color w:val="000000"/>
          <w:szCs w:val="20"/>
          <w:lang w:eastAsia="en-AU"/>
        </w:rPr>
        <w:t>In justifying potential unequal application of the Bill, the explanatory statement describes the purpose of the Bill as a clarification of the existing consent provisions. However, the Committee is concerned about the extent to which the operation of the proposed amendment will be affected by existing provisions, and in particular the negativing of consent caused by fraudulent misrepresentations of any fact provided for in paragraph 67(1</w:t>
      </w:r>
      <w:proofErr w:type="gramStart"/>
      <w:r>
        <w:rPr>
          <w:rFonts w:ascii="Calibri" w:eastAsia="Calibri" w:hAnsi="Calibri" w:cs="Calibri"/>
          <w:color w:val="000000"/>
          <w:szCs w:val="20"/>
          <w:lang w:eastAsia="en-AU"/>
        </w:rPr>
        <w:t>)(</w:t>
      </w:r>
      <w:proofErr w:type="gramEnd"/>
      <w:r>
        <w:rPr>
          <w:rFonts w:ascii="Calibri" w:eastAsia="Calibri" w:hAnsi="Calibri" w:cs="Calibri"/>
          <w:color w:val="000000"/>
          <w:szCs w:val="20"/>
          <w:lang w:eastAsia="en-AU"/>
        </w:rPr>
        <w:t xml:space="preserve">g). Justice </w:t>
      </w:r>
      <w:proofErr w:type="spellStart"/>
      <w:r>
        <w:rPr>
          <w:rFonts w:ascii="Calibri" w:eastAsia="Calibri" w:hAnsi="Calibri" w:cs="Calibri"/>
          <w:color w:val="000000"/>
          <w:szCs w:val="20"/>
          <w:lang w:eastAsia="en-AU"/>
        </w:rPr>
        <w:t>Refshauge</w:t>
      </w:r>
      <w:proofErr w:type="spellEnd"/>
      <w:r>
        <w:rPr>
          <w:rFonts w:ascii="Calibri" w:eastAsia="Calibri" w:hAnsi="Calibri" w:cs="Calibri"/>
          <w:color w:val="000000"/>
          <w:szCs w:val="20"/>
          <w:lang w:eastAsia="en-AU"/>
        </w:rPr>
        <w:t xml:space="preserve"> in </w:t>
      </w:r>
      <w:r w:rsidRPr="00264D87">
        <w:rPr>
          <w:rFonts w:ascii="Calibri" w:eastAsia="Calibri" w:hAnsi="Calibri" w:cs="Calibri"/>
          <w:i/>
          <w:iCs/>
          <w:color w:val="000000"/>
          <w:szCs w:val="20"/>
          <w:lang w:eastAsia="en-AU"/>
        </w:rPr>
        <w:t xml:space="preserve">R v </w:t>
      </w:r>
      <w:proofErr w:type="spellStart"/>
      <w:r w:rsidRPr="00264D87">
        <w:rPr>
          <w:rFonts w:ascii="Calibri" w:eastAsia="Calibri" w:hAnsi="Calibri" w:cs="Calibri"/>
          <w:i/>
          <w:iCs/>
          <w:color w:val="000000"/>
          <w:szCs w:val="20"/>
          <w:lang w:eastAsia="en-AU"/>
        </w:rPr>
        <w:t>Tamawiwy</w:t>
      </w:r>
      <w:proofErr w:type="spellEnd"/>
      <w:r w:rsidRPr="00264D87">
        <w:rPr>
          <w:rFonts w:ascii="Calibri" w:eastAsia="Calibri" w:hAnsi="Calibri" w:cs="Calibri"/>
          <w:i/>
          <w:iCs/>
          <w:color w:val="000000"/>
          <w:szCs w:val="20"/>
          <w:lang w:eastAsia="en-AU"/>
        </w:rPr>
        <w:t xml:space="preserve"> (No 2)</w:t>
      </w:r>
      <w:r>
        <w:rPr>
          <w:rFonts w:ascii="Calibri" w:eastAsia="Calibri" w:hAnsi="Calibri" w:cs="Calibri"/>
          <w:i/>
          <w:iCs/>
          <w:color w:val="000000"/>
          <w:szCs w:val="20"/>
          <w:lang w:eastAsia="en-AU"/>
        </w:rPr>
        <w:t>,</w:t>
      </w:r>
      <w:r>
        <w:rPr>
          <w:rStyle w:val="FootnoteReference"/>
          <w:rFonts w:ascii="Calibri" w:eastAsia="Calibri" w:hAnsi="Calibri" w:cs="Calibri"/>
          <w:i/>
          <w:iCs/>
          <w:color w:val="000000"/>
          <w:szCs w:val="20"/>
          <w:lang w:eastAsia="en-AU"/>
        </w:rPr>
        <w:footnoteReference w:id="1"/>
      </w:r>
      <w:r w:rsidRPr="00264D87">
        <w:rPr>
          <w:rFonts w:ascii="Calibri" w:eastAsia="Calibri" w:hAnsi="Calibri" w:cs="Calibri"/>
          <w:color w:val="000000"/>
          <w:szCs w:val="20"/>
          <w:lang w:eastAsia="en-AU"/>
        </w:rPr>
        <w:t xml:space="preserve"> </w:t>
      </w:r>
      <w:r>
        <w:rPr>
          <w:rFonts w:ascii="Calibri" w:eastAsia="Calibri" w:hAnsi="Calibri" w:cs="Calibri"/>
          <w:color w:val="000000"/>
          <w:szCs w:val="20"/>
          <w:lang w:eastAsia="en-AU"/>
        </w:rPr>
        <w:t>in reviewing the history and policy behind the introduction of paragraph 67(1</w:t>
      </w:r>
      <w:proofErr w:type="gramStart"/>
      <w:r>
        <w:rPr>
          <w:rFonts w:ascii="Calibri" w:eastAsia="Calibri" w:hAnsi="Calibri" w:cs="Calibri"/>
          <w:color w:val="000000"/>
          <w:szCs w:val="20"/>
          <w:lang w:eastAsia="en-AU"/>
        </w:rPr>
        <w:t>)(</w:t>
      </w:r>
      <w:proofErr w:type="gramEnd"/>
      <w:r>
        <w:rPr>
          <w:rFonts w:ascii="Calibri" w:eastAsia="Calibri" w:hAnsi="Calibri" w:cs="Calibri"/>
          <w:color w:val="000000"/>
          <w:szCs w:val="20"/>
          <w:lang w:eastAsia="en-AU"/>
        </w:rPr>
        <w:t xml:space="preserve">g), saw no reason to </w:t>
      </w:r>
      <w:r w:rsidRPr="00264D87">
        <w:rPr>
          <w:rFonts w:ascii="Calibri" w:eastAsia="Calibri" w:hAnsi="Calibri" w:cs="Calibri"/>
          <w:color w:val="000000"/>
          <w:szCs w:val="20"/>
          <w:lang w:eastAsia="en-AU"/>
        </w:rPr>
        <w:t xml:space="preserve">impose a restrictive or common law view </w:t>
      </w:r>
      <w:r>
        <w:rPr>
          <w:rFonts w:ascii="Calibri" w:eastAsia="Calibri" w:hAnsi="Calibri" w:cs="Calibri"/>
          <w:color w:val="000000"/>
          <w:szCs w:val="20"/>
          <w:lang w:eastAsia="en-AU"/>
        </w:rPr>
        <w:t>on its application. On this approach paragraph 67(1</w:t>
      </w:r>
      <w:proofErr w:type="gramStart"/>
      <w:r>
        <w:rPr>
          <w:rFonts w:ascii="Calibri" w:eastAsia="Calibri" w:hAnsi="Calibri" w:cs="Calibri"/>
          <w:color w:val="000000"/>
          <w:szCs w:val="20"/>
          <w:lang w:eastAsia="en-AU"/>
        </w:rPr>
        <w:t>)(</w:t>
      </w:r>
      <w:proofErr w:type="gramEnd"/>
      <w:r>
        <w:rPr>
          <w:rFonts w:ascii="Calibri" w:eastAsia="Calibri" w:hAnsi="Calibri" w:cs="Calibri"/>
          <w:color w:val="000000"/>
          <w:szCs w:val="20"/>
          <w:lang w:eastAsia="en-AU"/>
        </w:rPr>
        <w:t>g) would include the examples provided in the explanatory statement of the intended operation of the provisions.</w:t>
      </w:r>
    </w:p>
    <w:p w:rsidR="000E313C" w:rsidRDefault="000E313C" w:rsidP="00E073FF">
      <w:pPr>
        <w:spacing w:line="233" w:lineRule="auto"/>
        <w:rPr>
          <w:rFonts w:ascii="Calibri" w:eastAsia="Calibri" w:hAnsi="Calibri" w:cs="Calibri"/>
          <w:color w:val="000000"/>
          <w:szCs w:val="20"/>
          <w:lang w:eastAsia="en-AU"/>
        </w:rPr>
      </w:pPr>
      <w:r>
        <w:rPr>
          <w:rFonts w:ascii="Calibri" w:eastAsia="Calibri" w:hAnsi="Calibri" w:cs="Calibri"/>
          <w:color w:val="000000"/>
          <w:szCs w:val="20"/>
          <w:lang w:eastAsia="en-AU"/>
        </w:rPr>
        <w:t xml:space="preserve">In </w:t>
      </w:r>
      <w:proofErr w:type="spellStart"/>
      <w:r w:rsidRPr="0051010A">
        <w:rPr>
          <w:rFonts w:ascii="Calibri" w:eastAsia="Calibri" w:hAnsi="Calibri" w:cs="Calibri"/>
          <w:i/>
          <w:iCs/>
          <w:color w:val="000000"/>
          <w:szCs w:val="20"/>
          <w:lang w:eastAsia="en-AU"/>
        </w:rPr>
        <w:t>Tamawiwy</w:t>
      </w:r>
      <w:proofErr w:type="spellEnd"/>
      <w:r>
        <w:rPr>
          <w:rFonts w:ascii="Calibri" w:eastAsia="Calibri" w:hAnsi="Calibri" w:cs="Calibri"/>
          <w:color w:val="000000"/>
          <w:szCs w:val="20"/>
          <w:lang w:eastAsia="en-AU"/>
        </w:rPr>
        <w:t xml:space="preserve">, Justice </w:t>
      </w:r>
      <w:proofErr w:type="spellStart"/>
      <w:r>
        <w:rPr>
          <w:rFonts w:ascii="Calibri" w:eastAsia="Calibri" w:hAnsi="Calibri" w:cs="Calibri"/>
          <w:color w:val="000000"/>
          <w:szCs w:val="20"/>
          <w:lang w:eastAsia="en-AU"/>
        </w:rPr>
        <w:t>Refshauge</w:t>
      </w:r>
      <w:proofErr w:type="spellEnd"/>
      <w:r>
        <w:rPr>
          <w:rFonts w:ascii="Calibri" w:eastAsia="Calibri" w:hAnsi="Calibri" w:cs="Calibri"/>
          <w:color w:val="000000"/>
          <w:szCs w:val="20"/>
          <w:lang w:eastAsia="en-AU"/>
        </w:rPr>
        <w:t xml:space="preserve"> warned, however, of the potential need to limit the</w:t>
      </w:r>
      <w:r w:rsidRPr="00264D87">
        <w:rPr>
          <w:rFonts w:ascii="Calibri" w:eastAsia="Calibri" w:hAnsi="Calibri" w:cs="Calibri"/>
          <w:color w:val="000000"/>
          <w:szCs w:val="20"/>
          <w:lang w:eastAsia="en-AU"/>
        </w:rPr>
        <w:t xml:space="preserve"> </w:t>
      </w:r>
      <w:r>
        <w:rPr>
          <w:rFonts w:ascii="Calibri" w:eastAsia="Calibri" w:hAnsi="Calibri" w:cs="Calibri"/>
          <w:color w:val="000000"/>
          <w:szCs w:val="20"/>
          <w:lang w:eastAsia="en-AU"/>
        </w:rPr>
        <w:t>“</w:t>
      </w:r>
      <w:r w:rsidRPr="00264D87">
        <w:rPr>
          <w:rFonts w:ascii="Calibri" w:eastAsia="Calibri" w:hAnsi="Calibri" w:cs="Calibri"/>
          <w:color w:val="000000"/>
          <w:szCs w:val="20"/>
          <w:lang w:eastAsia="en-AU"/>
        </w:rPr>
        <w:t>apparently boundless width of any relevant fraudulent misrepresentation</w:t>
      </w:r>
      <w:r>
        <w:rPr>
          <w:rFonts w:ascii="Calibri" w:eastAsia="Calibri" w:hAnsi="Calibri" w:cs="Calibri"/>
          <w:color w:val="000000"/>
          <w:szCs w:val="20"/>
          <w:lang w:eastAsia="en-AU"/>
        </w:rPr>
        <w:t>” which may fall within paragraph 67(1</w:t>
      </w:r>
      <w:proofErr w:type="gramStart"/>
      <w:r>
        <w:rPr>
          <w:rFonts w:ascii="Calibri" w:eastAsia="Calibri" w:hAnsi="Calibri" w:cs="Calibri"/>
          <w:color w:val="000000"/>
          <w:szCs w:val="20"/>
          <w:lang w:eastAsia="en-AU"/>
        </w:rPr>
        <w:t>)(</w:t>
      </w:r>
      <w:proofErr w:type="gramEnd"/>
      <w:r>
        <w:rPr>
          <w:rFonts w:ascii="Calibri" w:eastAsia="Calibri" w:hAnsi="Calibri" w:cs="Calibri"/>
          <w:color w:val="000000"/>
          <w:szCs w:val="20"/>
          <w:lang w:eastAsia="en-AU"/>
        </w:rPr>
        <w:t>g).</w:t>
      </w:r>
      <w:r>
        <w:rPr>
          <w:rStyle w:val="FootnoteReference"/>
          <w:rFonts w:ascii="Calibri" w:eastAsia="Calibri" w:hAnsi="Calibri" w:cs="Calibri"/>
          <w:color w:val="000000"/>
          <w:szCs w:val="20"/>
          <w:lang w:eastAsia="en-AU"/>
        </w:rPr>
        <w:footnoteReference w:id="2"/>
      </w:r>
      <w:r>
        <w:rPr>
          <w:rFonts w:ascii="Calibri" w:eastAsia="Calibri" w:hAnsi="Calibri" w:cs="Calibri"/>
          <w:color w:val="000000"/>
          <w:szCs w:val="20"/>
          <w:lang w:eastAsia="en-AU"/>
        </w:rPr>
        <w:t xml:space="preserve"> Any such limitation is likely to be based on the meaning of fraudulent incorporating objective standards of whether the statement is considered dishonest in the view of ordinary members of the community. The Committee is concerned that the omission of </w:t>
      </w:r>
      <w:r w:rsidR="00140C2E">
        <w:rPr>
          <w:rFonts w:ascii="Calibri" w:eastAsia="Calibri" w:hAnsi="Calibri" w:cs="Calibri"/>
          <w:color w:val="000000"/>
          <w:szCs w:val="20"/>
          <w:lang w:eastAsia="en-AU"/>
        </w:rPr>
        <w:t>“</w:t>
      </w:r>
      <w:r>
        <w:rPr>
          <w:rFonts w:ascii="Calibri" w:eastAsia="Calibri" w:hAnsi="Calibri" w:cs="Calibri"/>
          <w:color w:val="000000"/>
          <w:szCs w:val="20"/>
          <w:lang w:eastAsia="en-AU"/>
        </w:rPr>
        <w:t>fraudulent</w:t>
      </w:r>
      <w:r w:rsidR="00140C2E">
        <w:rPr>
          <w:rFonts w:ascii="Calibri" w:eastAsia="Calibri" w:hAnsi="Calibri" w:cs="Calibri"/>
          <w:color w:val="000000"/>
          <w:szCs w:val="20"/>
          <w:lang w:eastAsia="en-AU"/>
        </w:rPr>
        <w:t>”</w:t>
      </w:r>
      <w:r>
        <w:rPr>
          <w:rFonts w:ascii="Calibri" w:eastAsia="Calibri" w:hAnsi="Calibri" w:cs="Calibri"/>
          <w:color w:val="000000"/>
          <w:szCs w:val="20"/>
          <w:lang w:eastAsia="en-AU"/>
        </w:rPr>
        <w:t xml:space="preserve"> in the proposed ground and replacement with “intentional” may broaden the scope of the proposed ground beyond that intended. This may also be considered a potential limitation of the right to freedom of expression protected by section 16 of the HRA. Alternatively it may restrict the operation of the existing paragraph 67(1</w:t>
      </w:r>
      <w:proofErr w:type="gramStart"/>
      <w:r>
        <w:rPr>
          <w:rFonts w:ascii="Calibri" w:eastAsia="Calibri" w:hAnsi="Calibri" w:cs="Calibri"/>
          <w:color w:val="000000"/>
          <w:szCs w:val="20"/>
          <w:lang w:eastAsia="en-AU"/>
        </w:rPr>
        <w:t>)(</w:t>
      </w:r>
      <w:proofErr w:type="gramEnd"/>
      <w:r>
        <w:rPr>
          <w:rFonts w:ascii="Calibri" w:eastAsia="Calibri" w:hAnsi="Calibri" w:cs="Calibri"/>
          <w:color w:val="000000"/>
          <w:szCs w:val="20"/>
          <w:lang w:eastAsia="en-AU"/>
        </w:rPr>
        <w:t>g) to limit its potential application to other forms of misrepresentation.</w:t>
      </w:r>
    </w:p>
    <w:p w:rsidR="000E313C" w:rsidRDefault="000E313C" w:rsidP="00E073FF">
      <w:pPr>
        <w:spacing w:line="233" w:lineRule="auto"/>
        <w:rPr>
          <w:rFonts w:ascii="Calibri" w:eastAsia="Calibri" w:hAnsi="Calibri" w:cs="Calibri"/>
          <w:color w:val="000000"/>
          <w:szCs w:val="20"/>
          <w:lang w:eastAsia="en-AU"/>
        </w:rPr>
      </w:pPr>
      <w:r>
        <w:rPr>
          <w:rFonts w:ascii="Calibri" w:eastAsia="Calibri" w:hAnsi="Calibri" w:cs="Calibri"/>
          <w:color w:val="000000"/>
          <w:szCs w:val="20"/>
          <w:lang w:eastAsia="en-AU"/>
        </w:rPr>
        <w:t>The Committee therefore requests further information on how the intended ground is intended to augment or extend the current protection offered by paragraph 67(1</w:t>
      </w:r>
      <w:proofErr w:type="gramStart"/>
      <w:r>
        <w:rPr>
          <w:rFonts w:ascii="Calibri" w:eastAsia="Calibri" w:hAnsi="Calibri" w:cs="Calibri"/>
          <w:color w:val="000000"/>
          <w:szCs w:val="20"/>
          <w:lang w:eastAsia="en-AU"/>
        </w:rPr>
        <w:t>)(</w:t>
      </w:r>
      <w:proofErr w:type="gramEnd"/>
      <w:r>
        <w:rPr>
          <w:rFonts w:ascii="Calibri" w:eastAsia="Calibri" w:hAnsi="Calibri" w:cs="Calibri"/>
          <w:color w:val="000000"/>
          <w:szCs w:val="20"/>
          <w:lang w:eastAsia="en-AU"/>
        </w:rPr>
        <w:t xml:space="preserve">g). Consideration should be given to amending the explanatory statement to include reference to the potential limitation of the right to freedom of expression and its justification.   </w:t>
      </w:r>
    </w:p>
    <w:p w:rsidR="000E313C" w:rsidRPr="00E83C75" w:rsidRDefault="000E313C" w:rsidP="000E313C">
      <w:pPr>
        <w:pStyle w:val="Bodycopy"/>
        <w:spacing w:line="280" w:lineRule="exact"/>
        <w:rPr>
          <w:b/>
        </w:rPr>
      </w:pPr>
      <w:r w:rsidRPr="00E83C75">
        <w:rPr>
          <w:b/>
        </w:rPr>
        <w:t>The Committee draws th</w:t>
      </w:r>
      <w:r>
        <w:rPr>
          <w:b/>
        </w:rPr>
        <w:t>is</w:t>
      </w:r>
      <w:r w:rsidRPr="00E83C75">
        <w:rPr>
          <w:b/>
        </w:rPr>
        <w:t xml:space="preserve"> matter to the attention of the Assembly, and asks the </w:t>
      </w:r>
      <w:r>
        <w:rPr>
          <w:b/>
        </w:rPr>
        <w:t>Member</w:t>
      </w:r>
      <w:r w:rsidRPr="00E83C75">
        <w:rPr>
          <w:b/>
        </w:rPr>
        <w:t xml:space="preserve"> to respond.</w:t>
      </w:r>
    </w:p>
    <w:p w:rsidR="000E313C" w:rsidRPr="00133AB1" w:rsidRDefault="000E313C" w:rsidP="000E313C">
      <w:pPr>
        <w:pStyle w:val="Heading4"/>
        <w:pBdr>
          <w:bottom w:val="single" w:sz="6" w:space="1" w:color="000000"/>
        </w:pBdr>
        <w:rPr>
          <w:rFonts w:eastAsia="Times New Roman"/>
        </w:rPr>
      </w:pPr>
      <w:bookmarkStart w:id="507" w:name="_Toc71022172"/>
      <w:r>
        <w:rPr>
          <w:rFonts w:eastAsia="Times New Roman"/>
        </w:rPr>
        <w:t xml:space="preserve">Statute Law Amendment </w:t>
      </w:r>
      <w:r w:rsidRPr="00650AC8">
        <w:rPr>
          <w:rFonts w:eastAsia="Times New Roman"/>
        </w:rPr>
        <w:t>Bill 2021</w:t>
      </w:r>
      <w:bookmarkEnd w:id="507"/>
    </w:p>
    <w:p w:rsidR="000E313C" w:rsidRDefault="000E313C" w:rsidP="000E313C">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makes </w:t>
      </w:r>
      <w:r w:rsidRPr="00B01D50">
        <w:rPr>
          <w:rFonts w:ascii="Calibri" w:eastAsia="Calibri" w:hAnsi="Calibri" w:cs="Calibri"/>
          <w:color w:val="000000"/>
          <w:szCs w:val="20"/>
          <w:lang w:eastAsia="en-AU"/>
        </w:rPr>
        <w:t>minor or technical</w:t>
      </w:r>
      <w:r>
        <w:rPr>
          <w:rFonts w:ascii="Calibri" w:eastAsia="Calibri" w:hAnsi="Calibri" w:cs="Calibri"/>
          <w:color w:val="000000"/>
          <w:szCs w:val="20"/>
          <w:lang w:eastAsia="en-AU"/>
        </w:rPr>
        <w:t xml:space="preserve"> amendments to a wide range of statutes as part of continuing efforts to make the </w:t>
      </w:r>
      <w:r>
        <w:rPr>
          <w:sz w:val="23"/>
          <w:szCs w:val="23"/>
        </w:rPr>
        <w:t>ACT’s statute book simpler, more consistent and coherent, and up-to-date</w:t>
      </w:r>
      <w:r>
        <w:rPr>
          <w:rFonts w:ascii="Calibri" w:eastAsia="Calibri" w:hAnsi="Calibri" w:cs="Calibri"/>
          <w:color w:val="000000"/>
          <w:szCs w:val="20"/>
          <w:lang w:eastAsia="en-AU"/>
        </w:rPr>
        <w:t>.</w:t>
      </w:r>
    </w:p>
    <w:p w:rsidR="000E313C" w:rsidRPr="00133AB1" w:rsidRDefault="000E313C" w:rsidP="000E313C">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personal rights and liberties</w:t>
      </w:r>
      <w:proofErr w:type="gramStart"/>
      <w:r w:rsidRPr="00133AB1">
        <w:rPr>
          <w:rFonts w:ascii="Calibri" w:eastAsia="Calibri" w:hAnsi="Calibri" w:cs="Calibri"/>
          <w:b/>
          <w:bCs/>
          <w:i/>
          <w:color w:val="000000"/>
          <w:szCs w:val="20"/>
          <w:lang w:eastAsia="en-AU"/>
        </w:rPr>
        <w:t>?—</w:t>
      </w:r>
      <w:proofErr w:type="gramEnd"/>
      <w:r w:rsidRPr="00133AB1">
        <w:rPr>
          <w:rFonts w:ascii="Calibri" w:eastAsia="Calibri" w:hAnsi="Calibri" w:cs="Calibri"/>
          <w:b/>
          <w:bCs/>
          <w:i/>
          <w:color w:val="000000"/>
          <w:szCs w:val="20"/>
          <w:lang w:eastAsia="en-AU"/>
        </w:rPr>
        <w:t xml:space="preserve"> </w:t>
      </w:r>
      <w:r w:rsidRPr="00E83C75">
        <w:rPr>
          <w:b/>
          <w:i/>
          <w:lang w:val="en-US"/>
        </w:rPr>
        <w:t xml:space="preserve">Committee </w:t>
      </w:r>
      <w:r>
        <w:rPr>
          <w:b/>
          <w:i/>
          <w:lang w:val="en-US"/>
        </w:rPr>
        <w:t>Resolution of Appointment paragraph (10)(a)(</w:t>
      </w:r>
      <w:proofErr w:type="spellStart"/>
      <w:r>
        <w:rPr>
          <w:b/>
          <w:i/>
          <w:lang w:val="en-US"/>
        </w:rPr>
        <w:t>i</w:t>
      </w:r>
      <w:proofErr w:type="spellEnd"/>
      <w:r>
        <w:rPr>
          <w:b/>
          <w:i/>
          <w:lang w:val="en-US"/>
        </w:rPr>
        <w:t xml:space="preserve">) </w:t>
      </w:r>
      <w:r w:rsidRPr="00E83C75">
        <w:rPr>
          <w:b/>
          <w:i/>
          <w:lang w:val="en-US"/>
        </w:rPr>
        <w:t xml:space="preserve"> </w:t>
      </w:r>
    </w:p>
    <w:p w:rsidR="000E313C" w:rsidRPr="00133AB1" w:rsidRDefault="000E313C" w:rsidP="000E313C">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rsidR="000E313C" w:rsidRDefault="000E313C" w:rsidP="000E313C">
      <w:pPr>
        <w:pStyle w:val="Heading5"/>
      </w:pPr>
      <w:r w:rsidRPr="0067269D">
        <w:t>Right to privacy and reputation (s</w:t>
      </w:r>
      <w:r>
        <w:t>ection</w:t>
      </w:r>
      <w:r w:rsidRPr="0067269D">
        <w:t xml:space="preserve"> 12 HRA)</w:t>
      </w:r>
    </w:p>
    <w:p w:rsidR="000E313C" w:rsidRDefault="000E313C" w:rsidP="000E313C">
      <w:pPr>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Bill will amend the </w:t>
      </w:r>
      <w:r w:rsidRPr="00B01D50">
        <w:rPr>
          <w:rFonts w:ascii="Calibri" w:eastAsia="Calibri" w:hAnsi="Calibri" w:cs="Calibri"/>
          <w:i/>
          <w:iCs/>
          <w:color w:val="000000"/>
          <w:szCs w:val="20"/>
          <w:lang w:eastAsia="en-AU"/>
        </w:rPr>
        <w:t>Mental Health Act 2015</w:t>
      </w:r>
      <w:r>
        <w:rPr>
          <w:rFonts w:ascii="Calibri" w:eastAsia="Calibri" w:hAnsi="Calibri" w:cs="Calibri"/>
          <w:color w:val="000000"/>
          <w:szCs w:val="20"/>
          <w:lang w:eastAsia="en-AU"/>
        </w:rPr>
        <w:t xml:space="preserve"> by making it possible for a registered affected person (</w:t>
      </w:r>
      <w:proofErr w:type="spellStart"/>
      <w:r>
        <w:rPr>
          <w:rFonts w:ascii="Calibri" w:eastAsia="Calibri" w:hAnsi="Calibri" w:cs="Calibri"/>
          <w:color w:val="000000"/>
          <w:szCs w:val="20"/>
          <w:lang w:eastAsia="en-AU"/>
        </w:rPr>
        <w:t>ie</w:t>
      </w:r>
      <w:proofErr w:type="spellEnd"/>
      <w:r>
        <w:rPr>
          <w:rFonts w:ascii="Calibri" w:eastAsia="Calibri" w:hAnsi="Calibri" w:cs="Calibri"/>
          <w:color w:val="000000"/>
          <w:szCs w:val="20"/>
          <w:lang w:eastAsia="en-AU"/>
        </w:rPr>
        <w:t xml:space="preserve"> a person registered as having </w:t>
      </w:r>
      <w:r w:rsidRPr="00B01D50">
        <w:rPr>
          <w:rFonts w:ascii="Calibri" w:eastAsia="Calibri" w:hAnsi="Calibri" w:cs="Calibri"/>
          <w:color w:val="000000"/>
          <w:szCs w:val="20"/>
          <w:lang w:eastAsia="en-AU"/>
        </w:rPr>
        <w:t>suffer</w:t>
      </w:r>
      <w:r>
        <w:rPr>
          <w:rFonts w:ascii="Calibri" w:eastAsia="Calibri" w:hAnsi="Calibri" w:cs="Calibri"/>
          <w:color w:val="000000"/>
          <w:szCs w:val="20"/>
          <w:lang w:eastAsia="en-AU"/>
        </w:rPr>
        <w:t>ed</w:t>
      </w:r>
      <w:r w:rsidRPr="00B01D50">
        <w:rPr>
          <w:rFonts w:ascii="Calibri" w:eastAsia="Calibri" w:hAnsi="Calibri" w:cs="Calibri"/>
          <w:color w:val="000000"/>
          <w:szCs w:val="20"/>
          <w:lang w:eastAsia="en-AU"/>
        </w:rPr>
        <w:t xml:space="preserve"> harm because of an offence committed, or alleged to have </w:t>
      </w:r>
      <w:r>
        <w:rPr>
          <w:rFonts w:ascii="Calibri" w:eastAsia="Calibri" w:hAnsi="Calibri" w:cs="Calibri"/>
          <w:color w:val="000000"/>
          <w:szCs w:val="20"/>
          <w:lang w:eastAsia="en-AU"/>
        </w:rPr>
        <w:t>b</w:t>
      </w:r>
      <w:r w:rsidRPr="00B01D50">
        <w:rPr>
          <w:rFonts w:ascii="Calibri" w:eastAsia="Calibri" w:hAnsi="Calibri" w:cs="Calibri"/>
          <w:color w:val="000000"/>
          <w:szCs w:val="20"/>
          <w:lang w:eastAsia="en-AU"/>
        </w:rPr>
        <w:t xml:space="preserve">een committed, by </w:t>
      </w:r>
      <w:r>
        <w:rPr>
          <w:rFonts w:ascii="Calibri" w:eastAsia="Calibri" w:hAnsi="Calibri" w:cs="Calibri"/>
          <w:color w:val="000000"/>
          <w:szCs w:val="20"/>
          <w:lang w:eastAsia="en-AU"/>
        </w:rPr>
        <w:t>a</w:t>
      </w:r>
      <w:r w:rsidRPr="00B01D50">
        <w:rPr>
          <w:rFonts w:ascii="Calibri" w:eastAsia="Calibri" w:hAnsi="Calibri" w:cs="Calibri"/>
          <w:color w:val="000000"/>
          <w:szCs w:val="20"/>
          <w:lang w:eastAsia="en-AU"/>
        </w:rPr>
        <w:t xml:space="preserve"> forensic patient</w:t>
      </w:r>
      <w:r>
        <w:rPr>
          <w:rFonts w:ascii="Calibri" w:eastAsia="Calibri" w:hAnsi="Calibri" w:cs="Calibri"/>
          <w:color w:val="000000"/>
          <w:szCs w:val="20"/>
          <w:lang w:eastAsia="en-AU"/>
        </w:rPr>
        <w:t xml:space="preserve">, a forensic patient being a person who is the subject of a forensic mental health order or who may be required by an order of a court to have their mental capacity reviewed) to attend a proceeding on a mental health order, forensic mental health order or review of detention under a court order. This will allow the registered affected person to have access to various personal and highly sensitive information relating to the forensic patient, potentially limiting the forensic patient’s privacy and reputation protected by section 12 of the HRA. </w:t>
      </w:r>
    </w:p>
    <w:p w:rsidR="000E313C" w:rsidRPr="00B01D50" w:rsidRDefault="000E313C" w:rsidP="000E313C">
      <w:pPr>
        <w:rPr>
          <w:rFonts w:ascii="Calibri" w:eastAsia="Calibri" w:hAnsi="Calibri" w:cs="Calibri"/>
          <w:color w:val="000000"/>
          <w:szCs w:val="20"/>
          <w:lang w:eastAsia="en-AU"/>
        </w:rPr>
      </w:pPr>
      <w:r>
        <w:rPr>
          <w:rFonts w:ascii="Calibri" w:eastAsia="Calibri" w:hAnsi="Calibri" w:cs="Calibri"/>
          <w:color w:val="000000"/>
          <w:szCs w:val="20"/>
          <w:lang w:eastAsia="en-AU"/>
        </w:rPr>
        <w:t>The explanatory statement accompanying the Bill recognises this potential limitation and provides a statement setting out why it should be considered reasonable using the framework set out in section 28 of the HRA. The Committee refers this statement to the Assembly.</w:t>
      </w:r>
    </w:p>
    <w:p w:rsidR="000E313C" w:rsidRPr="00E83C75" w:rsidRDefault="000E313C" w:rsidP="000E313C">
      <w:pPr>
        <w:pStyle w:val="Bodycopy"/>
        <w:spacing w:line="280" w:lineRule="exact"/>
        <w:rPr>
          <w:b/>
          <w:bCs/>
        </w:rPr>
      </w:pPr>
      <w:r w:rsidRPr="00E83C75">
        <w:rPr>
          <w:b/>
          <w:bCs/>
        </w:rPr>
        <w:t>The Committee draws this matter to the attention of the Assembly, but does not require a response from the Minister.</w:t>
      </w:r>
    </w:p>
    <w:p w:rsidR="000E313C" w:rsidRPr="00E83C75" w:rsidRDefault="000E313C" w:rsidP="000E313C">
      <w:pPr>
        <w:pStyle w:val="Bodycopy"/>
        <w:rPr>
          <w:b/>
          <w:bCs/>
          <w:i/>
        </w:rPr>
      </w:pPr>
      <w:r w:rsidRPr="00E83C75">
        <w:rPr>
          <w:b/>
          <w:bCs/>
          <w:i/>
        </w:rPr>
        <w:t>Do any provisions of the Bill inappropriately delegate legislative powers?</w:t>
      </w:r>
      <w:r>
        <w:rPr>
          <w:b/>
          <w:bCs/>
          <w:i/>
        </w:rPr>
        <w:t>—</w:t>
      </w:r>
      <w:r w:rsidRPr="00E83C75">
        <w:rPr>
          <w:b/>
          <w:i/>
          <w:lang w:val="en-US"/>
        </w:rPr>
        <w:t xml:space="preserve">Committee </w:t>
      </w:r>
      <w:r>
        <w:rPr>
          <w:b/>
          <w:i/>
          <w:lang w:val="en-US"/>
        </w:rPr>
        <w:t>Resolution of Appointment paragraph (10</w:t>
      </w:r>
      <w:proofErr w:type="gramStart"/>
      <w:r>
        <w:rPr>
          <w:b/>
          <w:i/>
          <w:lang w:val="en-US"/>
        </w:rPr>
        <w:t>)(</w:t>
      </w:r>
      <w:proofErr w:type="gramEnd"/>
      <w:r>
        <w:rPr>
          <w:b/>
          <w:i/>
          <w:lang w:val="en-US"/>
        </w:rPr>
        <w:t>a)(iv)</w:t>
      </w:r>
    </w:p>
    <w:p w:rsidR="000E313C" w:rsidRDefault="000E313C" w:rsidP="000E313C">
      <w:pPr>
        <w:pStyle w:val="Bodycopy"/>
        <w:rPr>
          <w:b/>
          <w:bCs/>
          <w:i/>
        </w:rPr>
      </w:pPr>
      <w:r w:rsidRPr="00E83C75">
        <w:rPr>
          <w:b/>
          <w:bCs/>
          <w:i/>
        </w:rPr>
        <w:t xml:space="preserve">Do any provisions of the Bill </w:t>
      </w:r>
      <w:r w:rsidRPr="00024030">
        <w:rPr>
          <w:b/>
          <w:bCs/>
          <w:i/>
        </w:rPr>
        <w:t>insufficiently subject the exercise of legislative power to parliamentary scrutiny</w:t>
      </w:r>
      <w:r>
        <w:rPr>
          <w:b/>
          <w:bCs/>
          <w:i/>
        </w:rPr>
        <w:t>?</w:t>
      </w:r>
      <w:r w:rsidR="00B2686F">
        <w:rPr>
          <w:b/>
          <w:bCs/>
          <w:i/>
        </w:rPr>
        <w:t>—</w:t>
      </w:r>
      <w:r w:rsidRPr="00E83C75">
        <w:rPr>
          <w:b/>
          <w:i/>
          <w:lang w:val="en-US"/>
        </w:rPr>
        <w:t xml:space="preserve">Committee </w:t>
      </w:r>
      <w:r>
        <w:rPr>
          <w:b/>
          <w:i/>
          <w:lang w:val="en-US"/>
        </w:rPr>
        <w:t>Resolution of Appointment paragraph (10</w:t>
      </w:r>
      <w:proofErr w:type="gramStart"/>
      <w:r>
        <w:rPr>
          <w:b/>
          <w:i/>
          <w:lang w:val="en-US"/>
        </w:rPr>
        <w:t>)(</w:t>
      </w:r>
      <w:proofErr w:type="gramEnd"/>
      <w:r>
        <w:rPr>
          <w:b/>
          <w:i/>
          <w:lang w:val="en-US"/>
        </w:rPr>
        <w:t>a)(v)</w:t>
      </w:r>
    </w:p>
    <w:p w:rsidR="000E313C" w:rsidRPr="00E83C75" w:rsidRDefault="000E313C" w:rsidP="00183104">
      <w:pPr>
        <w:pStyle w:val="Heading5"/>
      </w:pPr>
      <w:r>
        <w:t xml:space="preserve">Displacement of sections 47(3) and 47(6) of the Legislation Act 2001 </w:t>
      </w:r>
    </w:p>
    <w:p w:rsidR="000E313C" w:rsidRDefault="000E313C" w:rsidP="000E313C">
      <w:pPr>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Bill will amend the </w:t>
      </w:r>
      <w:r>
        <w:rPr>
          <w:rFonts w:ascii="Calibri" w:eastAsia="Calibri" w:hAnsi="Calibri" w:cs="Calibri"/>
          <w:i/>
          <w:iCs/>
          <w:color w:val="000000"/>
          <w:szCs w:val="20"/>
          <w:lang w:eastAsia="en-AU"/>
        </w:rPr>
        <w:t>Public Sector Management Act 1994</w:t>
      </w:r>
      <w:r>
        <w:rPr>
          <w:rFonts w:ascii="Calibri" w:eastAsia="Calibri" w:hAnsi="Calibri" w:cs="Calibri"/>
          <w:color w:val="000000"/>
          <w:szCs w:val="20"/>
          <w:lang w:eastAsia="en-AU"/>
        </w:rPr>
        <w:t xml:space="preserve"> to displace the operation of subsections 47(3) and 47(6) of the </w:t>
      </w:r>
      <w:r w:rsidRPr="005114C0">
        <w:rPr>
          <w:rFonts w:ascii="Calibri" w:eastAsia="Calibri" w:hAnsi="Calibri" w:cs="Calibri"/>
          <w:i/>
          <w:iCs/>
          <w:color w:val="000000"/>
          <w:szCs w:val="20"/>
          <w:lang w:eastAsia="en-AU"/>
        </w:rPr>
        <w:t>Legislation Act 2001</w:t>
      </w:r>
      <w:r>
        <w:rPr>
          <w:rFonts w:ascii="Calibri" w:eastAsia="Calibri" w:hAnsi="Calibri" w:cs="Calibri"/>
          <w:i/>
          <w:iCs/>
          <w:color w:val="000000"/>
          <w:szCs w:val="20"/>
          <w:lang w:eastAsia="en-AU"/>
        </w:rPr>
        <w:t xml:space="preserve"> </w:t>
      </w:r>
      <w:r>
        <w:rPr>
          <w:rFonts w:ascii="Calibri" w:eastAsia="Calibri" w:hAnsi="Calibri" w:cs="Calibri"/>
          <w:color w:val="000000"/>
          <w:szCs w:val="20"/>
          <w:lang w:eastAsia="en-AU"/>
        </w:rPr>
        <w:t>for Commonwealth laws or an ACT enterprise agreement applied, adopted or incorporated in a management standard. Management standards may be created by the Head of Service, with the Chief Minister’s written approval, to prescribe public sector members subject to the Act and set out various management functions and powers under the Act. Under section 47(3) of the Legislation Act, any management standard would only be able to</w:t>
      </w:r>
      <w:r w:rsidRPr="004842D3">
        <w:t xml:space="preserve"> </w:t>
      </w:r>
      <w:r w:rsidRPr="004842D3">
        <w:rPr>
          <w:rFonts w:ascii="Calibri" w:eastAsia="Calibri" w:hAnsi="Calibri" w:cs="Calibri"/>
          <w:color w:val="000000"/>
          <w:szCs w:val="20"/>
          <w:lang w:eastAsia="en-AU"/>
        </w:rPr>
        <w:t>apply a law of another jurisdiction</w:t>
      </w:r>
      <w:r>
        <w:rPr>
          <w:rFonts w:ascii="Calibri" w:eastAsia="Calibri" w:hAnsi="Calibri" w:cs="Calibri"/>
          <w:color w:val="000000"/>
          <w:szCs w:val="20"/>
          <w:lang w:eastAsia="en-AU"/>
        </w:rPr>
        <w:t xml:space="preserve"> (including the Commonwealth)</w:t>
      </w:r>
      <w:r w:rsidRPr="004842D3">
        <w:rPr>
          <w:rFonts w:ascii="Calibri" w:eastAsia="Calibri" w:hAnsi="Calibri" w:cs="Calibri"/>
          <w:color w:val="000000"/>
          <w:szCs w:val="20"/>
          <w:lang w:eastAsia="en-AU"/>
        </w:rPr>
        <w:t>, or an instrument</w:t>
      </w:r>
      <w:r>
        <w:rPr>
          <w:rFonts w:ascii="Calibri" w:eastAsia="Calibri" w:hAnsi="Calibri" w:cs="Calibri"/>
          <w:color w:val="000000"/>
          <w:szCs w:val="20"/>
          <w:lang w:eastAsia="en-AU"/>
        </w:rPr>
        <w:t xml:space="preserve"> such as an ACT enterprise agreement</w:t>
      </w:r>
      <w:r w:rsidRPr="004842D3">
        <w:rPr>
          <w:rFonts w:ascii="Calibri" w:eastAsia="Calibri" w:hAnsi="Calibri" w:cs="Calibri"/>
          <w:color w:val="000000"/>
          <w:szCs w:val="20"/>
          <w:lang w:eastAsia="en-AU"/>
        </w:rPr>
        <w:t>, as in force only at a particular time</w:t>
      </w:r>
      <w:r>
        <w:rPr>
          <w:rFonts w:ascii="Calibri" w:eastAsia="Calibri" w:hAnsi="Calibri" w:cs="Calibri"/>
          <w:color w:val="000000"/>
          <w:szCs w:val="20"/>
          <w:lang w:eastAsia="en-AU"/>
        </w:rPr>
        <w:t xml:space="preserve">. By displacing subsection 47(3), the Bill will allow laws of another jurisdiction or instruments to be incorporated as in force from time to time. Under subsection 47(6) of the Legislation Act, any law or instrument so incorporated, and along with any amendments made in the future, must be registered as a notifiable instrument. The displacement of subsection 47(6) by the Bill means that any laws or instruments so incorporated or their amendments in the future will not need to be registered. </w:t>
      </w:r>
    </w:p>
    <w:p w:rsidR="000E313C" w:rsidRDefault="000E313C" w:rsidP="000E313C">
      <w:pPr>
        <w:rPr>
          <w:rFonts w:ascii="Calibri" w:eastAsia="Calibri" w:hAnsi="Calibri" w:cs="Calibri"/>
          <w:color w:val="000000"/>
          <w:szCs w:val="20"/>
          <w:lang w:eastAsia="en-AU"/>
        </w:rPr>
      </w:pPr>
      <w:r>
        <w:rPr>
          <w:rFonts w:ascii="Calibri" w:eastAsia="Calibri" w:hAnsi="Calibri" w:cs="Calibri"/>
          <w:color w:val="000000"/>
          <w:szCs w:val="20"/>
          <w:lang w:eastAsia="en-AU"/>
        </w:rPr>
        <w:t>Subsections 47(3) and 47(6) act to prevent inappropriate delegation of legislative powers and ensure the transparency and accessibility of the laws governing the Territory. Their displacement therefore requires a justification. The explanatory note accompanying the provision in the Bill states</w:t>
      </w:r>
      <w:r>
        <w:rPr>
          <w:sz w:val="23"/>
          <w:szCs w:val="23"/>
        </w:rPr>
        <w:t xml:space="preserve"> that management standards “incorporate the terms of ACT enterprise agreements in relation to superannuation and other entitlements of certain public servants and statutory office-holders” which may vary from time to time. Sub</w:t>
      </w:r>
      <w:r w:rsidRPr="00F930FE">
        <w:rPr>
          <w:rFonts w:ascii="Calibri" w:eastAsia="Calibri" w:hAnsi="Calibri" w:cs="Calibri"/>
          <w:color w:val="000000"/>
          <w:szCs w:val="20"/>
          <w:lang w:eastAsia="en-AU"/>
        </w:rPr>
        <w:t xml:space="preserve">section 47(6) is displaced </w:t>
      </w:r>
      <w:r>
        <w:rPr>
          <w:rFonts w:ascii="Calibri" w:eastAsia="Calibri" w:hAnsi="Calibri" w:cs="Calibri"/>
          <w:color w:val="000000"/>
          <w:szCs w:val="20"/>
          <w:lang w:eastAsia="en-AU"/>
        </w:rPr>
        <w:t>“</w:t>
      </w:r>
      <w:r w:rsidRPr="00F930FE">
        <w:rPr>
          <w:rFonts w:ascii="Calibri" w:eastAsia="Calibri" w:hAnsi="Calibri" w:cs="Calibri"/>
          <w:color w:val="000000"/>
          <w:szCs w:val="20"/>
          <w:lang w:eastAsia="en-AU"/>
        </w:rPr>
        <w:t>because both Commonwealth laws and ACT enterprise agreements are readily accessible on the internet and the ACT government intranet, and there is therefore no need for them to be published on the Legislation Register.</w:t>
      </w:r>
      <w:r>
        <w:rPr>
          <w:rFonts w:ascii="Calibri" w:eastAsia="Calibri" w:hAnsi="Calibri" w:cs="Calibri"/>
          <w:color w:val="000000"/>
          <w:szCs w:val="20"/>
          <w:lang w:eastAsia="en-AU"/>
        </w:rPr>
        <w:t xml:space="preserve">” The Committee notes that a note to the amended provision will indicate the internet address where Commonwealth laws and ACT enterprise agreements are available. </w:t>
      </w:r>
    </w:p>
    <w:p w:rsidR="000E313C" w:rsidRPr="00E83C75" w:rsidRDefault="000E313C" w:rsidP="000E313C">
      <w:pPr>
        <w:pStyle w:val="Bodycopy"/>
        <w:spacing w:line="280" w:lineRule="exact"/>
        <w:rPr>
          <w:b/>
          <w:bCs/>
        </w:rPr>
      </w:pPr>
      <w:r w:rsidRPr="00E83C75">
        <w:rPr>
          <w:b/>
          <w:bCs/>
        </w:rPr>
        <w:t>The Committee draws this matter to the attention of the Assembly, but does not require a response from the Minister.</w:t>
      </w:r>
    </w:p>
    <w:p w:rsidR="008024FC" w:rsidRPr="00104A8B" w:rsidRDefault="008024FC" w:rsidP="0037018E">
      <w:pPr>
        <w:pStyle w:val="Heading2"/>
        <w:rPr>
          <w:rFonts w:asciiTheme="minorHAnsi" w:eastAsia="Calibri" w:hAnsiTheme="minorHAnsi"/>
          <w:lang w:eastAsia="en-AU"/>
        </w:rPr>
      </w:pPr>
      <w:bookmarkStart w:id="508" w:name="_Toc71022173"/>
      <w:bookmarkEnd w:id="496"/>
      <w:r>
        <w:rPr>
          <w:rFonts w:asciiTheme="minorHAnsi" w:eastAsia="Calibri" w:hAnsiTheme="minorHAnsi"/>
          <w:lang w:eastAsia="en-AU"/>
        </w:rPr>
        <w:t>Subordinate Legislation</w:t>
      </w:r>
      <w:bookmarkEnd w:id="508"/>
    </w:p>
    <w:p w:rsidR="003443EB" w:rsidRPr="00103E7B" w:rsidRDefault="003379D7" w:rsidP="00103E7B">
      <w:pPr>
        <w:pStyle w:val="Heading3"/>
      </w:pPr>
      <w:bookmarkStart w:id="509" w:name="_Toc71022174"/>
      <w:r w:rsidRPr="00103E7B">
        <w:t>Disallowable Instruments</w:t>
      </w:r>
      <w:r w:rsidR="003443EB" w:rsidRPr="00103E7B">
        <w:t>—No comment</w:t>
      </w:r>
      <w:bookmarkEnd w:id="509"/>
    </w:p>
    <w:p w:rsidR="003443EB" w:rsidRDefault="003443EB" w:rsidP="00C517A1">
      <w:pPr>
        <w:widowControl w:val="0"/>
        <w:tabs>
          <w:tab w:val="left" w:pos="1276"/>
        </w:tabs>
        <w:rPr>
          <w:rFonts w:ascii="Calibri" w:hAnsi="Calibri" w:cs="Calibri"/>
          <w:color w:val="000000"/>
        </w:rPr>
      </w:pPr>
      <w:r w:rsidRPr="00987942">
        <w:rPr>
          <w:rFonts w:ascii="Calibri" w:hAnsi="Calibri" w:cs="Calibri"/>
          <w:color w:val="000000"/>
        </w:rPr>
        <w:t xml:space="preserve">The Committee has examined the </w:t>
      </w:r>
      <w:r w:rsidR="008B48A2">
        <w:rPr>
          <w:rFonts w:ascii="Calibri" w:hAnsi="Calibri" w:cs="Calibri"/>
          <w:color w:val="000000"/>
        </w:rPr>
        <w:t>following disallowable instruments and offers no comment on them</w:t>
      </w:r>
      <w:r w:rsidRPr="00987942">
        <w:rPr>
          <w:rFonts w:ascii="Calibri" w:hAnsi="Calibri" w:cs="Calibri"/>
          <w:color w:val="000000"/>
        </w:rPr>
        <w:t>:</w:t>
      </w:r>
    </w:p>
    <w:p w:rsidR="00EB1C94" w:rsidRPr="00EB1C94" w:rsidRDefault="00EB1C94" w:rsidP="00EB1C94">
      <w:pPr>
        <w:pStyle w:val="Bodycopy"/>
        <w:numPr>
          <w:ilvl w:val="0"/>
          <w:numId w:val="34"/>
        </w:numPr>
        <w:tabs>
          <w:tab w:val="clear" w:pos="1276"/>
          <w:tab w:val="left" w:pos="0"/>
        </w:tabs>
        <w:spacing w:before="160" w:after="160" w:line="280" w:lineRule="exact"/>
        <w:ind w:left="360"/>
        <w:rPr>
          <w:b/>
        </w:rPr>
      </w:pPr>
      <w:bookmarkStart w:id="510" w:name="_Hlk504463130"/>
      <w:bookmarkEnd w:id="497"/>
      <w:bookmarkEnd w:id="498"/>
      <w:r w:rsidRPr="00EB1C94">
        <w:rPr>
          <w:b/>
        </w:rPr>
        <w:t xml:space="preserve">Disallowable Instrument DI2021-42 being the Road Transport (General) Application of Road Transport Legislation (Manuka Oval) Declaration 2021 (No 4) made under section 12 of the </w:t>
      </w:r>
      <w:r w:rsidRPr="00EB1C94">
        <w:rPr>
          <w:i/>
        </w:rPr>
        <w:t>Road Transport (General) Act 1999</w:t>
      </w:r>
      <w:r w:rsidRPr="00EB1C94">
        <w:rPr>
          <w:b/>
        </w:rPr>
        <w:t xml:space="preserve"> provides that section 205 of the Road Transport (Road Rules) Regulation 2017 does not apply for a specified area when designated matches of the Australian Football League are held at Manuka Oval between 6 March and 21 August 2021. </w:t>
      </w:r>
    </w:p>
    <w:p w:rsidR="00EB1C94" w:rsidRPr="00EB1C94" w:rsidRDefault="00EB1C94" w:rsidP="00CF2E1E">
      <w:pPr>
        <w:pStyle w:val="Bodycopy"/>
        <w:keepLines/>
        <w:numPr>
          <w:ilvl w:val="0"/>
          <w:numId w:val="34"/>
        </w:numPr>
        <w:tabs>
          <w:tab w:val="clear" w:pos="1276"/>
          <w:tab w:val="left" w:pos="0"/>
        </w:tabs>
        <w:spacing w:before="160" w:after="160" w:line="280" w:lineRule="exact"/>
        <w:ind w:left="360"/>
        <w:rPr>
          <w:b/>
        </w:rPr>
      </w:pPr>
      <w:r w:rsidRPr="00EB1C94">
        <w:rPr>
          <w:b/>
        </w:rPr>
        <w:t xml:space="preserve">Disallowable Instrument DI2021-44 being the Gambling and Racing Control (Governing Board) Appointment 2021 (No 1) made under sections 11 and 12 of the and section 78 of the </w:t>
      </w:r>
      <w:r w:rsidRPr="00EB1C94">
        <w:rPr>
          <w:i/>
        </w:rPr>
        <w:t>Gambling and Racing Control Act 1999</w:t>
      </w:r>
      <w:r w:rsidRPr="00EB1C94">
        <w:rPr>
          <w:b/>
        </w:rPr>
        <w:t xml:space="preserve"> and </w:t>
      </w:r>
      <w:r w:rsidRPr="00EB1C94">
        <w:rPr>
          <w:i/>
        </w:rPr>
        <w:t>Financial Management Act 1996</w:t>
      </w:r>
      <w:r w:rsidRPr="00EB1C94">
        <w:rPr>
          <w:b/>
        </w:rPr>
        <w:t xml:space="preserve"> appoints a specified person as a member of the ACT Gambling and Racing Commission Governing Board. </w:t>
      </w:r>
    </w:p>
    <w:p w:rsidR="00EB1C94" w:rsidRPr="00EB1C94" w:rsidRDefault="00EB1C94" w:rsidP="00EB1C94">
      <w:pPr>
        <w:pStyle w:val="Bodycopy"/>
        <w:numPr>
          <w:ilvl w:val="0"/>
          <w:numId w:val="34"/>
        </w:numPr>
        <w:tabs>
          <w:tab w:val="clear" w:pos="1276"/>
          <w:tab w:val="left" w:pos="0"/>
        </w:tabs>
        <w:spacing w:before="160" w:after="160" w:line="280" w:lineRule="exact"/>
        <w:ind w:left="360"/>
        <w:rPr>
          <w:b/>
        </w:rPr>
      </w:pPr>
      <w:r w:rsidRPr="00EB1C94">
        <w:rPr>
          <w:b/>
        </w:rPr>
        <w:t xml:space="preserve">Disallowable Instrument DI2021-46 being the Taxation Administration (Amounts Payable—Utilities (Network Facilities Tax)) Determination 2021 made under section 139 of the </w:t>
      </w:r>
      <w:r w:rsidRPr="00EB1C94">
        <w:rPr>
          <w:i/>
        </w:rPr>
        <w:t>Taxation Administration Act 1999</w:t>
      </w:r>
      <w:r w:rsidRPr="00EB1C94">
        <w:rPr>
          <w:b/>
        </w:rPr>
        <w:t xml:space="preserve"> revokes DI2020-37 and determines the rate for section 8 of the </w:t>
      </w:r>
      <w:r w:rsidRPr="00DE2F05">
        <w:rPr>
          <w:i/>
        </w:rPr>
        <w:t>Utilities (Network Facilities Tax) Act 2006</w:t>
      </w:r>
      <w:r w:rsidRPr="00EB1C94">
        <w:rPr>
          <w:b/>
        </w:rPr>
        <w:t xml:space="preserve">. </w:t>
      </w:r>
    </w:p>
    <w:p w:rsidR="00EB1C94" w:rsidRPr="00EB1C94" w:rsidRDefault="00EB1C94" w:rsidP="00EB1C94">
      <w:pPr>
        <w:pStyle w:val="Bodycopy"/>
        <w:numPr>
          <w:ilvl w:val="0"/>
          <w:numId w:val="34"/>
        </w:numPr>
        <w:tabs>
          <w:tab w:val="clear" w:pos="1276"/>
          <w:tab w:val="left" w:pos="0"/>
        </w:tabs>
        <w:spacing w:before="160" w:after="160" w:line="280" w:lineRule="exact"/>
        <w:ind w:left="360"/>
        <w:rPr>
          <w:b/>
        </w:rPr>
      </w:pPr>
      <w:r w:rsidRPr="00EB1C94">
        <w:rPr>
          <w:b/>
        </w:rPr>
        <w:t xml:space="preserve">Disallowable Instrument DI2021-48 being the Official Visitor (Disability Services) Appointment 2021 (No 1) made under paragraph 10(1)(c) of the </w:t>
      </w:r>
      <w:r w:rsidRPr="00EB1C94">
        <w:rPr>
          <w:i/>
        </w:rPr>
        <w:t>Official Visitor Act 2012</w:t>
      </w:r>
      <w:r w:rsidRPr="00EB1C94">
        <w:rPr>
          <w:b/>
        </w:rPr>
        <w:t xml:space="preserve"> appoints a specified person as an official visitor for the purposes of the </w:t>
      </w:r>
      <w:r w:rsidRPr="00DE2F05">
        <w:rPr>
          <w:i/>
        </w:rPr>
        <w:t>Disability Services Act 1991</w:t>
      </w:r>
      <w:r w:rsidRPr="00EB1C94">
        <w:rPr>
          <w:b/>
        </w:rPr>
        <w:t xml:space="preserve">. </w:t>
      </w:r>
    </w:p>
    <w:p w:rsidR="00052319" w:rsidRPr="00103E7B" w:rsidRDefault="003379D7" w:rsidP="00EB1C94">
      <w:pPr>
        <w:pStyle w:val="Heading3"/>
        <w:rPr>
          <w:rFonts w:eastAsia="Calibri"/>
          <w:lang w:eastAsia="en-AU"/>
        </w:rPr>
      </w:pPr>
      <w:bookmarkStart w:id="511" w:name="_Toc71022175"/>
      <w:r w:rsidRPr="00103E7B">
        <w:rPr>
          <w:rFonts w:eastAsia="Calibri"/>
          <w:lang w:eastAsia="en-AU"/>
        </w:rPr>
        <w:t>Disallowable Instrument</w:t>
      </w:r>
      <w:r w:rsidR="00BA3E19" w:rsidRPr="00103E7B">
        <w:rPr>
          <w:rFonts w:eastAsia="Calibri"/>
          <w:lang w:eastAsia="en-AU"/>
        </w:rPr>
        <w:t>s</w:t>
      </w:r>
      <w:r w:rsidR="00052319" w:rsidRPr="00103E7B">
        <w:rPr>
          <w:rFonts w:eastAsia="Calibri"/>
          <w:lang w:eastAsia="en-AU"/>
        </w:rPr>
        <w:t>—Comment</w:t>
      </w:r>
      <w:bookmarkEnd w:id="511"/>
    </w:p>
    <w:bookmarkEnd w:id="510"/>
    <w:p w:rsidR="00487CD8" w:rsidRDefault="00487CD8" w:rsidP="00487CD8">
      <w:pPr>
        <w:widowControl w:val="0"/>
        <w:tabs>
          <w:tab w:val="left" w:pos="1276"/>
        </w:tabs>
        <w:spacing w:before="120" w:after="120" w:line="300" w:lineRule="exact"/>
        <w:rPr>
          <w:rFonts w:ascii="Calibri" w:hAnsi="Calibri" w:cs="Calibri"/>
          <w:color w:val="000000"/>
        </w:rPr>
      </w:pPr>
      <w:r w:rsidRPr="00987942">
        <w:rPr>
          <w:rFonts w:ascii="Calibri" w:hAnsi="Calibri" w:cs="Calibri"/>
          <w:color w:val="000000"/>
        </w:rPr>
        <w:t>The Committee has examined the following disallowable instrument</w:t>
      </w:r>
      <w:r>
        <w:rPr>
          <w:rFonts w:ascii="Calibri" w:hAnsi="Calibri" w:cs="Calibri"/>
          <w:color w:val="000000"/>
        </w:rPr>
        <w:t>s</w:t>
      </w:r>
      <w:r w:rsidRPr="00987942">
        <w:rPr>
          <w:rFonts w:ascii="Calibri" w:hAnsi="Calibri" w:cs="Calibri"/>
          <w:color w:val="000000"/>
        </w:rPr>
        <w:t xml:space="preserve"> and offers these comments on</w:t>
      </w:r>
      <w:r>
        <w:rPr>
          <w:rFonts w:ascii="Calibri" w:hAnsi="Calibri" w:cs="Calibri"/>
          <w:color w:val="000000"/>
        </w:rPr>
        <w:t xml:space="preserve"> them</w:t>
      </w:r>
      <w:r w:rsidRPr="00987942">
        <w:rPr>
          <w:rFonts w:ascii="Calibri" w:hAnsi="Calibri" w:cs="Calibri"/>
          <w:color w:val="000000"/>
        </w:rPr>
        <w:t>:</w:t>
      </w:r>
    </w:p>
    <w:p w:rsidR="00487CD8" w:rsidRDefault="00487CD8" w:rsidP="00487CD8">
      <w:pPr>
        <w:widowControl w:val="0"/>
        <w:tabs>
          <w:tab w:val="left" w:pos="1276"/>
        </w:tabs>
        <w:spacing w:before="120" w:after="120" w:line="300" w:lineRule="exact"/>
        <w:rPr>
          <w:rFonts w:ascii="Calibri" w:hAnsi="Calibri" w:cs="Calibri"/>
          <w:i/>
          <w:iCs/>
          <w:color w:val="000000"/>
        </w:rPr>
      </w:pPr>
      <w:r>
        <w:rPr>
          <w:rFonts w:ascii="Calibri" w:hAnsi="Calibri" w:cs="Calibri"/>
          <w:i/>
          <w:iCs/>
          <w:color w:val="000000"/>
        </w:rPr>
        <w:t>Human rights issues</w:t>
      </w:r>
    </w:p>
    <w:p w:rsidR="00487CD8" w:rsidRPr="00842199" w:rsidRDefault="00487CD8" w:rsidP="00FA4D8E">
      <w:pPr>
        <w:pStyle w:val="Bodycopy"/>
        <w:numPr>
          <w:ilvl w:val="0"/>
          <w:numId w:val="43"/>
        </w:numPr>
        <w:spacing w:after="0" w:line="280" w:lineRule="exact"/>
        <w:ind w:left="360"/>
        <w:rPr>
          <w:b/>
        </w:rPr>
      </w:pPr>
      <w:r>
        <w:rPr>
          <w:b/>
        </w:rPr>
        <w:t>Disallowable Instrument</w:t>
      </w:r>
      <w:r w:rsidRPr="00451C85">
        <w:rPr>
          <w:b/>
        </w:rPr>
        <w:t xml:space="preserve"> </w:t>
      </w:r>
      <w:r>
        <w:rPr>
          <w:b/>
        </w:rPr>
        <w:t>DI2021-41</w:t>
      </w:r>
      <w:r w:rsidRPr="00451C85">
        <w:rPr>
          <w:b/>
        </w:rPr>
        <w:t xml:space="preserve"> being the </w:t>
      </w:r>
      <w:r>
        <w:rPr>
          <w:b/>
        </w:rPr>
        <w:t xml:space="preserve">Road Transport (General) Application of Road Transport Legislation Declaration 2021 (No 3) made under section 13 of the </w:t>
      </w:r>
      <w:r>
        <w:rPr>
          <w:i/>
        </w:rPr>
        <w:t>Road Transport (General) Act 1999</w:t>
      </w:r>
      <w:r w:rsidRPr="00236BDD">
        <w:rPr>
          <w:b/>
        </w:rPr>
        <w:t xml:space="preserve"> </w:t>
      </w:r>
      <w:r>
        <w:rPr>
          <w:b/>
        </w:rPr>
        <w:t xml:space="preserve">provides that certain parts of the road transport legislation do not apply to a designated vehicle while being used to participate in a special stage of the Light Car Club of Canberra Blue Range </w:t>
      </w:r>
      <w:proofErr w:type="spellStart"/>
      <w:r>
        <w:rPr>
          <w:b/>
        </w:rPr>
        <w:t>Rallysprint</w:t>
      </w:r>
      <w:proofErr w:type="spellEnd"/>
      <w:r>
        <w:rPr>
          <w:b/>
        </w:rPr>
        <w:t xml:space="preserve"> 2021. </w:t>
      </w:r>
    </w:p>
    <w:p w:rsidR="00487CD8" w:rsidRPr="00842199" w:rsidRDefault="00487CD8" w:rsidP="00FA4D8E">
      <w:pPr>
        <w:pStyle w:val="Bodycopy"/>
        <w:numPr>
          <w:ilvl w:val="0"/>
          <w:numId w:val="43"/>
        </w:numPr>
        <w:spacing w:after="0" w:line="280" w:lineRule="exact"/>
        <w:ind w:left="360"/>
        <w:rPr>
          <w:b/>
        </w:rPr>
      </w:pPr>
      <w:r>
        <w:rPr>
          <w:b/>
        </w:rPr>
        <w:t>Disallowable Instrument</w:t>
      </w:r>
      <w:r w:rsidRPr="00451C85">
        <w:rPr>
          <w:b/>
        </w:rPr>
        <w:t xml:space="preserve"> </w:t>
      </w:r>
      <w:r>
        <w:rPr>
          <w:b/>
        </w:rPr>
        <w:t>DI2021-45</w:t>
      </w:r>
      <w:r w:rsidRPr="00451C85">
        <w:rPr>
          <w:b/>
        </w:rPr>
        <w:t xml:space="preserve"> being the </w:t>
      </w:r>
      <w:r>
        <w:rPr>
          <w:b/>
        </w:rPr>
        <w:t xml:space="preserve">Road Transport (General) Application of Road Transport Legislation Declaration 2021 (No 4) made under section 13 of the </w:t>
      </w:r>
      <w:r>
        <w:rPr>
          <w:i/>
        </w:rPr>
        <w:t>Road Transport (General) Act 1999</w:t>
      </w:r>
      <w:r w:rsidRPr="00236BDD">
        <w:rPr>
          <w:b/>
        </w:rPr>
        <w:t xml:space="preserve"> </w:t>
      </w:r>
      <w:r>
        <w:rPr>
          <w:b/>
        </w:rPr>
        <w:t xml:space="preserve">provides that certain parts of the road transport legislation do not apply to a designated vehicle while being used to participate in a special stage of the Innate Motorsport and Events Test Days in March and April 2021. </w:t>
      </w:r>
    </w:p>
    <w:p w:rsidR="00487CD8" w:rsidRPr="00842199" w:rsidRDefault="00487CD8" w:rsidP="00FA4D8E">
      <w:pPr>
        <w:pStyle w:val="Bodycopy"/>
        <w:numPr>
          <w:ilvl w:val="0"/>
          <w:numId w:val="43"/>
        </w:numPr>
        <w:spacing w:after="0" w:line="280" w:lineRule="exact"/>
        <w:ind w:left="360"/>
        <w:rPr>
          <w:b/>
        </w:rPr>
      </w:pPr>
      <w:r>
        <w:rPr>
          <w:b/>
        </w:rPr>
        <w:t>Disallowable Instrument</w:t>
      </w:r>
      <w:r w:rsidRPr="00451C85">
        <w:rPr>
          <w:b/>
        </w:rPr>
        <w:t xml:space="preserve"> </w:t>
      </w:r>
      <w:r>
        <w:rPr>
          <w:b/>
        </w:rPr>
        <w:t>DI2021-47</w:t>
      </w:r>
      <w:r w:rsidRPr="00451C85">
        <w:rPr>
          <w:b/>
        </w:rPr>
        <w:t xml:space="preserve"> being the </w:t>
      </w:r>
      <w:r>
        <w:rPr>
          <w:b/>
        </w:rPr>
        <w:t xml:space="preserve">Road Transport (General) Application of Road Transport Legislation Declaration 2021 (No 5) made under section 13 of the </w:t>
      </w:r>
      <w:r>
        <w:rPr>
          <w:i/>
        </w:rPr>
        <w:t>Road Transport (General) Act 1999</w:t>
      </w:r>
      <w:r w:rsidRPr="00236BDD">
        <w:rPr>
          <w:b/>
        </w:rPr>
        <w:t xml:space="preserve"> </w:t>
      </w:r>
      <w:r>
        <w:rPr>
          <w:b/>
        </w:rPr>
        <w:t xml:space="preserve">provides that certain parts of the road transport legislation do not apply to a designated vehicle while being used to participate in a special stage of the National Capital Rally 2021. </w:t>
      </w:r>
    </w:p>
    <w:p w:rsidR="00487CD8" w:rsidRPr="00842199" w:rsidRDefault="00487CD8" w:rsidP="00DF5F49">
      <w:pPr>
        <w:pStyle w:val="Bodycopy"/>
        <w:numPr>
          <w:ilvl w:val="0"/>
          <w:numId w:val="43"/>
        </w:numPr>
        <w:spacing w:after="0" w:line="280" w:lineRule="exact"/>
        <w:ind w:left="360"/>
        <w:rPr>
          <w:b/>
        </w:rPr>
      </w:pPr>
      <w:r>
        <w:rPr>
          <w:b/>
        </w:rPr>
        <w:t>Disallowable Instrument</w:t>
      </w:r>
      <w:r w:rsidRPr="00451C85">
        <w:rPr>
          <w:b/>
        </w:rPr>
        <w:t xml:space="preserve"> </w:t>
      </w:r>
      <w:r>
        <w:rPr>
          <w:b/>
        </w:rPr>
        <w:t>DI2021-50</w:t>
      </w:r>
      <w:r w:rsidRPr="00451C85">
        <w:rPr>
          <w:b/>
        </w:rPr>
        <w:t xml:space="preserve"> being the </w:t>
      </w:r>
      <w:r>
        <w:rPr>
          <w:b/>
        </w:rPr>
        <w:t xml:space="preserve">Road Transport (General) Application of Road Transport Legislation Declaration 2021 (No 6) made under section 13 of the </w:t>
      </w:r>
      <w:r>
        <w:rPr>
          <w:i/>
        </w:rPr>
        <w:t>Road Transport (General) Act 1999</w:t>
      </w:r>
      <w:r w:rsidRPr="00236BDD">
        <w:rPr>
          <w:b/>
        </w:rPr>
        <w:t xml:space="preserve"> </w:t>
      </w:r>
      <w:r>
        <w:rPr>
          <w:b/>
        </w:rPr>
        <w:t xml:space="preserve">provides that certain parts of the road transport legislation do not apply to a designated vehicle while being used to participate in a special stage of the National Capital Rally 2021. </w:t>
      </w:r>
    </w:p>
    <w:p w:rsidR="00487CD8" w:rsidRDefault="00487CD8" w:rsidP="00487CD8">
      <w:pPr>
        <w:widowControl w:val="0"/>
        <w:tabs>
          <w:tab w:val="left" w:pos="1276"/>
        </w:tabs>
        <w:spacing w:before="120" w:after="120" w:line="300" w:lineRule="exact"/>
        <w:rPr>
          <w:rFonts w:ascii="Calibri" w:hAnsi="Calibri" w:cs="Calibri"/>
          <w:color w:val="000000"/>
        </w:rPr>
      </w:pPr>
      <w:r>
        <w:rPr>
          <w:rFonts w:ascii="Calibri" w:hAnsi="Calibri" w:cs="Calibri"/>
          <w:color w:val="000000"/>
        </w:rPr>
        <w:t xml:space="preserve">Each of the </w:t>
      </w:r>
      <w:r w:rsidR="00944FEA">
        <w:rPr>
          <w:rFonts w:ascii="Calibri" w:hAnsi="Calibri" w:cs="Calibri"/>
          <w:color w:val="000000"/>
        </w:rPr>
        <w:t>four</w:t>
      </w:r>
      <w:r>
        <w:rPr>
          <w:rFonts w:ascii="Calibri" w:hAnsi="Calibri" w:cs="Calibri"/>
          <w:color w:val="000000"/>
        </w:rPr>
        <w:t xml:space="preserve"> instruments mentioned above is made under section 13 of the </w:t>
      </w:r>
      <w:r>
        <w:rPr>
          <w:rFonts w:ascii="Calibri" w:hAnsi="Calibri" w:cs="Calibri"/>
          <w:i/>
          <w:iCs/>
          <w:color w:val="000000"/>
        </w:rPr>
        <w:t>Road Transport (General) Act 1999</w:t>
      </w:r>
      <w:r>
        <w:rPr>
          <w:rFonts w:ascii="Calibri" w:hAnsi="Calibri" w:cs="Calibri"/>
          <w:color w:val="000000"/>
        </w:rPr>
        <w:t xml:space="preserve">, which allows the Minister to </w:t>
      </w:r>
      <w:r w:rsidRPr="00561386">
        <w:rPr>
          <w:rFonts w:ascii="Calibri" w:hAnsi="Calibri" w:cs="Calibri"/>
          <w:color w:val="000000"/>
        </w:rPr>
        <w:t>declare that the road transport legislation, or a provision of the road transport legislation, does not apply to a vehicle, person or animal in a place or circumstance stated in the declaration.</w:t>
      </w:r>
      <w:r>
        <w:rPr>
          <w:rFonts w:ascii="Calibri" w:hAnsi="Calibri" w:cs="Calibri"/>
          <w:color w:val="000000"/>
        </w:rPr>
        <w:t xml:space="preserve"> For the first instrument mentioned above, section 3 of the declaration provides that the </w:t>
      </w:r>
      <w:r>
        <w:rPr>
          <w:rFonts w:ascii="Calibri" w:hAnsi="Calibri" w:cs="Calibri"/>
          <w:i/>
          <w:iCs/>
          <w:color w:val="000000"/>
        </w:rPr>
        <w:t xml:space="preserve">Motor Accident Injuries Act 2019 </w:t>
      </w:r>
      <w:r>
        <w:rPr>
          <w:rFonts w:ascii="Calibri" w:hAnsi="Calibri" w:cs="Calibri"/>
          <w:color w:val="000000"/>
        </w:rPr>
        <w:t xml:space="preserve">does not apply in relation to </w:t>
      </w:r>
      <w:r w:rsidRPr="00561386">
        <w:rPr>
          <w:rFonts w:ascii="Calibri" w:hAnsi="Calibri" w:cs="Calibri"/>
          <w:color w:val="000000"/>
        </w:rPr>
        <w:t xml:space="preserve">the Light Car Club Canberra Blue </w:t>
      </w:r>
      <w:r>
        <w:rPr>
          <w:rFonts w:ascii="Calibri" w:hAnsi="Calibri" w:cs="Calibri"/>
          <w:color w:val="000000"/>
        </w:rPr>
        <w:t>R</w:t>
      </w:r>
      <w:r w:rsidRPr="00561386">
        <w:rPr>
          <w:rFonts w:ascii="Calibri" w:hAnsi="Calibri" w:cs="Calibri"/>
          <w:color w:val="000000"/>
        </w:rPr>
        <w:t xml:space="preserve">ange </w:t>
      </w:r>
      <w:proofErr w:type="spellStart"/>
      <w:r w:rsidRPr="00561386">
        <w:rPr>
          <w:rFonts w:ascii="Calibri" w:hAnsi="Calibri" w:cs="Calibri"/>
          <w:color w:val="000000"/>
        </w:rPr>
        <w:t>Rallysprint</w:t>
      </w:r>
      <w:proofErr w:type="spellEnd"/>
      <w:r w:rsidRPr="00561386">
        <w:rPr>
          <w:rFonts w:ascii="Calibri" w:hAnsi="Calibri" w:cs="Calibri"/>
          <w:color w:val="000000"/>
        </w:rPr>
        <w:t xml:space="preserve"> 202</w:t>
      </w:r>
      <w:r>
        <w:rPr>
          <w:rFonts w:ascii="Calibri" w:hAnsi="Calibri" w:cs="Calibri"/>
          <w:color w:val="000000"/>
        </w:rPr>
        <w:t>1,</w:t>
      </w:r>
      <w:r w:rsidRPr="00561386">
        <w:rPr>
          <w:rFonts w:ascii="Calibri" w:hAnsi="Calibri" w:cs="Calibri"/>
          <w:color w:val="000000"/>
        </w:rPr>
        <w:t xml:space="preserve"> taking place on </w:t>
      </w:r>
      <w:r>
        <w:rPr>
          <w:rFonts w:ascii="Calibri" w:hAnsi="Calibri" w:cs="Calibri"/>
          <w:color w:val="000000"/>
        </w:rPr>
        <w:t xml:space="preserve">6 March </w:t>
      </w:r>
      <w:r w:rsidRPr="00561386">
        <w:rPr>
          <w:rFonts w:ascii="Calibri" w:hAnsi="Calibri" w:cs="Calibri"/>
          <w:color w:val="000000"/>
        </w:rPr>
        <w:t>202</w:t>
      </w:r>
      <w:r>
        <w:rPr>
          <w:rFonts w:ascii="Calibri" w:hAnsi="Calibri" w:cs="Calibri"/>
          <w:color w:val="000000"/>
        </w:rPr>
        <w:t>1</w:t>
      </w:r>
      <w:r w:rsidRPr="00561386">
        <w:rPr>
          <w:rFonts w:ascii="Calibri" w:hAnsi="Calibri" w:cs="Calibri"/>
          <w:color w:val="000000"/>
        </w:rPr>
        <w:t>.</w:t>
      </w:r>
      <w:r>
        <w:rPr>
          <w:rFonts w:ascii="Calibri" w:hAnsi="Calibri" w:cs="Calibri"/>
          <w:color w:val="000000"/>
        </w:rPr>
        <w:t xml:space="preserve">  Section 4 then disapplies various other requirements of the road transport legislation, including licensing requirements, using a vehicle without a numberplate, speed limits, obeying road signs, etc.  The second, third and fourth instruments mentioned above make similar declarations in relation to the following rallies and motor vehicle-related events:</w:t>
      </w:r>
    </w:p>
    <w:p w:rsidR="00487CD8" w:rsidRDefault="00487CD8" w:rsidP="00487CD8">
      <w:pPr>
        <w:widowControl w:val="0"/>
        <w:numPr>
          <w:ilvl w:val="0"/>
          <w:numId w:val="37"/>
        </w:numPr>
        <w:spacing w:before="120" w:after="120" w:line="300" w:lineRule="exact"/>
        <w:rPr>
          <w:rFonts w:ascii="Calibri" w:hAnsi="Calibri" w:cs="Calibri"/>
          <w:color w:val="000000"/>
        </w:rPr>
      </w:pPr>
      <w:r>
        <w:rPr>
          <w:rFonts w:ascii="Calibri" w:hAnsi="Calibri" w:cs="Calibri"/>
          <w:color w:val="000000"/>
        </w:rPr>
        <w:t>the Innate Motorsport and Events Test Days, taking place on 17, 19 and 29 March 2021 and 8 April 2021;</w:t>
      </w:r>
    </w:p>
    <w:p w:rsidR="00487CD8" w:rsidRDefault="00487CD8" w:rsidP="00487CD8">
      <w:pPr>
        <w:widowControl w:val="0"/>
        <w:numPr>
          <w:ilvl w:val="0"/>
          <w:numId w:val="37"/>
        </w:numPr>
        <w:spacing w:before="120" w:after="120" w:line="300" w:lineRule="exact"/>
        <w:rPr>
          <w:rFonts w:ascii="Calibri" w:hAnsi="Calibri" w:cs="Calibri"/>
          <w:color w:val="000000"/>
        </w:rPr>
      </w:pPr>
      <w:r>
        <w:rPr>
          <w:rFonts w:ascii="Calibri" w:hAnsi="Calibri" w:cs="Calibri"/>
          <w:color w:val="000000"/>
        </w:rPr>
        <w:t>the National Capital Rally 2021, taking place from 23 to 28 March 2021;</w:t>
      </w:r>
    </w:p>
    <w:p w:rsidR="00487CD8" w:rsidRDefault="00487CD8" w:rsidP="00487CD8">
      <w:pPr>
        <w:widowControl w:val="0"/>
        <w:numPr>
          <w:ilvl w:val="0"/>
          <w:numId w:val="37"/>
        </w:numPr>
        <w:spacing w:before="120" w:after="120" w:line="300" w:lineRule="exact"/>
        <w:rPr>
          <w:rFonts w:ascii="Calibri" w:hAnsi="Calibri" w:cs="Calibri"/>
          <w:color w:val="000000"/>
        </w:rPr>
      </w:pPr>
      <w:proofErr w:type="gramStart"/>
      <w:r>
        <w:rPr>
          <w:rFonts w:ascii="Calibri" w:hAnsi="Calibri" w:cs="Calibri"/>
          <w:color w:val="000000"/>
        </w:rPr>
        <w:t>the</w:t>
      </w:r>
      <w:proofErr w:type="gramEnd"/>
      <w:r>
        <w:rPr>
          <w:rFonts w:ascii="Calibri" w:hAnsi="Calibri" w:cs="Calibri"/>
          <w:color w:val="000000"/>
        </w:rPr>
        <w:t xml:space="preserve"> National Capital Rally 2021, taking place from 7 to 11 April 2021.</w:t>
      </w:r>
    </w:p>
    <w:p w:rsidR="00487CD8" w:rsidRDefault="00487CD8" w:rsidP="00487CD8">
      <w:pPr>
        <w:widowControl w:val="0"/>
        <w:spacing w:before="120" w:after="120" w:line="300" w:lineRule="exact"/>
        <w:rPr>
          <w:rFonts w:ascii="Calibri" w:hAnsi="Calibri" w:cs="Calibri"/>
          <w:color w:val="000000"/>
        </w:rPr>
      </w:pPr>
      <w:r w:rsidRPr="00B70307">
        <w:rPr>
          <w:rFonts w:ascii="Calibri" w:hAnsi="Calibri" w:cs="Calibri"/>
          <w:color w:val="000000"/>
        </w:rPr>
        <w:t xml:space="preserve">The Committee notes that the explanatory statement for the first instrument </w:t>
      </w:r>
      <w:r>
        <w:rPr>
          <w:rFonts w:ascii="Calibri" w:hAnsi="Calibri" w:cs="Calibri"/>
          <w:color w:val="000000"/>
        </w:rPr>
        <w:t xml:space="preserve">mentioned above </w:t>
      </w:r>
      <w:r w:rsidRPr="00B70307">
        <w:rPr>
          <w:rFonts w:ascii="Calibri" w:hAnsi="Calibri" w:cs="Calibri"/>
          <w:color w:val="000000"/>
        </w:rPr>
        <w:t>discusses human rights issues:</w:t>
      </w:r>
    </w:p>
    <w:p w:rsidR="00487CD8" w:rsidRPr="009D2611" w:rsidRDefault="00487CD8" w:rsidP="00487CD8">
      <w:pPr>
        <w:pStyle w:val="Default"/>
        <w:spacing w:before="120" w:after="120"/>
        <w:ind w:left="720"/>
        <w:rPr>
          <w:rFonts w:asciiTheme="minorHAnsi" w:hAnsiTheme="minorHAnsi" w:cstheme="minorHAnsi"/>
          <w:sz w:val="22"/>
          <w:szCs w:val="22"/>
        </w:rPr>
      </w:pPr>
      <w:r w:rsidRPr="009D2611">
        <w:rPr>
          <w:rFonts w:asciiTheme="minorHAnsi" w:hAnsiTheme="minorHAnsi" w:cstheme="minorHAnsi"/>
          <w:b/>
          <w:bCs/>
          <w:sz w:val="22"/>
          <w:szCs w:val="22"/>
        </w:rPr>
        <w:t xml:space="preserve">Human rights implications </w:t>
      </w:r>
    </w:p>
    <w:p w:rsidR="00487CD8" w:rsidRPr="009D2611" w:rsidRDefault="00487CD8" w:rsidP="00487CD8">
      <w:pPr>
        <w:spacing w:before="120" w:after="120"/>
        <w:ind w:left="715"/>
        <w:rPr>
          <w:rFonts w:cstheme="minorHAnsi"/>
        </w:rPr>
      </w:pPr>
      <w:r w:rsidRPr="009D2611">
        <w:rPr>
          <w:rFonts w:cstheme="minorHAnsi"/>
        </w:rPr>
        <w:t xml:space="preserve">During the development of this Instrument, due regard was given to its effect and the operation of the rally in relation to the compatibility with human rights as set out in the </w:t>
      </w:r>
      <w:r w:rsidRPr="009D2611">
        <w:rPr>
          <w:rFonts w:cstheme="minorHAnsi"/>
          <w:i/>
          <w:iCs/>
        </w:rPr>
        <w:t>Human Rights Act 2004</w:t>
      </w:r>
      <w:r w:rsidRPr="009D2611">
        <w:rPr>
          <w:rFonts w:cstheme="minorHAnsi"/>
        </w:rPr>
        <w:t xml:space="preserve"> (HRA).</w:t>
      </w:r>
    </w:p>
    <w:p w:rsidR="00487CD8" w:rsidRPr="009D2611" w:rsidRDefault="00487CD8" w:rsidP="00487CD8">
      <w:pPr>
        <w:spacing w:before="120" w:after="120"/>
        <w:ind w:left="715"/>
        <w:rPr>
          <w:rFonts w:cstheme="minorHAnsi"/>
        </w:rPr>
      </w:pPr>
      <w:r w:rsidRPr="009D2611">
        <w:rPr>
          <w:rFonts w:cstheme="minorHAnsi"/>
        </w:rPr>
        <w:t xml:space="preserve">Section 28 of the HRA provides that human rights may be subject only to reasonable limits set by laws that can be demonstrably justified in a free and democratic society. </w:t>
      </w:r>
    </w:p>
    <w:p w:rsidR="00487CD8" w:rsidRPr="009D2611" w:rsidRDefault="00487CD8" w:rsidP="00487CD8">
      <w:pPr>
        <w:spacing w:before="120" w:after="120"/>
        <w:ind w:left="715"/>
        <w:rPr>
          <w:rFonts w:cstheme="minorHAnsi"/>
        </w:rPr>
      </w:pPr>
      <w:r w:rsidRPr="009D2611">
        <w:rPr>
          <w:rFonts w:cstheme="minorHAnsi"/>
        </w:rPr>
        <w:t xml:space="preserve">Section 28 (2) of the HRA provides that in deciding whether a limit on a human right is reasonable, all relevant factors must be considered, including: </w:t>
      </w:r>
    </w:p>
    <w:p w:rsidR="00487CD8" w:rsidRPr="009D2611" w:rsidRDefault="00487CD8" w:rsidP="00487CD8">
      <w:pPr>
        <w:spacing w:before="120" w:after="120"/>
        <w:ind w:left="1440"/>
        <w:rPr>
          <w:rFonts w:cstheme="minorHAnsi"/>
        </w:rPr>
      </w:pPr>
      <w:r w:rsidRPr="009D2611">
        <w:rPr>
          <w:rFonts w:cstheme="minorHAnsi"/>
        </w:rPr>
        <w:t xml:space="preserve">a) </w:t>
      </w:r>
      <w:proofErr w:type="gramStart"/>
      <w:r w:rsidRPr="009D2611">
        <w:rPr>
          <w:rFonts w:cstheme="minorHAnsi"/>
        </w:rPr>
        <w:t>the</w:t>
      </w:r>
      <w:proofErr w:type="gramEnd"/>
      <w:r w:rsidRPr="009D2611">
        <w:rPr>
          <w:rFonts w:cstheme="minorHAnsi"/>
        </w:rPr>
        <w:t xml:space="preserve"> nature of the right affected </w:t>
      </w:r>
    </w:p>
    <w:p w:rsidR="00487CD8" w:rsidRPr="009D2611" w:rsidRDefault="00487CD8" w:rsidP="00487CD8">
      <w:pPr>
        <w:spacing w:before="120" w:after="120"/>
        <w:ind w:left="1440"/>
        <w:rPr>
          <w:rFonts w:cstheme="minorHAnsi"/>
        </w:rPr>
      </w:pPr>
      <w:r w:rsidRPr="009D2611">
        <w:rPr>
          <w:rFonts w:cstheme="minorHAnsi"/>
        </w:rPr>
        <w:t xml:space="preserve">b) </w:t>
      </w:r>
      <w:proofErr w:type="gramStart"/>
      <w:r w:rsidRPr="009D2611">
        <w:rPr>
          <w:rFonts w:cstheme="minorHAnsi"/>
        </w:rPr>
        <w:t>the</w:t>
      </w:r>
      <w:proofErr w:type="gramEnd"/>
      <w:r w:rsidRPr="009D2611">
        <w:rPr>
          <w:rFonts w:cstheme="minorHAnsi"/>
        </w:rPr>
        <w:t xml:space="preserve"> importance of the limitation </w:t>
      </w:r>
    </w:p>
    <w:p w:rsidR="00487CD8" w:rsidRPr="009D2611" w:rsidRDefault="00487CD8" w:rsidP="00487CD8">
      <w:pPr>
        <w:spacing w:before="120" w:after="120"/>
        <w:ind w:left="1440"/>
        <w:rPr>
          <w:rFonts w:cstheme="minorHAnsi"/>
        </w:rPr>
      </w:pPr>
      <w:r w:rsidRPr="009D2611">
        <w:rPr>
          <w:rFonts w:cstheme="minorHAnsi"/>
        </w:rPr>
        <w:t xml:space="preserve">c) </w:t>
      </w:r>
      <w:proofErr w:type="gramStart"/>
      <w:r w:rsidRPr="009D2611">
        <w:rPr>
          <w:rFonts w:cstheme="minorHAnsi"/>
        </w:rPr>
        <w:t>the</w:t>
      </w:r>
      <w:proofErr w:type="gramEnd"/>
      <w:r w:rsidRPr="009D2611">
        <w:rPr>
          <w:rFonts w:cstheme="minorHAnsi"/>
        </w:rPr>
        <w:t xml:space="preserve"> nature and extent of the limitation </w:t>
      </w:r>
    </w:p>
    <w:p w:rsidR="00487CD8" w:rsidRPr="009D2611" w:rsidRDefault="00487CD8" w:rsidP="00487CD8">
      <w:pPr>
        <w:spacing w:before="120" w:after="120"/>
        <w:ind w:left="1440"/>
        <w:rPr>
          <w:rFonts w:cstheme="minorHAnsi"/>
        </w:rPr>
      </w:pPr>
      <w:r w:rsidRPr="009D2611">
        <w:rPr>
          <w:rFonts w:cstheme="minorHAnsi"/>
        </w:rPr>
        <w:t xml:space="preserve">d) </w:t>
      </w:r>
      <w:proofErr w:type="gramStart"/>
      <w:r w:rsidRPr="009D2611">
        <w:rPr>
          <w:rFonts w:cstheme="minorHAnsi"/>
        </w:rPr>
        <w:t>the</w:t>
      </w:r>
      <w:proofErr w:type="gramEnd"/>
      <w:r w:rsidRPr="009D2611">
        <w:rPr>
          <w:rFonts w:cstheme="minorHAnsi"/>
        </w:rPr>
        <w:t xml:space="preserve"> relationship between the limitation and its purpose </w:t>
      </w:r>
    </w:p>
    <w:p w:rsidR="00487CD8" w:rsidRPr="009D2611" w:rsidRDefault="00487CD8" w:rsidP="00D968A1">
      <w:pPr>
        <w:spacing w:before="120" w:after="120"/>
        <w:ind w:left="1620" w:hanging="180"/>
        <w:rPr>
          <w:rFonts w:cstheme="minorHAnsi"/>
        </w:rPr>
      </w:pPr>
      <w:r w:rsidRPr="009D2611">
        <w:rPr>
          <w:rFonts w:cstheme="minorHAnsi"/>
        </w:rPr>
        <w:t xml:space="preserve">e) </w:t>
      </w:r>
      <w:proofErr w:type="gramStart"/>
      <w:r w:rsidRPr="009D2611">
        <w:rPr>
          <w:rFonts w:cstheme="minorHAnsi"/>
        </w:rPr>
        <w:t>any</w:t>
      </w:r>
      <w:proofErr w:type="gramEnd"/>
      <w:r w:rsidRPr="009D2611">
        <w:rPr>
          <w:rFonts w:cstheme="minorHAnsi"/>
        </w:rPr>
        <w:t xml:space="preserve"> less restrictive means reasonably available to achieve the purpose the limitation seeks to achieve.</w:t>
      </w:r>
    </w:p>
    <w:p w:rsidR="00487CD8" w:rsidRPr="009D2611" w:rsidRDefault="00487CD8" w:rsidP="00487CD8">
      <w:pPr>
        <w:pStyle w:val="Default"/>
        <w:spacing w:before="120" w:after="120"/>
        <w:ind w:left="720"/>
        <w:rPr>
          <w:rFonts w:asciiTheme="minorHAnsi" w:hAnsiTheme="minorHAnsi" w:cstheme="minorHAnsi"/>
          <w:sz w:val="22"/>
          <w:szCs w:val="22"/>
        </w:rPr>
      </w:pPr>
      <w:r w:rsidRPr="009D2611">
        <w:rPr>
          <w:rFonts w:asciiTheme="minorHAnsi" w:hAnsiTheme="minorHAnsi" w:cstheme="minorHAnsi"/>
          <w:sz w:val="22"/>
          <w:szCs w:val="22"/>
        </w:rPr>
        <w:t>Section 13 of the HRA provides a right for people to move freely within the ACT.</w:t>
      </w:r>
    </w:p>
    <w:p w:rsidR="00487CD8" w:rsidRPr="009D2611" w:rsidRDefault="00487CD8" w:rsidP="00487CD8">
      <w:pPr>
        <w:pStyle w:val="Default"/>
        <w:spacing w:before="120" w:after="120"/>
        <w:ind w:left="720"/>
        <w:rPr>
          <w:rFonts w:asciiTheme="minorHAnsi" w:hAnsiTheme="minorHAnsi" w:cstheme="minorHAnsi"/>
          <w:sz w:val="22"/>
          <w:szCs w:val="22"/>
        </w:rPr>
      </w:pPr>
      <w:r w:rsidRPr="009D2611">
        <w:rPr>
          <w:rFonts w:asciiTheme="minorHAnsi" w:hAnsiTheme="minorHAnsi" w:cstheme="minorHAnsi"/>
          <w:sz w:val="22"/>
          <w:szCs w:val="22"/>
        </w:rPr>
        <w:t xml:space="preserve">The declarations in this instrument do not of themselves restrict a person’s freedom of movement within the Territory, however the operation of the event in closing parts of the forest in which the event will be conducted to members of the public will restrict the free movement of people in that area of the Territory during the event. As parts of the road transport legislation are being </w:t>
      </w:r>
      <w:proofErr w:type="spellStart"/>
      <w:r w:rsidRPr="009D2611">
        <w:rPr>
          <w:rFonts w:asciiTheme="minorHAnsi" w:hAnsiTheme="minorHAnsi" w:cstheme="minorHAnsi"/>
          <w:sz w:val="22"/>
          <w:szCs w:val="22"/>
        </w:rPr>
        <w:t>disapplied</w:t>
      </w:r>
      <w:proofErr w:type="spellEnd"/>
      <w:r w:rsidRPr="009D2611">
        <w:rPr>
          <w:rFonts w:asciiTheme="minorHAnsi" w:hAnsiTheme="minorHAnsi" w:cstheme="minorHAnsi"/>
          <w:sz w:val="22"/>
          <w:szCs w:val="22"/>
        </w:rPr>
        <w:t xml:space="preserve"> for the event to operate as intended,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safety of non-participants and represents the least restrictive approach that enables the event to proceed.</w:t>
      </w:r>
    </w:p>
    <w:p w:rsidR="00487CD8" w:rsidRPr="0033357B" w:rsidRDefault="00487CD8" w:rsidP="00487CD8">
      <w:pPr>
        <w:pStyle w:val="Paper"/>
        <w:spacing w:before="160" w:after="160" w:line="280" w:lineRule="exact"/>
        <w:rPr>
          <w:rFonts w:ascii="Calibri" w:hAnsi="Calibri" w:cs="Calibri"/>
          <w:sz w:val="22"/>
          <w:szCs w:val="22"/>
          <w:lang w:eastAsia="en-AU"/>
        </w:rPr>
      </w:pPr>
      <w:r w:rsidRPr="0033357B">
        <w:rPr>
          <w:rFonts w:ascii="Calibri" w:hAnsi="Calibri" w:cs="Calibri"/>
          <w:sz w:val="22"/>
          <w:szCs w:val="22"/>
          <w:lang w:eastAsia="en-AU"/>
        </w:rPr>
        <w:t>A similar statement appears in the explanatory statement</w:t>
      </w:r>
      <w:r>
        <w:rPr>
          <w:rFonts w:ascii="Calibri" w:hAnsi="Calibri" w:cs="Calibri"/>
          <w:sz w:val="22"/>
          <w:szCs w:val="22"/>
          <w:lang w:eastAsia="en-AU"/>
        </w:rPr>
        <w:t xml:space="preserve">s </w:t>
      </w:r>
      <w:r w:rsidRPr="0033357B">
        <w:rPr>
          <w:rFonts w:ascii="Calibri" w:hAnsi="Calibri" w:cs="Calibri"/>
          <w:sz w:val="22"/>
          <w:szCs w:val="22"/>
          <w:lang w:eastAsia="en-AU"/>
        </w:rPr>
        <w:t>for the second</w:t>
      </w:r>
      <w:r>
        <w:rPr>
          <w:rFonts w:ascii="Calibri" w:hAnsi="Calibri" w:cs="Calibri"/>
          <w:sz w:val="22"/>
          <w:szCs w:val="22"/>
          <w:lang w:eastAsia="en-AU"/>
        </w:rPr>
        <w:t xml:space="preserve">, third and fourth </w:t>
      </w:r>
      <w:r w:rsidRPr="0033357B">
        <w:rPr>
          <w:rFonts w:ascii="Calibri" w:hAnsi="Calibri" w:cs="Calibri"/>
          <w:sz w:val="22"/>
          <w:szCs w:val="22"/>
          <w:lang w:eastAsia="en-AU"/>
        </w:rPr>
        <w:t>instrument</w:t>
      </w:r>
      <w:r>
        <w:rPr>
          <w:rFonts w:ascii="Calibri" w:hAnsi="Calibri" w:cs="Calibri"/>
          <w:sz w:val="22"/>
          <w:szCs w:val="22"/>
          <w:lang w:eastAsia="en-AU"/>
        </w:rPr>
        <w:t>s mentioned above</w:t>
      </w:r>
      <w:r w:rsidRPr="0033357B">
        <w:rPr>
          <w:rFonts w:ascii="Calibri" w:hAnsi="Calibri" w:cs="Calibri"/>
          <w:sz w:val="22"/>
          <w:szCs w:val="22"/>
          <w:lang w:eastAsia="en-AU"/>
        </w:rPr>
        <w:t>.</w:t>
      </w:r>
    </w:p>
    <w:p w:rsidR="00487CD8" w:rsidRDefault="00487CD8" w:rsidP="00487CD8">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The Committee draws the attention of the Legislative Assembly to the discussion of human rights issues in the explanatory statement</w:t>
      </w:r>
      <w:r>
        <w:rPr>
          <w:rFonts w:ascii="Calibri" w:hAnsi="Calibri" w:cs="Calibri"/>
          <w:b/>
          <w:bCs/>
          <w:sz w:val="22"/>
          <w:szCs w:val="22"/>
          <w:lang w:eastAsia="en-AU"/>
        </w:rPr>
        <w:t>s</w:t>
      </w:r>
      <w:r w:rsidRPr="00E95E87">
        <w:rPr>
          <w:rFonts w:ascii="Calibri" w:hAnsi="Calibri" w:cs="Calibri"/>
          <w:b/>
          <w:bCs/>
          <w:sz w:val="22"/>
          <w:szCs w:val="22"/>
          <w:lang w:eastAsia="en-AU"/>
        </w:rPr>
        <w:t xml:space="preserve"> for th</w:t>
      </w:r>
      <w:r>
        <w:rPr>
          <w:rFonts w:ascii="Calibri" w:hAnsi="Calibri" w:cs="Calibri"/>
          <w:b/>
          <w:bCs/>
          <w:sz w:val="22"/>
          <w:szCs w:val="22"/>
          <w:lang w:eastAsia="en-AU"/>
        </w:rPr>
        <w:t>ese</w:t>
      </w:r>
      <w:r w:rsidRPr="00E95E87">
        <w:rPr>
          <w:rFonts w:ascii="Calibri" w:hAnsi="Calibri" w:cs="Calibri"/>
          <w:b/>
          <w:bCs/>
          <w:sz w:val="22"/>
          <w:szCs w:val="22"/>
          <w:lang w:eastAsia="en-AU"/>
        </w:rPr>
        <w:t xml:space="preserve"> instrument</w:t>
      </w:r>
      <w:r>
        <w:rPr>
          <w:rFonts w:ascii="Calibri" w:hAnsi="Calibri" w:cs="Calibri"/>
          <w:b/>
          <w:bCs/>
          <w:sz w:val="22"/>
          <w:szCs w:val="22"/>
          <w:lang w:eastAsia="en-AU"/>
        </w:rPr>
        <w:t>s</w:t>
      </w:r>
      <w:r w:rsidRPr="00E95E87">
        <w:rPr>
          <w:rFonts w:ascii="Calibri" w:hAnsi="Calibri" w:cs="Calibri"/>
          <w:b/>
          <w:bCs/>
          <w:sz w:val="22"/>
          <w:szCs w:val="22"/>
          <w:lang w:eastAsia="en-AU"/>
        </w:rPr>
        <w:t>.</w:t>
      </w:r>
    </w:p>
    <w:p w:rsidR="00487CD8" w:rsidRDefault="00487CD8" w:rsidP="00487CD8">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487CD8" w:rsidRPr="009D2611" w:rsidRDefault="00487CD8" w:rsidP="00487CD8">
      <w:pPr>
        <w:pStyle w:val="Bodycopy"/>
        <w:spacing w:after="0" w:line="280" w:lineRule="exact"/>
        <w:rPr>
          <w:bCs/>
          <w:i/>
          <w:iCs/>
        </w:rPr>
      </w:pPr>
      <w:r w:rsidRPr="009D2611">
        <w:rPr>
          <w:bCs/>
          <w:i/>
          <w:iCs/>
        </w:rPr>
        <w:t>Human rights issues</w:t>
      </w:r>
    </w:p>
    <w:p w:rsidR="00487CD8" w:rsidRPr="00842199" w:rsidRDefault="00487CD8" w:rsidP="009D1F3A">
      <w:pPr>
        <w:pStyle w:val="Bodycopy"/>
        <w:numPr>
          <w:ilvl w:val="0"/>
          <w:numId w:val="43"/>
        </w:numPr>
        <w:spacing w:after="0" w:line="280" w:lineRule="exact"/>
        <w:ind w:left="360"/>
        <w:rPr>
          <w:b/>
        </w:rPr>
      </w:pPr>
      <w:r>
        <w:rPr>
          <w:b/>
        </w:rPr>
        <w:t>Disallowable Instrument</w:t>
      </w:r>
      <w:r w:rsidRPr="00451C85">
        <w:rPr>
          <w:b/>
        </w:rPr>
        <w:t xml:space="preserve"> </w:t>
      </w:r>
      <w:r>
        <w:rPr>
          <w:b/>
        </w:rPr>
        <w:t>DI2021-43</w:t>
      </w:r>
      <w:r w:rsidRPr="00451C85">
        <w:rPr>
          <w:b/>
        </w:rPr>
        <w:t xml:space="preserve"> being the </w:t>
      </w:r>
      <w:r>
        <w:rPr>
          <w:b/>
        </w:rPr>
        <w:t xml:space="preserve">Public Place Names (Beard) Determination 2021 made under section 3 of the </w:t>
      </w:r>
      <w:r w:rsidRPr="009D1F3A">
        <w:rPr>
          <w:b/>
        </w:rPr>
        <w:t>Public Place Names Act 1989</w:t>
      </w:r>
      <w:r w:rsidRPr="00236BDD">
        <w:rPr>
          <w:b/>
        </w:rPr>
        <w:t xml:space="preserve"> </w:t>
      </w:r>
      <w:r>
        <w:rPr>
          <w:b/>
        </w:rPr>
        <w:t xml:space="preserve">determines the new names of a road in the division of Beard. </w:t>
      </w:r>
    </w:p>
    <w:p w:rsidR="00487CD8" w:rsidRDefault="00487CD8" w:rsidP="00487CD8">
      <w:pPr>
        <w:widowControl w:val="0"/>
        <w:tabs>
          <w:tab w:val="left" w:pos="1276"/>
        </w:tabs>
        <w:spacing w:before="120" w:after="120" w:line="300" w:lineRule="exact"/>
        <w:rPr>
          <w:rFonts w:ascii="Calibri" w:hAnsi="Calibri" w:cs="Calibri"/>
          <w:color w:val="000000"/>
        </w:rPr>
      </w:pPr>
      <w:r>
        <w:rPr>
          <w:rFonts w:ascii="Calibri" w:hAnsi="Calibri" w:cs="Calibri"/>
          <w:color w:val="000000"/>
        </w:rPr>
        <w:t xml:space="preserve">This instrument, made </w:t>
      </w:r>
      <w:r w:rsidRPr="00D22D53">
        <w:rPr>
          <w:rFonts w:ascii="Calibri" w:hAnsi="Calibri" w:cs="Calibri"/>
          <w:color w:val="000000"/>
        </w:rPr>
        <w:t xml:space="preserve">under section 3 of the </w:t>
      </w:r>
      <w:r w:rsidRPr="00D22D53">
        <w:rPr>
          <w:rFonts w:ascii="Calibri" w:hAnsi="Calibri" w:cs="Calibri"/>
          <w:i/>
          <w:iCs/>
          <w:color w:val="000000"/>
        </w:rPr>
        <w:t xml:space="preserve">Public Place Names Act 1989, </w:t>
      </w:r>
      <w:r>
        <w:rPr>
          <w:rFonts w:ascii="Calibri" w:hAnsi="Calibri" w:cs="Calibri"/>
          <w:color w:val="000000"/>
        </w:rPr>
        <w:t>revokes an instrument that previously named a street in the suburb of Beard and re-makes the instrument, naming what was previously “Copper Crescent” as “Coppe</w:t>
      </w:r>
      <w:r w:rsidR="00172334">
        <w:rPr>
          <w:rFonts w:ascii="Calibri" w:hAnsi="Calibri" w:cs="Calibri"/>
          <w:color w:val="000000"/>
        </w:rPr>
        <w:t>r Close” and “Tantalum Street”.</w:t>
      </w:r>
      <w:r>
        <w:rPr>
          <w:rFonts w:ascii="Calibri" w:hAnsi="Calibri" w:cs="Calibri"/>
          <w:color w:val="000000"/>
        </w:rPr>
        <w:t xml:space="preserve"> The Committee notes that the explanatory statement for the instrument includes a discussion of human rights issues:</w:t>
      </w:r>
    </w:p>
    <w:p w:rsidR="00487CD8" w:rsidRPr="0003767D" w:rsidRDefault="00487CD8" w:rsidP="00487CD8">
      <w:pPr>
        <w:spacing w:before="120" w:after="120"/>
        <w:ind w:left="720"/>
        <w:rPr>
          <w:rFonts w:ascii="Calibri" w:hAnsi="Calibri" w:cs="Calibri"/>
          <w:u w:val="single"/>
        </w:rPr>
      </w:pPr>
      <w:r w:rsidRPr="0003767D">
        <w:rPr>
          <w:rFonts w:ascii="Calibri" w:hAnsi="Calibri" w:cs="Calibri"/>
          <w:u w:val="single"/>
        </w:rPr>
        <w:t>Human Rights</w:t>
      </w:r>
    </w:p>
    <w:p w:rsidR="00487CD8" w:rsidRPr="0003767D" w:rsidRDefault="00487CD8" w:rsidP="00487CD8">
      <w:pPr>
        <w:spacing w:before="120" w:after="120"/>
        <w:ind w:left="720"/>
        <w:rPr>
          <w:rFonts w:ascii="Calibri" w:hAnsi="Calibri" w:cs="Calibri"/>
        </w:rPr>
      </w:pPr>
      <w:r w:rsidRPr="0003767D">
        <w:rPr>
          <w:rFonts w:ascii="Calibri" w:hAnsi="Calibri" w:cs="Calibri"/>
        </w:rPr>
        <w:t xml:space="preserve">Section 12 of the </w:t>
      </w:r>
      <w:r w:rsidRPr="0003767D">
        <w:rPr>
          <w:rFonts w:ascii="Calibri" w:hAnsi="Calibri" w:cs="Calibri"/>
          <w:i/>
        </w:rPr>
        <w:t>Human Rights Act 2004</w:t>
      </w:r>
      <w:r w:rsidRPr="0003767D">
        <w:rPr>
          <w:rFonts w:ascii="Calibri" w:hAnsi="Calibri" w:cs="Calibri"/>
        </w:rPr>
        <w:t xml:space="preserve"> creates a right to privacy and reputation. This determination does not have the potential to infringe this right because it does not name any places after people. </w:t>
      </w:r>
    </w:p>
    <w:p w:rsidR="00487CD8" w:rsidRDefault="00487CD8" w:rsidP="00487CD8">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The Committee draws the attention of the Legislative Assembly to the discussion of human rights issues in the explanatory statement for this instrument.</w:t>
      </w:r>
    </w:p>
    <w:p w:rsidR="00487CD8" w:rsidRDefault="00487CD8" w:rsidP="00487CD8">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487CD8" w:rsidRDefault="00487CD8" w:rsidP="00487CD8">
      <w:pPr>
        <w:widowControl w:val="0"/>
        <w:tabs>
          <w:tab w:val="left" w:pos="1276"/>
        </w:tabs>
        <w:spacing w:before="120" w:after="120" w:line="300" w:lineRule="exact"/>
        <w:rPr>
          <w:rFonts w:ascii="Calibri" w:hAnsi="Calibri" w:cs="Calibri"/>
          <w:i/>
          <w:iCs/>
          <w:color w:val="000000"/>
        </w:rPr>
      </w:pPr>
      <w:r>
        <w:rPr>
          <w:rFonts w:ascii="Calibri" w:hAnsi="Calibri" w:cs="Calibri"/>
          <w:i/>
          <w:iCs/>
          <w:color w:val="000000"/>
        </w:rPr>
        <w:t>Is this appointment validly made?</w:t>
      </w:r>
    </w:p>
    <w:p w:rsidR="00487CD8" w:rsidRPr="00842199" w:rsidRDefault="00487CD8" w:rsidP="009D1F3A">
      <w:pPr>
        <w:pStyle w:val="Bodycopy"/>
        <w:numPr>
          <w:ilvl w:val="0"/>
          <w:numId w:val="43"/>
        </w:numPr>
        <w:spacing w:after="0" w:line="280" w:lineRule="exact"/>
        <w:ind w:left="360"/>
        <w:rPr>
          <w:b/>
        </w:rPr>
      </w:pPr>
      <w:r>
        <w:rPr>
          <w:b/>
        </w:rPr>
        <w:t>Disallowable Instrument</w:t>
      </w:r>
      <w:r w:rsidRPr="00451C85">
        <w:rPr>
          <w:b/>
        </w:rPr>
        <w:t xml:space="preserve"> </w:t>
      </w:r>
      <w:r>
        <w:rPr>
          <w:b/>
        </w:rPr>
        <w:t>DI2021-49</w:t>
      </w:r>
      <w:r w:rsidRPr="00451C85">
        <w:rPr>
          <w:b/>
        </w:rPr>
        <w:t xml:space="preserve"> being the </w:t>
      </w:r>
      <w:r>
        <w:rPr>
          <w:b/>
        </w:rPr>
        <w:t xml:space="preserve">Racing Appeals Tribunal (Assessor) Appointment 2021 made under section 42 and Schedule 2, section 2.1 of the </w:t>
      </w:r>
      <w:r w:rsidRPr="00C455A4">
        <w:rPr>
          <w:i/>
        </w:rPr>
        <w:t>Racing Act 1999</w:t>
      </w:r>
      <w:r w:rsidRPr="00236BDD">
        <w:rPr>
          <w:b/>
        </w:rPr>
        <w:t xml:space="preserve"> </w:t>
      </w:r>
      <w:r>
        <w:rPr>
          <w:b/>
        </w:rPr>
        <w:t xml:space="preserve">appoints a specified person as an Assessor of the Racing Appeals Tribunal. </w:t>
      </w:r>
    </w:p>
    <w:p w:rsidR="00487CD8" w:rsidRDefault="00487CD8" w:rsidP="00487CD8">
      <w:pPr>
        <w:widowControl w:val="0"/>
        <w:tabs>
          <w:tab w:val="left" w:pos="1276"/>
        </w:tabs>
        <w:spacing w:before="120" w:after="120" w:line="300" w:lineRule="exact"/>
        <w:rPr>
          <w:rFonts w:ascii="Calibri" w:hAnsi="Calibri" w:cs="Calibri"/>
          <w:color w:val="000000"/>
        </w:rPr>
      </w:pPr>
      <w:r>
        <w:rPr>
          <w:rFonts w:ascii="Calibri" w:hAnsi="Calibri" w:cs="Calibri"/>
          <w:color w:val="000000"/>
        </w:rPr>
        <w:t xml:space="preserve">This instrument, made under section 42 of the </w:t>
      </w:r>
      <w:r>
        <w:rPr>
          <w:rFonts w:ascii="Calibri" w:hAnsi="Calibri" w:cs="Calibri"/>
          <w:i/>
          <w:iCs/>
          <w:color w:val="000000"/>
        </w:rPr>
        <w:t>Racing Act 1999</w:t>
      </w:r>
      <w:r>
        <w:rPr>
          <w:rFonts w:ascii="Calibri" w:hAnsi="Calibri" w:cs="Calibri"/>
          <w:color w:val="000000"/>
        </w:rPr>
        <w:t xml:space="preserve">, appoints a specified person as “assessor” of the ACT Racing Appeal Tribunal.  An assessor can be appointed to “assist and </w:t>
      </w:r>
      <w:proofErr w:type="gramStart"/>
      <w:r>
        <w:rPr>
          <w:rFonts w:ascii="Calibri" w:hAnsi="Calibri" w:cs="Calibri"/>
          <w:color w:val="000000"/>
        </w:rPr>
        <w:t>advise</w:t>
      </w:r>
      <w:proofErr w:type="gramEnd"/>
      <w:r>
        <w:rPr>
          <w:rFonts w:ascii="Calibri" w:hAnsi="Calibri" w:cs="Calibri"/>
          <w:color w:val="000000"/>
        </w:rPr>
        <w:t>” the Tribunal in relation to an appeal, under the Racing Act.</w:t>
      </w:r>
    </w:p>
    <w:p w:rsidR="00487CD8" w:rsidRDefault="00487CD8" w:rsidP="00487CD8">
      <w:pPr>
        <w:widowControl w:val="0"/>
        <w:tabs>
          <w:tab w:val="left" w:pos="1276"/>
        </w:tabs>
        <w:spacing w:before="120" w:after="120" w:line="300" w:lineRule="exact"/>
        <w:rPr>
          <w:rFonts w:ascii="Calibri" w:hAnsi="Calibri" w:cs="Calibri"/>
          <w:color w:val="000000"/>
        </w:rPr>
      </w:pPr>
      <w:r>
        <w:rPr>
          <w:rFonts w:ascii="Calibri" w:hAnsi="Calibri" w:cs="Calibri"/>
          <w:color w:val="000000"/>
        </w:rPr>
        <w:t>The appointment is also made by reference to requirements in Schedule 2 to the Racing Act.  The formal part of the instrument refers to section 2.1 of Schedule 2, which provides:</w:t>
      </w:r>
    </w:p>
    <w:p w:rsidR="00487CD8" w:rsidRPr="006B72C5" w:rsidRDefault="00487CD8" w:rsidP="00487CD8">
      <w:pPr>
        <w:pStyle w:val="NormalWeb"/>
        <w:spacing w:before="120" w:after="120"/>
        <w:ind w:left="720"/>
        <w:rPr>
          <w:rFonts w:asciiTheme="minorHAnsi" w:hAnsiTheme="minorHAnsi" w:cstheme="minorHAnsi"/>
          <w:color w:val="000000"/>
          <w:sz w:val="22"/>
          <w:szCs w:val="22"/>
        </w:rPr>
      </w:pPr>
      <w:r w:rsidRPr="006B72C5">
        <w:rPr>
          <w:rFonts w:asciiTheme="minorHAnsi" w:hAnsiTheme="minorHAnsi" w:cstheme="minorHAnsi"/>
          <w:b/>
          <w:bCs/>
          <w:color w:val="000000"/>
          <w:sz w:val="22"/>
          <w:szCs w:val="22"/>
        </w:rPr>
        <w:t>2.1     Assessors—appointment</w:t>
      </w:r>
    </w:p>
    <w:p w:rsidR="00487CD8" w:rsidRPr="006B72C5" w:rsidRDefault="00487CD8" w:rsidP="00487CD8">
      <w:pPr>
        <w:pStyle w:val="NormalWeb"/>
        <w:spacing w:before="120" w:after="120"/>
        <w:ind w:left="720"/>
        <w:rPr>
          <w:rFonts w:asciiTheme="minorHAnsi" w:hAnsiTheme="minorHAnsi" w:cstheme="minorHAnsi"/>
          <w:color w:val="000000"/>
          <w:sz w:val="22"/>
          <w:szCs w:val="22"/>
        </w:rPr>
      </w:pPr>
      <w:r w:rsidRPr="006B72C5">
        <w:rPr>
          <w:rFonts w:asciiTheme="minorHAnsi" w:hAnsiTheme="minorHAnsi" w:cstheme="minorHAnsi"/>
          <w:color w:val="000000"/>
          <w:sz w:val="22"/>
          <w:szCs w:val="22"/>
        </w:rPr>
        <w:t>Assessors are to be appointed by the Minister from among people who the Minister is satisfied have special knowledge of or experience in the racing industry.</w:t>
      </w:r>
    </w:p>
    <w:p w:rsidR="00487CD8" w:rsidRPr="006B72C5" w:rsidRDefault="00487CD8" w:rsidP="00487CD8">
      <w:pPr>
        <w:pStyle w:val="NormalWeb"/>
        <w:spacing w:before="120" w:after="120"/>
        <w:ind w:left="720"/>
        <w:rPr>
          <w:rFonts w:asciiTheme="minorHAnsi" w:hAnsiTheme="minorHAnsi" w:cstheme="minorHAnsi"/>
          <w:color w:val="000000"/>
          <w:sz w:val="22"/>
          <w:szCs w:val="22"/>
        </w:rPr>
      </w:pPr>
      <w:r w:rsidRPr="006B72C5">
        <w:rPr>
          <w:rFonts w:asciiTheme="minorHAnsi" w:hAnsiTheme="minorHAnsi" w:cstheme="minorHAnsi"/>
          <w:i/>
          <w:iCs/>
          <w:color w:val="000000"/>
          <w:sz w:val="22"/>
          <w:szCs w:val="22"/>
        </w:rPr>
        <w:t>Note 1 </w:t>
      </w:r>
      <w:r w:rsidRPr="006B72C5">
        <w:rPr>
          <w:rFonts w:asciiTheme="minorHAnsi" w:hAnsiTheme="minorHAnsi" w:cstheme="minorHAnsi"/>
          <w:color w:val="000000"/>
          <w:sz w:val="22"/>
          <w:szCs w:val="22"/>
        </w:rPr>
        <w:t xml:space="preserve">    For the making of appointments (including acting appointments), see the Legislation Act, </w:t>
      </w:r>
      <w:proofErr w:type="spellStart"/>
      <w:r w:rsidRPr="006B72C5">
        <w:rPr>
          <w:rFonts w:asciiTheme="minorHAnsi" w:hAnsiTheme="minorHAnsi" w:cstheme="minorHAnsi"/>
          <w:color w:val="000000"/>
          <w:sz w:val="22"/>
          <w:szCs w:val="22"/>
        </w:rPr>
        <w:t>pt</w:t>
      </w:r>
      <w:proofErr w:type="spellEnd"/>
      <w:r w:rsidRPr="006B72C5">
        <w:rPr>
          <w:rFonts w:asciiTheme="minorHAnsi" w:hAnsiTheme="minorHAnsi" w:cstheme="minorHAnsi"/>
          <w:color w:val="000000"/>
          <w:sz w:val="22"/>
          <w:szCs w:val="22"/>
        </w:rPr>
        <w:t> 19.3.</w:t>
      </w:r>
    </w:p>
    <w:p w:rsidR="00487CD8" w:rsidRPr="006B72C5" w:rsidRDefault="00487CD8" w:rsidP="00487CD8">
      <w:pPr>
        <w:pStyle w:val="NormalWeb"/>
        <w:spacing w:before="120" w:after="120"/>
        <w:ind w:left="720"/>
        <w:rPr>
          <w:rFonts w:asciiTheme="minorHAnsi" w:hAnsiTheme="minorHAnsi" w:cstheme="minorHAnsi"/>
          <w:color w:val="000000"/>
          <w:sz w:val="22"/>
          <w:szCs w:val="22"/>
        </w:rPr>
      </w:pPr>
      <w:r w:rsidRPr="006B72C5">
        <w:rPr>
          <w:rFonts w:asciiTheme="minorHAnsi" w:hAnsiTheme="minorHAnsi" w:cstheme="minorHAnsi"/>
          <w:i/>
          <w:iCs/>
          <w:color w:val="000000"/>
          <w:sz w:val="22"/>
          <w:szCs w:val="22"/>
        </w:rPr>
        <w:t>Note 2 </w:t>
      </w:r>
      <w:r w:rsidRPr="006B72C5">
        <w:rPr>
          <w:rFonts w:asciiTheme="minorHAnsi" w:hAnsiTheme="minorHAnsi" w:cstheme="minorHAnsi"/>
          <w:color w:val="000000"/>
          <w:sz w:val="22"/>
          <w:szCs w:val="22"/>
        </w:rPr>
        <w:t>    In particular, an appointment may be made by naming a person or nominating the occupant of a position (see Legislation Act, s 207).</w:t>
      </w:r>
    </w:p>
    <w:p w:rsidR="00487CD8" w:rsidRPr="006B72C5" w:rsidRDefault="00487CD8" w:rsidP="00487CD8">
      <w:pPr>
        <w:pStyle w:val="NormalWeb"/>
        <w:spacing w:before="120" w:after="120"/>
        <w:ind w:left="720"/>
        <w:rPr>
          <w:rFonts w:asciiTheme="minorHAnsi" w:hAnsiTheme="minorHAnsi" w:cstheme="minorHAnsi"/>
          <w:color w:val="000000"/>
          <w:sz w:val="22"/>
          <w:szCs w:val="22"/>
        </w:rPr>
      </w:pPr>
      <w:r w:rsidRPr="006B72C5">
        <w:rPr>
          <w:rFonts w:asciiTheme="minorHAnsi" w:hAnsiTheme="minorHAnsi" w:cstheme="minorHAnsi"/>
          <w:i/>
          <w:iCs/>
          <w:color w:val="000000"/>
          <w:sz w:val="22"/>
          <w:szCs w:val="22"/>
        </w:rPr>
        <w:t>Note 3     </w:t>
      </w:r>
      <w:r w:rsidRPr="006B72C5">
        <w:rPr>
          <w:rFonts w:asciiTheme="minorHAnsi" w:hAnsiTheme="minorHAnsi" w:cstheme="minorHAnsi"/>
          <w:color w:val="000000"/>
          <w:sz w:val="22"/>
          <w:szCs w:val="22"/>
        </w:rPr>
        <w:t>Certain Ministerial appointments require consultation with an Assembly committee and are disallowable (see Legislation Act, div 19.3.3).</w:t>
      </w:r>
    </w:p>
    <w:p w:rsidR="00487CD8" w:rsidRDefault="00487CD8" w:rsidP="00487CD8">
      <w:pPr>
        <w:widowControl w:val="0"/>
        <w:tabs>
          <w:tab w:val="left" w:pos="1276"/>
        </w:tabs>
        <w:spacing w:before="120" w:after="120" w:line="300" w:lineRule="exact"/>
        <w:rPr>
          <w:rFonts w:ascii="Calibri" w:hAnsi="Calibri" w:cs="Calibri"/>
          <w:color w:val="000000"/>
        </w:rPr>
      </w:pPr>
      <w:r>
        <w:rPr>
          <w:rFonts w:ascii="Calibri" w:hAnsi="Calibri" w:cs="Calibri"/>
          <w:color w:val="000000"/>
        </w:rPr>
        <w:t>The Committee notes that the explanatory statement for the instrument states:</w:t>
      </w:r>
    </w:p>
    <w:p w:rsidR="00487CD8" w:rsidRDefault="00487CD8" w:rsidP="00487CD8">
      <w:pPr>
        <w:spacing w:before="120" w:after="120"/>
        <w:ind w:left="720"/>
        <w:rPr>
          <w:rFonts w:cstheme="minorHAnsi"/>
        </w:rPr>
      </w:pPr>
      <w:r w:rsidRPr="006B72C5">
        <w:rPr>
          <w:rFonts w:cstheme="minorHAnsi"/>
        </w:rPr>
        <w:t xml:space="preserve">Schedule 2, subsection 2.1(1), of the Act provides that assessors of the Tribunal are to be appointed by the Minister from among people who the Minister is satisfied have special knowledge of or experience in the racing industry. </w:t>
      </w:r>
    </w:p>
    <w:p w:rsidR="00487CD8" w:rsidRDefault="00487CD8" w:rsidP="00487CD8">
      <w:pPr>
        <w:spacing w:before="120" w:after="120"/>
        <w:jc w:val="both"/>
        <w:rPr>
          <w:rFonts w:cstheme="minorHAnsi"/>
        </w:rPr>
      </w:pPr>
      <w:r>
        <w:rPr>
          <w:rFonts w:cstheme="minorHAnsi"/>
        </w:rPr>
        <w:t>The Committee notes that there is no “subsection 2.1(1)” in the Racing Act.</w:t>
      </w:r>
    </w:p>
    <w:p w:rsidR="00487CD8" w:rsidRDefault="00487CD8" w:rsidP="00487CD8">
      <w:pPr>
        <w:spacing w:before="120" w:after="120"/>
        <w:rPr>
          <w:rFonts w:ascii="Calibri" w:hAnsi="Calibri" w:cs="Calibri"/>
        </w:rPr>
      </w:pPr>
      <w:r>
        <w:rPr>
          <w:rFonts w:cstheme="minorHAnsi"/>
        </w:rPr>
        <w:t xml:space="preserve">In terms of the section 2.1 requirement, the Committee notes that, while it recites the requirement, the explanatory statement for the instrument does not expressly state that Minister </w:t>
      </w:r>
      <w:r w:rsidRPr="008A2664">
        <w:rPr>
          <w:rFonts w:cstheme="minorHAnsi"/>
          <w:u w:val="single"/>
        </w:rPr>
        <w:t>is</w:t>
      </w:r>
      <w:r>
        <w:rPr>
          <w:rFonts w:cstheme="minorHAnsi"/>
        </w:rPr>
        <w:t xml:space="preserve"> satisfied that the specified person </w:t>
      </w:r>
      <w:r>
        <w:rPr>
          <w:rFonts w:cstheme="minorHAnsi"/>
          <w:i/>
          <w:iCs/>
        </w:rPr>
        <w:t xml:space="preserve">has </w:t>
      </w:r>
      <w:r>
        <w:rPr>
          <w:rFonts w:cstheme="minorHAnsi"/>
        </w:rPr>
        <w:t>the “</w:t>
      </w:r>
      <w:r w:rsidRPr="008A2664">
        <w:rPr>
          <w:rFonts w:ascii="Calibri" w:hAnsi="Calibri" w:cs="Calibri"/>
        </w:rPr>
        <w:t>special knowledge of or experience in the racing industry</w:t>
      </w:r>
      <w:r>
        <w:rPr>
          <w:rFonts w:ascii="Calibri" w:hAnsi="Calibri" w:cs="Calibri"/>
        </w:rPr>
        <w:t>” tha</w:t>
      </w:r>
      <w:r w:rsidR="00725B29">
        <w:rPr>
          <w:rFonts w:ascii="Calibri" w:hAnsi="Calibri" w:cs="Calibri"/>
        </w:rPr>
        <w:t>t is required, for appointment.</w:t>
      </w:r>
      <w:r>
        <w:rPr>
          <w:rFonts w:ascii="Calibri" w:hAnsi="Calibri" w:cs="Calibri"/>
        </w:rPr>
        <w:t xml:space="preserve"> While it may be assumed that the Minister would not have appointed the specified person </w:t>
      </w:r>
      <w:r>
        <w:rPr>
          <w:rFonts w:ascii="Calibri" w:hAnsi="Calibri" w:cs="Calibri"/>
          <w:i/>
          <w:iCs/>
        </w:rPr>
        <w:t xml:space="preserve">without </w:t>
      </w:r>
      <w:r>
        <w:rPr>
          <w:rFonts w:ascii="Calibri" w:hAnsi="Calibri" w:cs="Calibri"/>
        </w:rPr>
        <w:t>that satisfaction, the Committee has always considered that it is preferable that all the formal requirements are expressly addressed, usually in the explanatory statement for</w:t>
      </w:r>
      <w:r w:rsidR="00725B29">
        <w:rPr>
          <w:rFonts w:ascii="Calibri" w:hAnsi="Calibri" w:cs="Calibri"/>
        </w:rPr>
        <w:t xml:space="preserve"> an instrument of appointment. </w:t>
      </w:r>
      <w:r>
        <w:rPr>
          <w:rFonts w:ascii="Calibri" w:hAnsi="Calibri" w:cs="Calibri"/>
        </w:rPr>
        <w:t>The Committee reminds the Minister of this preference.</w:t>
      </w:r>
    </w:p>
    <w:p w:rsidR="00487CD8" w:rsidRDefault="00487CD8" w:rsidP="00487CD8">
      <w:pPr>
        <w:spacing w:before="120" w:after="120"/>
        <w:rPr>
          <w:rFonts w:ascii="Calibri" w:hAnsi="Calibri" w:cs="Calibri"/>
          <w:b/>
          <w:bCs/>
        </w:rPr>
      </w:pPr>
      <w:r>
        <w:rPr>
          <w:rFonts w:ascii="Calibri" w:hAnsi="Calibri" w:cs="Calibri"/>
          <w:b/>
          <w:bCs/>
        </w:rPr>
        <w:t>This comment does not require a response from the Minister.</w:t>
      </w:r>
    </w:p>
    <w:p w:rsidR="00487CD8" w:rsidRDefault="00487CD8" w:rsidP="00487CD8">
      <w:pPr>
        <w:spacing w:before="120" w:after="120"/>
        <w:rPr>
          <w:rFonts w:ascii="Calibri" w:hAnsi="Calibri" w:cs="Calibri"/>
          <w:i/>
          <w:iCs/>
        </w:rPr>
      </w:pPr>
      <w:r>
        <w:rPr>
          <w:rFonts w:ascii="Calibri" w:hAnsi="Calibri" w:cs="Calibri"/>
          <w:i/>
          <w:iCs/>
        </w:rPr>
        <w:t>Human rights issues</w:t>
      </w:r>
    </w:p>
    <w:p w:rsidR="00487CD8" w:rsidRPr="00842199" w:rsidRDefault="00487CD8" w:rsidP="00A942D5">
      <w:pPr>
        <w:pStyle w:val="Bodycopy"/>
        <w:numPr>
          <w:ilvl w:val="0"/>
          <w:numId w:val="43"/>
        </w:numPr>
        <w:spacing w:after="0" w:line="280" w:lineRule="exact"/>
        <w:ind w:left="360"/>
        <w:rPr>
          <w:b/>
        </w:rPr>
      </w:pPr>
      <w:r>
        <w:rPr>
          <w:b/>
        </w:rPr>
        <w:t>Disallowable Instrument</w:t>
      </w:r>
      <w:r w:rsidRPr="00451C85">
        <w:rPr>
          <w:b/>
        </w:rPr>
        <w:t xml:space="preserve"> </w:t>
      </w:r>
      <w:r>
        <w:rPr>
          <w:b/>
        </w:rPr>
        <w:t>DI2021-51</w:t>
      </w:r>
      <w:r w:rsidRPr="00451C85">
        <w:rPr>
          <w:b/>
        </w:rPr>
        <w:t xml:space="preserve"> being the </w:t>
      </w:r>
      <w:r>
        <w:rPr>
          <w:b/>
        </w:rPr>
        <w:t xml:space="preserve">Surveyors (Surveyor-General) Practice Directions 2021 (No. 1) made under section 55 of the </w:t>
      </w:r>
      <w:r w:rsidRPr="00696A73">
        <w:rPr>
          <w:i/>
        </w:rPr>
        <w:t xml:space="preserve">Surveyors Act 2007 </w:t>
      </w:r>
      <w:r>
        <w:rPr>
          <w:b/>
        </w:rPr>
        <w:t xml:space="preserve">revokes DI2013-217 and issues the Surveyor-General Practice Directions 2021 (No. 1). </w:t>
      </w:r>
    </w:p>
    <w:p w:rsidR="00487CD8" w:rsidRDefault="00487CD8" w:rsidP="00487CD8">
      <w:pPr>
        <w:spacing w:before="120" w:after="120"/>
        <w:rPr>
          <w:rFonts w:ascii="Calibri" w:hAnsi="Calibri" w:cs="Calibri"/>
        </w:rPr>
      </w:pPr>
      <w:r>
        <w:rPr>
          <w:rFonts w:ascii="Calibri" w:hAnsi="Calibri" w:cs="Calibri"/>
        </w:rPr>
        <w:t xml:space="preserve">This instrument makes surveyor-general practice directions, for section 55 of the </w:t>
      </w:r>
      <w:r>
        <w:rPr>
          <w:rFonts w:ascii="Calibri" w:hAnsi="Calibri" w:cs="Calibri"/>
          <w:i/>
          <w:iCs/>
        </w:rPr>
        <w:t>Surveyors Act 2007</w:t>
      </w:r>
      <w:r>
        <w:rPr>
          <w:rFonts w:ascii="Calibri" w:hAnsi="Calibri" w:cs="Calibri"/>
        </w:rPr>
        <w:t>.  It revokes an</w:t>
      </w:r>
      <w:r w:rsidR="00A942D5">
        <w:rPr>
          <w:rFonts w:ascii="Calibri" w:hAnsi="Calibri" w:cs="Calibri"/>
        </w:rPr>
        <w:t>d re-makes previous directions.</w:t>
      </w:r>
      <w:r>
        <w:rPr>
          <w:rFonts w:ascii="Calibri" w:hAnsi="Calibri" w:cs="Calibri"/>
        </w:rPr>
        <w:t xml:space="preserve"> The explanatory statement for the instrument states:</w:t>
      </w:r>
    </w:p>
    <w:p w:rsidR="00487CD8" w:rsidRPr="00112B4C" w:rsidRDefault="00487CD8" w:rsidP="00487CD8">
      <w:pPr>
        <w:spacing w:before="120" w:after="120" w:line="360" w:lineRule="auto"/>
        <w:ind w:left="720"/>
        <w:rPr>
          <w:rFonts w:cstheme="minorHAnsi"/>
        </w:rPr>
      </w:pPr>
      <w:r w:rsidRPr="00112B4C">
        <w:rPr>
          <w:rFonts w:cstheme="minorHAnsi"/>
        </w:rPr>
        <w:t>The new instrument makes the following amendments to the earlier Directions:</w:t>
      </w:r>
    </w:p>
    <w:p w:rsidR="00487CD8" w:rsidRPr="00112B4C" w:rsidRDefault="00487CD8" w:rsidP="00487CD8">
      <w:pPr>
        <w:spacing w:before="120" w:after="120" w:line="360" w:lineRule="auto"/>
        <w:ind w:left="720"/>
        <w:rPr>
          <w:rFonts w:cstheme="minorHAnsi"/>
        </w:rPr>
      </w:pPr>
      <w:r w:rsidRPr="00112B4C">
        <w:rPr>
          <w:rFonts w:cstheme="minorHAnsi"/>
        </w:rPr>
        <w:t>Changes identified below are primarily designed to:</w:t>
      </w:r>
    </w:p>
    <w:p w:rsidR="00487CD8" w:rsidRPr="00112B4C" w:rsidRDefault="00487CD8" w:rsidP="00487CD8">
      <w:pPr>
        <w:numPr>
          <w:ilvl w:val="0"/>
          <w:numId w:val="38"/>
        </w:numPr>
        <w:spacing w:before="120" w:after="120" w:line="360" w:lineRule="auto"/>
        <w:ind w:left="1440"/>
        <w:rPr>
          <w:rFonts w:cstheme="minorHAnsi"/>
        </w:rPr>
      </w:pPr>
      <w:r w:rsidRPr="00112B4C">
        <w:rPr>
          <w:rFonts w:cstheme="minorHAnsi"/>
        </w:rPr>
        <w:t>Modernise the Directions to reflect current best practice and surveying techniques.</w:t>
      </w:r>
    </w:p>
    <w:p w:rsidR="00487CD8" w:rsidRPr="00112B4C" w:rsidRDefault="00487CD8" w:rsidP="00487CD8">
      <w:pPr>
        <w:numPr>
          <w:ilvl w:val="0"/>
          <w:numId w:val="38"/>
        </w:numPr>
        <w:spacing w:before="120" w:after="120" w:line="360" w:lineRule="auto"/>
        <w:ind w:left="1440"/>
        <w:rPr>
          <w:rFonts w:cstheme="minorHAnsi"/>
        </w:rPr>
      </w:pPr>
      <w:r w:rsidRPr="00112B4C">
        <w:rPr>
          <w:rFonts w:cstheme="minorHAnsi"/>
        </w:rPr>
        <w:t>Improve the clarity of the wording in some of the previous Directions.</w:t>
      </w:r>
    </w:p>
    <w:p w:rsidR="00487CD8" w:rsidRPr="00112B4C" w:rsidRDefault="00487CD8" w:rsidP="00487CD8">
      <w:pPr>
        <w:numPr>
          <w:ilvl w:val="0"/>
          <w:numId w:val="38"/>
        </w:numPr>
        <w:spacing w:before="120" w:after="120" w:line="360" w:lineRule="auto"/>
        <w:ind w:left="1440"/>
        <w:rPr>
          <w:rFonts w:cstheme="minorHAnsi"/>
        </w:rPr>
      </w:pPr>
      <w:r w:rsidRPr="00112B4C">
        <w:rPr>
          <w:rFonts w:cstheme="minorHAnsi"/>
        </w:rPr>
        <w:t>Remove the previous Subdivisions C and D and Schedule 1, relating to Units Plans, and place them into a new Surveyor-General Guideline No. 17.</w:t>
      </w:r>
    </w:p>
    <w:p w:rsidR="00487CD8" w:rsidRPr="00112B4C" w:rsidRDefault="00487CD8" w:rsidP="00487CD8">
      <w:pPr>
        <w:spacing w:before="120" w:after="120"/>
        <w:rPr>
          <w:rFonts w:cstheme="minorHAnsi"/>
        </w:rPr>
      </w:pPr>
      <w:r>
        <w:rPr>
          <w:rFonts w:cstheme="minorHAnsi"/>
        </w:rPr>
        <w:t>The explanatory statement for the instrument contains a discussion of human rights issues:</w:t>
      </w:r>
    </w:p>
    <w:p w:rsidR="00487CD8" w:rsidRPr="00112B4C" w:rsidRDefault="00487CD8" w:rsidP="00487CD8">
      <w:pPr>
        <w:spacing w:before="120" w:after="120"/>
        <w:ind w:left="720"/>
        <w:rPr>
          <w:rFonts w:cstheme="minorHAnsi"/>
          <w:b/>
          <w:bCs/>
          <w:u w:val="single"/>
        </w:rPr>
      </w:pPr>
      <w:r w:rsidRPr="00112B4C">
        <w:rPr>
          <w:rFonts w:cstheme="minorHAnsi"/>
          <w:b/>
          <w:bCs/>
          <w:u w:val="single"/>
        </w:rPr>
        <w:t>Human Rights</w:t>
      </w:r>
    </w:p>
    <w:p w:rsidR="00487CD8" w:rsidRPr="00112B4C" w:rsidRDefault="00487CD8" w:rsidP="00487CD8">
      <w:pPr>
        <w:spacing w:before="120" w:after="120"/>
        <w:ind w:left="720"/>
        <w:rPr>
          <w:rFonts w:cstheme="minorHAnsi"/>
        </w:rPr>
      </w:pPr>
      <w:r w:rsidRPr="00112B4C">
        <w:rPr>
          <w:rFonts w:cstheme="minorHAnsi"/>
        </w:rPr>
        <w:t xml:space="preserve">This disallowable instrument does not affect any human rights contained in the </w:t>
      </w:r>
      <w:r w:rsidRPr="00112B4C">
        <w:rPr>
          <w:rFonts w:cstheme="minorHAnsi"/>
          <w:i/>
          <w:iCs/>
        </w:rPr>
        <w:t>Human Rights Act 2004</w:t>
      </w:r>
      <w:r w:rsidRPr="00112B4C">
        <w:rPr>
          <w:rFonts w:cstheme="minorHAnsi"/>
        </w:rPr>
        <w:t>.</w:t>
      </w:r>
    </w:p>
    <w:p w:rsidR="00487CD8" w:rsidRDefault="00487CD8" w:rsidP="00487CD8">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The Committee draws the attention of the Legislative Assembly to the discussion of human rights issues in the explanatory statement for this instrument.</w:t>
      </w:r>
    </w:p>
    <w:p w:rsidR="00487CD8" w:rsidRDefault="00487CD8" w:rsidP="00487CD8">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487CD8" w:rsidRPr="004D0138" w:rsidRDefault="00487CD8" w:rsidP="0047007B">
      <w:pPr>
        <w:pStyle w:val="Paper"/>
        <w:widowControl w:val="0"/>
        <w:tabs>
          <w:tab w:val="left" w:pos="1276"/>
        </w:tabs>
        <w:spacing w:before="360" w:line="280" w:lineRule="exact"/>
        <w:rPr>
          <w:rFonts w:ascii="Arial Narrow" w:hAnsi="Arial Narrow" w:cs="Arial Narrow"/>
          <w:smallCaps/>
          <w:sz w:val="30"/>
          <w:szCs w:val="30"/>
        </w:rPr>
      </w:pPr>
      <w:bookmarkStart w:id="512" w:name="_Toc338841798"/>
      <w:bookmarkStart w:id="513" w:name="_Hlk489262200"/>
      <w:bookmarkStart w:id="514" w:name="_Hlk20217519"/>
      <w:r w:rsidRPr="004D0138">
        <w:rPr>
          <w:rFonts w:ascii="Arial Narrow" w:hAnsi="Arial Narrow" w:cs="Arial Narrow"/>
          <w:smallCaps/>
          <w:sz w:val="30"/>
          <w:szCs w:val="30"/>
        </w:rPr>
        <w:t>Subordinate Laws</w:t>
      </w:r>
      <w:bookmarkStart w:id="515" w:name="_Hlk20475358"/>
      <w:r w:rsidRPr="004D0138">
        <w:rPr>
          <w:rFonts w:ascii="Arial Narrow" w:hAnsi="Arial Narrow" w:cs="Arial Narrow"/>
          <w:smallCaps/>
          <w:sz w:val="30"/>
          <w:szCs w:val="30"/>
        </w:rPr>
        <w:t>—Comment</w:t>
      </w:r>
      <w:bookmarkEnd w:id="512"/>
      <w:bookmarkEnd w:id="513"/>
      <w:bookmarkEnd w:id="515"/>
    </w:p>
    <w:p w:rsidR="00487CD8" w:rsidRDefault="00487CD8" w:rsidP="00487CD8">
      <w:pPr>
        <w:widowControl w:val="0"/>
        <w:tabs>
          <w:tab w:val="left" w:pos="1276"/>
        </w:tabs>
        <w:spacing w:before="120" w:after="120" w:line="300" w:lineRule="exact"/>
        <w:rPr>
          <w:rFonts w:ascii="Calibri" w:hAnsi="Calibri" w:cs="Calibri"/>
          <w:color w:val="000000"/>
        </w:rPr>
      </w:pPr>
      <w:bookmarkStart w:id="516" w:name="_Hlk494963165"/>
      <w:bookmarkEnd w:id="514"/>
      <w:r w:rsidRPr="00987942">
        <w:rPr>
          <w:rFonts w:ascii="Calibri" w:hAnsi="Calibri" w:cs="Calibri"/>
          <w:color w:val="000000"/>
        </w:rPr>
        <w:t xml:space="preserve">The Committee </w:t>
      </w:r>
      <w:bookmarkEnd w:id="516"/>
      <w:r w:rsidRPr="00987942">
        <w:rPr>
          <w:rFonts w:ascii="Calibri" w:hAnsi="Calibri" w:cs="Calibri"/>
          <w:color w:val="000000"/>
        </w:rPr>
        <w:t>has examined the following subordinate law</w:t>
      </w:r>
      <w:r>
        <w:rPr>
          <w:rFonts w:ascii="Calibri" w:hAnsi="Calibri" w:cs="Calibri"/>
          <w:color w:val="000000"/>
        </w:rPr>
        <w:t>s</w:t>
      </w:r>
      <w:r w:rsidRPr="00987942">
        <w:rPr>
          <w:rFonts w:ascii="Calibri" w:hAnsi="Calibri" w:cs="Calibri"/>
          <w:color w:val="000000"/>
        </w:rPr>
        <w:t xml:space="preserve"> and offers these comments on</w:t>
      </w:r>
      <w:r>
        <w:rPr>
          <w:rFonts w:ascii="Calibri" w:hAnsi="Calibri" w:cs="Calibri"/>
          <w:color w:val="000000"/>
        </w:rPr>
        <w:t xml:space="preserve"> them:</w:t>
      </w:r>
    </w:p>
    <w:p w:rsidR="00487CD8" w:rsidRPr="00D7174F" w:rsidRDefault="00487CD8" w:rsidP="00487CD8">
      <w:pPr>
        <w:pStyle w:val="Bodycopy"/>
        <w:spacing w:after="0" w:line="280" w:lineRule="exact"/>
        <w:rPr>
          <w:bCs/>
          <w:i/>
          <w:iCs/>
        </w:rPr>
      </w:pPr>
      <w:r>
        <w:rPr>
          <w:bCs/>
          <w:i/>
          <w:iCs/>
        </w:rPr>
        <w:t>Human rights issues</w:t>
      </w:r>
    </w:p>
    <w:p w:rsidR="00487CD8" w:rsidRPr="00842199" w:rsidRDefault="00487CD8" w:rsidP="00A942D5">
      <w:pPr>
        <w:pStyle w:val="Bodycopy"/>
        <w:numPr>
          <w:ilvl w:val="0"/>
          <w:numId w:val="43"/>
        </w:numPr>
        <w:spacing w:after="0" w:line="280" w:lineRule="exact"/>
        <w:ind w:left="360"/>
        <w:rPr>
          <w:b/>
        </w:rPr>
      </w:pPr>
      <w:r>
        <w:rPr>
          <w:b/>
        </w:rPr>
        <w:t>Subordinate Law</w:t>
      </w:r>
      <w:r w:rsidRPr="00451C85">
        <w:rPr>
          <w:b/>
        </w:rPr>
        <w:t xml:space="preserve"> </w:t>
      </w:r>
      <w:r>
        <w:rPr>
          <w:b/>
        </w:rPr>
        <w:t>SL2021-2</w:t>
      </w:r>
      <w:r w:rsidRPr="00451C85">
        <w:rPr>
          <w:b/>
        </w:rPr>
        <w:t xml:space="preserve"> being the </w:t>
      </w:r>
      <w:r>
        <w:rPr>
          <w:b/>
        </w:rPr>
        <w:t xml:space="preserve">Security Industry Amendment Regulation 2021 (No 1) made under the </w:t>
      </w:r>
      <w:r w:rsidRPr="00A110AD">
        <w:rPr>
          <w:i/>
        </w:rPr>
        <w:t>Security Industry Act 2003</w:t>
      </w:r>
      <w:r w:rsidRPr="00236BDD">
        <w:rPr>
          <w:b/>
        </w:rPr>
        <w:t xml:space="preserve"> </w:t>
      </w:r>
      <w:r>
        <w:rPr>
          <w:b/>
        </w:rPr>
        <w:t xml:space="preserve">updates the qualification requirements of a person seeking a licence to work as a crowd controller. </w:t>
      </w:r>
    </w:p>
    <w:p w:rsidR="00487CD8" w:rsidRDefault="00487CD8" w:rsidP="00487CD8">
      <w:pPr>
        <w:pStyle w:val="Bodycopy"/>
        <w:spacing w:after="0" w:line="280" w:lineRule="exact"/>
        <w:rPr>
          <w:bCs/>
        </w:rPr>
      </w:pPr>
      <w:r>
        <w:rPr>
          <w:bCs/>
        </w:rPr>
        <w:t>This subordinate law makes a minor amendment to the Security Industry Regulation 2003, to “update” the qualification requirements for a person who seeks a licence to work as a crowd controller.  The explanatory statement for the subordinate law states:</w:t>
      </w:r>
    </w:p>
    <w:p w:rsidR="00487CD8" w:rsidRPr="00E90186" w:rsidRDefault="00487CD8" w:rsidP="00487CD8">
      <w:pPr>
        <w:spacing w:before="120" w:after="120"/>
        <w:ind w:left="720"/>
        <w:rPr>
          <w:rFonts w:cstheme="minorHAnsi"/>
        </w:rPr>
      </w:pPr>
      <w:r w:rsidRPr="00E90186">
        <w:rPr>
          <w:rFonts w:cstheme="minorHAnsi"/>
        </w:rPr>
        <w:t>Table 8 sets out the prescribed training courses for employee licences. Column 4 of Item 7 of the table provides that to obtain an employee licence subclass to “act as crowd controller” (referencing s 13(1</w:t>
      </w:r>
      <w:proofErr w:type="gramStart"/>
      <w:r w:rsidRPr="00E90186">
        <w:rPr>
          <w:rFonts w:cstheme="minorHAnsi"/>
        </w:rPr>
        <w:t>)(</w:t>
      </w:r>
      <w:proofErr w:type="gramEnd"/>
      <w:r w:rsidRPr="00E90186">
        <w:rPr>
          <w:rFonts w:cstheme="minorHAnsi"/>
        </w:rPr>
        <w:t xml:space="preserve">h) of the Act), the mandatory training course for an applicant to a licence is either a Certificate II in Security Operations with an elective about managing conflict and security; or a Certificate III in Security Operations; and a Certificate in first aid. </w:t>
      </w:r>
    </w:p>
    <w:p w:rsidR="00487CD8" w:rsidRPr="00E90186" w:rsidRDefault="00487CD8" w:rsidP="00487CD8">
      <w:pPr>
        <w:spacing w:before="120" w:after="120"/>
        <w:ind w:left="720"/>
        <w:rPr>
          <w:rFonts w:cstheme="minorHAnsi"/>
        </w:rPr>
      </w:pPr>
      <w:r w:rsidRPr="00E90186">
        <w:rPr>
          <w:rFonts w:cstheme="minorHAnsi"/>
        </w:rPr>
        <w:t xml:space="preserve">The Amendment Regulation resolves an unintended consequence affecting the licensing of crowd controllers in the ACT. The complication has arisen as Registered Training Organisations in the ACT and neighbouring jurisdictions are not offering an elective about managing conflict and security as a standalone unit. </w:t>
      </w:r>
    </w:p>
    <w:p w:rsidR="00487CD8" w:rsidRPr="00E90186" w:rsidRDefault="00487CD8" w:rsidP="00487CD8">
      <w:pPr>
        <w:spacing w:before="120" w:after="120"/>
        <w:ind w:left="720"/>
        <w:rPr>
          <w:rFonts w:cstheme="minorHAnsi"/>
        </w:rPr>
      </w:pPr>
      <w:r w:rsidRPr="00E90186">
        <w:rPr>
          <w:rFonts w:cstheme="minorHAnsi"/>
        </w:rPr>
        <w:t xml:space="preserve">This Amendment Regulation updates the qualification requirements in Column 4 of Item 7 in Table 8 of the Regulation so that the additional elective in relation to managing conflict and security is no longer a mandatory training course for a person seeking a licence to work as a crowd controller. The intended effect of this is that a person will be able to be licenced and work as a crowd controller if they have completed either a Certificate II or Certificate III in Security Operations. This standard will align with the equivalent mandatory training requirements for crowd controllers who are licenced in neighbouring jurisdictions of New South Wales and Victoria. </w:t>
      </w:r>
    </w:p>
    <w:p w:rsidR="00487CD8" w:rsidRDefault="00487CD8" w:rsidP="00D5578A">
      <w:pPr>
        <w:pStyle w:val="Bodycopy"/>
        <w:spacing w:before="120" w:after="0" w:line="280" w:lineRule="exact"/>
        <w:rPr>
          <w:bCs/>
        </w:rPr>
      </w:pPr>
      <w:r>
        <w:rPr>
          <w:bCs/>
        </w:rPr>
        <w:t>The explanatory statement goes on to discuss human rights issues:</w:t>
      </w:r>
    </w:p>
    <w:p w:rsidR="00487CD8" w:rsidRPr="00E90186" w:rsidRDefault="00487CD8" w:rsidP="00487CD8">
      <w:pPr>
        <w:spacing w:before="120" w:after="120"/>
        <w:ind w:left="720"/>
        <w:rPr>
          <w:rFonts w:cstheme="minorHAnsi"/>
          <w:b/>
          <w:bCs/>
        </w:rPr>
      </w:pPr>
      <w:r w:rsidRPr="00E90186">
        <w:rPr>
          <w:rFonts w:cstheme="minorHAnsi"/>
          <w:b/>
          <w:bCs/>
        </w:rPr>
        <w:t xml:space="preserve">Human rights compatibility </w:t>
      </w:r>
    </w:p>
    <w:p w:rsidR="00487CD8" w:rsidRPr="00E90186" w:rsidRDefault="00487CD8" w:rsidP="00487CD8">
      <w:pPr>
        <w:spacing w:before="120" w:after="120"/>
        <w:ind w:left="720"/>
        <w:rPr>
          <w:rFonts w:cstheme="minorHAnsi"/>
        </w:rPr>
      </w:pPr>
      <w:r w:rsidRPr="00E90186">
        <w:rPr>
          <w:rFonts w:cstheme="minorHAnsi"/>
        </w:rPr>
        <w:t xml:space="preserve">During the development of this Amendment Regulation, due regard was given to its compatibility with human rights as set out in the </w:t>
      </w:r>
      <w:r w:rsidRPr="00E90186">
        <w:rPr>
          <w:rFonts w:cstheme="minorHAnsi"/>
          <w:i/>
          <w:iCs/>
        </w:rPr>
        <w:t xml:space="preserve">Human Rights Act 2004 </w:t>
      </w:r>
      <w:r w:rsidRPr="00E90186">
        <w:rPr>
          <w:rFonts w:cstheme="minorHAnsi"/>
        </w:rPr>
        <w:t>(HRA).</w:t>
      </w:r>
    </w:p>
    <w:p w:rsidR="00487CD8" w:rsidRPr="00E90186" w:rsidRDefault="00487CD8" w:rsidP="00487CD8">
      <w:pPr>
        <w:spacing w:before="120" w:after="120"/>
        <w:ind w:left="720"/>
        <w:rPr>
          <w:rFonts w:cstheme="minorHAnsi"/>
        </w:rPr>
      </w:pPr>
      <w:r w:rsidRPr="00E90186">
        <w:rPr>
          <w:rFonts w:cstheme="minorHAnsi"/>
        </w:rPr>
        <w:t xml:space="preserve">This Amendment Regulation engages and may promote the right to work under section 27B of the HRA. Section 27B provides that everyone has the right to work, including the right to choose their occupation or profession freely. </w:t>
      </w:r>
    </w:p>
    <w:p w:rsidR="00487CD8" w:rsidRPr="00E90186" w:rsidRDefault="00487CD8" w:rsidP="00487CD8">
      <w:pPr>
        <w:spacing w:before="120" w:after="120"/>
        <w:ind w:left="720"/>
        <w:rPr>
          <w:rFonts w:cstheme="minorHAnsi"/>
        </w:rPr>
      </w:pPr>
      <w:r w:rsidRPr="00E90186">
        <w:rPr>
          <w:rFonts w:cstheme="minorHAnsi"/>
        </w:rPr>
        <w:t xml:space="preserve">The removal of the additional elective about managing conflict and security will support newly qualified security officers to obtain employment as crowd controllers in the ACT. Aligning the ACT’s mandatory training requirements for crowd controllers with our neighbouring jurisdictions of New South Wales and Victoria will also promote the mobility of security officers across jurisdictions, allowing security officers to access greater employment opportunities. </w:t>
      </w:r>
    </w:p>
    <w:p w:rsidR="00487CD8" w:rsidRDefault="00487CD8" w:rsidP="00487CD8">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 xml:space="preserve">The Committee draws the attention of the Legislative Assembly to the discussion of human rights issues in the explanatory statement for this </w:t>
      </w:r>
      <w:r>
        <w:rPr>
          <w:rFonts w:ascii="Calibri" w:hAnsi="Calibri" w:cs="Calibri"/>
          <w:b/>
          <w:bCs/>
          <w:sz w:val="22"/>
          <w:szCs w:val="22"/>
          <w:lang w:eastAsia="en-AU"/>
        </w:rPr>
        <w:t>subordinate law</w:t>
      </w:r>
      <w:r w:rsidRPr="00E95E87">
        <w:rPr>
          <w:rFonts w:ascii="Calibri" w:hAnsi="Calibri" w:cs="Calibri"/>
          <w:b/>
          <w:bCs/>
          <w:sz w:val="22"/>
          <w:szCs w:val="22"/>
          <w:lang w:eastAsia="en-AU"/>
        </w:rPr>
        <w:t>.</w:t>
      </w:r>
    </w:p>
    <w:p w:rsidR="00487CD8" w:rsidRDefault="00487CD8" w:rsidP="00487CD8">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487CD8" w:rsidRDefault="00487CD8" w:rsidP="00487CD8">
      <w:pPr>
        <w:pStyle w:val="Bodycopy"/>
        <w:spacing w:after="0" w:line="280" w:lineRule="exact"/>
        <w:rPr>
          <w:bCs/>
          <w:i/>
          <w:iCs/>
        </w:rPr>
      </w:pPr>
      <w:r>
        <w:rPr>
          <w:bCs/>
          <w:i/>
          <w:iCs/>
        </w:rPr>
        <w:t>Human rights issues</w:t>
      </w:r>
    </w:p>
    <w:p w:rsidR="00487CD8" w:rsidRPr="00842199" w:rsidRDefault="00487CD8" w:rsidP="00065CFB">
      <w:pPr>
        <w:pStyle w:val="Bodycopy"/>
        <w:numPr>
          <w:ilvl w:val="0"/>
          <w:numId w:val="43"/>
        </w:numPr>
        <w:spacing w:after="0" w:line="280" w:lineRule="exact"/>
        <w:ind w:left="360"/>
        <w:rPr>
          <w:b/>
        </w:rPr>
      </w:pPr>
      <w:r>
        <w:rPr>
          <w:b/>
        </w:rPr>
        <w:t>Subordinate Law</w:t>
      </w:r>
      <w:r w:rsidRPr="00451C85">
        <w:rPr>
          <w:b/>
        </w:rPr>
        <w:t xml:space="preserve"> </w:t>
      </w:r>
      <w:r>
        <w:rPr>
          <w:b/>
        </w:rPr>
        <w:t>SL2021-3</w:t>
      </w:r>
      <w:r w:rsidRPr="00451C85">
        <w:rPr>
          <w:b/>
        </w:rPr>
        <w:t xml:space="preserve"> being the </w:t>
      </w:r>
      <w:r>
        <w:rPr>
          <w:b/>
        </w:rPr>
        <w:t xml:space="preserve">Taxation (Government Business Enterprises) Amendment Regulation 2021 (No 1) made under the </w:t>
      </w:r>
      <w:r w:rsidRPr="0061044C">
        <w:rPr>
          <w:i/>
        </w:rPr>
        <w:t>Taxation (Government Business Enterprises) Act 2003</w:t>
      </w:r>
      <w:r w:rsidRPr="00236BDD">
        <w:rPr>
          <w:b/>
        </w:rPr>
        <w:t xml:space="preserve"> </w:t>
      </w:r>
      <w:r>
        <w:rPr>
          <w:b/>
        </w:rPr>
        <w:t xml:space="preserve">makes several amendments to the </w:t>
      </w:r>
      <w:bookmarkStart w:id="517" w:name="_Hlk70068645"/>
      <w:r>
        <w:rPr>
          <w:b/>
        </w:rPr>
        <w:t>Taxation (Government Business Enterprise) Regulation 2003</w:t>
      </w:r>
      <w:bookmarkEnd w:id="517"/>
      <w:r>
        <w:rPr>
          <w:b/>
        </w:rPr>
        <w:t xml:space="preserve">. </w:t>
      </w:r>
    </w:p>
    <w:p w:rsidR="00487CD8" w:rsidRDefault="00487CD8" w:rsidP="00487CD8">
      <w:pPr>
        <w:pStyle w:val="Bodycopy"/>
        <w:spacing w:after="0" w:line="280" w:lineRule="exact"/>
        <w:rPr>
          <w:szCs w:val="22"/>
        </w:rPr>
      </w:pPr>
      <w:r>
        <w:rPr>
          <w:bCs/>
        </w:rPr>
        <w:t xml:space="preserve">This subordinate law amends the </w:t>
      </w:r>
      <w:r w:rsidRPr="00E90186">
        <w:rPr>
          <w:bCs/>
        </w:rPr>
        <w:t>Taxation (Government Business Enterprise) Regulation 2003</w:t>
      </w:r>
      <w:r w:rsidR="00065CFB">
        <w:rPr>
          <w:bCs/>
        </w:rPr>
        <w:t>.</w:t>
      </w:r>
      <w:r>
        <w:rPr>
          <w:bCs/>
        </w:rPr>
        <w:t xml:space="preserve"> The explanatory statement for the subordinate law notes that, under the </w:t>
      </w:r>
      <w:r w:rsidRPr="00EE4792">
        <w:rPr>
          <w:i/>
          <w:iCs/>
          <w:szCs w:val="22"/>
        </w:rPr>
        <w:t>Taxation (Government Business Enterprises) Act 2003</w:t>
      </w:r>
      <w:r w:rsidRPr="00EE4792">
        <w:rPr>
          <w:szCs w:val="22"/>
        </w:rPr>
        <w:t>, all Territory entities are required to pay income tax equivalents and/or Territory taxes and charges.</w:t>
      </w:r>
      <w:r w:rsidR="00065CFB">
        <w:rPr>
          <w:szCs w:val="22"/>
        </w:rPr>
        <w:t xml:space="preserve"> </w:t>
      </w:r>
      <w:r w:rsidRPr="00EE4792">
        <w:rPr>
          <w:szCs w:val="22"/>
        </w:rPr>
        <w:t>The</w:t>
      </w:r>
      <w:r>
        <w:rPr>
          <w:szCs w:val="22"/>
        </w:rPr>
        <w:t xml:space="preserve"> </w:t>
      </w:r>
      <w:r w:rsidRPr="00E90186">
        <w:rPr>
          <w:bCs/>
        </w:rPr>
        <w:t xml:space="preserve">Taxation (Government Business Enterprise) Regulation </w:t>
      </w:r>
      <w:r>
        <w:rPr>
          <w:szCs w:val="22"/>
        </w:rPr>
        <w:t xml:space="preserve">then </w:t>
      </w:r>
      <w:r w:rsidRPr="00EE4792">
        <w:rPr>
          <w:szCs w:val="22"/>
        </w:rPr>
        <w:t xml:space="preserve">prescribes those Territory entities </w:t>
      </w:r>
      <w:r>
        <w:rPr>
          <w:szCs w:val="22"/>
        </w:rPr>
        <w:t>that</w:t>
      </w:r>
      <w:r w:rsidRPr="00EE4792">
        <w:rPr>
          <w:szCs w:val="22"/>
        </w:rPr>
        <w:t xml:space="preserve"> are to be subject to the national tax equivalent regime and those Territory entities </w:t>
      </w:r>
      <w:r>
        <w:rPr>
          <w:szCs w:val="22"/>
        </w:rPr>
        <w:t xml:space="preserve">that </w:t>
      </w:r>
      <w:r w:rsidRPr="00EE4792">
        <w:rPr>
          <w:szCs w:val="22"/>
        </w:rPr>
        <w:t>are to be subject to Territory taxes and charges.</w:t>
      </w:r>
      <w:r w:rsidR="00065CFB">
        <w:rPr>
          <w:szCs w:val="22"/>
        </w:rPr>
        <w:t xml:space="preserve"> </w:t>
      </w:r>
      <w:r>
        <w:rPr>
          <w:szCs w:val="22"/>
        </w:rPr>
        <w:t>The explanatory statement indicates that this subordinate law amends references to various Territory entiti</w:t>
      </w:r>
      <w:r w:rsidR="00065CFB">
        <w:rPr>
          <w:szCs w:val="22"/>
        </w:rPr>
        <w:t xml:space="preserve">es that are referred to in the </w:t>
      </w:r>
      <w:r w:rsidRPr="00EE4792">
        <w:rPr>
          <w:szCs w:val="22"/>
        </w:rPr>
        <w:t>Taxation (Government Business Enterprise) Regulation</w:t>
      </w:r>
      <w:r>
        <w:rPr>
          <w:szCs w:val="22"/>
        </w:rPr>
        <w:t xml:space="preserve"> that </w:t>
      </w:r>
      <w:r w:rsidRPr="00EE4792">
        <w:rPr>
          <w:szCs w:val="22"/>
        </w:rPr>
        <w:t xml:space="preserve">have changed trading names and/or been subject to significant structural changes. </w:t>
      </w:r>
    </w:p>
    <w:p w:rsidR="00487CD8" w:rsidRDefault="00487CD8" w:rsidP="00065CFB">
      <w:pPr>
        <w:pStyle w:val="Bodycopy"/>
        <w:spacing w:before="120" w:after="0" w:line="280" w:lineRule="exact"/>
        <w:rPr>
          <w:szCs w:val="22"/>
        </w:rPr>
      </w:pPr>
      <w:r>
        <w:rPr>
          <w:szCs w:val="22"/>
        </w:rPr>
        <w:t>The explanatory statement goes on to discuss human rights issues:</w:t>
      </w:r>
    </w:p>
    <w:p w:rsidR="00487CD8" w:rsidRPr="00EE4792" w:rsidRDefault="00487CD8" w:rsidP="00487CD8">
      <w:pPr>
        <w:spacing w:before="120" w:after="120"/>
        <w:ind w:left="720"/>
        <w:rPr>
          <w:rFonts w:ascii="Calibri" w:hAnsi="Calibri" w:cs="Calibri"/>
          <w:b/>
          <w:bCs/>
        </w:rPr>
      </w:pPr>
      <w:r w:rsidRPr="00EE4792">
        <w:rPr>
          <w:rFonts w:ascii="Calibri" w:hAnsi="Calibri" w:cs="Calibri"/>
          <w:b/>
          <w:bCs/>
        </w:rPr>
        <w:t>HUMAN RIGHTS</w:t>
      </w:r>
    </w:p>
    <w:p w:rsidR="00487CD8" w:rsidRPr="00EE4792" w:rsidRDefault="00487CD8" w:rsidP="00487CD8">
      <w:pPr>
        <w:spacing w:before="120" w:after="120"/>
        <w:ind w:left="720"/>
        <w:rPr>
          <w:rFonts w:ascii="Calibri" w:hAnsi="Calibri" w:cs="Calibri"/>
        </w:rPr>
      </w:pPr>
      <w:r w:rsidRPr="00EE4792">
        <w:rPr>
          <w:rFonts w:ascii="Calibri" w:hAnsi="Calibri" w:cs="Calibri"/>
        </w:rPr>
        <w:t>This regulation does not have any human rights implications.</w:t>
      </w:r>
    </w:p>
    <w:p w:rsidR="00487CD8" w:rsidRDefault="00487CD8" w:rsidP="00487CD8">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 xml:space="preserve">The Committee draws the attention of the Legislative Assembly to the discussion of human rights issues in the explanatory statement for this </w:t>
      </w:r>
      <w:r>
        <w:rPr>
          <w:rFonts w:ascii="Calibri" w:hAnsi="Calibri" w:cs="Calibri"/>
          <w:b/>
          <w:bCs/>
          <w:sz w:val="22"/>
          <w:szCs w:val="22"/>
          <w:lang w:eastAsia="en-AU"/>
        </w:rPr>
        <w:t>subordinate law</w:t>
      </w:r>
      <w:r w:rsidRPr="00E95E87">
        <w:rPr>
          <w:rFonts w:ascii="Calibri" w:hAnsi="Calibri" w:cs="Calibri"/>
          <w:b/>
          <w:bCs/>
          <w:sz w:val="22"/>
          <w:szCs w:val="22"/>
          <w:lang w:eastAsia="en-AU"/>
        </w:rPr>
        <w:t>.</w:t>
      </w:r>
    </w:p>
    <w:p w:rsidR="00487CD8" w:rsidRDefault="00487CD8" w:rsidP="00487CD8">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487CD8" w:rsidRDefault="00487CD8" w:rsidP="00487CD8">
      <w:pPr>
        <w:pStyle w:val="Bodycopy"/>
        <w:spacing w:before="120" w:after="120" w:line="280" w:lineRule="exact"/>
        <w:rPr>
          <w:i/>
          <w:iCs/>
          <w:szCs w:val="22"/>
        </w:rPr>
      </w:pPr>
      <w:bookmarkStart w:id="518" w:name="_Hlk70071324"/>
      <w:r>
        <w:rPr>
          <w:i/>
          <w:iCs/>
          <w:szCs w:val="22"/>
        </w:rPr>
        <w:t>Human rights issues</w:t>
      </w:r>
    </w:p>
    <w:p w:rsidR="00487CD8" w:rsidRPr="00842199" w:rsidRDefault="00487CD8" w:rsidP="00740188">
      <w:pPr>
        <w:pStyle w:val="Bodycopy"/>
        <w:numPr>
          <w:ilvl w:val="0"/>
          <w:numId w:val="43"/>
        </w:numPr>
        <w:spacing w:after="0" w:line="280" w:lineRule="exact"/>
        <w:ind w:left="360"/>
        <w:rPr>
          <w:b/>
        </w:rPr>
      </w:pPr>
      <w:r>
        <w:rPr>
          <w:b/>
        </w:rPr>
        <w:t>Subordinate Law</w:t>
      </w:r>
      <w:r w:rsidRPr="00451C85">
        <w:rPr>
          <w:b/>
        </w:rPr>
        <w:t xml:space="preserve"> </w:t>
      </w:r>
      <w:r>
        <w:rPr>
          <w:b/>
        </w:rPr>
        <w:t>SL2021-4</w:t>
      </w:r>
      <w:r w:rsidRPr="00451C85">
        <w:rPr>
          <w:b/>
        </w:rPr>
        <w:t xml:space="preserve"> being the </w:t>
      </w:r>
      <w:r>
        <w:rPr>
          <w:b/>
        </w:rPr>
        <w:t xml:space="preserve">Bail Amendment Regulation 2021 (No 1) made under the </w:t>
      </w:r>
      <w:r w:rsidRPr="0045039A">
        <w:rPr>
          <w:i/>
        </w:rPr>
        <w:t>Bail Act 1992</w:t>
      </w:r>
      <w:r w:rsidRPr="00236BDD">
        <w:rPr>
          <w:b/>
        </w:rPr>
        <w:t xml:space="preserve"> </w:t>
      </w:r>
      <w:r>
        <w:rPr>
          <w:b/>
        </w:rPr>
        <w:t xml:space="preserve">puts in place provisions for more flexible and contemporary methods of service for bail continuation notices. </w:t>
      </w:r>
    </w:p>
    <w:p w:rsidR="00487CD8" w:rsidRDefault="00487CD8" w:rsidP="00487CD8">
      <w:pPr>
        <w:pStyle w:val="Bodycopy"/>
        <w:spacing w:before="120" w:after="120" w:line="280" w:lineRule="exact"/>
        <w:rPr>
          <w:szCs w:val="22"/>
        </w:rPr>
      </w:pPr>
      <w:r>
        <w:rPr>
          <w:szCs w:val="22"/>
        </w:rPr>
        <w:t>This subordinate law amends the Bail Regulation 1992.  According to the explanatory statement for the subordinate law, the amendments ….</w:t>
      </w:r>
    </w:p>
    <w:p w:rsidR="00487CD8" w:rsidRPr="00D724B6" w:rsidRDefault="00487CD8" w:rsidP="00487CD8">
      <w:pPr>
        <w:pStyle w:val="Bodycopy"/>
        <w:spacing w:before="120" w:after="120" w:line="280" w:lineRule="exact"/>
        <w:ind w:left="720"/>
        <w:rPr>
          <w:szCs w:val="22"/>
        </w:rPr>
      </w:pPr>
      <w:r>
        <w:rPr>
          <w:szCs w:val="22"/>
        </w:rPr>
        <w:t xml:space="preserve"> … </w:t>
      </w:r>
      <w:proofErr w:type="gramStart"/>
      <w:r w:rsidRPr="00D724B6">
        <w:rPr>
          <w:szCs w:val="22"/>
        </w:rPr>
        <w:t>will</w:t>
      </w:r>
      <w:proofErr w:type="gramEnd"/>
      <w:r w:rsidRPr="00D724B6">
        <w:rPr>
          <w:szCs w:val="22"/>
        </w:rPr>
        <w:t xml:space="preserve"> put in place clear provisions for more flexible and contemporary methods of service for bail continuation notices to support the amendments to section 34 of the Act proposed by the Crimes Legislation Amendment Bill 2020.  </w:t>
      </w:r>
    </w:p>
    <w:p w:rsidR="00487CD8" w:rsidRDefault="00487CD8" w:rsidP="00487CD8">
      <w:pPr>
        <w:pStyle w:val="Bodycopy"/>
        <w:spacing w:before="120" w:after="120" w:line="280" w:lineRule="exact"/>
        <w:rPr>
          <w:szCs w:val="22"/>
        </w:rPr>
      </w:pPr>
      <w:r>
        <w:rPr>
          <w:szCs w:val="22"/>
        </w:rPr>
        <w:t>The explanatory statement indicates that these amendments are in response to t</w:t>
      </w:r>
      <w:r w:rsidRPr="00D724B6">
        <w:rPr>
          <w:szCs w:val="22"/>
        </w:rPr>
        <w:t xml:space="preserve">he decision of the Chief Magistrate in </w:t>
      </w:r>
      <w:r w:rsidRPr="00D724B6">
        <w:rPr>
          <w:i/>
          <w:iCs/>
          <w:szCs w:val="22"/>
        </w:rPr>
        <w:t xml:space="preserve">Elder v </w:t>
      </w:r>
      <w:proofErr w:type="spellStart"/>
      <w:r w:rsidRPr="00D724B6">
        <w:rPr>
          <w:i/>
          <w:iCs/>
          <w:szCs w:val="22"/>
        </w:rPr>
        <w:t>Metyang</w:t>
      </w:r>
      <w:proofErr w:type="spellEnd"/>
      <w:r w:rsidRPr="00D724B6">
        <w:rPr>
          <w:szCs w:val="22"/>
        </w:rPr>
        <w:t xml:space="preserve"> [2020] ACTMC 24</w:t>
      </w:r>
      <w:r>
        <w:rPr>
          <w:szCs w:val="22"/>
        </w:rPr>
        <w:t>.</w:t>
      </w:r>
    </w:p>
    <w:p w:rsidR="00487CD8" w:rsidRDefault="00487CD8" w:rsidP="00487CD8">
      <w:pPr>
        <w:pStyle w:val="Bodycopy"/>
        <w:spacing w:before="120" w:after="120" w:line="280" w:lineRule="exact"/>
        <w:rPr>
          <w:szCs w:val="22"/>
        </w:rPr>
      </w:pPr>
      <w:r>
        <w:rPr>
          <w:szCs w:val="22"/>
        </w:rPr>
        <w:t xml:space="preserve">The Committee notes that it discussed the </w:t>
      </w:r>
      <w:r w:rsidRPr="00D724B6">
        <w:rPr>
          <w:szCs w:val="22"/>
        </w:rPr>
        <w:t>Crimes Legislation Amendment Bill 2020</w:t>
      </w:r>
      <w:r>
        <w:rPr>
          <w:szCs w:val="22"/>
        </w:rPr>
        <w:t xml:space="preserve"> in</w:t>
      </w:r>
      <w:r w:rsidRPr="00875A90">
        <w:rPr>
          <w:szCs w:val="22"/>
        </w:rPr>
        <w:t xml:space="preserve"> </w:t>
      </w:r>
      <w:r w:rsidRPr="00875A90">
        <w:rPr>
          <w:iCs/>
          <w:szCs w:val="22"/>
        </w:rPr>
        <w:t>Scrutiny Report 2</w:t>
      </w:r>
      <w:r>
        <w:rPr>
          <w:i/>
          <w:iCs/>
          <w:szCs w:val="22"/>
        </w:rPr>
        <w:t xml:space="preserve"> </w:t>
      </w:r>
      <w:r>
        <w:rPr>
          <w:szCs w:val="22"/>
        </w:rPr>
        <w:t>of the 10</w:t>
      </w:r>
      <w:r w:rsidRPr="00D724B6">
        <w:rPr>
          <w:szCs w:val="22"/>
          <w:vertAlign w:val="superscript"/>
        </w:rPr>
        <w:t>th</w:t>
      </w:r>
      <w:r w:rsidR="003F6A49">
        <w:rPr>
          <w:szCs w:val="22"/>
        </w:rPr>
        <w:t xml:space="preserve"> Assembly (24 March 2021). </w:t>
      </w:r>
      <w:r>
        <w:rPr>
          <w:szCs w:val="22"/>
        </w:rPr>
        <w:t>In that discussion, the Committee mentioned that amendments to the Bail</w:t>
      </w:r>
      <w:r w:rsidR="003F6A49">
        <w:rPr>
          <w:szCs w:val="22"/>
        </w:rPr>
        <w:t xml:space="preserve"> Regulation were foreshadowed. </w:t>
      </w:r>
      <w:r>
        <w:rPr>
          <w:szCs w:val="22"/>
        </w:rPr>
        <w:t>The Committee stated:</w:t>
      </w:r>
    </w:p>
    <w:p w:rsidR="00487CD8" w:rsidRPr="00785EBE" w:rsidRDefault="00487CD8" w:rsidP="00487CD8">
      <w:pPr>
        <w:spacing w:before="120" w:after="120" w:line="238" w:lineRule="auto"/>
        <w:ind w:left="720"/>
        <w:rPr>
          <w:rFonts w:cstheme="minorHAnsi"/>
        </w:rPr>
      </w:pPr>
      <w:r w:rsidRPr="00785EBE">
        <w:rPr>
          <w:rFonts w:cstheme="minorHAnsi"/>
        </w:rPr>
        <w:t>The Committee is concerned that any dilution of the current requirement to provide notice in person may give rise to significant human rights concerns. The proposed amendments leave the method of providing notice to the Regulations with no explicit restrictions. Reliance on section 30 of the HRA will only increase the uncertainty over whether any Regulations will comply with the requirements of the Bail Act, and whether any decision on the method of service will in turn be consistent with the Regulations. The Committee recognises that elements of the method of service may involve technical details suitable for inclusion in regulations, and that any regulations will be subject to scrutiny by the Committee and the Assembly. However, in the Committee’s view, the significant human rights concerns raised by the potential amendments make it appropriate for explicit restrictions on possible methods of service to be included in amendments to the Bail Act.</w:t>
      </w:r>
    </w:p>
    <w:p w:rsidR="00487CD8" w:rsidRDefault="00487CD8" w:rsidP="00487CD8">
      <w:pPr>
        <w:pStyle w:val="Bodycopy"/>
        <w:spacing w:before="120" w:after="120" w:line="280" w:lineRule="exact"/>
        <w:rPr>
          <w:szCs w:val="22"/>
        </w:rPr>
      </w:pPr>
      <w:r>
        <w:rPr>
          <w:rFonts w:asciiTheme="minorHAnsi" w:hAnsiTheme="minorHAnsi" w:cstheme="minorHAnsi"/>
          <w:szCs w:val="22"/>
        </w:rPr>
        <w:t xml:space="preserve">The Committee notes that, in a response to the Committee’s comments, dated 29 March 2021, the Attorney-General provided the Committee with an advance copy of this (proposed) subordinate law, indicating that the proposed </w:t>
      </w:r>
      <w:r w:rsidRPr="00785EBE">
        <w:rPr>
          <w:szCs w:val="22"/>
        </w:rPr>
        <w:t xml:space="preserve">a copy of the proposed </w:t>
      </w:r>
      <w:r>
        <w:rPr>
          <w:szCs w:val="22"/>
        </w:rPr>
        <w:t>subordinate law had been amended, “</w:t>
      </w:r>
      <w:r w:rsidRPr="00785EBE">
        <w:rPr>
          <w:szCs w:val="22"/>
        </w:rPr>
        <w:t>to take account of the Committee’s comments.</w:t>
      </w:r>
      <w:r>
        <w:rPr>
          <w:szCs w:val="22"/>
        </w:rPr>
        <w:t>”</w:t>
      </w:r>
    </w:p>
    <w:p w:rsidR="00487CD8" w:rsidRPr="0053247B" w:rsidRDefault="00487CD8" w:rsidP="00487CD8">
      <w:pPr>
        <w:pStyle w:val="Bodycopy"/>
        <w:spacing w:before="120" w:after="120" w:line="280" w:lineRule="exact"/>
        <w:rPr>
          <w:szCs w:val="22"/>
        </w:rPr>
      </w:pPr>
      <w:r>
        <w:rPr>
          <w:szCs w:val="22"/>
        </w:rPr>
        <w:t xml:space="preserve">The Committee notes that the </w:t>
      </w:r>
      <w:r>
        <w:rPr>
          <w:i/>
          <w:iCs/>
          <w:szCs w:val="22"/>
        </w:rPr>
        <w:t>Crimes Legislation Amendment Act 2021</w:t>
      </w:r>
      <w:r>
        <w:rPr>
          <w:szCs w:val="22"/>
        </w:rPr>
        <w:t xml:space="preserve"> was passed by the Legislative Assembly, with amendments, on 31 March 2021, and notified on the ACT Legislation Register on 8</w:t>
      </w:r>
      <w:r w:rsidR="003E6FD3">
        <w:rPr>
          <w:szCs w:val="22"/>
        </w:rPr>
        <w:t> </w:t>
      </w:r>
      <w:r>
        <w:rPr>
          <w:szCs w:val="22"/>
        </w:rPr>
        <w:t>April 2021.</w:t>
      </w:r>
    </w:p>
    <w:p w:rsidR="00487CD8" w:rsidRDefault="00487CD8" w:rsidP="0047007B">
      <w:pPr>
        <w:pStyle w:val="Bodycopy"/>
        <w:keepNext/>
        <w:keepLines/>
        <w:spacing w:before="120" w:after="120" w:line="280" w:lineRule="exact"/>
        <w:rPr>
          <w:szCs w:val="22"/>
        </w:rPr>
      </w:pPr>
      <w:r>
        <w:rPr>
          <w:szCs w:val="22"/>
        </w:rPr>
        <w:t>The Committee notes that the explanatory statement for this subordinate law contains the following discussion of human rights issues:</w:t>
      </w:r>
    </w:p>
    <w:p w:rsidR="00487CD8" w:rsidRPr="0053247B" w:rsidRDefault="00487CD8" w:rsidP="00487CD8">
      <w:pPr>
        <w:autoSpaceDE w:val="0"/>
        <w:autoSpaceDN w:val="0"/>
        <w:adjustRightInd w:val="0"/>
        <w:spacing w:before="120" w:after="120"/>
        <w:ind w:left="720"/>
        <w:rPr>
          <w:rFonts w:cstheme="minorHAnsi"/>
          <w:b/>
          <w:bCs/>
        </w:rPr>
      </w:pPr>
      <w:r w:rsidRPr="0053247B">
        <w:rPr>
          <w:rFonts w:cstheme="minorHAnsi"/>
          <w:b/>
          <w:bCs/>
        </w:rPr>
        <w:t>Human Rights</w:t>
      </w:r>
    </w:p>
    <w:p w:rsidR="00487CD8" w:rsidRPr="0053247B" w:rsidRDefault="00487CD8" w:rsidP="00487CD8">
      <w:pPr>
        <w:autoSpaceDE w:val="0"/>
        <w:autoSpaceDN w:val="0"/>
        <w:adjustRightInd w:val="0"/>
        <w:spacing w:before="120" w:after="120"/>
        <w:ind w:left="720"/>
        <w:rPr>
          <w:rFonts w:cstheme="minorHAnsi"/>
        </w:rPr>
      </w:pPr>
      <w:r w:rsidRPr="0053247B">
        <w:rPr>
          <w:rFonts w:cstheme="minorHAnsi"/>
        </w:rPr>
        <w:t xml:space="preserve">Service of bail continuation notices may engage rights under the </w:t>
      </w:r>
      <w:r w:rsidRPr="0053247B">
        <w:rPr>
          <w:rFonts w:cstheme="minorHAnsi"/>
          <w:i/>
          <w:iCs/>
        </w:rPr>
        <w:t xml:space="preserve">Human Rights Act 2004 </w:t>
      </w:r>
      <w:r w:rsidRPr="0053247B">
        <w:rPr>
          <w:rFonts w:cstheme="minorHAnsi"/>
        </w:rPr>
        <w:t>(HR</w:t>
      </w:r>
      <w:r>
        <w:rPr>
          <w:rFonts w:cstheme="minorHAnsi"/>
        </w:rPr>
        <w:t xml:space="preserve"> A</w:t>
      </w:r>
      <w:r w:rsidRPr="0053247B">
        <w:rPr>
          <w:rFonts w:cstheme="minorHAnsi"/>
        </w:rPr>
        <w:t>ct)</w:t>
      </w:r>
      <w:r w:rsidRPr="0053247B">
        <w:rPr>
          <w:rFonts w:cstheme="minorHAnsi"/>
          <w:i/>
          <w:iCs/>
        </w:rPr>
        <w:t xml:space="preserve">, </w:t>
      </w:r>
      <w:r w:rsidRPr="0053247B">
        <w:rPr>
          <w:rFonts w:cstheme="minorHAnsi"/>
        </w:rPr>
        <w:t xml:space="preserve">including section 18 (Right to liberty and security of person), section 21 (Right to a fair trial) and section 22 (Rights in criminal proceedings), if a person is subsequently prosecuted for failing to answer bail under section 49 of the Act. Section 30 of the HR Act requires that all Territory laws be interpreted in a way that is compatible with human rights. The court, in considering the service methods in section 4 of the amended Regulation, should adopt a method that is compatible with the rights of the accused person. The method adopted may vary with the particular circumstances of each accused person and consideration may be given to factors such as whether the accused person is legally represented or attended court on the previous occasion.  </w:t>
      </w:r>
    </w:p>
    <w:p w:rsidR="00487CD8" w:rsidRPr="0053247B" w:rsidRDefault="00487CD8" w:rsidP="00487CD8">
      <w:pPr>
        <w:autoSpaceDE w:val="0"/>
        <w:autoSpaceDN w:val="0"/>
        <w:adjustRightInd w:val="0"/>
        <w:spacing w:before="120" w:after="120"/>
        <w:ind w:left="720"/>
        <w:rPr>
          <w:rFonts w:cstheme="minorHAnsi"/>
        </w:rPr>
      </w:pPr>
      <w:r w:rsidRPr="0053247B">
        <w:rPr>
          <w:rFonts w:cstheme="minorHAnsi"/>
        </w:rPr>
        <w:t>In the event of any prosecution for the offence of failing to answer bail, there is a defence of reasonable excuse available to the accused person and the opportunity to raise non-receipt of a bail continuation notice as a reasonable excuse. Whether the court accepts this excuse will be a matter of evidence.</w:t>
      </w:r>
    </w:p>
    <w:p w:rsidR="00487CD8" w:rsidRPr="0053247B" w:rsidRDefault="00487CD8" w:rsidP="00487CD8">
      <w:pPr>
        <w:autoSpaceDE w:val="0"/>
        <w:autoSpaceDN w:val="0"/>
        <w:adjustRightInd w:val="0"/>
        <w:spacing w:before="120" w:after="120"/>
        <w:ind w:left="720"/>
        <w:rPr>
          <w:rFonts w:cstheme="minorHAnsi"/>
        </w:rPr>
      </w:pPr>
      <w:r w:rsidRPr="0053247B">
        <w:rPr>
          <w:rFonts w:cstheme="minorHAnsi"/>
        </w:rPr>
        <w:t xml:space="preserve">A more detailed analysis of the human rights implications is set out in the explanatory statement to the </w:t>
      </w:r>
      <w:r w:rsidRPr="0053247B">
        <w:rPr>
          <w:rFonts w:cstheme="minorHAnsi"/>
          <w:i/>
          <w:iCs/>
        </w:rPr>
        <w:t>Crimes Legislation Amendment Bill 2020</w:t>
      </w:r>
      <w:r w:rsidRPr="0053247B">
        <w:rPr>
          <w:rFonts w:cstheme="minorHAnsi"/>
        </w:rPr>
        <w:t xml:space="preserve">.  </w:t>
      </w:r>
    </w:p>
    <w:p w:rsidR="00487CD8" w:rsidRDefault="00487CD8" w:rsidP="00487CD8">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 xml:space="preserve">The Committee draws the attention of the Legislative Assembly to the discussion of human rights issues in the explanatory statement for this </w:t>
      </w:r>
      <w:r>
        <w:rPr>
          <w:rFonts w:ascii="Calibri" w:hAnsi="Calibri" w:cs="Calibri"/>
          <w:b/>
          <w:bCs/>
          <w:sz w:val="22"/>
          <w:szCs w:val="22"/>
          <w:lang w:eastAsia="en-AU"/>
        </w:rPr>
        <w:t>subordinate law</w:t>
      </w:r>
      <w:r w:rsidRPr="00E95E87">
        <w:rPr>
          <w:rFonts w:ascii="Calibri" w:hAnsi="Calibri" w:cs="Calibri"/>
          <w:b/>
          <w:bCs/>
          <w:sz w:val="22"/>
          <w:szCs w:val="22"/>
          <w:lang w:eastAsia="en-AU"/>
        </w:rPr>
        <w:t>.</w:t>
      </w:r>
    </w:p>
    <w:p w:rsidR="00487CD8" w:rsidRDefault="00487CD8" w:rsidP="00487CD8">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bookmarkEnd w:id="518"/>
    <w:p w:rsidR="00487CD8" w:rsidRPr="007F5002" w:rsidRDefault="00487CD8" w:rsidP="00487CD8">
      <w:pPr>
        <w:pStyle w:val="Bodycopy"/>
        <w:spacing w:before="120" w:after="120" w:line="280" w:lineRule="exact"/>
        <w:rPr>
          <w:i/>
          <w:iCs/>
          <w:szCs w:val="22"/>
        </w:rPr>
      </w:pPr>
      <w:r w:rsidRPr="007F5002">
        <w:rPr>
          <w:i/>
          <w:iCs/>
          <w:szCs w:val="22"/>
        </w:rPr>
        <w:t>Human rights issues</w:t>
      </w:r>
    </w:p>
    <w:p w:rsidR="00487CD8" w:rsidRPr="00842199" w:rsidRDefault="00487CD8" w:rsidP="00DA79D5">
      <w:pPr>
        <w:pStyle w:val="Bodycopy"/>
        <w:numPr>
          <w:ilvl w:val="0"/>
          <w:numId w:val="43"/>
        </w:numPr>
        <w:spacing w:after="0" w:line="280" w:lineRule="exact"/>
        <w:ind w:left="360"/>
        <w:rPr>
          <w:b/>
        </w:rPr>
      </w:pPr>
      <w:r>
        <w:rPr>
          <w:b/>
        </w:rPr>
        <w:t>Subordinate Law</w:t>
      </w:r>
      <w:r w:rsidRPr="00451C85">
        <w:rPr>
          <w:b/>
        </w:rPr>
        <w:t xml:space="preserve"> </w:t>
      </w:r>
      <w:r>
        <w:rPr>
          <w:b/>
        </w:rPr>
        <w:t>SL2021-5</w:t>
      </w:r>
      <w:r w:rsidRPr="00451C85">
        <w:rPr>
          <w:b/>
        </w:rPr>
        <w:t xml:space="preserve"> being the </w:t>
      </w:r>
      <w:r>
        <w:rPr>
          <w:b/>
        </w:rPr>
        <w:t xml:space="preserve">Legal Profession (Barristers) Rules 2021 made under subsection 579(1) of the </w:t>
      </w:r>
      <w:r w:rsidRPr="009A440E">
        <w:rPr>
          <w:i/>
        </w:rPr>
        <w:t>Legal Profession Act 2006</w:t>
      </w:r>
      <w:r w:rsidRPr="00236BDD">
        <w:rPr>
          <w:b/>
        </w:rPr>
        <w:t xml:space="preserve"> </w:t>
      </w:r>
      <w:r>
        <w:rPr>
          <w:b/>
        </w:rPr>
        <w:t xml:space="preserve">repeals SL2014-21 and makes the Legal Profession (Barristers) Rules. </w:t>
      </w:r>
    </w:p>
    <w:p w:rsidR="00487CD8" w:rsidRDefault="00487CD8" w:rsidP="00487CD8">
      <w:pPr>
        <w:pStyle w:val="Bodycopy"/>
        <w:spacing w:before="120" w:after="120" w:line="280" w:lineRule="exact"/>
        <w:rPr>
          <w:rFonts w:asciiTheme="minorHAnsi" w:hAnsiTheme="minorHAnsi" w:cstheme="minorHAnsi"/>
          <w:szCs w:val="22"/>
        </w:rPr>
      </w:pPr>
      <w:r>
        <w:rPr>
          <w:rFonts w:asciiTheme="minorHAnsi" w:hAnsiTheme="minorHAnsi" w:cstheme="minorHAnsi"/>
          <w:szCs w:val="22"/>
        </w:rPr>
        <w:t xml:space="preserve">This subordinate law makes Legal Profession (Barristers) Rules, for subsection 579(1) of the </w:t>
      </w:r>
      <w:r>
        <w:rPr>
          <w:rFonts w:asciiTheme="minorHAnsi" w:hAnsiTheme="minorHAnsi" w:cstheme="minorHAnsi"/>
          <w:i/>
          <w:iCs/>
          <w:szCs w:val="22"/>
        </w:rPr>
        <w:t>Legal Profession Act 2006</w:t>
      </w:r>
      <w:r w:rsidR="005A71E3">
        <w:rPr>
          <w:rFonts w:asciiTheme="minorHAnsi" w:hAnsiTheme="minorHAnsi" w:cstheme="minorHAnsi"/>
          <w:szCs w:val="22"/>
        </w:rPr>
        <w:t xml:space="preserve">. </w:t>
      </w:r>
      <w:r>
        <w:rPr>
          <w:rFonts w:asciiTheme="minorHAnsi" w:hAnsiTheme="minorHAnsi" w:cstheme="minorHAnsi"/>
          <w:szCs w:val="22"/>
        </w:rPr>
        <w:t>The subordinate law revoke</w:t>
      </w:r>
      <w:r w:rsidR="005A71E3">
        <w:rPr>
          <w:rFonts w:asciiTheme="minorHAnsi" w:hAnsiTheme="minorHAnsi" w:cstheme="minorHAnsi"/>
          <w:szCs w:val="22"/>
        </w:rPr>
        <w:t xml:space="preserve">s and re-makes existing Rules. </w:t>
      </w:r>
      <w:r>
        <w:rPr>
          <w:rFonts w:asciiTheme="minorHAnsi" w:hAnsiTheme="minorHAnsi" w:cstheme="minorHAnsi"/>
          <w:szCs w:val="22"/>
        </w:rPr>
        <w:t>The explanatory statement for the subordinate law indicates that the substantive changes to the relevant Rules involve rule 122 which (in the previous form) deals with “discrimi</w:t>
      </w:r>
      <w:r w:rsidR="005A71E3">
        <w:rPr>
          <w:rFonts w:asciiTheme="minorHAnsi" w:hAnsiTheme="minorHAnsi" w:cstheme="minorHAnsi"/>
          <w:szCs w:val="22"/>
        </w:rPr>
        <w:t xml:space="preserve">nation and sexual harassment”. </w:t>
      </w:r>
      <w:r>
        <w:rPr>
          <w:rFonts w:asciiTheme="minorHAnsi" w:hAnsiTheme="minorHAnsi" w:cstheme="minorHAnsi"/>
          <w:szCs w:val="22"/>
        </w:rPr>
        <w:t>The new rule 122 deals with “discrimination, sexual harassment and bullying”.</w:t>
      </w:r>
    </w:p>
    <w:p w:rsidR="00487CD8" w:rsidRDefault="00487CD8" w:rsidP="00487CD8">
      <w:pPr>
        <w:pStyle w:val="Bodycopy"/>
        <w:spacing w:before="120" w:after="120" w:line="280" w:lineRule="exact"/>
        <w:rPr>
          <w:rFonts w:asciiTheme="minorHAnsi" w:hAnsiTheme="minorHAnsi" w:cstheme="minorHAnsi"/>
          <w:szCs w:val="22"/>
        </w:rPr>
      </w:pPr>
      <w:r>
        <w:rPr>
          <w:rFonts w:asciiTheme="minorHAnsi" w:hAnsiTheme="minorHAnsi" w:cstheme="minorHAnsi"/>
          <w:szCs w:val="22"/>
        </w:rPr>
        <w:t>The explanatory statement for the subordinate law states:</w:t>
      </w:r>
    </w:p>
    <w:p w:rsidR="00487CD8" w:rsidRPr="00F26BA2" w:rsidRDefault="00487CD8" w:rsidP="00487CD8">
      <w:pPr>
        <w:spacing w:before="120" w:after="120"/>
        <w:ind w:left="720"/>
        <w:rPr>
          <w:rFonts w:cstheme="minorHAnsi"/>
        </w:rPr>
      </w:pPr>
      <w:r w:rsidRPr="00F26BA2">
        <w:rPr>
          <w:rFonts w:cstheme="minorHAnsi"/>
        </w:rPr>
        <w:t>The amendment to rule 122 is designed to:</w:t>
      </w:r>
    </w:p>
    <w:p w:rsidR="00487CD8" w:rsidRPr="00F26BA2" w:rsidRDefault="00487CD8" w:rsidP="00487CD8">
      <w:pPr>
        <w:pStyle w:val="ListParagraph"/>
        <w:numPr>
          <w:ilvl w:val="0"/>
          <w:numId w:val="39"/>
        </w:numPr>
        <w:spacing w:before="120" w:after="120" w:line="240" w:lineRule="auto"/>
        <w:ind w:left="1440"/>
        <w:contextualSpacing w:val="0"/>
        <w:rPr>
          <w:rFonts w:cstheme="minorHAnsi"/>
        </w:rPr>
      </w:pPr>
      <w:r w:rsidRPr="00F26BA2">
        <w:rPr>
          <w:rFonts w:cstheme="minorHAnsi"/>
        </w:rPr>
        <w:t>ensure the heading to rule 122 properly reflects its content;</w:t>
      </w:r>
    </w:p>
    <w:p w:rsidR="00487CD8" w:rsidRPr="00F26BA2" w:rsidRDefault="00487CD8" w:rsidP="00487CD8">
      <w:pPr>
        <w:pStyle w:val="ListParagraph"/>
        <w:numPr>
          <w:ilvl w:val="0"/>
          <w:numId w:val="39"/>
        </w:numPr>
        <w:spacing w:before="120" w:after="120" w:line="240" w:lineRule="auto"/>
        <w:ind w:left="1440"/>
        <w:contextualSpacing w:val="0"/>
        <w:rPr>
          <w:rFonts w:cstheme="minorHAnsi"/>
        </w:rPr>
      </w:pPr>
      <w:r w:rsidRPr="00F26BA2">
        <w:rPr>
          <w:rFonts w:cstheme="minorHAnsi"/>
        </w:rPr>
        <w:t>ensure consecutive numbering of the sub-rules;</w:t>
      </w:r>
    </w:p>
    <w:p w:rsidR="00487CD8" w:rsidRPr="00F26BA2" w:rsidRDefault="00487CD8" w:rsidP="00487CD8">
      <w:pPr>
        <w:pStyle w:val="ListParagraph"/>
        <w:numPr>
          <w:ilvl w:val="0"/>
          <w:numId w:val="39"/>
        </w:numPr>
        <w:spacing w:before="120" w:after="120" w:line="240" w:lineRule="auto"/>
        <w:ind w:left="1440"/>
        <w:contextualSpacing w:val="0"/>
        <w:rPr>
          <w:rFonts w:cstheme="minorHAnsi"/>
        </w:rPr>
      </w:pPr>
      <w:r w:rsidRPr="00F26BA2">
        <w:rPr>
          <w:rFonts w:cstheme="minorHAnsi"/>
        </w:rPr>
        <w:t xml:space="preserve">include a sub-rule specifically dealing with bullying (which is not presently covered in rule 122); </w:t>
      </w:r>
    </w:p>
    <w:p w:rsidR="00487CD8" w:rsidRPr="00F26BA2" w:rsidRDefault="00487CD8" w:rsidP="00487CD8">
      <w:pPr>
        <w:pStyle w:val="ListParagraph"/>
        <w:numPr>
          <w:ilvl w:val="0"/>
          <w:numId w:val="39"/>
        </w:numPr>
        <w:spacing w:before="120" w:after="120" w:line="240" w:lineRule="auto"/>
        <w:ind w:left="1440"/>
        <w:contextualSpacing w:val="0"/>
        <w:rPr>
          <w:rFonts w:cstheme="minorHAnsi"/>
        </w:rPr>
      </w:pPr>
      <w:r w:rsidRPr="00F26BA2">
        <w:rPr>
          <w:rFonts w:cstheme="minorHAnsi"/>
        </w:rPr>
        <w:t>remove the sub-rule covering vilification (which is a form of discrimination and therefore already covered by the sub-rule dealing with discrimination);</w:t>
      </w:r>
    </w:p>
    <w:p w:rsidR="00487CD8" w:rsidRPr="00F26BA2" w:rsidRDefault="00487CD8" w:rsidP="00487CD8">
      <w:pPr>
        <w:pStyle w:val="ListParagraph"/>
        <w:numPr>
          <w:ilvl w:val="0"/>
          <w:numId w:val="39"/>
        </w:numPr>
        <w:spacing w:before="120" w:after="120" w:line="240" w:lineRule="auto"/>
        <w:ind w:left="1440"/>
        <w:contextualSpacing w:val="0"/>
        <w:rPr>
          <w:rFonts w:cstheme="minorHAnsi"/>
        </w:rPr>
      </w:pPr>
      <w:proofErr w:type="gramStart"/>
      <w:r w:rsidRPr="00F26BA2">
        <w:rPr>
          <w:rFonts w:cstheme="minorHAnsi"/>
        </w:rPr>
        <w:t>remove</w:t>
      </w:r>
      <w:proofErr w:type="gramEnd"/>
      <w:r w:rsidRPr="00F26BA2">
        <w:rPr>
          <w:rFonts w:cstheme="minorHAnsi"/>
        </w:rPr>
        <w:t xml:space="preserve"> the complaint procedure from rule 122 (as complaint handling procedures are better dealt with in the ACT Bar Association’s policies and procedures) and refer to the relevant procedure contained in the ACT Bar Association’s policies on discrimination, sexual harassment and bullying.</w:t>
      </w:r>
    </w:p>
    <w:p w:rsidR="00487CD8" w:rsidRPr="008E615D" w:rsidRDefault="00487CD8" w:rsidP="00487CD8">
      <w:pPr>
        <w:pStyle w:val="ListParagraph"/>
        <w:ind w:left="0"/>
        <w:rPr>
          <w:szCs w:val="24"/>
        </w:rPr>
      </w:pPr>
      <w:r>
        <w:rPr>
          <w:szCs w:val="24"/>
        </w:rPr>
        <w:t>The explanatory statement goes on to discuss human rights issues:</w:t>
      </w:r>
    </w:p>
    <w:p w:rsidR="00487CD8" w:rsidRPr="00F26BA2" w:rsidRDefault="00487CD8" w:rsidP="00487CD8">
      <w:pPr>
        <w:spacing w:before="120" w:after="120"/>
        <w:ind w:left="720"/>
        <w:rPr>
          <w:rFonts w:cstheme="minorHAnsi"/>
        </w:rPr>
      </w:pPr>
      <w:r w:rsidRPr="00F26BA2">
        <w:rPr>
          <w:rFonts w:cstheme="minorHAnsi"/>
        </w:rPr>
        <w:t>The amendment to rule 122 has the following human rights consequences:</w:t>
      </w:r>
    </w:p>
    <w:p w:rsidR="00487CD8" w:rsidRPr="00F26BA2" w:rsidRDefault="00487CD8" w:rsidP="00487CD8">
      <w:pPr>
        <w:pStyle w:val="ListParagraph"/>
        <w:numPr>
          <w:ilvl w:val="0"/>
          <w:numId w:val="40"/>
        </w:numPr>
        <w:spacing w:before="120" w:after="120" w:line="240" w:lineRule="auto"/>
        <w:ind w:left="1457" w:hanging="737"/>
        <w:contextualSpacing w:val="0"/>
        <w:rPr>
          <w:rFonts w:cstheme="minorHAnsi"/>
        </w:rPr>
      </w:pPr>
      <w:r w:rsidRPr="00F26BA2">
        <w:rPr>
          <w:rFonts w:cstheme="minorHAnsi"/>
        </w:rPr>
        <w:t xml:space="preserve">The right to just and favourable conditions of work enshrined in section </w:t>
      </w:r>
      <w:proofErr w:type="gramStart"/>
      <w:r w:rsidRPr="00F26BA2">
        <w:rPr>
          <w:rFonts w:cstheme="minorHAnsi"/>
        </w:rPr>
        <w:t>27B(</w:t>
      </w:r>
      <w:proofErr w:type="gramEnd"/>
      <w:r w:rsidRPr="00F26BA2">
        <w:rPr>
          <w:rFonts w:cstheme="minorHAnsi"/>
        </w:rPr>
        <w:t xml:space="preserve">2) of the </w:t>
      </w:r>
      <w:r w:rsidRPr="00F26BA2">
        <w:rPr>
          <w:rFonts w:cstheme="minorHAnsi"/>
          <w:i/>
          <w:iCs/>
        </w:rPr>
        <w:t>Human Rights Act 2004</w:t>
      </w:r>
      <w:r w:rsidRPr="00F26BA2">
        <w:rPr>
          <w:rFonts w:cstheme="minorHAnsi"/>
        </w:rPr>
        <w:t xml:space="preserve"> is promoted by having rules prohibiting workplace discrimination, bullying and sexual harassment.  </w:t>
      </w:r>
    </w:p>
    <w:p w:rsidR="00487CD8" w:rsidRPr="00F26BA2" w:rsidRDefault="00487CD8" w:rsidP="00487CD8">
      <w:pPr>
        <w:pStyle w:val="ListParagraph"/>
        <w:numPr>
          <w:ilvl w:val="0"/>
          <w:numId w:val="40"/>
        </w:numPr>
        <w:spacing w:before="120" w:after="120" w:line="240" w:lineRule="auto"/>
        <w:ind w:left="1457" w:hanging="737"/>
        <w:contextualSpacing w:val="0"/>
        <w:rPr>
          <w:rFonts w:cstheme="minorHAnsi"/>
        </w:rPr>
      </w:pPr>
      <w:r w:rsidRPr="00F26BA2">
        <w:rPr>
          <w:rFonts w:cstheme="minorHAnsi"/>
        </w:rPr>
        <w:t xml:space="preserve">Similarly, the right to equality enshrined in section 8 of the </w:t>
      </w:r>
      <w:r w:rsidRPr="00F26BA2">
        <w:rPr>
          <w:rFonts w:cstheme="minorHAnsi"/>
          <w:i/>
          <w:iCs/>
        </w:rPr>
        <w:t>Human Rights Act 2004</w:t>
      </w:r>
      <w:r w:rsidRPr="00F26BA2">
        <w:rPr>
          <w:rFonts w:cstheme="minorHAnsi"/>
        </w:rPr>
        <w:t xml:space="preserve"> is broadly promoted by having rules prohibiting workplace discrimination, bullying and sexual harassment. </w:t>
      </w:r>
    </w:p>
    <w:p w:rsidR="00487CD8" w:rsidRPr="00F26BA2" w:rsidRDefault="00487CD8" w:rsidP="00487CD8">
      <w:pPr>
        <w:pStyle w:val="ListParagraph"/>
        <w:numPr>
          <w:ilvl w:val="0"/>
          <w:numId w:val="40"/>
        </w:numPr>
        <w:spacing w:before="120" w:after="120" w:line="240" w:lineRule="auto"/>
        <w:ind w:left="1457" w:hanging="737"/>
        <w:contextualSpacing w:val="0"/>
        <w:rPr>
          <w:rFonts w:cstheme="minorHAnsi"/>
        </w:rPr>
      </w:pPr>
      <w:r w:rsidRPr="00F26BA2">
        <w:rPr>
          <w:rFonts w:cstheme="minorHAnsi"/>
        </w:rPr>
        <w:t xml:space="preserve">There is the potential for procedures that deal with complaints of workplace discrimination, bullying and sexual harassment to engage with fair and public hearing rights as enshrined in section 21 of the </w:t>
      </w:r>
      <w:r w:rsidRPr="00F26BA2">
        <w:rPr>
          <w:rFonts w:cstheme="minorHAnsi"/>
          <w:i/>
          <w:iCs/>
        </w:rPr>
        <w:t>Human Rights Act 2004</w:t>
      </w:r>
      <w:r w:rsidRPr="00F26BA2">
        <w:rPr>
          <w:rFonts w:cstheme="minorHAnsi"/>
        </w:rPr>
        <w:t>, but as the procedures for dealing with such complaints will be dealt with in separate ACT Bar Association policies, there is only a limited engagement with this right.</w:t>
      </w:r>
    </w:p>
    <w:p w:rsidR="00487CD8" w:rsidRPr="00F26BA2" w:rsidRDefault="00487CD8" w:rsidP="00487CD8">
      <w:pPr>
        <w:pStyle w:val="ListParagraph"/>
        <w:numPr>
          <w:ilvl w:val="0"/>
          <w:numId w:val="40"/>
        </w:numPr>
        <w:spacing w:before="120" w:after="120" w:line="240" w:lineRule="auto"/>
        <w:ind w:left="1457" w:hanging="737"/>
        <w:contextualSpacing w:val="0"/>
        <w:rPr>
          <w:rFonts w:cstheme="minorHAnsi"/>
        </w:rPr>
      </w:pPr>
      <w:r w:rsidRPr="00F26BA2">
        <w:rPr>
          <w:rFonts w:cstheme="minorHAnsi"/>
        </w:rPr>
        <w:t xml:space="preserve">While the amendment does remove the express rule prohibiting vilification, there is no resulting lessening of protections because vilification is a form of discrimination and discrimination remains expressly prohibited. </w:t>
      </w:r>
    </w:p>
    <w:p w:rsidR="00487CD8" w:rsidRDefault="00487CD8" w:rsidP="00487CD8">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 xml:space="preserve">The Committee draws the attention of the Legislative Assembly to the discussion of human rights issues in the explanatory statement for this </w:t>
      </w:r>
      <w:r>
        <w:rPr>
          <w:rFonts w:ascii="Calibri" w:hAnsi="Calibri" w:cs="Calibri"/>
          <w:b/>
          <w:bCs/>
          <w:sz w:val="22"/>
          <w:szCs w:val="22"/>
          <w:lang w:eastAsia="en-AU"/>
        </w:rPr>
        <w:t>subordinate law</w:t>
      </w:r>
      <w:r w:rsidRPr="00E95E87">
        <w:rPr>
          <w:rFonts w:ascii="Calibri" w:hAnsi="Calibri" w:cs="Calibri"/>
          <w:b/>
          <w:bCs/>
          <w:sz w:val="22"/>
          <w:szCs w:val="22"/>
          <w:lang w:eastAsia="en-AU"/>
        </w:rPr>
        <w:t>.</w:t>
      </w:r>
    </w:p>
    <w:p w:rsidR="00487CD8" w:rsidRDefault="00487CD8" w:rsidP="00487CD8">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487CD8" w:rsidRPr="00C62F8A" w:rsidRDefault="00487CD8" w:rsidP="00487CD8">
      <w:pPr>
        <w:pStyle w:val="Paper"/>
        <w:spacing w:before="160" w:after="160" w:line="280" w:lineRule="exact"/>
        <w:rPr>
          <w:rFonts w:ascii="Calibri" w:hAnsi="Calibri" w:cs="Calibri"/>
          <w:i/>
          <w:iCs/>
          <w:sz w:val="22"/>
          <w:szCs w:val="22"/>
          <w:lang w:eastAsia="en-AU"/>
        </w:rPr>
      </w:pPr>
      <w:r>
        <w:rPr>
          <w:rFonts w:ascii="Calibri" w:hAnsi="Calibri" w:cs="Calibri"/>
          <w:i/>
          <w:iCs/>
          <w:sz w:val="22"/>
          <w:szCs w:val="22"/>
          <w:lang w:eastAsia="en-AU"/>
        </w:rPr>
        <w:t xml:space="preserve">COVID-19-related instrument / </w:t>
      </w:r>
      <w:r w:rsidRPr="00C62F8A">
        <w:rPr>
          <w:rFonts w:ascii="Calibri" w:hAnsi="Calibri" w:cs="Calibri"/>
          <w:i/>
          <w:iCs/>
          <w:sz w:val="22"/>
          <w:szCs w:val="22"/>
          <w:lang w:eastAsia="en-AU"/>
        </w:rPr>
        <w:t>Human rights issues</w:t>
      </w:r>
    </w:p>
    <w:p w:rsidR="00487CD8" w:rsidRPr="00842199" w:rsidRDefault="00487CD8" w:rsidP="006A6B0D">
      <w:pPr>
        <w:pStyle w:val="Bodycopy"/>
        <w:numPr>
          <w:ilvl w:val="0"/>
          <w:numId w:val="43"/>
        </w:numPr>
        <w:spacing w:after="0" w:line="280" w:lineRule="exact"/>
        <w:ind w:left="360"/>
        <w:rPr>
          <w:b/>
        </w:rPr>
      </w:pPr>
      <w:r>
        <w:rPr>
          <w:b/>
        </w:rPr>
        <w:t>Subordinate Law</w:t>
      </w:r>
      <w:r w:rsidRPr="00451C85">
        <w:rPr>
          <w:b/>
        </w:rPr>
        <w:t xml:space="preserve"> </w:t>
      </w:r>
      <w:r>
        <w:rPr>
          <w:b/>
        </w:rPr>
        <w:t>SL2021-6</w:t>
      </w:r>
      <w:r w:rsidRPr="00451C85">
        <w:rPr>
          <w:b/>
        </w:rPr>
        <w:t xml:space="preserve"> being the </w:t>
      </w:r>
      <w:r>
        <w:rPr>
          <w:b/>
        </w:rPr>
        <w:t xml:space="preserve">Magistrates Court (Public Health (COVID-19) Infringement Notices) Amendment Regulation 2021 (No 1) made under the </w:t>
      </w:r>
      <w:r w:rsidRPr="00782965">
        <w:rPr>
          <w:i/>
        </w:rPr>
        <w:t>Magistrates Court Act 1930</w:t>
      </w:r>
      <w:r w:rsidRPr="00236BDD">
        <w:rPr>
          <w:b/>
        </w:rPr>
        <w:t xml:space="preserve"> </w:t>
      </w:r>
      <w:r>
        <w:rPr>
          <w:b/>
        </w:rPr>
        <w:t xml:space="preserve">provides for infringement notices under the Act as an alternative to prosecution when a person fails to comply with a direction of the Chief Health Officer where it is deemed that an infringement notice imposing a monetary fine is a sufficient penalty. </w:t>
      </w:r>
    </w:p>
    <w:p w:rsidR="00487CD8" w:rsidRDefault="00487CD8" w:rsidP="00487CD8">
      <w:pPr>
        <w:spacing w:before="120" w:after="120"/>
        <w:rPr>
          <w:rFonts w:cstheme="minorHAnsi"/>
        </w:rPr>
      </w:pPr>
      <w:r>
        <w:rPr>
          <w:rFonts w:cstheme="minorHAnsi"/>
        </w:rPr>
        <w:t xml:space="preserve">This subordinate law is made under </w:t>
      </w:r>
      <w:r w:rsidRPr="00C62F8A">
        <w:rPr>
          <w:rFonts w:cstheme="minorHAnsi"/>
        </w:rPr>
        <w:t xml:space="preserve">Part 3.8 of the </w:t>
      </w:r>
      <w:r w:rsidRPr="00C62F8A">
        <w:rPr>
          <w:rFonts w:cstheme="minorHAnsi"/>
          <w:i/>
          <w:iCs/>
        </w:rPr>
        <w:t>Magistrates Court Act 1930</w:t>
      </w:r>
      <w:r>
        <w:rPr>
          <w:rFonts w:cstheme="minorHAnsi"/>
        </w:rPr>
        <w:t>, which allows for</w:t>
      </w:r>
      <w:r w:rsidRPr="00C62F8A">
        <w:rPr>
          <w:rFonts w:cstheme="minorHAnsi"/>
        </w:rPr>
        <w:t xml:space="preserve"> offences prescribed by a regulation made under the Act can be dealt with by way of infringement notice.</w:t>
      </w:r>
      <w:r w:rsidR="00A628BD">
        <w:rPr>
          <w:rFonts w:cstheme="minorHAnsi"/>
        </w:rPr>
        <w:t xml:space="preserve"> </w:t>
      </w:r>
      <w:r w:rsidRPr="00C62F8A">
        <w:rPr>
          <w:rFonts w:cstheme="minorHAnsi"/>
        </w:rPr>
        <w:t>The</w:t>
      </w:r>
      <w:r>
        <w:rPr>
          <w:rFonts w:cstheme="minorHAnsi"/>
        </w:rPr>
        <w:t xml:space="preserve"> explanatory statement for this subordinate law states that the</w:t>
      </w:r>
      <w:r w:rsidRPr="00C62F8A">
        <w:rPr>
          <w:rFonts w:cstheme="minorHAnsi"/>
        </w:rPr>
        <w:t xml:space="preserve"> </w:t>
      </w:r>
      <w:r w:rsidRPr="004975D2">
        <w:rPr>
          <w:rFonts w:cstheme="minorHAnsi"/>
          <w:iCs/>
        </w:rPr>
        <w:t>Magistrates Court (Public Health (COVID-19) Infringement Notices) Regulation 2020</w:t>
      </w:r>
      <w:r w:rsidRPr="00C62F8A">
        <w:rPr>
          <w:rFonts w:cstheme="minorHAnsi"/>
        </w:rPr>
        <w:t xml:space="preserve"> </w:t>
      </w:r>
      <w:r>
        <w:rPr>
          <w:rFonts w:cstheme="minorHAnsi"/>
        </w:rPr>
        <w:t xml:space="preserve">(the original regulation) </w:t>
      </w:r>
      <w:r w:rsidRPr="00C62F8A">
        <w:rPr>
          <w:rFonts w:cstheme="minorHAnsi"/>
        </w:rPr>
        <w:t xml:space="preserve">was </w:t>
      </w:r>
      <w:r>
        <w:rPr>
          <w:rFonts w:cstheme="minorHAnsi"/>
        </w:rPr>
        <w:t>promulgated</w:t>
      </w:r>
      <w:r w:rsidRPr="00C62F8A">
        <w:rPr>
          <w:rFonts w:cstheme="minorHAnsi"/>
        </w:rPr>
        <w:t xml:space="preserve"> </w:t>
      </w:r>
      <w:r>
        <w:rPr>
          <w:rFonts w:cstheme="minorHAnsi"/>
        </w:rPr>
        <w:t xml:space="preserve">in order </w:t>
      </w:r>
      <w:r w:rsidRPr="00C62F8A">
        <w:rPr>
          <w:rFonts w:cstheme="minorHAnsi"/>
        </w:rPr>
        <w:t>to enable infringement notices to be issued for an offence contrary to s</w:t>
      </w:r>
      <w:r>
        <w:rPr>
          <w:rFonts w:cstheme="minorHAnsi"/>
        </w:rPr>
        <w:t>ubs</w:t>
      </w:r>
      <w:r w:rsidRPr="00C62F8A">
        <w:rPr>
          <w:rFonts w:cstheme="minorHAnsi"/>
        </w:rPr>
        <w:t xml:space="preserve">ection 120(4) of the </w:t>
      </w:r>
      <w:r w:rsidRPr="00C62F8A">
        <w:rPr>
          <w:rFonts w:cstheme="minorHAnsi"/>
          <w:i/>
          <w:iCs/>
        </w:rPr>
        <w:t>Public Health Act 1997</w:t>
      </w:r>
      <w:r w:rsidRPr="00C62F8A">
        <w:rPr>
          <w:rFonts w:cstheme="minorHAnsi"/>
        </w:rPr>
        <w:t>.</w:t>
      </w:r>
      <w:r w:rsidR="00A628BD">
        <w:rPr>
          <w:rFonts w:cstheme="minorHAnsi"/>
        </w:rPr>
        <w:t xml:space="preserve"> </w:t>
      </w:r>
      <w:r>
        <w:rPr>
          <w:rFonts w:cstheme="minorHAnsi"/>
        </w:rPr>
        <w:t>The substantive effect of this measure was that the failure (without reasonable excuse) to comply with a direction</w:t>
      </w:r>
      <w:r w:rsidRPr="00C62F8A">
        <w:rPr>
          <w:rFonts w:cstheme="minorHAnsi"/>
        </w:rPr>
        <w:t xml:space="preserve"> </w:t>
      </w:r>
      <w:r>
        <w:rPr>
          <w:rFonts w:cstheme="minorHAnsi"/>
        </w:rPr>
        <w:t>given by the Chief Health Officer, in the context of the “</w:t>
      </w:r>
      <w:r w:rsidRPr="00C62F8A">
        <w:rPr>
          <w:rFonts w:cstheme="minorHAnsi"/>
        </w:rPr>
        <w:t>emergency declaration</w:t>
      </w:r>
      <w:r>
        <w:rPr>
          <w:rFonts w:cstheme="minorHAnsi"/>
        </w:rPr>
        <w:t>”</w:t>
      </w:r>
      <w:r w:rsidRPr="00C62F8A">
        <w:rPr>
          <w:rFonts w:cstheme="minorHAnsi"/>
        </w:rPr>
        <w:t xml:space="preserve"> under the </w:t>
      </w:r>
      <w:r w:rsidRPr="00C62F8A">
        <w:rPr>
          <w:rFonts w:cstheme="minorHAnsi"/>
          <w:i/>
          <w:iCs/>
        </w:rPr>
        <w:t>Public Health Act 1997</w:t>
      </w:r>
      <w:r>
        <w:rPr>
          <w:rFonts w:cstheme="minorHAnsi"/>
        </w:rPr>
        <w:t>, given in the context of the COVID-1</w:t>
      </w:r>
      <w:r w:rsidRPr="00A628BD">
        <w:rPr>
          <w:rFonts w:cstheme="minorHAnsi"/>
          <w:iCs/>
        </w:rPr>
        <w:t>9</w:t>
      </w:r>
      <w:r>
        <w:rPr>
          <w:rFonts w:cstheme="minorHAnsi"/>
          <w:i/>
          <w:iCs/>
        </w:rPr>
        <w:t xml:space="preserve"> </w:t>
      </w:r>
      <w:r w:rsidRPr="00AD505F">
        <w:rPr>
          <w:rFonts w:cstheme="minorHAnsi"/>
        </w:rPr>
        <w:t>pandemic</w:t>
      </w:r>
      <w:r>
        <w:rPr>
          <w:rFonts w:cstheme="minorHAnsi"/>
        </w:rPr>
        <w:t>, is an offence that is punishable by infringement notice scheme, rather than by prosecution.</w:t>
      </w:r>
    </w:p>
    <w:p w:rsidR="00487CD8" w:rsidRDefault="00487CD8" w:rsidP="00487CD8">
      <w:pPr>
        <w:spacing w:before="120" w:after="120"/>
        <w:jc w:val="both"/>
        <w:rPr>
          <w:rFonts w:cstheme="minorHAnsi"/>
        </w:rPr>
      </w:pPr>
      <w:r>
        <w:rPr>
          <w:rFonts w:cstheme="minorHAnsi"/>
        </w:rPr>
        <w:t>The explanatory statement for this subordinate law states:</w:t>
      </w:r>
    </w:p>
    <w:p w:rsidR="00487CD8" w:rsidRPr="00C62F8A" w:rsidRDefault="00487CD8" w:rsidP="00487CD8">
      <w:pPr>
        <w:spacing w:before="120" w:after="120"/>
        <w:ind w:left="720"/>
        <w:rPr>
          <w:rFonts w:cstheme="minorHAnsi"/>
        </w:rPr>
      </w:pPr>
      <w:r w:rsidRPr="00C62F8A">
        <w:rPr>
          <w:rFonts w:cstheme="minorHAnsi"/>
        </w:rPr>
        <w:t xml:space="preserve">The infringement notice scheme created by </w:t>
      </w:r>
      <w:r>
        <w:rPr>
          <w:rFonts w:cstheme="minorHAnsi"/>
        </w:rPr>
        <w:t xml:space="preserve">[the original] </w:t>
      </w:r>
      <w:r w:rsidRPr="00C62F8A">
        <w:rPr>
          <w:rFonts w:cstheme="minorHAnsi"/>
        </w:rPr>
        <w:t>regulation</w:t>
      </w:r>
      <w:r>
        <w:rPr>
          <w:rFonts w:cstheme="minorHAnsi"/>
        </w:rPr>
        <w:t xml:space="preserve"> [provides]</w:t>
      </w:r>
      <w:r w:rsidRPr="00C62F8A">
        <w:rPr>
          <w:rFonts w:cstheme="minorHAnsi"/>
        </w:rPr>
        <w:t xml:space="preserve"> an alternative to prosecution when a person fails to comply with a direction of the Chief Health Officer where it is deemed that an infringement notice imposing a monetary fine is a sufficient penalty. The purpose of the scheme is to encourage compliance with the directions of the Chief Health Officer in relation to the COVID-19 emergency. </w:t>
      </w:r>
    </w:p>
    <w:p w:rsidR="00487CD8" w:rsidRPr="00C62F8A" w:rsidRDefault="00487CD8" w:rsidP="00487CD8">
      <w:pPr>
        <w:spacing w:before="120" w:after="120"/>
        <w:ind w:left="720"/>
        <w:rPr>
          <w:rFonts w:cstheme="minorHAnsi"/>
          <w:i/>
          <w:iCs/>
        </w:rPr>
      </w:pPr>
      <w:r w:rsidRPr="00C62F8A">
        <w:rPr>
          <w:rFonts w:cstheme="minorHAnsi"/>
        </w:rPr>
        <w:t>The infringement notice scheme will only apply to an offence where it involves a failure to comply with a Chief Health Officer direction made in relation to a COVID-19 emergency declaration. Such offences are not framed as strict liability offences, but it is considered that these offences are appropriate to be dealt with by infringement notice in the context of the COVID-19 emergency.</w:t>
      </w:r>
    </w:p>
    <w:p w:rsidR="00487CD8" w:rsidRPr="00C62F8A" w:rsidRDefault="00487CD8" w:rsidP="00487CD8">
      <w:pPr>
        <w:spacing w:before="120" w:after="120"/>
        <w:ind w:left="720"/>
        <w:rPr>
          <w:rFonts w:cstheme="minorHAnsi"/>
        </w:rPr>
      </w:pPr>
      <w:r w:rsidRPr="00C62F8A">
        <w:rPr>
          <w:rFonts w:cstheme="minorHAnsi"/>
        </w:rPr>
        <w:t xml:space="preserve">The penalty payable for an infringement notice offence under the regulation is $1000 for an individual and $5000 for a corporation. In addition, an infringement notice under the regulation may only be issued against a person who is 18 years or older. </w:t>
      </w:r>
    </w:p>
    <w:p w:rsidR="00487CD8" w:rsidRDefault="00487CD8" w:rsidP="00487CD8">
      <w:pPr>
        <w:spacing w:before="120" w:after="120"/>
        <w:rPr>
          <w:rFonts w:cstheme="minorHAnsi"/>
        </w:rPr>
      </w:pPr>
      <w:r>
        <w:rPr>
          <w:rFonts w:cstheme="minorHAnsi"/>
        </w:rPr>
        <w:t xml:space="preserve">The issue addressed by this subordinate law is the expiry of the period during which the definition of </w:t>
      </w:r>
      <w:r>
        <w:rPr>
          <w:rFonts w:cstheme="minorHAnsi"/>
          <w:b/>
          <w:bCs/>
          <w:i/>
          <w:iCs/>
        </w:rPr>
        <w:t>COVID-19</w:t>
      </w:r>
      <w:r w:rsidRPr="00AD505F">
        <w:rPr>
          <w:rFonts w:cstheme="minorHAnsi"/>
          <w:b/>
          <w:bCs/>
          <w:i/>
          <w:iCs/>
        </w:rPr>
        <w:t xml:space="preserve"> emergency</w:t>
      </w:r>
      <w:r>
        <w:rPr>
          <w:rFonts w:cstheme="minorHAnsi"/>
        </w:rPr>
        <w:t>, a crucial definition for this and other COVID-19-related legislative measures, is in effect.</w:t>
      </w:r>
    </w:p>
    <w:p w:rsidR="00487CD8" w:rsidRDefault="00487CD8" w:rsidP="00487CD8">
      <w:pPr>
        <w:spacing w:before="120" w:after="120"/>
        <w:rPr>
          <w:rFonts w:cstheme="minorHAnsi"/>
        </w:rPr>
      </w:pPr>
      <w:r>
        <w:rPr>
          <w:rFonts w:cstheme="minorHAnsi"/>
        </w:rPr>
        <w:t>The explanatory statement for this subordinate law states:</w:t>
      </w:r>
    </w:p>
    <w:p w:rsidR="00487CD8" w:rsidRPr="00C62F8A" w:rsidRDefault="00487CD8" w:rsidP="00487CD8">
      <w:pPr>
        <w:spacing w:before="120" w:after="120"/>
        <w:ind w:left="720"/>
        <w:rPr>
          <w:rFonts w:cstheme="minorHAnsi"/>
        </w:rPr>
      </w:pPr>
      <w:r w:rsidRPr="00AD505F">
        <w:rPr>
          <w:rFonts w:cstheme="minorHAnsi"/>
        </w:rPr>
        <w:t>This</w:t>
      </w:r>
      <w:r w:rsidRPr="00C62F8A">
        <w:rPr>
          <w:rFonts w:cstheme="minorHAnsi"/>
        </w:rPr>
        <w:t xml:space="preserve"> instrument amends the expiry period for the </w:t>
      </w:r>
      <w:r>
        <w:rPr>
          <w:rFonts w:cstheme="minorHAnsi"/>
        </w:rPr>
        <w:t xml:space="preserve">[original] </w:t>
      </w:r>
      <w:r w:rsidRPr="00C62F8A">
        <w:rPr>
          <w:rFonts w:cstheme="minorHAnsi"/>
        </w:rPr>
        <w:t xml:space="preserve">regulation. The regulation, which currently expires on 3 April 2021, will be amended to remain temporary and </w:t>
      </w:r>
      <w:bookmarkStart w:id="519" w:name="_Hlk67924286"/>
      <w:r w:rsidRPr="00C62F8A">
        <w:rPr>
          <w:rFonts w:cstheme="minorHAnsi"/>
        </w:rPr>
        <w:t>to expire at the end of a 12-month period during which no COVID-19 public health emergency declaration has been in force</w:t>
      </w:r>
      <w:bookmarkEnd w:id="519"/>
      <w:r w:rsidRPr="00C62F8A">
        <w:rPr>
          <w:rFonts w:cstheme="minorHAnsi"/>
        </w:rPr>
        <w:t>.</w:t>
      </w:r>
    </w:p>
    <w:p w:rsidR="00487CD8" w:rsidRPr="00C62F8A" w:rsidRDefault="00487CD8" w:rsidP="00487CD8">
      <w:pPr>
        <w:spacing w:before="120" w:after="120"/>
        <w:ind w:left="720"/>
        <w:rPr>
          <w:rFonts w:cstheme="minorHAnsi"/>
        </w:rPr>
      </w:pPr>
      <w:r w:rsidRPr="00C62F8A">
        <w:rPr>
          <w:rFonts w:cstheme="minorHAnsi"/>
        </w:rPr>
        <w:t xml:space="preserve">Amending the expiry provision in this way will ensure that issuing an infringement notice remains an enforcement option through the emergency response period for the COVID-19 pandemic. This is also consistent with the approach taken with respect to other temporary emergency response measures passed by the ACT Legislative Assembly in 2020 and recently amended through the </w:t>
      </w:r>
      <w:r w:rsidRPr="00C62F8A">
        <w:rPr>
          <w:rFonts w:cstheme="minorHAnsi"/>
          <w:i/>
          <w:iCs/>
        </w:rPr>
        <w:t>COVID-19 Emergency Response Legislation Amendment Act 2021</w:t>
      </w:r>
      <w:r w:rsidRPr="00C62F8A">
        <w:rPr>
          <w:rFonts w:cstheme="minorHAnsi"/>
        </w:rPr>
        <w:t>.</w:t>
      </w:r>
    </w:p>
    <w:p w:rsidR="00487CD8" w:rsidRPr="00C62F8A" w:rsidRDefault="00487CD8" w:rsidP="00487CD8">
      <w:pPr>
        <w:spacing w:before="120" w:after="120"/>
        <w:ind w:left="720"/>
        <w:rPr>
          <w:rFonts w:cstheme="minorHAnsi"/>
        </w:rPr>
      </w:pPr>
      <w:r w:rsidRPr="00C62F8A">
        <w:rPr>
          <w:rFonts w:cstheme="minorHAnsi"/>
        </w:rPr>
        <w:t>As referred to in Explanatory Statement for the Magistrates Court (Public Health (COVID-19) Infringement Notices) Regulation 2020, the issuing of infringement notices are subject to the oversight of the Access Canberra Regulatory Complaint Assessment Committee (RCAC) to inform any decisions taken by an authorised offer.</w:t>
      </w:r>
    </w:p>
    <w:p w:rsidR="00487CD8" w:rsidRPr="00672C3D" w:rsidRDefault="00487CD8" w:rsidP="00487CD8">
      <w:pPr>
        <w:spacing w:before="120" w:after="120"/>
        <w:rPr>
          <w:rFonts w:cstheme="minorHAnsi"/>
        </w:rPr>
      </w:pPr>
      <w:r>
        <w:rPr>
          <w:rFonts w:cstheme="minorHAnsi"/>
        </w:rPr>
        <w:t>The explanatory statement goes on to discuss human rights issues:</w:t>
      </w:r>
    </w:p>
    <w:p w:rsidR="00487CD8" w:rsidRPr="00C62F8A" w:rsidRDefault="00487CD8" w:rsidP="00487CD8">
      <w:pPr>
        <w:spacing w:before="120" w:after="120"/>
        <w:ind w:left="720"/>
        <w:rPr>
          <w:rFonts w:cstheme="minorHAnsi"/>
          <w:b/>
          <w:bCs/>
        </w:rPr>
      </w:pPr>
      <w:r w:rsidRPr="00C62F8A">
        <w:rPr>
          <w:rFonts w:cstheme="minorHAnsi"/>
          <w:b/>
          <w:bCs/>
        </w:rPr>
        <w:t>Human rights implication</w:t>
      </w:r>
    </w:p>
    <w:p w:rsidR="00487CD8" w:rsidRPr="00C62F8A" w:rsidRDefault="00487CD8" w:rsidP="00487CD8">
      <w:pPr>
        <w:spacing w:before="120" w:after="120"/>
        <w:ind w:left="720"/>
        <w:rPr>
          <w:rFonts w:cstheme="minorHAnsi"/>
        </w:rPr>
      </w:pPr>
      <w:r w:rsidRPr="00C62F8A">
        <w:rPr>
          <w:rFonts w:cstheme="minorHAnsi"/>
        </w:rPr>
        <w:t xml:space="preserve">Authorised officers and police officers must consider relevant human rights in making a decision as required under the </w:t>
      </w:r>
      <w:r w:rsidRPr="00C62F8A">
        <w:rPr>
          <w:rFonts w:cstheme="minorHAnsi"/>
          <w:i/>
          <w:iCs/>
        </w:rPr>
        <w:t>Human Rights Act 2004</w:t>
      </w:r>
      <w:r w:rsidRPr="00C62F8A">
        <w:rPr>
          <w:rFonts w:cstheme="minorHAnsi"/>
        </w:rPr>
        <w:t>, section 40B (Public authorities must act consistently with human rights).</w:t>
      </w:r>
    </w:p>
    <w:p w:rsidR="00487CD8" w:rsidRPr="00C62F8A" w:rsidRDefault="00487CD8" w:rsidP="00487CD8">
      <w:pPr>
        <w:spacing w:before="120" w:after="120"/>
        <w:ind w:left="720"/>
        <w:rPr>
          <w:rFonts w:cstheme="minorHAnsi"/>
        </w:rPr>
      </w:pPr>
      <w:r w:rsidRPr="00672C3D">
        <w:rPr>
          <w:rFonts w:ascii="Calibri" w:hAnsi="Calibri" w:cs="Calibri"/>
        </w:rPr>
        <w:t xml:space="preserve">[This subordinate law] </w:t>
      </w:r>
      <w:r w:rsidRPr="00C62F8A">
        <w:rPr>
          <w:rFonts w:cstheme="minorHAnsi"/>
        </w:rPr>
        <w:t xml:space="preserve">engages and may promote the following rights under the </w:t>
      </w:r>
      <w:r w:rsidRPr="00C62F8A">
        <w:rPr>
          <w:rFonts w:cstheme="minorHAnsi"/>
          <w:i/>
          <w:iCs/>
        </w:rPr>
        <w:t>Human Rights Act 2004</w:t>
      </w:r>
      <w:r w:rsidRPr="00C62F8A">
        <w:rPr>
          <w:rFonts w:cstheme="minorHAnsi"/>
        </w:rPr>
        <w:t xml:space="preserve"> including: </w:t>
      </w:r>
    </w:p>
    <w:p w:rsidR="00487CD8" w:rsidRPr="00C62F8A" w:rsidRDefault="00487CD8" w:rsidP="00487CD8">
      <w:pPr>
        <w:pStyle w:val="ListParagraph"/>
        <w:numPr>
          <w:ilvl w:val="0"/>
          <w:numId w:val="41"/>
        </w:numPr>
        <w:spacing w:before="120" w:after="120" w:line="276" w:lineRule="auto"/>
        <w:ind w:left="1440"/>
        <w:contextualSpacing w:val="0"/>
        <w:rPr>
          <w:rFonts w:cstheme="minorHAnsi"/>
        </w:rPr>
      </w:pPr>
      <w:r w:rsidRPr="00C62F8A">
        <w:rPr>
          <w:rFonts w:cstheme="minorHAnsi"/>
        </w:rPr>
        <w:t>right to life (section 9);</w:t>
      </w:r>
    </w:p>
    <w:p w:rsidR="00487CD8" w:rsidRPr="00C62F8A" w:rsidRDefault="00487CD8" w:rsidP="00487CD8">
      <w:pPr>
        <w:pStyle w:val="ListParagraph"/>
        <w:numPr>
          <w:ilvl w:val="0"/>
          <w:numId w:val="41"/>
        </w:numPr>
        <w:spacing w:before="120" w:after="120" w:line="276" w:lineRule="auto"/>
        <w:ind w:left="1440"/>
        <w:contextualSpacing w:val="0"/>
        <w:rPr>
          <w:rFonts w:cstheme="minorHAnsi"/>
        </w:rPr>
      </w:pPr>
      <w:r w:rsidRPr="00C62F8A">
        <w:rPr>
          <w:rFonts w:cstheme="minorHAnsi"/>
        </w:rPr>
        <w:t>right to liberty and security of person (section 18);</w:t>
      </w:r>
    </w:p>
    <w:p w:rsidR="00487CD8" w:rsidRPr="00C62F8A" w:rsidRDefault="00487CD8" w:rsidP="00487CD8">
      <w:pPr>
        <w:pStyle w:val="ListParagraph"/>
        <w:numPr>
          <w:ilvl w:val="0"/>
          <w:numId w:val="41"/>
        </w:numPr>
        <w:spacing w:before="120" w:after="120" w:line="276" w:lineRule="auto"/>
        <w:ind w:left="1440"/>
        <w:contextualSpacing w:val="0"/>
        <w:rPr>
          <w:rFonts w:cstheme="minorHAnsi"/>
        </w:rPr>
      </w:pPr>
      <w:r w:rsidRPr="00C62F8A">
        <w:rPr>
          <w:rFonts w:cstheme="minorHAnsi"/>
        </w:rPr>
        <w:t>right to a fair trial (section 21);</w:t>
      </w:r>
    </w:p>
    <w:p w:rsidR="00487CD8" w:rsidRPr="00C62F8A" w:rsidRDefault="00487CD8" w:rsidP="00487CD8">
      <w:pPr>
        <w:pStyle w:val="ListParagraph"/>
        <w:numPr>
          <w:ilvl w:val="0"/>
          <w:numId w:val="41"/>
        </w:numPr>
        <w:spacing w:before="120" w:after="120" w:line="276" w:lineRule="auto"/>
        <w:ind w:left="1440"/>
        <w:contextualSpacing w:val="0"/>
        <w:rPr>
          <w:rFonts w:cstheme="minorHAnsi"/>
        </w:rPr>
      </w:pPr>
      <w:r w:rsidRPr="00C62F8A">
        <w:rPr>
          <w:rFonts w:cstheme="minorHAnsi"/>
        </w:rPr>
        <w:t>rights in criminal proceedings (section 22); and</w:t>
      </w:r>
    </w:p>
    <w:p w:rsidR="00487CD8" w:rsidRPr="00C62F8A" w:rsidRDefault="00487CD8" w:rsidP="00487CD8">
      <w:pPr>
        <w:pStyle w:val="ListParagraph"/>
        <w:numPr>
          <w:ilvl w:val="0"/>
          <w:numId w:val="41"/>
        </w:numPr>
        <w:spacing w:before="120" w:after="120" w:line="276" w:lineRule="auto"/>
        <w:ind w:left="1440"/>
        <w:contextualSpacing w:val="0"/>
        <w:rPr>
          <w:rFonts w:cstheme="minorHAnsi"/>
        </w:rPr>
      </w:pPr>
      <w:proofErr w:type="gramStart"/>
      <w:r w:rsidRPr="00C62F8A">
        <w:rPr>
          <w:rFonts w:cstheme="minorHAnsi"/>
        </w:rPr>
        <w:t>right</w:t>
      </w:r>
      <w:proofErr w:type="gramEnd"/>
      <w:r w:rsidRPr="00C62F8A">
        <w:rPr>
          <w:rFonts w:cstheme="minorHAnsi"/>
        </w:rPr>
        <w:t xml:space="preserve"> to work and other work-related rights.</w:t>
      </w:r>
    </w:p>
    <w:p w:rsidR="00487CD8" w:rsidRPr="00C62F8A" w:rsidRDefault="00487CD8" w:rsidP="00487CD8">
      <w:pPr>
        <w:spacing w:before="120" w:after="120"/>
        <w:ind w:left="720"/>
        <w:rPr>
          <w:rFonts w:cstheme="minorHAnsi"/>
        </w:rPr>
      </w:pPr>
      <w:bookmarkStart w:id="520" w:name="_Hlk70073827"/>
      <w:r>
        <w:rPr>
          <w:rFonts w:cstheme="minorHAnsi"/>
        </w:rPr>
        <w:t xml:space="preserve">[This subordinate law] </w:t>
      </w:r>
      <w:bookmarkEnd w:id="520"/>
      <w:r w:rsidRPr="00C62F8A">
        <w:rPr>
          <w:rFonts w:cstheme="minorHAnsi"/>
        </w:rPr>
        <w:t xml:space="preserve">supports these rights by extending the operation of the Regulation so that in dealing with an alleged failure to follow a direction under the </w:t>
      </w:r>
      <w:r w:rsidRPr="00C62F8A">
        <w:rPr>
          <w:rFonts w:cstheme="minorHAnsi"/>
          <w:i/>
          <w:iCs/>
        </w:rPr>
        <w:t>Public Health Act 1997</w:t>
      </w:r>
      <w:r w:rsidRPr="00C62F8A">
        <w:rPr>
          <w:rFonts w:cstheme="minorHAnsi"/>
        </w:rPr>
        <w:t xml:space="preserve">, an authorised officer or police officer retains the option of issuing an infringement notice rather than commencing a proceeding in the ACT Magistrates Court. </w:t>
      </w:r>
    </w:p>
    <w:p w:rsidR="00487CD8" w:rsidRPr="00C62F8A" w:rsidRDefault="00487CD8" w:rsidP="00487CD8">
      <w:pPr>
        <w:spacing w:before="120" w:after="120"/>
        <w:ind w:left="720"/>
        <w:jc w:val="both"/>
        <w:rPr>
          <w:rFonts w:cstheme="minorHAnsi"/>
        </w:rPr>
      </w:pPr>
      <w:r w:rsidRPr="00C62F8A">
        <w:rPr>
          <w:rFonts w:cstheme="minorHAnsi"/>
        </w:rPr>
        <w:t xml:space="preserve">As an alternative to a prosecution, the payment of the infringement notice bars the prosecution of the person and the person is not taken to have been convicted of the offence (see </w:t>
      </w:r>
      <w:r w:rsidRPr="00C62F8A">
        <w:rPr>
          <w:rFonts w:cstheme="minorHAnsi"/>
          <w:i/>
          <w:iCs/>
        </w:rPr>
        <w:t>Magistrates Court Act 1930</w:t>
      </w:r>
      <w:r w:rsidRPr="00C62F8A">
        <w:rPr>
          <w:rFonts w:cstheme="minorHAnsi"/>
        </w:rPr>
        <w:t xml:space="preserve">, section 125 (Effect of payment of infringement notice penalty). Further, the </w:t>
      </w:r>
      <w:r w:rsidRPr="00C62F8A">
        <w:rPr>
          <w:rFonts w:cstheme="minorHAnsi"/>
          <w:i/>
          <w:iCs/>
        </w:rPr>
        <w:t>Magistrates Court Act 1930</w:t>
      </w:r>
      <w:r w:rsidRPr="00C62F8A">
        <w:rPr>
          <w:rFonts w:cstheme="minorHAnsi"/>
        </w:rPr>
        <w:t>, Part 3.8.4 (Disputing liability for infringement notices) sets out the mechanism for a person to dispute liability for the infringement notice and this must appear in the infringement notice issued to the person. Where a person disputes liability and the administering authority determines that an information should be laid, the person is able to defend the charge. This mechanism together with other provisions of the existing criminal law supports the person’s right to a fair trial and rights in criminal proceedings including the presumption of innocence under section 22 (1).</w:t>
      </w:r>
    </w:p>
    <w:p w:rsidR="00487CD8" w:rsidRPr="00C62F8A" w:rsidRDefault="00487CD8" w:rsidP="00487CD8">
      <w:pPr>
        <w:spacing w:before="120" w:after="120"/>
        <w:ind w:left="720"/>
        <w:jc w:val="both"/>
        <w:rPr>
          <w:rFonts w:cstheme="minorHAnsi"/>
        </w:rPr>
      </w:pPr>
      <w:r w:rsidRPr="00C62F8A">
        <w:rPr>
          <w:rFonts w:cstheme="minorHAnsi"/>
        </w:rPr>
        <w:t>Additionally, extending the infringement notice scheme may engage and promote the right to life and the right to work and other work-related rights. Extending the infringement notice scheme allows the regulation to stay in the statute book, to continue to act as a deterrent for individuals and businesses, and to continue to be used by authorised officers to enforce compliance with public health directions to ensure a safe place of business to protect the lives of the ACT community while the COVID-19 pandemic is active.</w:t>
      </w:r>
    </w:p>
    <w:p w:rsidR="00487CD8" w:rsidRDefault="00487CD8" w:rsidP="00487CD8">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 xml:space="preserve">The Committee draws the attention of the Legislative Assembly to the discussion of human rights issues in </w:t>
      </w:r>
      <w:r>
        <w:rPr>
          <w:rFonts w:ascii="Calibri" w:hAnsi="Calibri" w:cs="Calibri"/>
          <w:b/>
          <w:bCs/>
          <w:sz w:val="22"/>
          <w:szCs w:val="22"/>
          <w:lang w:eastAsia="en-AU"/>
        </w:rPr>
        <w:t>the</w:t>
      </w:r>
      <w:r w:rsidRPr="00E95E87">
        <w:rPr>
          <w:rFonts w:ascii="Calibri" w:hAnsi="Calibri" w:cs="Calibri"/>
          <w:b/>
          <w:bCs/>
          <w:sz w:val="22"/>
          <w:szCs w:val="22"/>
          <w:lang w:eastAsia="en-AU"/>
        </w:rPr>
        <w:t xml:space="preserve"> explanatory statement for th</w:t>
      </w:r>
      <w:r>
        <w:rPr>
          <w:rFonts w:ascii="Calibri" w:hAnsi="Calibri" w:cs="Calibri"/>
          <w:b/>
          <w:bCs/>
          <w:sz w:val="22"/>
          <w:szCs w:val="22"/>
          <w:lang w:eastAsia="en-AU"/>
        </w:rPr>
        <w:t>is subordinate law</w:t>
      </w:r>
      <w:r w:rsidRPr="00E95E87">
        <w:rPr>
          <w:rFonts w:ascii="Calibri" w:hAnsi="Calibri" w:cs="Calibri"/>
          <w:b/>
          <w:bCs/>
          <w:sz w:val="22"/>
          <w:szCs w:val="22"/>
          <w:lang w:eastAsia="en-AU"/>
        </w:rPr>
        <w:t>.</w:t>
      </w:r>
    </w:p>
    <w:p w:rsidR="00487CD8" w:rsidRDefault="00487CD8" w:rsidP="00487CD8">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F753CA" w:rsidRDefault="00F753CA" w:rsidP="0050636F">
      <w:pPr>
        <w:pStyle w:val="Heading2"/>
        <w:keepNext w:val="0"/>
        <w:rPr>
          <w:rFonts w:eastAsia="Calibri"/>
          <w:lang w:eastAsia="en-AU"/>
        </w:rPr>
      </w:pPr>
      <w:bookmarkStart w:id="521" w:name="_Toc71022176"/>
      <w:r>
        <w:rPr>
          <w:rFonts w:eastAsia="Calibri"/>
          <w:lang w:eastAsia="en-AU"/>
        </w:rPr>
        <w:t>Response</w:t>
      </w:r>
      <w:r w:rsidR="00FB7CDC">
        <w:rPr>
          <w:rFonts w:eastAsia="Calibri"/>
          <w:lang w:eastAsia="en-AU"/>
        </w:rPr>
        <w:t>s</w:t>
      </w:r>
      <w:bookmarkEnd w:id="521"/>
    </w:p>
    <w:p w:rsidR="00D9488E" w:rsidRPr="00D9488E" w:rsidRDefault="00D9488E" w:rsidP="00D9488E">
      <w:pPr>
        <w:pStyle w:val="Heading3"/>
        <w:rPr>
          <w:lang w:eastAsia="en-AU"/>
        </w:rPr>
      </w:pPr>
      <w:bookmarkStart w:id="522" w:name="_Toc44074226"/>
      <w:bookmarkStart w:id="523" w:name="_Toc44323943"/>
      <w:bookmarkStart w:id="524" w:name="_Toc71022177"/>
      <w:r>
        <w:rPr>
          <w:lang w:eastAsia="en-AU"/>
        </w:rPr>
        <w:t>Government response</w:t>
      </w:r>
      <w:bookmarkEnd w:id="522"/>
      <w:bookmarkEnd w:id="523"/>
      <w:r w:rsidR="00FB7CDC">
        <w:rPr>
          <w:lang w:eastAsia="en-AU"/>
        </w:rPr>
        <w:t>s</w:t>
      </w:r>
      <w:bookmarkEnd w:id="524"/>
    </w:p>
    <w:bookmarkEnd w:id="499"/>
    <w:bookmarkEnd w:id="500"/>
    <w:p w:rsidR="00F65983" w:rsidRPr="00F65983" w:rsidRDefault="00F65983" w:rsidP="00097985">
      <w:pPr>
        <w:rPr>
          <w:rFonts w:ascii="Calibri" w:eastAsia="Calibri" w:hAnsi="Calibri" w:cs="Times New Roman"/>
        </w:rPr>
      </w:pPr>
      <w:r w:rsidRPr="00F65983">
        <w:rPr>
          <w:rFonts w:ascii="Calibri" w:eastAsia="Calibri" w:hAnsi="Calibri" w:cs="Times New Roman"/>
        </w:rPr>
        <w:t xml:space="preserve">The Committee has received </w:t>
      </w:r>
      <w:r w:rsidR="003379D7">
        <w:rPr>
          <w:rFonts w:ascii="Calibri" w:eastAsia="Calibri" w:hAnsi="Calibri" w:cs="Times New Roman"/>
        </w:rPr>
        <w:t>response</w:t>
      </w:r>
      <w:r w:rsidR="00FB7CDC">
        <w:rPr>
          <w:rFonts w:ascii="Calibri" w:eastAsia="Calibri" w:hAnsi="Calibri" w:cs="Times New Roman"/>
        </w:rPr>
        <w:t>s</w:t>
      </w:r>
      <w:r w:rsidRPr="00F65983">
        <w:rPr>
          <w:rFonts w:ascii="Calibri" w:eastAsia="Calibri" w:hAnsi="Calibri" w:cs="Times New Roman"/>
        </w:rPr>
        <w:t xml:space="preserve"> from:</w:t>
      </w:r>
    </w:p>
    <w:p w:rsidR="00461B48" w:rsidRDefault="001B4386" w:rsidP="00097985">
      <w:pPr>
        <w:keepLines/>
        <w:widowControl w:val="0"/>
        <w:numPr>
          <w:ilvl w:val="0"/>
          <w:numId w:val="13"/>
        </w:numPr>
      </w:pPr>
      <w:r>
        <w:t>The Chief Minister, in relation to comments made in Scrutiny Report 1 concerning the COVID-19 Emergency Response Legislation Amendment Bill 2020 (No 3).</w:t>
      </w:r>
    </w:p>
    <w:p w:rsidR="00FB7CDC" w:rsidRDefault="00FB7CDC" w:rsidP="00FB7CDC">
      <w:pPr>
        <w:pStyle w:val="ListParagraph"/>
        <w:numPr>
          <w:ilvl w:val="0"/>
          <w:numId w:val="13"/>
        </w:numPr>
        <w:spacing w:before="120" w:after="0"/>
        <w:contextualSpacing w:val="0"/>
      </w:pPr>
      <w:r>
        <w:t xml:space="preserve">The Chief Minister, in relation to comments made in Scrutiny Report 2 concerning </w:t>
      </w:r>
      <w:r w:rsidRPr="005B2129">
        <w:t>Disallowable Instrument</w:t>
      </w:r>
      <w:r>
        <w:t>s</w:t>
      </w:r>
      <w:r w:rsidRPr="005B2129">
        <w:t xml:space="preserve"> </w:t>
      </w:r>
      <w:r>
        <w:t>DI2021-10 Taxation Administration (Payroll Tax—Businesses Not Permitted to Operate) COVID-19 Exemption Scheme Determination 2021 and DI2021-11 Taxation Administration (Payroll Tax) COVID-19 Exemption Scheme Determination 2021</w:t>
      </w:r>
      <w:r w:rsidR="009914A0">
        <w:t>.</w:t>
      </w:r>
    </w:p>
    <w:p w:rsidR="006A6C77" w:rsidRDefault="00062AF9" w:rsidP="00D20D02">
      <w:pPr>
        <w:widowControl w:val="0"/>
        <w:spacing w:before="200" w:after="0" w:line="260" w:lineRule="exact"/>
        <w:ind w:left="360"/>
        <w:rPr>
          <w:rFonts w:ascii="Calibri" w:eastAsia="Calibri" w:hAnsi="Calibri" w:cs="Times New Roman"/>
          <w:b/>
          <w:lang w:eastAsia="en-AU"/>
        </w:rPr>
      </w:pPr>
      <w:hyperlink r:id="rId24" w:history="1">
        <w:r w:rsidR="00FB7CDC">
          <w:rPr>
            <w:rStyle w:val="Hyperlink"/>
            <w:rFonts w:ascii="Calibri" w:eastAsia="Calibri" w:hAnsi="Calibri" w:cs="Times New Roman"/>
            <w:b/>
            <w:lang w:eastAsia="en-AU"/>
          </w:rPr>
          <w:t>These</w:t>
        </w:r>
        <w:r w:rsidR="006A6C77" w:rsidRPr="006971C2">
          <w:rPr>
            <w:rStyle w:val="Hyperlink"/>
            <w:rFonts w:ascii="Calibri" w:eastAsia="Calibri" w:hAnsi="Calibri" w:cs="Times New Roman"/>
            <w:b/>
            <w:lang w:eastAsia="en-AU"/>
          </w:rPr>
          <w:t xml:space="preserve"> response</w:t>
        </w:r>
      </w:hyperlink>
      <w:bookmarkStart w:id="525" w:name="_GoBack"/>
      <w:bookmarkEnd w:id="525"/>
      <w:r w:rsidR="00FB7CDC">
        <w:rPr>
          <w:rStyle w:val="Hyperlink"/>
          <w:rFonts w:ascii="Calibri" w:eastAsia="Calibri" w:hAnsi="Calibri" w:cs="Times New Roman"/>
          <w:b/>
          <w:lang w:eastAsia="en-AU"/>
        </w:rPr>
        <w:t>s</w:t>
      </w:r>
      <w:r w:rsidR="006A6C77">
        <w:rPr>
          <w:rFonts w:ascii="Calibri" w:eastAsia="Calibri" w:hAnsi="Calibri" w:cs="Times New Roman"/>
          <w:b/>
          <w:i/>
          <w:vertAlign w:val="superscript"/>
          <w:lang w:eastAsia="en-AU"/>
        </w:rPr>
        <w:footnoteReference w:id="3"/>
      </w:r>
      <w:r w:rsidR="006A6C77">
        <w:rPr>
          <w:rFonts w:ascii="Calibri" w:eastAsia="Calibri" w:hAnsi="Calibri" w:cs="Times New Roman"/>
          <w:b/>
          <w:i/>
          <w:lang w:eastAsia="en-AU"/>
        </w:rPr>
        <w:t xml:space="preserve"> </w:t>
      </w:r>
      <w:r w:rsidR="006A6C77">
        <w:rPr>
          <w:rFonts w:ascii="Calibri" w:eastAsia="Calibri" w:hAnsi="Calibri" w:cs="Times New Roman"/>
          <w:b/>
          <w:lang w:eastAsia="en-AU"/>
        </w:rPr>
        <w:t>can be viewed online.</w:t>
      </w:r>
    </w:p>
    <w:bookmarkEnd w:id="501"/>
    <w:bookmarkEnd w:id="502"/>
    <w:p w:rsidR="00C13B2C" w:rsidRDefault="00C13B2C" w:rsidP="00C13B2C">
      <w:pPr>
        <w:pStyle w:val="Paper"/>
        <w:keepLines/>
        <w:spacing w:before="220" w:after="220" w:line="280" w:lineRule="exact"/>
        <w:rPr>
          <w:rFonts w:ascii="Calibri" w:hAnsi="Calibri"/>
          <w:bCs/>
          <w:sz w:val="22"/>
          <w:szCs w:val="22"/>
        </w:rPr>
      </w:pPr>
      <w:r>
        <w:rPr>
          <w:rFonts w:ascii="Calibri" w:hAnsi="Calibri"/>
          <w:bCs/>
          <w:sz w:val="22"/>
          <w:szCs w:val="22"/>
        </w:rPr>
        <w:t xml:space="preserve">The Committee wishes to thank the </w:t>
      </w:r>
      <w:r w:rsidR="0047007B">
        <w:rPr>
          <w:rFonts w:ascii="Calibri" w:hAnsi="Calibri"/>
          <w:bCs/>
          <w:sz w:val="22"/>
          <w:szCs w:val="22"/>
        </w:rPr>
        <w:t>Chief Minister</w:t>
      </w:r>
      <w:r w:rsidR="00280D11">
        <w:rPr>
          <w:rFonts w:ascii="Calibri" w:hAnsi="Calibri"/>
          <w:bCs/>
          <w:sz w:val="22"/>
          <w:szCs w:val="22"/>
        </w:rPr>
        <w:t xml:space="preserve"> for </w:t>
      </w:r>
      <w:r w:rsidR="009914A0">
        <w:rPr>
          <w:rFonts w:ascii="Calibri" w:hAnsi="Calibri"/>
          <w:bCs/>
          <w:sz w:val="22"/>
          <w:szCs w:val="22"/>
        </w:rPr>
        <w:t>his</w:t>
      </w:r>
      <w:r w:rsidR="0047007B">
        <w:rPr>
          <w:rFonts w:ascii="Calibri" w:hAnsi="Calibri"/>
          <w:bCs/>
          <w:sz w:val="22"/>
          <w:szCs w:val="22"/>
        </w:rPr>
        <w:t xml:space="preserve"> helpful response</w:t>
      </w:r>
      <w:r>
        <w:rPr>
          <w:rFonts w:ascii="Calibri" w:hAnsi="Calibri"/>
          <w:bCs/>
          <w:sz w:val="22"/>
          <w:szCs w:val="22"/>
        </w:rPr>
        <w:t>.</w:t>
      </w:r>
    </w:p>
    <w:p w:rsidR="004F019A" w:rsidRPr="00104A8B" w:rsidRDefault="00A34509" w:rsidP="008C7B9E">
      <w:pPr>
        <w:spacing w:before="720" w:after="0"/>
      </w:pPr>
      <w:r>
        <w:t>Jeremy Hanson</w:t>
      </w:r>
      <w:r w:rsidR="004F019A" w:rsidRPr="00104A8B">
        <w:t xml:space="preserve"> MLA</w:t>
      </w:r>
    </w:p>
    <w:p w:rsidR="00393D9F" w:rsidRDefault="004F019A" w:rsidP="00D50DEA">
      <w:pPr>
        <w:spacing w:before="0"/>
      </w:pPr>
      <w:r w:rsidRPr="00104A8B">
        <w:t>Chair</w:t>
      </w:r>
    </w:p>
    <w:p w:rsidR="003F186C" w:rsidRPr="00FF2947" w:rsidRDefault="001C2433" w:rsidP="00D50DEA">
      <w:pPr>
        <w:spacing w:before="0"/>
        <w:sectPr w:rsidR="003F186C" w:rsidRPr="00FF2947" w:rsidSect="00685D6D">
          <w:headerReference w:type="even" r:id="rId25"/>
          <w:headerReference w:type="default" r:id="rId26"/>
          <w:footerReference w:type="even" r:id="rId27"/>
          <w:footerReference w:type="default" r:id="rId28"/>
          <w:headerReference w:type="first" r:id="rId29"/>
          <w:pgSz w:w="11906" w:h="16838"/>
          <w:pgMar w:top="1710" w:right="1440" w:bottom="1170" w:left="1440" w:header="708" w:footer="543" w:gutter="0"/>
          <w:pgNumType w:start="1"/>
          <w:cols w:space="708"/>
          <w:docGrid w:linePitch="360"/>
        </w:sectPr>
      </w:pPr>
      <w:r>
        <w:t>4 MAY</w:t>
      </w:r>
      <w:r w:rsidR="006F388D">
        <w:t xml:space="preserve"> </w:t>
      </w:r>
      <w:r w:rsidR="00053DC1" w:rsidRPr="00FF2947">
        <w:t>2020</w:t>
      </w:r>
    </w:p>
    <w:p w:rsidR="005D10B6" w:rsidRPr="00104A8B" w:rsidRDefault="005D10B6" w:rsidP="005D10B6">
      <w:pPr>
        <w:pStyle w:val="Heading2"/>
        <w:rPr>
          <w:rFonts w:asciiTheme="minorHAnsi" w:hAnsiTheme="minorHAnsi"/>
        </w:rPr>
      </w:pPr>
      <w:bookmarkStart w:id="526" w:name="_Toc514837979"/>
      <w:bookmarkStart w:id="527" w:name="_Toc69207604"/>
      <w:bookmarkStart w:id="528" w:name="_Toc71022178"/>
      <w:r w:rsidRPr="00104A8B">
        <w:rPr>
          <w:rFonts w:asciiTheme="minorHAnsi" w:hAnsiTheme="minorHAnsi"/>
        </w:rPr>
        <w:t>Outstanding Responses</w:t>
      </w:r>
      <w:bookmarkEnd w:id="526"/>
      <w:bookmarkEnd w:id="527"/>
      <w:bookmarkEnd w:id="528"/>
    </w:p>
    <w:p w:rsidR="005D10B6" w:rsidRPr="00104A8B" w:rsidRDefault="005D10B6" w:rsidP="005D10B6">
      <w:pPr>
        <w:pStyle w:val="Heading3"/>
        <w:rPr>
          <w:rFonts w:asciiTheme="minorHAnsi" w:hAnsiTheme="minorHAnsi"/>
        </w:rPr>
      </w:pPr>
      <w:bookmarkStart w:id="529" w:name="_Toc505005688"/>
      <w:bookmarkStart w:id="530" w:name="_Toc505153779"/>
      <w:bookmarkStart w:id="531" w:name="_Toc508283444"/>
      <w:bookmarkStart w:id="532" w:name="_Toc510081804"/>
      <w:bookmarkStart w:id="533" w:name="_Toc511812230"/>
      <w:bookmarkStart w:id="534" w:name="_Toc512240173"/>
      <w:bookmarkStart w:id="535" w:name="_Toc513192173"/>
      <w:bookmarkStart w:id="536" w:name="_Toc514832434"/>
      <w:bookmarkStart w:id="537" w:name="_Toc514837980"/>
      <w:bookmarkStart w:id="538" w:name="_Toc514838144"/>
      <w:bookmarkStart w:id="539" w:name="_Toc514943619"/>
      <w:bookmarkStart w:id="540" w:name="_Toc515352064"/>
      <w:bookmarkStart w:id="541" w:name="_Toc518297261"/>
      <w:bookmarkStart w:id="542" w:name="_Toc519520755"/>
      <w:bookmarkStart w:id="543" w:name="_Toc520188735"/>
      <w:bookmarkStart w:id="544" w:name="_Toc521054338"/>
      <w:bookmarkStart w:id="545" w:name="_Toc521054410"/>
      <w:bookmarkStart w:id="546" w:name="_Toc523814181"/>
      <w:bookmarkStart w:id="547" w:name="_Toc523900477"/>
      <w:bookmarkStart w:id="548" w:name="_Toc526855826"/>
      <w:bookmarkStart w:id="549" w:name="_Toc528155854"/>
      <w:bookmarkStart w:id="550" w:name="_Toc528157213"/>
      <w:bookmarkStart w:id="551" w:name="_Toc528310867"/>
      <w:bookmarkStart w:id="552" w:name="_Toc529974547"/>
      <w:bookmarkStart w:id="553" w:name="_Toc530039442"/>
      <w:bookmarkStart w:id="554" w:name="_Toc536527689"/>
      <w:bookmarkStart w:id="555" w:name="_Toc536527863"/>
      <w:bookmarkStart w:id="556" w:name="_Toc536615405"/>
      <w:bookmarkStart w:id="557" w:name="_Toc172184"/>
      <w:bookmarkStart w:id="558" w:name="_Toc506087"/>
      <w:bookmarkStart w:id="559" w:name="_Toc965832"/>
      <w:bookmarkStart w:id="560" w:name="_Toc6211048"/>
      <w:bookmarkStart w:id="561" w:name="_Toc9500017"/>
      <w:bookmarkStart w:id="562" w:name="_Toc14334625"/>
      <w:bookmarkStart w:id="563" w:name="_Toc14775975"/>
      <w:bookmarkStart w:id="564" w:name="_Toc15285040"/>
      <w:bookmarkStart w:id="565" w:name="_Toc15630677"/>
      <w:bookmarkStart w:id="566" w:name="_Toc18415350"/>
      <w:bookmarkStart w:id="567" w:name="_Toc18487717"/>
      <w:bookmarkStart w:id="568" w:name="_Toc19708407"/>
      <w:bookmarkStart w:id="569" w:name="_Toc20131698"/>
      <w:bookmarkStart w:id="570" w:name="_Toc21595465"/>
      <w:bookmarkStart w:id="571" w:name="_Toc22025468"/>
      <w:bookmarkStart w:id="572" w:name="_Toc24463733"/>
      <w:bookmarkStart w:id="573" w:name="_Toc24617731"/>
      <w:bookmarkStart w:id="574" w:name="_Toc25050804"/>
      <w:bookmarkStart w:id="575" w:name="_Toc31202278"/>
      <w:bookmarkStart w:id="576" w:name="_Toc32390211"/>
      <w:bookmarkStart w:id="577" w:name="_Toc32566855"/>
      <w:bookmarkStart w:id="578" w:name="_Toc35437959"/>
      <w:bookmarkStart w:id="579" w:name="_Toc38270552"/>
      <w:bookmarkStart w:id="580" w:name="_Toc38362407"/>
      <w:bookmarkStart w:id="581" w:name="_Toc38442400"/>
      <w:bookmarkStart w:id="582" w:name="_Toc38976339"/>
      <w:bookmarkStart w:id="583" w:name="_Toc40693261"/>
      <w:bookmarkStart w:id="584" w:name="_Toc41570939"/>
      <w:bookmarkStart w:id="585" w:name="_Toc42875016"/>
      <w:bookmarkStart w:id="586" w:name="_Toc44074228"/>
      <w:bookmarkStart w:id="587" w:name="_Toc44323945"/>
      <w:bookmarkStart w:id="588" w:name="_Toc69207605"/>
      <w:bookmarkStart w:id="589" w:name="_Toc71022179"/>
      <w:r w:rsidRPr="00104A8B">
        <w:rPr>
          <w:rFonts w:asciiTheme="minorHAnsi" w:hAnsiTheme="minorHAnsi"/>
        </w:rPr>
        <w:t>Bills/Subordinate Legislation</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rsidR="005D10B6" w:rsidRPr="00DA162C" w:rsidRDefault="005D10B6" w:rsidP="005D10B6">
      <w:pPr>
        <w:pStyle w:val="ListParagraph"/>
        <w:numPr>
          <w:ilvl w:val="0"/>
          <w:numId w:val="12"/>
        </w:numPr>
        <w:spacing w:before="240" w:after="0"/>
        <w:ind w:left="357" w:hanging="357"/>
        <w:contextualSpacing w:val="0"/>
        <w:rPr>
          <w:b/>
        </w:rPr>
      </w:pPr>
      <w:r>
        <w:rPr>
          <w:b/>
        </w:rPr>
        <w:t>Report 2, dated 24 March 2021</w:t>
      </w:r>
    </w:p>
    <w:p w:rsidR="005D10B6" w:rsidRPr="00595CC0" w:rsidRDefault="005D10B6" w:rsidP="005D10B6">
      <w:pPr>
        <w:pStyle w:val="ListParagraph"/>
        <w:numPr>
          <w:ilvl w:val="0"/>
          <w:numId w:val="36"/>
        </w:numPr>
        <w:spacing w:before="120" w:after="0"/>
        <w:ind w:left="720"/>
        <w:contextualSpacing w:val="0"/>
      </w:pPr>
      <w:r w:rsidRPr="00595CC0">
        <w:t>Drugs of Dependence (Personal Use) Amendment Bill 2021</w:t>
      </w:r>
    </w:p>
    <w:p w:rsidR="005D10B6" w:rsidRPr="00595CC0" w:rsidRDefault="005D10B6" w:rsidP="005D10B6">
      <w:pPr>
        <w:pStyle w:val="ListParagraph"/>
        <w:numPr>
          <w:ilvl w:val="0"/>
          <w:numId w:val="36"/>
        </w:numPr>
        <w:spacing w:before="120" w:after="0"/>
        <w:ind w:left="720"/>
        <w:contextualSpacing w:val="0"/>
      </w:pPr>
      <w:r w:rsidRPr="00595CC0">
        <w:t>Disallowable Instrument DI2020-287 Litter (Amenity Impact) Code of Practice 2020 (No 1)</w:t>
      </w:r>
    </w:p>
    <w:p w:rsidR="005D10B6" w:rsidRPr="00DA162C" w:rsidRDefault="005D10B6" w:rsidP="005D10B6">
      <w:pPr>
        <w:pStyle w:val="ListParagraph"/>
        <w:numPr>
          <w:ilvl w:val="0"/>
          <w:numId w:val="12"/>
        </w:numPr>
        <w:spacing w:before="240" w:after="0"/>
        <w:ind w:left="357" w:hanging="357"/>
        <w:contextualSpacing w:val="0"/>
        <w:rPr>
          <w:b/>
        </w:rPr>
      </w:pPr>
      <w:r>
        <w:rPr>
          <w:b/>
        </w:rPr>
        <w:t>Report 3, dated 14 April 2021</w:t>
      </w:r>
    </w:p>
    <w:p w:rsidR="005D10B6" w:rsidRDefault="005D10B6" w:rsidP="005D10B6">
      <w:pPr>
        <w:pStyle w:val="ListParagraph"/>
        <w:numPr>
          <w:ilvl w:val="0"/>
          <w:numId w:val="36"/>
        </w:numPr>
        <w:spacing w:before="120" w:after="0"/>
        <w:ind w:left="720"/>
        <w:contextualSpacing w:val="0"/>
      </w:pPr>
      <w:r>
        <w:t>Domestic Animals Legislation Amendment Bill 2021</w:t>
      </w:r>
    </w:p>
    <w:p w:rsidR="005D10B6" w:rsidRPr="00595CC0" w:rsidRDefault="005D10B6" w:rsidP="005D10B6">
      <w:pPr>
        <w:pStyle w:val="ListParagraph"/>
        <w:numPr>
          <w:ilvl w:val="0"/>
          <w:numId w:val="36"/>
        </w:numPr>
        <w:spacing w:before="120" w:after="0"/>
        <w:ind w:left="720"/>
        <w:contextualSpacing w:val="0"/>
      </w:pPr>
      <w:r>
        <w:t xml:space="preserve">Disallowable Instrument DI2021-4 Working with Vulnerable People (Background Checking) Risk </w:t>
      </w:r>
      <w:r w:rsidR="002E142C">
        <w:t>Assessment</w:t>
      </w:r>
      <w:r>
        <w:t xml:space="preserve"> Guidelines 2021 (No 1)</w:t>
      </w:r>
    </w:p>
    <w:p w:rsidR="00094472" w:rsidRPr="00A34509" w:rsidRDefault="00094472" w:rsidP="005D10B6">
      <w:pPr>
        <w:pStyle w:val="Heading2"/>
        <w:rPr>
          <w:highlight w:val="yellow"/>
        </w:rPr>
      </w:pPr>
    </w:p>
    <w:sectPr w:rsidR="00094472" w:rsidRPr="00A34509" w:rsidSect="00613A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51F" w:rsidRDefault="0099751F" w:rsidP="000B0846">
      <w:pPr>
        <w:spacing w:after="0" w:line="240" w:lineRule="auto"/>
      </w:pPr>
      <w:r>
        <w:separator/>
      </w:r>
    </w:p>
  </w:endnote>
  <w:endnote w:type="continuationSeparator" w:id="0">
    <w:p w:rsidR="0099751F" w:rsidRDefault="0099751F" w:rsidP="000B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Footer"/>
    </w:pPr>
  </w:p>
  <w:p w:rsidR="0099751F" w:rsidRDefault="009975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2C2" w:rsidRDefault="008572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2C2" w:rsidRDefault="008572C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1"/>
      <w:docPartObj>
        <w:docPartGallery w:val="Page Numbers (Bottom of Page)"/>
        <w:docPartUnique/>
      </w:docPartObj>
    </w:sdtPr>
    <w:sdtEndPr>
      <w:rPr>
        <w:noProof/>
      </w:rPr>
    </w:sdtEndPr>
    <w:sdtContent>
      <w:p w:rsidR="0099751F" w:rsidRDefault="0099751F">
        <w:pPr>
          <w:pStyle w:val="Footer"/>
        </w:pPr>
        <w:r>
          <w:rPr>
            <w:noProof/>
          </w:rPr>
          <w:fldChar w:fldCharType="begin"/>
        </w:r>
        <w:r>
          <w:rPr>
            <w:noProof/>
          </w:rPr>
          <w:instrText xml:space="preserve"> PAGE   \* MERGEFORMAT </w:instrText>
        </w:r>
        <w:r>
          <w:rPr>
            <w:noProof/>
          </w:rPr>
          <w:fldChar w:fldCharType="separate"/>
        </w:r>
        <w:r w:rsidR="00062AF9">
          <w:rPr>
            <w:noProof/>
          </w:rPr>
          <w:t>ii</w:t>
        </w:r>
        <w:r>
          <w:rPr>
            <w:noProof/>
          </w:rPr>
          <w:fldChar w:fldCharType="end"/>
        </w:r>
      </w:p>
    </w:sdtContent>
  </w:sdt>
  <w:p w:rsidR="0099751F" w:rsidRDefault="0099751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2"/>
      <w:docPartObj>
        <w:docPartGallery w:val="Page Numbers (Bottom of Page)"/>
        <w:docPartUnique/>
      </w:docPartObj>
    </w:sdtPr>
    <w:sdtEndPr>
      <w:rPr>
        <w:noProof/>
      </w:rPr>
    </w:sdtEndPr>
    <w:sdtContent>
      <w:p w:rsidR="0099751F" w:rsidRDefault="0099751F">
        <w:pPr>
          <w:pStyle w:val="Footer"/>
          <w:jc w:val="right"/>
        </w:pPr>
        <w:r>
          <w:rPr>
            <w:noProof/>
          </w:rPr>
          <w:fldChar w:fldCharType="begin"/>
        </w:r>
        <w:r>
          <w:rPr>
            <w:noProof/>
          </w:rPr>
          <w:instrText xml:space="preserve"> PAGE   \* MERGEFORMAT </w:instrText>
        </w:r>
        <w:r>
          <w:rPr>
            <w:noProof/>
          </w:rPr>
          <w:fldChar w:fldCharType="separate"/>
        </w:r>
        <w:r w:rsidR="00062AF9">
          <w:rPr>
            <w:noProof/>
          </w:rPr>
          <w:t>iii</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EE534B" w:rsidRDefault="0099751F">
    <w:pPr>
      <w:pStyle w:val="Footer"/>
      <w:rPr>
        <w:sz w:val="18"/>
        <w:szCs w:val="18"/>
      </w:rPr>
    </w:pPr>
    <w:r>
      <w:rPr>
        <w:noProof/>
      </w:rPr>
      <w:fldChar w:fldCharType="begin"/>
    </w:r>
    <w:r>
      <w:rPr>
        <w:noProof/>
      </w:rPr>
      <w:instrText xml:space="preserve"> PAGE   \* MERGEFORMAT </w:instrText>
    </w:r>
    <w:r>
      <w:rPr>
        <w:noProof/>
      </w:rPr>
      <w:fldChar w:fldCharType="separate"/>
    </w:r>
    <w:r w:rsidR="00062AF9">
      <w:rPr>
        <w:noProof/>
      </w:rPr>
      <w:t>16</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172407"/>
      <w:docPartObj>
        <w:docPartGallery w:val="Page Numbers (Bottom of Page)"/>
        <w:docPartUnique/>
      </w:docPartObj>
    </w:sdtPr>
    <w:sdtEndPr>
      <w:rPr>
        <w:noProof/>
      </w:rPr>
    </w:sdtEndPr>
    <w:sdtContent>
      <w:p w:rsidR="0099751F" w:rsidRPr="00EE534B" w:rsidRDefault="0099751F">
        <w:pPr>
          <w:pStyle w:val="Footer"/>
          <w:jc w:val="right"/>
          <w:rPr>
            <w:sz w:val="18"/>
            <w:szCs w:val="18"/>
          </w:rPr>
        </w:pPr>
        <w:r>
          <w:rPr>
            <w:noProof/>
          </w:rPr>
          <w:fldChar w:fldCharType="begin"/>
        </w:r>
        <w:r>
          <w:rPr>
            <w:noProof/>
          </w:rPr>
          <w:instrText xml:space="preserve"> PAGE   \* MERGEFORMAT </w:instrText>
        </w:r>
        <w:r>
          <w:rPr>
            <w:noProof/>
          </w:rPr>
          <w:fldChar w:fldCharType="separate"/>
        </w:r>
        <w:r w:rsidR="00062AF9">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51F" w:rsidRDefault="0099751F" w:rsidP="00685D6D">
      <w:pPr>
        <w:spacing w:before="80" w:after="0" w:line="240" w:lineRule="auto"/>
      </w:pPr>
      <w:r>
        <w:separator/>
      </w:r>
    </w:p>
  </w:footnote>
  <w:footnote w:type="continuationSeparator" w:id="0">
    <w:p w:rsidR="0099751F" w:rsidRDefault="0099751F" w:rsidP="000B0846">
      <w:pPr>
        <w:spacing w:after="0" w:line="240" w:lineRule="auto"/>
      </w:pPr>
      <w:r>
        <w:continuationSeparator/>
      </w:r>
    </w:p>
  </w:footnote>
  <w:footnote w:id="1">
    <w:p w:rsidR="000E313C" w:rsidRDefault="000E313C" w:rsidP="000E313C">
      <w:pPr>
        <w:pStyle w:val="FootnoteText"/>
      </w:pPr>
      <w:r>
        <w:rPr>
          <w:rStyle w:val="FootnoteReference"/>
        </w:rPr>
        <w:footnoteRef/>
      </w:r>
      <w:r>
        <w:t xml:space="preserve"> </w:t>
      </w:r>
      <w:hyperlink r:id="rId1" w:history="1">
        <w:r w:rsidRPr="00FF70C3">
          <w:rPr>
            <w:rStyle w:val="Hyperlink"/>
            <w:rFonts w:ascii="Calibri" w:eastAsia="Calibri" w:hAnsi="Calibri" w:cs="Calibri"/>
            <w:lang w:eastAsia="en-AU"/>
          </w:rPr>
          <w:t>[2015] ACTSC 302</w:t>
        </w:r>
      </w:hyperlink>
      <w:r>
        <w:rPr>
          <w:rFonts w:ascii="Calibri" w:eastAsia="Calibri" w:hAnsi="Calibri" w:cs="Calibri"/>
          <w:color w:val="000000"/>
          <w:lang w:eastAsia="en-AU"/>
        </w:rPr>
        <w:t>.</w:t>
      </w:r>
    </w:p>
  </w:footnote>
  <w:footnote w:id="2">
    <w:p w:rsidR="000E313C" w:rsidRDefault="000E313C" w:rsidP="000E313C">
      <w:pPr>
        <w:pStyle w:val="FootnoteText"/>
      </w:pPr>
      <w:r>
        <w:rPr>
          <w:rStyle w:val="FootnoteReference"/>
        </w:rPr>
        <w:footnoteRef/>
      </w:r>
      <w:r>
        <w:t xml:space="preserve"> At [59].</w:t>
      </w:r>
    </w:p>
  </w:footnote>
  <w:footnote w:id="3">
    <w:p w:rsidR="0099751F" w:rsidRDefault="0099751F" w:rsidP="006A6C77">
      <w:pPr>
        <w:pStyle w:val="FootnoteText"/>
        <w:spacing w:before="0"/>
        <w:rPr>
          <w:sz w:val="19"/>
          <w:szCs w:val="19"/>
        </w:rPr>
      </w:pPr>
      <w:r>
        <w:rPr>
          <w:rStyle w:val="FootnoteReference"/>
          <w:sz w:val="19"/>
          <w:szCs w:val="19"/>
        </w:rPr>
        <w:footnoteRef/>
      </w:r>
      <w:r>
        <w:rPr>
          <w:sz w:val="19"/>
          <w:szCs w:val="19"/>
        </w:rPr>
        <w:t xml:space="preserve"> </w:t>
      </w:r>
      <w:r>
        <w:rPr>
          <w:sz w:val="19"/>
          <w:szCs w:val="19"/>
          <w:lang w:eastAsia="en-AU"/>
        </w:rPr>
        <w:t>https://www.parliament.act.gov.au/in-committees/standing-committees-current-assembly/standing-committee-on-justice-and-community-safety-legislative-scrutiny-role/responses-to-comments-on-bills.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3B6A7E" w:rsidRDefault="0099751F" w:rsidP="00FC2EEA">
    <w:pPr>
      <w:pStyle w:val="Header"/>
      <w:pBdr>
        <w:bottom w:val="single" w:sz="4" w:space="1" w:color="auto"/>
      </w:pBdr>
    </w:pPr>
    <w:r w:rsidRPr="009D788E">
      <w:rPr>
        <w:smallCaps/>
      </w:rPr>
      <w:t>Standing Committee on Justice and Community Safety (Legislative Scrutiny Role)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1B0650" w:rsidRDefault="0099751F" w:rsidP="00F52AA6">
    <w:pPr>
      <w:pStyle w:val="Header"/>
      <w:pBdr>
        <w:bottom w:val="single" w:sz="4" w:space="1" w:color="auto"/>
      </w:pBdr>
      <w:tabs>
        <w:tab w:val="left" w:pos="6216"/>
      </w:tabs>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062AF9">
      <w:rPr>
        <w:smallCaps/>
        <w:noProof/>
      </w:rPr>
      <w:t>Scrutiny Report 4</w:t>
    </w:r>
    <w:r>
      <w:rPr>
        <w:smallCaps/>
        <w:noProof/>
      </w:rPr>
      <w:fldChar w:fldCharType="end"/>
    </w:r>
  </w:p>
  <w:p w:rsidR="0099751F" w:rsidRDefault="0099751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062A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3327" o:spid="_x0000_s2088" type="#_x0000_t136" style="position:absolute;margin-left:0;margin-top:0;width:520.6pt;height:115.65pt;rotation:315;z-index:-251638784;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9975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062A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3318" o:spid="_x0000_s2079" type="#_x0000_t136" style="position:absolute;margin-left:0;margin-top:0;width:520.6pt;height:115.65pt;rotation:315;z-index:-251657216;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9D788E" w:rsidRDefault="0099751F" w:rsidP="00911558">
    <w:pPr>
      <w:pStyle w:val="Header"/>
      <w:pBdr>
        <w:bottom w:val="single" w:sz="4" w:space="1" w:color="auto"/>
      </w:pBdr>
      <w:rPr>
        <w:smallCaps/>
      </w:rPr>
    </w:pPr>
    <w:r w:rsidRPr="009D788E">
      <w:rPr>
        <w:smallCaps/>
      </w:rPr>
      <w:t>Standing Committee on Justice and Community Safety (Legislative Scrutiny Role)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1B0650" w:rsidRDefault="0099751F" w:rsidP="00911558">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062AF9">
      <w:rPr>
        <w:smallCaps/>
        <w:noProof/>
      </w:rPr>
      <w:t>Scrutiny Report 4</w:t>
    </w:r>
    <w:r>
      <w:rPr>
        <w:smallCaps/>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062A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3321" o:spid="_x0000_s2082" type="#_x0000_t136" style="position:absolute;margin-left:0;margin-top:0;width:520.6pt;height:115.65pt;rotation:315;z-index:-251651072;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3B6A7E" w:rsidRDefault="00062AF9" w:rsidP="003B6A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3325" o:spid="_x0000_s2086" type="#_x0000_t136" style="position:absolute;margin-left:0;margin-top:0;width:520.6pt;height:115.65pt;rotation:315;z-index:-251642880;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Pr="001B0650" w:rsidRDefault="00062AF9" w:rsidP="007F580D">
    <w:pPr>
      <w:pStyle w:val="Header"/>
      <w:pBdr>
        <w:bottom w:val="single" w:sz="4" w:space="1" w:color="auto"/>
      </w:pBdr>
      <w:jc w:val="right"/>
      <w:rPr>
        <w:smallCap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3326" o:spid="_x0000_s2087" type="#_x0000_t136" style="position:absolute;left:0;text-align:left;margin-left:0;margin-top:0;width:520.6pt;height:115.65pt;rotation:315;z-index:-251640832;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r w:rsidR="0099751F">
      <w:rPr>
        <w:smallCaps/>
        <w:noProof/>
      </w:rPr>
      <w:fldChar w:fldCharType="begin"/>
    </w:r>
    <w:r w:rsidR="0099751F">
      <w:rPr>
        <w:smallCaps/>
        <w:noProof/>
      </w:rPr>
      <w:instrText xml:space="preserve"> STYLEREF  "Heading 1"  \* MERGEFORMAT </w:instrText>
    </w:r>
    <w:r w:rsidR="0099751F">
      <w:rPr>
        <w:smallCaps/>
        <w:noProof/>
      </w:rPr>
      <w:fldChar w:fldCharType="separate"/>
    </w:r>
    <w:r w:rsidR="00010090">
      <w:rPr>
        <w:smallCaps/>
        <w:noProof/>
      </w:rPr>
      <w:t>Scrutiny Report 45</w:t>
    </w:r>
    <w:r w:rsidR="0099751F">
      <w:rPr>
        <w:smallCaps/>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1F" w:rsidRDefault="00062A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3324" o:spid="_x0000_s2085" type="#_x0000_t136" style="position:absolute;margin-left:0;margin-top:0;width:520.6pt;height:115.65pt;rotation:315;z-index:-251644928;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B87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1201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31475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3292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26E9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56F4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2F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26A5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C6D3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3479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A002A"/>
    <w:multiLevelType w:val="multilevel"/>
    <w:tmpl w:val="F6DE2780"/>
    <w:lvl w:ilvl="0">
      <w:start w:val="1"/>
      <w:numFmt w:val="decimal"/>
      <w:lvlText w:val="%1"/>
      <w:lvlJc w:val="left"/>
      <w:pPr>
        <w:ind w:left="432" w:hanging="432"/>
      </w:pPr>
      <w:rPr>
        <w:rFonts w:cs="Times New Roman"/>
      </w:rPr>
    </w:lvl>
    <w:lvl w:ilvl="1">
      <w:start w:val="1"/>
      <w:numFmt w:val="decimal"/>
      <w:pStyle w:val="Recommendationbodycopynumbered"/>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7771A35"/>
    <w:multiLevelType w:val="multilevel"/>
    <w:tmpl w:val="BCFCBA68"/>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0A7D203F"/>
    <w:multiLevelType w:val="hybridMultilevel"/>
    <w:tmpl w:val="550C330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F64209D"/>
    <w:multiLevelType w:val="hybridMultilevel"/>
    <w:tmpl w:val="73BC5DF0"/>
    <w:lvl w:ilvl="0" w:tplc="4642DB54">
      <w:start w:val="1"/>
      <w:numFmt w:val="bullet"/>
      <w:lvlText w:val=""/>
      <w:lvlJc w:val="left"/>
      <w:pPr>
        <w:ind w:left="360" w:hanging="360"/>
      </w:pPr>
      <w:rPr>
        <w:rFonts w:ascii="Symbol" w:hAnsi="Symbol" w:hint="default"/>
        <w:color w:val="auto"/>
      </w:rPr>
    </w:lvl>
    <w:lvl w:ilvl="1" w:tplc="B2BC848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B955C9"/>
    <w:multiLevelType w:val="hybridMultilevel"/>
    <w:tmpl w:val="7FE26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2B4E7E"/>
    <w:multiLevelType w:val="hybridMultilevel"/>
    <w:tmpl w:val="E00CAEB8"/>
    <w:lvl w:ilvl="0" w:tplc="B2BC848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7F1043"/>
    <w:multiLevelType w:val="hybridMultilevel"/>
    <w:tmpl w:val="10981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E4544"/>
    <w:multiLevelType w:val="hybridMultilevel"/>
    <w:tmpl w:val="A4CE200E"/>
    <w:lvl w:ilvl="0" w:tplc="437E8904">
      <w:start w:val="1"/>
      <w:numFmt w:val="lowerLetter"/>
      <w:pStyle w:val="Bodycopybulletlevel1alpha"/>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526D8E"/>
    <w:multiLevelType w:val="hybridMultilevel"/>
    <w:tmpl w:val="D1786A2A"/>
    <w:lvl w:ilvl="0" w:tplc="4D449FE6">
      <w:start w:val="1"/>
      <w:numFmt w:val="decimal"/>
      <w:pStyle w:val="Bodycopynumbered2"/>
      <w:lvlText w:val="%1."/>
      <w:lvlJc w:val="left"/>
      <w:pPr>
        <w:ind w:left="720" w:hanging="360"/>
      </w:pPr>
      <w:rPr>
        <w:rFonts w:cs="Times New Roman"/>
      </w:rPr>
    </w:lvl>
    <w:lvl w:ilvl="1" w:tplc="04DA9EF8" w:tentative="1">
      <w:start w:val="1"/>
      <w:numFmt w:val="lowerLetter"/>
      <w:lvlText w:val="%2."/>
      <w:lvlJc w:val="left"/>
      <w:pPr>
        <w:ind w:left="1440" w:hanging="360"/>
      </w:pPr>
      <w:rPr>
        <w:rFonts w:cs="Times New Roman"/>
      </w:rPr>
    </w:lvl>
    <w:lvl w:ilvl="2" w:tplc="3FBC87FA" w:tentative="1">
      <w:start w:val="1"/>
      <w:numFmt w:val="lowerRoman"/>
      <w:lvlText w:val="%3."/>
      <w:lvlJc w:val="right"/>
      <w:pPr>
        <w:ind w:left="2160" w:hanging="180"/>
      </w:pPr>
      <w:rPr>
        <w:rFonts w:cs="Times New Roman"/>
      </w:rPr>
    </w:lvl>
    <w:lvl w:ilvl="3" w:tplc="0FD47DB4" w:tentative="1">
      <w:start w:val="1"/>
      <w:numFmt w:val="decimal"/>
      <w:lvlText w:val="%4."/>
      <w:lvlJc w:val="left"/>
      <w:pPr>
        <w:ind w:left="2880" w:hanging="360"/>
      </w:pPr>
      <w:rPr>
        <w:rFonts w:cs="Times New Roman"/>
      </w:rPr>
    </w:lvl>
    <w:lvl w:ilvl="4" w:tplc="0AA266A4" w:tentative="1">
      <w:start w:val="1"/>
      <w:numFmt w:val="lowerLetter"/>
      <w:lvlText w:val="%5."/>
      <w:lvlJc w:val="left"/>
      <w:pPr>
        <w:ind w:left="3600" w:hanging="360"/>
      </w:pPr>
      <w:rPr>
        <w:rFonts w:cs="Times New Roman"/>
      </w:rPr>
    </w:lvl>
    <w:lvl w:ilvl="5" w:tplc="2ACEA468" w:tentative="1">
      <w:start w:val="1"/>
      <w:numFmt w:val="lowerRoman"/>
      <w:lvlText w:val="%6."/>
      <w:lvlJc w:val="right"/>
      <w:pPr>
        <w:ind w:left="4320" w:hanging="180"/>
      </w:pPr>
      <w:rPr>
        <w:rFonts w:cs="Times New Roman"/>
      </w:rPr>
    </w:lvl>
    <w:lvl w:ilvl="6" w:tplc="A54E173C" w:tentative="1">
      <w:start w:val="1"/>
      <w:numFmt w:val="decimal"/>
      <w:lvlText w:val="%7."/>
      <w:lvlJc w:val="left"/>
      <w:pPr>
        <w:ind w:left="5040" w:hanging="360"/>
      </w:pPr>
      <w:rPr>
        <w:rFonts w:cs="Times New Roman"/>
      </w:rPr>
    </w:lvl>
    <w:lvl w:ilvl="7" w:tplc="AA62F5B2" w:tentative="1">
      <w:start w:val="1"/>
      <w:numFmt w:val="lowerLetter"/>
      <w:lvlText w:val="%8."/>
      <w:lvlJc w:val="left"/>
      <w:pPr>
        <w:ind w:left="5760" w:hanging="360"/>
      </w:pPr>
      <w:rPr>
        <w:rFonts w:cs="Times New Roman"/>
      </w:rPr>
    </w:lvl>
    <w:lvl w:ilvl="8" w:tplc="77F694E0" w:tentative="1">
      <w:start w:val="1"/>
      <w:numFmt w:val="lowerRoman"/>
      <w:lvlText w:val="%9."/>
      <w:lvlJc w:val="right"/>
      <w:pPr>
        <w:ind w:left="6480" w:hanging="180"/>
      </w:pPr>
      <w:rPr>
        <w:rFonts w:cs="Times New Roman"/>
      </w:rPr>
    </w:lvl>
  </w:abstractNum>
  <w:abstractNum w:abstractNumId="20" w15:restartNumberingAfterBreak="0">
    <w:nsid w:val="267A5E70"/>
    <w:multiLevelType w:val="multilevel"/>
    <w:tmpl w:val="E342FCF2"/>
    <w:styleLink w:val="Style3"/>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284A4C54"/>
    <w:multiLevelType w:val="hybridMultilevel"/>
    <w:tmpl w:val="F6FCC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F675F9"/>
    <w:multiLevelType w:val="hybridMultilevel"/>
    <w:tmpl w:val="A2C60C32"/>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9A1168"/>
    <w:multiLevelType w:val="hybridMultilevel"/>
    <w:tmpl w:val="63DEB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AF400A1"/>
    <w:multiLevelType w:val="hybridMultilevel"/>
    <w:tmpl w:val="E4F084DE"/>
    <w:lvl w:ilvl="0" w:tplc="BC7A0D9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2F35431E"/>
    <w:multiLevelType w:val="hybridMultilevel"/>
    <w:tmpl w:val="7E4CB7A8"/>
    <w:lvl w:ilvl="0" w:tplc="7AF0D8D0">
      <w:start w:val="1"/>
      <w:numFmt w:val="bullet"/>
      <w:pStyle w:val="Bodycopybulletlevel2"/>
      <w:lvlText w:val="o"/>
      <w:lvlJc w:val="left"/>
      <w:pPr>
        <w:ind w:left="703" w:hanging="360"/>
      </w:pPr>
      <w:rPr>
        <w:rFonts w:ascii="Courier New" w:hAnsi="Courier New" w:hint="default"/>
      </w:rPr>
    </w:lvl>
    <w:lvl w:ilvl="1" w:tplc="466E58A0">
      <w:start w:val="1"/>
      <w:numFmt w:val="lowerLetter"/>
      <w:pStyle w:val="Bulletlistalpha"/>
      <w:lvlText w:val="%2."/>
      <w:lvlJc w:val="left"/>
      <w:pPr>
        <w:ind w:left="1423" w:hanging="360"/>
      </w:pPr>
      <w:rPr>
        <w:rFonts w:cs="Times New Roman"/>
      </w:rPr>
    </w:lvl>
    <w:lvl w:ilvl="2" w:tplc="0C09001B" w:tentative="1">
      <w:start w:val="1"/>
      <w:numFmt w:val="lowerRoman"/>
      <w:lvlText w:val="%3."/>
      <w:lvlJc w:val="right"/>
      <w:pPr>
        <w:ind w:left="2143" w:hanging="180"/>
      </w:pPr>
      <w:rPr>
        <w:rFonts w:cs="Times New Roman"/>
      </w:rPr>
    </w:lvl>
    <w:lvl w:ilvl="3" w:tplc="0C09000F" w:tentative="1">
      <w:start w:val="1"/>
      <w:numFmt w:val="decimal"/>
      <w:lvlText w:val="%4."/>
      <w:lvlJc w:val="left"/>
      <w:pPr>
        <w:ind w:left="2863" w:hanging="360"/>
      </w:pPr>
      <w:rPr>
        <w:rFonts w:cs="Times New Roman"/>
      </w:rPr>
    </w:lvl>
    <w:lvl w:ilvl="4" w:tplc="0C090019" w:tentative="1">
      <w:start w:val="1"/>
      <w:numFmt w:val="lowerLetter"/>
      <w:lvlText w:val="%5."/>
      <w:lvlJc w:val="left"/>
      <w:pPr>
        <w:ind w:left="3583" w:hanging="360"/>
      </w:pPr>
      <w:rPr>
        <w:rFonts w:cs="Times New Roman"/>
      </w:rPr>
    </w:lvl>
    <w:lvl w:ilvl="5" w:tplc="0C09001B" w:tentative="1">
      <w:start w:val="1"/>
      <w:numFmt w:val="lowerRoman"/>
      <w:lvlText w:val="%6."/>
      <w:lvlJc w:val="right"/>
      <w:pPr>
        <w:ind w:left="4303" w:hanging="180"/>
      </w:pPr>
      <w:rPr>
        <w:rFonts w:cs="Times New Roman"/>
      </w:rPr>
    </w:lvl>
    <w:lvl w:ilvl="6" w:tplc="0C09000F" w:tentative="1">
      <w:start w:val="1"/>
      <w:numFmt w:val="decimal"/>
      <w:lvlText w:val="%7."/>
      <w:lvlJc w:val="left"/>
      <w:pPr>
        <w:ind w:left="5023" w:hanging="360"/>
      </w:pPr>
      <w:rPr>
        <w:rFonts w:cs="Times New Roman"/>
      </w:rPr>
    </w:lvl>
    <w:lvl w:ilvl="7" w:tplc="0C090019" w:tentative="1">
      <w:start w:val="1"/>
      <w:numFmt w:val="lowerLetter"/>
      <w:lvlText w:val="%8."/>
      <w:lvlJc w:val="left"/>
      <w:pPr>
        <w:ind w:left="5743" w:hanging="360"/>
      </w:pPr>
      <w:rPr>
        <w:rFonts w:cs="Times New Roman"/>
      </w:rPr>
    </w:lvl>
    <w:lvl w:ilvl="8" w:tplc="0C09001B" w:tentative="1">
      <w:start w:val="1"/>
      <w:numFmt w:val="lowerRoman"/>
      <w:lvlText w:val="%9."/>
      <w:lvlJc w:val="right"/>
      <w:pPr>
        <w:ind w:left="6463" w:hanging="180"/>
      </w:pPr>
      <w:rPr>
        <w:rFonts w:cs="Times New Roman"/>
      </w:rPr>
    </w:lvl>
  </w:abstractNum>
  <w:abstractNum w:abstractNumId="26" w15:restartNumberingAfterBreak="0">
    <w:nsid w:val="46310560"/>
    <w:multiLevelType w:val="hybridMultilevel"/>
    <w:tmpl w:val="D3864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6009D0"/>
    <w:multiLevelType w:val="hybridMultilevel"/>
    <w:tmpl w:val="B5146AF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AC5E80"/>
    <w:multiLevelType w:val="hybridMultilevel"/>
    <w:tmpl w:val="412CC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947158"/>
    <w:multiLevelType w:val="hybridMultilevel"/>
    <w:tmpl w:val="4A4A82DC"/>
    <w:lvl w:ilvl="0" w:tplc="0C090001">
      <w:start w:val="1"/>
      <w:numFmt w:val="bullet"/>
      <w:lvlText w:val=""/>
      <w:lvlJc w:val="left"/>
      <w:pPr>
        <w:ind w:left="1710" w:hanging="360"/>
      </w:pPr>
      <w:rPr>
        <w:rFonts w:ascii="Symbol" w:hAnsi="Symbol" w:hint="default"/>
      </w:rPr>
    </w:lvl>
    <w:lvl w:ilvl="1" w:tplc="87AC79EC">
      <w:numFmt w:val="bullet"/>
      <w:lvlText w:val="•"/>
      <w:lvlJc w:val="left"/>
      <w:pPr>
        <w:ind w:left="1800" w:hanging="360"/>
      </w:pPr>
      <w:rPr>
        <w:rFonts w:ascii="Calibri" w:eastAsiaTheme="minorHAnsi" w:hAnsi="Calibri" w:cstheme="minorBidi" w:hint="default"/>
        <w:b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2D615F3"/>
    <w:multiLevelType w:val="multilevel"/>
    <w:tmpl w:val="487C0F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60B2F25"/>
    <w:multiLevelType w:val="hybridMultilevel"/>
    <w:tmpl w:val="D52C7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3B059F"/>
    <w:multiLevelType w:val="hybridMultilevel"/>
    <w:tmpl w:val="C6788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711BA8"/>
    <w:multiLevelType w:val="multilevel"/>
    <w:tmpl w:val="C142AD88"/>
    <w:name w:val="Leg Quote"/>
    <w:lvl w:ilvl="0">
      <w:start w:val="1"/>
      <w:numFmt w:val="decimal"/>
      <w:lvlText w:val="(%1)"/>
      <w:lvlJc w:val="left"/>
      <w:pPr>
        <w:tabs>
          <w:tab w:val="num" w:pos="851"/>
        </w:tabs>
        <w:ind w:left="454" w:firstLine="397"/>
      </w:pPr>
      <w:rPr>
        <w:rFonts w:hint="default"/>
      </w:rPr>
    </w:lvl>
    <w:lvl w:ilvl="1">
      <w:start w:val="1"/>
      <w:numFmt w:val="lowerLetter"/>
      <w:lvlText w:val="(%2)"/>
      <w:lvlJc w:val="left"/>
      <w:pPr>
        <w:tabs>
          <w:tab w:val="num" w:pos="1418"/>
        </w:tabs>
        <w:ind w:left="1021" w:firstLine="397"/>
      </w:pPr>
      <w:rPr>
        <w:rFonts w:hint="default"/>
      </w:rPr>
    </w:lvl>
    <w:lvl w:ilvl="2">
      <w:start w:val="1"/>
      <w:numFmt w:val="lowerRoman"/>
      <w:lvlText w:val="%3)"/>
      <w:lvlJc w:val="left"/>
      <w:pPr>
        <w:tabs>
          <w:tab w:val="num" w:pos="1985"/>
        </w:tabs>
        <w:ind w:left="1588" w:firstLine="397"/>
      </w:pPr>
      <w:rPr>
        <w:rFonts w:hint="default"/>
      </w:rPr>
    </w:lvl>
    <w:lvl w:ilvl="3">
      <w:start w:val="1"/>
      <w:numFmt w:val="decimal"/>
      <w:lvlText w:val="(%4)"/>
      <w:lvlJc w:val="left"/>
      <w:pPr>
        <w:tabs>
          <w:tab w:val="num" w:pos="2552"/>
        </w:tabs>
        <w:ind w:left="2155" w:firstLine="397"/>
      </w:pPr>
      <w:rPr>
        <w:rFonts w:hint="default"/>
      </w:rPr>
    </w:lvl>
    <w:lvl w:ilvl="4">
      <w:start w:val="1"/>
      <w:numFmt w:val="lowerLetter"/>
      <w:lvlText w:val="(%5)"/>
      <w:lvlJc w:val="left"/>
      <w:pPr>
        <w:tabs>
          <w:tab w:val="num" w:pos="3119"/>
        </w:tabs>
        <w:ind w:left="2722" w:firstLine="397"/>
      </w:pPr>
      <w:rPr>
        <w:rFonts w:hint="default"/>
      </w:rPr>
    </w:lvl>
    <w:lvl w:ilvl="5">
      <w:start w:val="1"/>
      <w:numFmt w:val="lowerRoman"/>
      <w:lvlText w:val="(%6)"/>
      <w:lvlJc w:val="left"/>
      <w:pPr>
        <w:tabs>
          <w:tab w:val="num" w:pos="3686"/>
        </w:tabs>
        <w:ind w:left="3289" w:firstLine="397"/>
      </w:pPr>
      <w:rPr>
        <w:rFonts w:hint="default"/>
      </w:rPr>
    </w:lvl>
    <w:lvl w:ilvl="6">
      <w:start w:val="1"/>
      <w:numFmt w:val="decimal"/>
      <w:lvlText w:val="%7."/>
      <w:lvlJc w:val="left"/>
      <w:pPr>
        <w:tabs>
          <w:tab w:val="num" w:pos="4253"/>
        </w:tabs>
        <w:ind w:left="3856" w:firstLine="397"/>
      </w:pPr>
      <w:rPr>
        <w:rFonts w:hint="default"/>
      </w:rPr>
    </w:lvl>
    <w:lvl w:ilvl="7">
      <w:start w:val="1"/>
      <w:numFmt w:val="lowerLetter"/>
      <w:lvlText w:val="%8."/>
      <w:lvlJc w:val="left"/>
      <w:pPr>
        <w:tabs>
          <w:tab w:val="num" w:pos="4820"/>
        </w:tabs>
        <w:ind w:left="4423" w:firstLine="397"/>
      </w:pPr>
      <w:rPr>
        <w:rFonts w:hint="default"/>
      </w:rPr>
    </w:lvl>
    <w:lvl w:ilvl="8">
      <w:start w:val="1"/>
      <w:numFmt w:val="lowerRoman"/>
      <w:lvlText w:val="%9."/>
      <w:lvlJc w:val="left"/>
      <w:pPr>
        <w:tabs>
          <w:tab w:val="num" w:pos="5387"/>
        </w:tabs>
        <w:ind w:left="4990" w:firstLine="397"/>
      </w:pPr>
      <w:rPr>
        <w:rFonts w:hint="default"/>
      </w:rPr>
    </w:lvl>
  </w:abstractNum>
  <w:abstractNum w:abstractNumId="34" w15:restartNumberingAfterBreak="0">
    <w:nsid w:val="5EF35D38"/>
    <w:multiLevelType w:val="hybridMultilevel"/>
    <w:tmpl w:val="DDB2ABDE"/>
    <w:lvl w:ilvl="0" w:tplc="8306DD00">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28A24AB"/>
    <w:multiLevelType w:val="hybridMultilevel"/>
    <w:tmpl w:val="DD220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CA5D5C"/>
    <w:multiLevelType w:val="hybridMultilevel"/>
    <w:tmpl w:val="D1F41810"/>
    <w:lvl w:ilvl="0" w:tplc="B2BC8480">
      <w:start w:val="1"/>
      <w:numFmt w:val="bullet"/>
      <w:lvlText w:val="­"/>
      <w:lvlJc w:val="left"/>
      <w:pPr>
        <w:ind w:left="1710" w:hanging="360"/>
      </w:pPr>
      <w:rPr>
        <w:rFonts w:ascii="Courier New" w:hAnsi="Courier New" w:hint="default"/>
      </w:rPr>
    </w:lvl>
    <w:lvl w:ilvl="1" w:tplc="87AC79EC">
      <w:numFmt w:val="bullet"/>
      <w:lvlText w:val="•"/>
      <w:lvlJc w:val="left"/>
      <w:pPr>
        <w:ind w:left="1800" w:hanging="360"/>
      </w:pPr>
      <w:rPr>
        <w:rFonts w:ascii="Calibri" w:eastAsiaTheme="minorHAnsi" w:hAnsi="Calibri" w:cstheme="minorBidi" w:hint="default"/>
        <w:b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5496197"/>
    <w:multiLevelType w:val="multilevel"/>
    <w:tmpl w:val="6F6A9636"/>
    <w:lvl w:ilvl="0">
      <w:start w:val="1"/>
      <w:numFmt w:val="lowerRoman"/>
      <w:pStyle w:val="Bulletlistroman"/>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8" w15:restartNumberingAfterBreak="0">
    <w:nsid w:val="6AD1277B"/>
    <w:multiLevelType w:val="hybridMultilevel"/>
    <w:tmpl w:val="CA941E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E034034"/>
    <w:multiLevelType w:val="multilevel"/>
    <w:tmpl w:val="A5ECBD6A"/>
    <w:styleLink w:val="Style2"/>
    <w:lvl w:ilvl="0">
      <w:start w:val="1"/>
      <w:numFmt w:val="decimal"/>
      <w:lvlText w:val="%1.1"/>
      <w:lvlJc w:val="left"/>
      <w:pPr>
        <w:ind w:left="432" w:hanging="432"/>
      </w:pPr>
      <w:rPr>
        <w:rFonts w:cs="Times New Roman" w:hint="default"/>
      </w:rPr>
    </w:lvl>
    <w:lvl w:ilvl="1">
      <w:start w:val="1"/>
      <w:numFmt w:val="none"/>
      <w:lvlText w:val=""/>
      <w:lvlJc w:val="left"/>
      <w:pPr>
        <w:ind w:left="576" w:hanging="576"/>
      </w:pPr>
      <w:rPr>
        <w:rFonts w:cs="Times New Roman" w:hint="default"/>
      </w:rPr>
    </w:lvl>
    <w:lvl w:ilvl="2">
      <w:start w:val="1"/>
      <w:numFmt w:val="none"/>
      <w:lvlText w:val=""/>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none"/>
      <w:lvlText w:val=""/>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1.%21"/>
      <w:lvlJc w:val="left"/>
      <w:pPr>
        <w:ind w:left="1296" w:hanging="1296"/>
      </w:pPr>
      <w:rPr>
        <w:rFonts w:cs="Times New Roman" w:hint="default"/>
      </w:rPr>
    </w:lvl>
    <w:lvl w:ilvl="7">
      <w:start w:val="1"/>
      <w:numFmt w:val="decimal"/>
      <w:lvlText w:val="%8%1.%21.1"/>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0" w15:restartNumberingAfterBreak="0">
    <w:nsid w:val="6EED4E00"/>
    <w:multiLevelType w:val="hybridMultilevel"/>
    <w:tmpl w:val="44B657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4B63DEB"/>
    <w:multiLevelType w:val="hybridMultilevel"/>
    <w:tmpl w:val="2758AEC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2" w15:restartNumberingAfterBreak="0">
    <w:nsid w:val="7BFB1FD3"/>
    <w:multiLevelType w:val="hybridMultilevel"/>
    <w:tmpl w:val="3FAAE19A"/>
    <w:lvl w:ilvl="0" w:tplc="0C090001">
      <w:start w:val="1"/>
      <w:numFmt w:val="bullet"/>
      <w:lvlText w:val=""/>
      <w:lvlJc w:val="left"/>
      <w:pPr>
        <w:ind w:left="495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1314E2"/>
    <w:multiLevelType w:val="hybridMultilevel"/>
    <w:tmpl w:val="4D88D650"/>
    <w:lvl w:ilvl="0" w:tplc="3894EE82">
      <w:start w:val="1"/>
      <w:numFmt w:val="bullet"/>
      <w:pStyle w:val="Bulletlistlevel1"/>
      <w:lvlText w:val=""/>
      <w:lvlJc w:val="left"/>
      <w:pPr>
        <w:ind w:left="-414" w:hanging="360"/>
      </w:pPr>
      <w:rPr>
        <w:rFonts w:ascii="Symbol" w:hAnsi="Symbol" w:hint="default"/>
      </w:rPr>
    </w:lvl>
    <w:lvl w:ilvl="1" w:tplc="87D8F8F0" w:tentative="1">
      <w:start w:val="1"/>
      <w:numFmt w:val="lowerLetter"/>
      <w:lvlText w:val="%2."/>
      <w:lvlJc w:val="left"/>
      <w:pPr>
        <w:ind w:left="306" w:hanging="360"/>
      </w:pPr>
      <w:rPr>
        <w:rFonts w:cs="Times New Roman"/>
      </w:rPr>
    </w:lvl>
    <w:lvl w:ilvl="2" w:tplc="B1323CB8" w:tentative="1">
      <w:start w:val="1"/>
      <w:numFmt w:val="lowerRoman"/>
      <w:lvlText w:val="%3."/>
      <w:lvlJc w:val="right"/>
      <w:pPr>
        <w:ind w:left="1026" w:hanging="180"/>
      </w:pPr>
      <w:rPr>
        <w:rFonts w:cs="Times New Roman"/>
      </w:rPr>
    </w:lvl>
    <w:lvl w:ilvl="3" w:tplc="CAE0A252" w:tentative="1">
      <w:start w:val="1"/>
      <w:numFmt w:val="decimal"/>
      <w:lvlText w:val="%4."/>
      <w:lvlJc w:val="left"/>
      <w:pPr>
        <w:ind w:left="1746" w:hanging="360"/>
      </w:pPr>
      <w:rPr>
        <w:rFonts w:cs="Times New Roman"/>
      </w:rPr>
    </w:lvl>
    <w:lvl w:ilvl="4" w:tplc="A496904E" w:tentative="1">
      <w:start w:val="1"/>
      <w:numFmt w:val="lowerLetter"/>
      <w:lvlText w:val="%5."/>
      <w:lvlJc w:val="left"/>
      <w:pPr>
        <w:ind w:left="2466" w:hanging="360"/>
      </w:pPr>
      <w:rPr>
        <w:rFonts w:cs="Times New Roman"/>
      </w:rPr>
    </w:lvl>
    <w:lvl w:ilvl="5" w:tplc="867CAE32" w:tentative="1">
      <w:start w:val="1"/>
      <w:numFmt w:val="lowerRoman"/>
      <w:lvlText w:val="%6."/>
      <w:lvlJc w:val="right"/>
      <w:pPr>
        <w:ind w:left="3186" w:hanging="180"/>
      </w:pPr>
      <w:rPr>
        <w:rFonts w:cs="Times New Roman"/>
      </w:rPr>
    </w:lvl>
    <w:lvl w:ilvl="6" w:tplc="36B64AEE" w:tentative="1">
      <w:start w:val="1"/>
      <w:numFmt w:val="decimal"/>
      <w:lvlText w:val="%7."/>
      <w:lvlJc w:val="left"/>
      <w:pPr>
        <w:ind w:left="3906" w:hanging="360"/>
      </w:pPr>
      <w:rPr>
        <w:rFonts w:cs="Times New Roman"/>
      </w:rPr>
    </w:lvl>
    <w:lvl w:ilvl="7" w:tplc="EB0E0432" w:tentative="1">
      <w:start w:val="1"/>
      <w:numFmt w:val="lowerLetter"/>
      <w:lvlText w:val="%8."/>
      <w:lvlJc w:val="left"/>
      <w:pPr>
        <w:ind w:left="4626" w:hanging="360"/>
      </w:pPr>
      <w:rPr>
        <w:rFonts w:cs="Times New Roman"/>
      </w:rPr>
    </w:lvl>
    <w:lvl w:ilvl="8" w:tplc="4C4454F4" w:tentative="1">
      <w:start w:val="1"/>
      <w:numFmt w:val="lowerRoman"/>
      <w:lvlText w:val="%9."/>
      <w:lvlJc w:val="right"/>
      <w:pPr>
        <w:ind w:left="5346" w:hanging="180"/>
      </w:pPr>
      <w:rPr>
        <w:rFonts w:cs="Times New Roman"/>
      </w:r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22"/>
  </w:num>
  <w:num w:numId="13">
    <w:abstractNumId w:val="13"/>
  </w:num>
  <w:num w:numId="14">
    <w:abstractNumId w:val="29"/>
  </w:num>
  <w:num w:numId="15">
    <w:abstractNumId w:val="43"/>
  </w:num>
  <w:num w:numId="16">
    <w:abstractNumId w:val="25"/>
  </w:num>
  <w:num w:numId="17">
    <w:abstractNumId w:val="11"/>
  </w:num>
  <w:num w:numId="18">
    <w:abstractNumId w:val="17"/>
  </w:num>
  <w:num w:numId="19">
    <w:abstractNumId w:val="39"/>
  </w:num>
  <w:num w:numId="20">
    <w:abstractNumId w:val="37"/>
  </w:num>
  <w:num w:numId="21">
    <w:abstractNumId w:val="19"/>
  </w:num>
  <w:num w:numId="22">
    <w:abstractNumId w:val="20"/>
  </w:num>
  <w:num w:numId="23">
    <w:abstractNumId w:val="10"/>
  </w:num>
  <w:num w:numId="24">
    <w:abstractNumId w:val="18"/>
  </w:num>
  <w:num w:numId="25">
    <w:abstractNumId w:val="44"/>
  </w:num>
  <w:num w:numId="26">
    <w:abstractNumId w:val="14"/>
  </w:num>
  <w:num w:numId="27">
    <w:abstractNumId w:val="27"/>
  </w:num>
  <w:num w:numId="28">
    <w:abstractNumId w:val="38"/>
  </w:num>
  <w:num w:numId="29">
    <w:abstractNumId w:val="26"/>
  </w:num>
  <w:num w:numId="30">
    <w:abstractNumId w:val="35"/>
  </w:num>
  <w:num w:numId="31">
    <w:abstractNumId w:val="28"/>
  </w:num>
  <w:num w:numId="32">
    <w:abstractNumId w:val="31"/>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42"/>
  </w:num>
  <w:num w:numId="36">
    <w:abstractNumId w:val="36"/>
  </w:num>
  <w:num w:numId="37">
    <w:abstractNumId w:val="32"/>
  </w:num>
  <w:num w:numId="38">
    <w:abstractNumId w:val="41"/>
  </w:num>
  <w:num w:numId="39">
    <w:abstractNumId w:val="34"/>
  </w:num>
  <w:num w:numId="40">
    <w:abstractNumId w:val="40"/>
  </w:num>
  <w:num w:numId="41">
    <w:abstractNumId w:val="12"/>
  </w:num>
  <w:num w:numId="42">
    <w:abstractNumId w:val="15"/>
  </w:num>
  <w:num w:numId="43">
    <w:abstractNumId w:val="23"/>
  </w:num>
  <w:num w:numId="44">
    <w:abstractNumId w:val="21"/>
  </w:num>
  <w:num w:numId="45">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46"/>
  <w:evenAndOddHeaders/>
  <w:characterSpacingControl w:val="doNotCompress"/>
  <w:hdrShapeDefaults>
    <o:shapedefaults v:ext="edit" spidmax="2089" style="mso-position-horizontal:center;mso-position-horizontal-relative:margin;mso-position-vertical:center;mso-position-vertical-relative:margin" o:allowincell="f" fillcolor="silver" stroke="f">
      <v:fill color="silver" opacity=".5"/>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46"/>
    <w:rsid w:val="000011FF"/>
    <w:rsid w:val="000016B7"/>
    <w:rsid w:val="00001839"/>
    <w:rsid w:val="00004BBA"/>
    <w:rsid w:val="00010090"/>
    <w:rsid w:val="00012062"/>
    <w:rsid w:val="00012567"/>
    <w:rsid w:val="00012C7C"/>
    <w:rsid w:val="00013BA7"/>
    <w:rsid w:val="00015B3E"/>
    <w:rsid w:val="00016CCD"/>
    <w:rsid w:val="00016ECB"/>
    <w:rsid w:val="000171BE"/>
    <w:rsid w:val="0001725A"/>
    <w:rsid w:val="000223B2"/>
    <w:rsid w:val="00022A35"/>
    <w:rsid w:val="000233EA"/>
    <w:rsid w:val="000238D1"/>
    <w:rsid w:val="00024BDA"/>
    <w:rsid w:val="00025A33"/>
    <w:rsid w:val="00026D92"/>
    <w:rsid w:val="00030285"/>
    <w:rsid w:val="0003048A"/>
    <w:rsid w:val="00031176"/>
    <w:rsid w:val="00031636"/>
    <w:rsid w:val="00032058"/>
    <w:rsid w:val="00034823"/>
    <w:rsid w:val="00034ADC"/>
    <w:rsid w:val="00034CCA"/>
    <w:rsid w:val="00036A58"/>
    <w:rsid w:val="00037980"/>
    <w:rsid w:val="00037B25"/>
    <w:rsid w:val="00040028"/>
    <w:rsid w:val="000421E6"/>
    <w:rsid w:val="00042C45"/>
    <w:rsid w:val="00044012"/>
    <w:rsid w:val="00044194"/>
    <w:rsid w:val="0004551E"/>
    <w:rsid w:val="00045F75"/>
    <w:rsid w:val="00046DE2"/>
    <w:rsid w:val="0005204D"/>
    <w:rsid w:val="00052319"/>
    <w:rsid w:val="00052A23"/>
    <w:rsid w:val="00052F85"/>
    <w:rsid w:val="00053A61"/>
    <w:rsid w:val="00053DC1"/>
    <w:rsid w:val="00055077"/>
    <w:rsid w:val="00056859"/>
    <w:rsid w:val="00060E04"/>
    <w:rsid w:val="000618AD"/>
    <w:rsid w:val="00061AB9"/>
    <w:rsid w:val="00061B6D"/>
    <w:rsid w:val="00061D08"/>
    <w:rsid w:val="00062087"/>
    <w:rsid w:val="00062AF9"/>
    <w:rsid w:val="00064F19"/>
    <w:rsid w:val="00065CFB"/>
    <w:rsid w:val="00067FAE"/>
    <w:rsid w:val="0007009F"/>
    <w:rsid w:val="0007136A"/>
    <w:rsid w:val="00073340"/>
    <w:rsid w:val="0007461D"/>
    <w:rsid w:val="0007556D"/>
    <w:rsid w:val="0007683A"/>
    <w:rsid w:val="00077835"/>
    <w:rsid w:val="0008186E"/>
    <w:rsid w:val="000823F3"/>
    <w:rsid w:val="000840B5"/>
    <w:rsid w:val="0008663E"/>
    <w:rsid w:val="00086C99"/>
    <w:rsid w:val="000874A9"/>
    <w:rsid w:val="0009152D"/>
    <w:rsid w:val="000915D1"/>
    <w:rsid w:val="00092119"/>
    <w:rsid w:val="000927C6"/>
    <w:rsid w:val="00093922"/>
    <w:rsid w:val="000941F6"/>
    <w:rsid w:val="00094472"/>
    <w:rsid w:val="00094D98"/>
    <w:rsid w:val="00095C7A"/>
    <w:rsid w:val="000967E6"/>
    <w:rsid w:val="000971E6"/>
    <w:rsid w:val="00097985"/>
    <w:rsid w:val="000A14A2"/>
    <w:rsid w:val="000A16C9"/>
    <w:rsid w:val="000A2214"/>
    <w:rsid w:val="000A33FE"/>
    <w:rsid w:val="000A5891"/>
    <w:rsid w:val="000A5E0A"/>
    <w:rsid w:val="000A6724"/>
    <w:rsid w:val="000A78C0"/>
    <w:rsid w:val="000B0846"/>
    <w:rsid w:val="000B0CDE"/>
    <w:rsid w:val="000B12AD"/>
    <w:rsid w:val="000B2688"/>
    <w:rsid w:val="000B4BFC"/>
    <w:rsid w:val="000B504D"/>
    <w:rsid w:val="000B510A"/>
    <w:rsid w:val="000B71DA"/>
    <w:rsid w:val="000C0208"/>
    <w:rsid w:val="000C0965"/>
    <w:rsid w:val="000C1130"/>
    <w:rsid w:val="000C12B1"/>
    <w:rsid w:val="000C12C3"/>
    <w:rsid w:val="000C2759"/>
    <w:rsid w:val="000C30A9"/>
    <w:rsid w:val="000C3653"/>
    <w:rsid w:val="000C49C9"/>
    <w:rsid w:val="000C5573"/>
    <w:rsid w:val="000C59EC"/>
    <w:rsid w:val="000C6DFF"/>
    <w:rsid w:val="000C6FA0"/>
    <w:rsid w:val="000C7916"/>
    <w:rsid w:val="000D384D"/>
    <w:rsid w:val="000D4F39"/>
    <w:rsid w:val="000D5EDC"/>
    <w:rsid w:val="000D626A"/>
    <w:rsid w:val="000D68A2"/>
    <w:rsid w:val="000D6984"/>
    <w:rsid w:val="000D7541"/>
    <w:rsid w:val="000D7EBD"/>
    <w:rsid w:val="000E13B4"/>
    <w:rsid w:val="000E231B"/>
    <w:rsid w:val="000E2F92"/>
    <w:rsid w:val="000E313C"/>
    <w:rsid w:val="000E440E"/>
    <w:rsid w:val="000E5A5A"/>
    <w:rsid w:val="000E66C0"/>
    <w:rsid w:val="000E79A3"/>
    <w:rsid w:val="000F0EFB"/>
    <w:rsid w:val="000F30A0"/>
    <w:rsid w:val="000F3D5D"/>
    <w:rsid w:val="000F6652"/>
    <w:rsid w:val="000F6785"/>
    <w:rsid w:val="00100B5B"/>
    <w:rsid w:val="001013B4"/>
    <w:rsid w:val="00101A1A"/>
    <w:rsid w:val="00103599"/>
    <w:rsid w:val="00103E7B"/>
    <w:rsid w:val="00104A8B"/>
    <w:rsid w:val="00104CBD"/>
    <w:rsid w:val="00105A3D"/>
    <w:rsid w:val="0010659A"/>
    <w:rsid w:val="001069C1"/>
    <w:rsid w:val="00106A85"/>
    <w:rsid w:val="00107EEA"/>
    <w:rsid w:val="001107D1"/>
    <w:rsid w:val="00112799"/>
    <w:rsid w:val="00115163"/>
    <w:rsid w:val="001154AD"/>
    <w:rsid w:val="0011625E"/>
    <w:rsid w:val="00116A46"/>
    <w:rsid w:val="00116E9B"/>
    <w:rsid w:val="001201A6"/>
    <w:rsid w:val="0012051D"/>
    <w:rsid w:val="00120F86"/>
    <w:rsid w:val="00121896"/>
    <w:rsid w:val="00123DBF"/>
    <w:rsid w:val="00125EA4"/>
    <w:rsid w:val="001266E9"/>
    <w:rsid w:val="00126C48"/>
    <w:rsid w:val="00126D9A"/>
    <w:rsid w:val="00127856"/>
    <w:rsid w:val="00131525"/>
    <w:rsid w:val="00132097"/>
    <w:rsid w:val="0013258C"/>
    <w:rsid w:val="00133077"/>
    <w:rsid w:val="00133A87"/>
    <w:rsid w:val="00133AB1"/>
    <w:rsid w:val="00134F41"/>
    <w:rsid w:val="001352E7"/>
    <w:rsid w:val="00137745"/>
    <w:rsid w:val="001409BD"/>
    <w:rsid w:val="00140C2E"/>
    <w:rsid w:val="001415F9"/>
    <w:rsid w:val="00144967"/>
    <w:rsid w:val="0014536B"/>
    <w:rsid w:val="00145B35"/>
    <w:rsid w:val="00145C9B"/>
    <w:rsid w:val="00147B04"/>
    <w:rsid w:val="00150083"/>
    <w:rsid w:val="001505EB"/>
    <w:rsid w:val="00151C3B"/>
    <w:rsid w:val="0015201D"/>
    <w:rsid w:val="001562EC"/>
    <w:rsid w:val="0016069D"/>
    <w:rsid w:val="001606A8"/>
    <w:rsid w:val="00163101"/>
    <w:rsid w:val="00163A08"/>
    <w:rsid w:val="0016463A"/>
    <w:rsid w:val="00165699"/>
    <w:rsid w:val="00166E04"/>
    <w:rsid w:val="00167169"/>
    <w:rsid w:val="00167537"/>
    <w:rsid w:val="00167EE2"/>
    <w:rsid w:val="0017063D"/>
    <w:rsid w:val="00170F9C"/>
    <w:rsid w:val="001712BC"/>
    <w:rsid w:val="001722F9"/>
    <w:rsid w:val="00172334"/>
    <w:rsid w:val="0017558F"/>
    <w:rsid w:val="0017638E"/>
    <w:rsid w:val="001777EE"/>
    <w:rsid w:val="001779EA"/>
    <w:rsid w:val="00180581"/>
    <w:rsid w:val="00180D09"/>
    <w:rsid w:val="001820C5"/>
    <w:rsid w:val="001829FA"/>
    <w:rsid w:val="00182A2F"/>
    <w:rsid w:val="00183104"/>
    <w:rsid w:val="001839D6"/>
    <w:rsid w:val="00184A7B"/>
    <w:rsid w:val="00184C56"/>
    <w:rsid w:val="00184D61"/>
    <w:rsid w:val="0018598D"/>
    <w:rsid w:val="00187105"/>
    <w:rsid w:val="0019001E"/>
    <w:rsid w:val="001917B3"/>
    <w:rsid w:val="001917DA"/>
    <w:rsid w:val="00192003"/>
    <w:rsid w:val="00192010"/>
    <w:rsid w:val="00195221"/>
    <w:rsid w:val="0019559B"/>
    <w:rsid w:val="00195B4C"/>
    <w:rsid w:val="00196028"/>
    <w:rsid w:val="001974F6"/>
    <w:rsid w:val="001A1A54"/>
    <w:rsid w:val="001A28BF"/>
    <w:rsid w:val="001A46D3"/>
    <w:rsid w:val="001A5269"/>
    <w:rsid w:val="001A5F09"/>
    <w:rsid w:val="001A6A02"/>
    <w:rsid w:val="001A78B6"/>
    <w:rsid w:val="001B0650"/>
    <w:rsid w:val="001B09FD"/>
    <w:rsid w:val="001B1173"/>
    <w:rsid w:val="001B207B"/>
    <w:rsid w:val="001B22F0"/>
    <w:rsid w:val="001B36FB"/>
    <w:rsid w:val="001B4386"/>
    <w:rsid w:val="001B457B"/>
    <w:rsid w:val="001B4892"/>
    <w:rsid w:val="001B4930"/>
    <w:rsid w:val="001B5859"/>
    <w:rsid w:val="001B5C86"/>
    <w:rsid w:val="001B5E58"/>
    <w:rsid w:val="001B5EB3"/>
    <w:rsid w:val="001B5F08"/>
    <w:rsid w:val="001B73A1"/>
    <w:rsid w:val="001C11EA"/>
    <w:rsid w:val="001C2433"/>
    <w:rsid w:val="001C2A48"/>
    <w:rsid w:val="001C3269"/>
    <w:rsid w:val="001C3601"/>
    <w:rsid w:val="001C5D82"/>
    <w:rsid w:val="001C6D5B"/>
    <w:rsid w:val="001C719C"/>
    <w:rsid w:val="001C7639"/>
    <w:rsid w:val="001C7818"/>
    <w:rsid w:val="001D00FF"/>
    <w:rsid w:val="001D2441"/>
    <w:rsid w:val="001D271A"/>
    <w:rsid w:val="001D2873"/>
    <w:rsid w:val="001D5DBF"/>
    <w:rsid w:val="001D60B6"/>
    <w:rsid w:val="001E0B71"/>
    <w:rsid w:val="001E197A"/>
    <w:rsid w:val="001E2F75"/>
    <w:rsid w:val="001E3462"/>
    <w:rsid w:val="001E3B56"/>
    <w:rsid w:val="001E3BA1"/>
    <w:rsid w:val="001E3ED8"/>
    <w:rsid w:val="001E533E"/>
    <w:rsid w:val="001E56FE"/>
    <w:rsid w:val="001E61F6"/>
    <w:rsid w:val="001E6B34"/>
    <w:rsid w:val="001E6B45"/>
    <w:rsid w:val="001F1058"/>
    <w:rsid w:val="001F1D6D"/>
    <w:rsid w:val="001F48AB"/>
    <w:rsid w:val="001F49B7"/>
    <w:rsid w:val="001F622E"/>
    <w:rsid w:val="00202660"/>
    <w:rsid w:val="00202BE1"/>
    <w:rsid w:val="002031BD"/>
    <w:rsid w:val="002032A0"/>
    <w:rsid w:val="002064D0"/>
    <w:rsid w:val="002076F3"/>
    <w:rsid w:val="002103BD"/>
    <w:rsid w:val="00210A63"/>
    <w:rsid w:val="00211156"/>
    <w:rsid w:val="0021195E"/>
    <w:rsid w:val="002128AF"/>
    <w:rsid w:val="00212F5E"/>
    <w:rsid w:val="0021614E"/>
    <w:rsid w:val="00216794"/>
    <w:rsid w:val="00220914"/>
    <w:rsid w:val="00221C9C"/>
    <w:rsid w:val="0022278A"/>
    <w:rsid w:val="002230E6"/>
    <w:rsid w:val="00224D59"/>
    <w:rsid w:val="002259AC"/>
    <w:rsid w:val="002264FA"/>
    <w:rsid w:val="00226A15"/>
    <w:rsid w:val="002270B3"/>
    <w:rsid w:val="00227281"/>
    <w:rsid w:val="0023358B"/>
    <w:rsid w:val="00233BF7"/>
    <w:rsid w:val="00235CF0"/>
    <w:rsid w:val="00235D37"/>
    <w:rsid w:val="002371DB"/>
    <w:rsid w:val="00237B6F"/>
    <w:rsid w:val="00240841"/>
    <w:rsid w:val="002412A4"/>
    <w:rsid w:val="00241F22"/>
    <w:rsid w:val="00243563"/>
    <w:rsid w:val="00243715"/>
    <w:rsid w:val="00243CBE"/>
    <w:rsid w:val="00243DCB"/>
    <w:rsid w:val="0024524F"/>
    <w:rsid w:val="002458C5"/>
    <w:rsid w:val="00245D9F"/>
    <w:rsid w:val="00247FE5"/>
    <w:rsid w:val="002502AF"/>
    <w:rsid w:val="00251AC7"/>
    <w:rsid w:val="00252497"/>
    <w:rsid w:val="00252BBC"/>
    <w:rsid w:val="00254B7A"/>
    <w:rsid w:val="00256D7D"/>
    <w:rsid w:val="00256FBC"/>
    <w:rsid w:val="00262C9C"/>
    <w:rsid w:val="00264222"/>
    <w:rsid w:val="002644BB"/>
    <w:rsid w:val="002649B5"/>
    <w:rsid w:val="002718FF"/>
    <w:rsid w:val="00271A5B"/>
    <w:rsid w:val="00275330"/>
    <w:rsid w:val="002753EE"/>
    <w:rsid w:val="002805F4"/>
    <w:rsid w:val="002806E8"/>
    <w:rsid w:val="00280D11"/>
    <w:rsid w:val="00283F5C"/>
    <w:rsid w:val="00285ABC"/>
    <w:rsid w:val="00286673"/>
    <w:rsid w:val="00287FC6"/>
    <w:rsid w:val="00291D83"/>
    <w:rsid w:val="002973FA"/>
    <w:rsid w:val="00297673"/>
    <w:rsid w:val="002A0027"/>
    <w:rsid w:val="002A185D"/>
    <w:rsid w:val="002A24D0"/>
    <w:rsid w:val="002A257A"/>
    <w:rsid w:val="002A5344"/>
    <w:rsid w:val="002B1AC8"/>
    <w:rsid w:val="002B23FF"/>
    <w:rsid w:val="002B388D"/>
    <w:rsid w:val="002B4A3A"/>
    <w:rsid w:val="002B660A"/>
    <w:rsid w:val="002B7D81"/>
    <w:rsid w:val="002C1AB1"/>
    <w:rsid w:val="002C3AC7"/>
    <w:rsid w:val="002C3C37"/>
    <w:rsid w:val="002C3CF7"/>
    <w:rsid w:val="002C548A"/>
    <w:rsid w:val="002D0603"/>
    <w:rsid w:val="002D0702"/>
    <w:rsid w:val="002D0A83"/>
    <w:rsid w:val="002D1047"/>
    <w:rsid w:val="002D3B0A"/>
    <w:rsid w:val="002D485F"/>
    <w:rsid w:val="002D5907"/>
    <w:rsid w:val="002D7840"/>
    <w:rsid w:val="002E0324"/>
    <w:rsid w:val="002E142C"/>
    <w:rsid w:val="002E2EB3"/>
    <w:rsid w:val="002E344A"/>
    <w:rsid w:val="002E3ED2"/>
    <w:rsid w:val="002E6EB6"/>
    <w:rsid w:val="002E726C"/>
    <w:rsid w:val="002F04E9"/>
    <w:rsid w:val="002F0D7F"/>
    <w:rsid w:val="002F1119"/>
    <w:rsid w:val="002F13B7"/>
    <w:rsid w:val="002F1D67"/>
    <w:rsid w:val="002F37BA"/>
    <w:rsid w:val="002F5386"/>
    <w:rsid w:val="00301635"/>
    <w:rsid w:val="00301F54"/>
    <w:rsid w:val="00302004"/>
    <w:rsid w:val="00302510"/>
    <w:rsid w:val="00302BD1"/>
    <w:rsid w:val="00302DF4"/>
    <w:rsid w:val="00303425"/>
    <w:rsid w:val="003042B1"/>
    <w:rsid w:val="003045B8"/>
    <w:rsid w:val="003045ED"/>
    <w:rsid w:val="00306B22"/>
    <w:rsid w:val="00307591"/>
    <w:rsid w:val="0031203B"/>
    <w:rsid w:val="003127FB"/>
    <w:rsid w:val="00314CF6"/>
    <w:rsid w:val="003155F0"/>
    <w:rsid w:val="0031570D"/>
    <w:rsid w:val="00316B2D"/>
    <w:rsid w:val="00317346"/>
    <w:rsid w:val="00317393"/>
    <w:rsid w:val="0031748B"/>
    <w:rsid w:val="00317E73"/>
    <w:rsid w:val="0032291C"/>
    <w:rsid w:val="00326327"/>
    <w:rsid w:val="00330E92"/>
    <w:rsid w:val="00331026"/>
    <w:rsid w:val="00332D86"/>
    <w:rsid w:val="0033431C"/>
    <w:rsid w:val="003345DA"/>
    <w:rsid w:val="00336217"/>
    <w:rsid w:val="00336E84"/>
    <w:rsid w:val="003379D7"/>
    <w:rsid w:val="00337F40"/>
    <w:rsid w:val="003408B6"/>
    <w:rsid w:val="00341320"/>
    <w:rsid w:val="003418C1"/>
    <w:rsid w:val="00341C98"/>
    <w:rsid w:val="003433AB"/>
    <w:rsid w:val="003443EB"/>
    <w:rsid w:val="00344677"/>
    <w:rsid w:val="003446DE"/>
    <w:rsid w:val="003458E5"/>
    <w:rsid w:val="00345A6D"/>
    <w:rsid w:val="003461FC"/>
    <w:rsid w:val="0034635E"/>
    <w:rsid w:val="00346CDE"/>
    <w:rsid w:val="00347618"/>
    <w:rsid w:val="00351015"/>
    <w:rsid w:val="00351A66"/>
    <w:rsid w:val="00351AD0"/>
    <w:rsid w:val="00352A23"/>
    <w:rsid w:val="00352BB3"/>
    <w:rsid w:val="003534F8"/>
    <w:rsid w:val="0035425D"/>
    <w:rsid w:val="00354B0F"/>
    <w:rsid w:val="00354DFF"/>
    <w:rsid w:val="00355DF5"/>
    <w:rsid w:val="003574E8"/>
    <w:rsid w:val="00357A4D"/>
    <w:rsid w:val="00361375"/>
    <w:rsid w:val="0036212E"/>
    <w:rsid w:val="00365970"/>
    <w:rsid w:val="003660F9"/>
    <w:rsid w:val="00367A7B"/>
    <w:rsid w:val="00367B9B"/>
    <w:rsid w:val="0037018E"/>
    <w:rsid w:val="003716A1"/>
    <w:rsid w:val="00372D3F"/>
    <w:rsid w:val="00373BD9"/>
    <w:rsid w:val="00374A59"/>
    <w:rsid w:val="003752E9"/>
    <w:rsid w:val="0037551C"/>
    <w:rsid w:val="0037659F"/>
    <w:rsid w:val="003823E4"/>
    <w:rsid w:val="00382B8E"/>
    <w:rsid w:val="0038468B"/>
    <w:rsid w:val="00384D92"/>
    <w:rsid w:val="003853BC"/>
    <w:rsid w:val="00385C4E"/>
    <w:rsid w:val="00386C0A"/>
    <w:rsid w:val="00387610"/>
    <w:rsid w:val="0038795E"/>
    <w:rsid w:val="003910E1"/>
    <w:rsid w:val="00392C13"/>
    <w:rsid w:val="00393D9F"/>
    <w:rsid w:val="003941DF"/>
    <w:rsid w:val="00395762"/>
    <w:rsid w:val="003A1F37"/>
    <w:rsid w:val="003A23E6"/>
    <w:rsid w:val="003A4294"/>
    <w:rsid w:val="003A5E73"/>
    <w:rsid w:val="003A7F93"/>
    <w:rsid w:val="003B3549"/>
    <w:rsid w:val="003B5F95"/>
    <w:rsid w:val="003B6A7E"/>
    <w:rsid w:val="003B6ED7"/>
    <w:rsid w:val="003C1078"/>
    <w:rsid w:val="003C1C5D"/>
    <w:rsid w:val="003C4A44"/>
    <w:rsid w:val="003C5A05"/>
    <w:rsid w:val="003C60E7"/>
    <w:rsid w:val="003C71A8"/>
    <w:rsid w:val="003C73B2"/>
    <w:rsid w:val="003D000F"/>
    <w:rsid w:val="003D0731"/>
    <w:rsid w:val="003D158A"/>
    <w:rsid w:val="003D1F10"/>
    <w:rsid w:val="003D2825"/>
    <w:rsid w:val="003D3A4E"/>
    <w:rsid w:val="003D495F"/>
    <w:rsid w:val="003D4E3B"/>
    <w:rsid w:val="003D5EAE"/>
    <w:rsid w:val="003D6C98"/>
    <w:rsid w:val="003E032C"/>
    <w:rsid w:val="003E19C9"/>
    <w:rsid w:val="003E1D03"/>
    <w:rsid w:val="003E2637"/>
    <w:rsid w:val="003E361F"/>
    <w:rsid w:val="003E4C0B"/>
    <w:rsid w:val="003E5311"/>
    <w:rsid w:val="003E5742"/>
    <w:rsid w:val="003E6FD3"/>
    <w:rsid w:val="003E78F5"/>
    <w:rsid w:val="003E792C"/>
    <w:rsid w:val="003E7E8B"/>
    <w:rsid w:val="003F186C"/>
    <w:rsid w:val="003F27B3"/>
    <w:rsid w:val="003F2C48"/>
    <w:rsid w:val="003F2D4B"/>
    <w:rsid w:val="003F4177"/>
    <w:rsid w:val="003F44C3"/>
    <w:rsid w:val="003F5C36"/>
    <w:rsid w:val="003F5F5D"/>
    <w:rsid w:val="003F6A49"/>
    <w:rsid w:val="003F6DD6"/>
    <w:rsid w:val="004008C9"/>
    <w:rsid w:val="00405459"/>
    <w:rsid w:val="00405D16"/>
    <w:rsid w:val="0040642A"/>
    <w:rsid w:val="00406890"/>
    <w:rsid w:val="004106A9"/>
    <w:rsid w:val="00410B6A"/>
    <w:rsid w:val="0041216C"/>
    <w:rsid w:val="00412296"/>
    <w:rsid w:val="00412858"/>
    <w:rsid w:val="00414319"/>
    <w:rsid w:val="00415478"/>
    <w:rsid w:val="004154A3"/>
    <w:rsid w:val="00415EC5"/>
    <w:rsid w:val="004164EB"/>
    <w:rsid w:val="00416EB1"/>
    <w:rsid w:val="00417022"/>
    <w:rsid w:val="004170C2"/>
    <w:rsid w:val="0042361E"/>
    <w:rsid w:val="004238FA"/>
    <w:rsid w:val="00424D0D"/>
    <w:rsid w:val="00424FD2"/>
    <w:rsid w:val="0042643F"/>
    <w:rsid w:val="0043069F"/>
    <w:rsid w:val="00430D98"/>
    <w:rsid w:val="00431098"/>
    <w:rsid w:val="00432423"/>
    <w:rsid w:val="004330A9"/>
    <w:rsid w:val="00433489"/>
    <w:rsid w:val="00433C0F"/>
    <w:rsid w:val="00433C23"/>
    <w:rsid w:val="00434745"/>
    <w:rsid w:val="00435E76"/>
    <w:rsid w:val="00435EFE"/>
    <w:rsid w:val="00436402"/>
    <w:rsid w:val="00437F34"/>
    <w:rsid w:val="004416E8"/>
    <w:rsid w:val="00442440"/>
    <w:rsid w:val="00443DBC"/>
    <w:rsid w:val="004449E4"/>
    <w:rsid w:val="0044555E"/>
    <w:rsid w:val="00445EFF"/>
    <w:rsid w:val="0044629B"/>
    <w:rsid w:val="0045039A"/>
    <w:rsid w:val="00451132"/>
    <w:rsid w:val="00452F37"/>
    <w:rsid w:val="00454870"/>
    <w:rsid w:val="00454D04"/>
    <w:rsid w:val="00457A9B"/>
    <w:rsid w:val="004616E0"/>
    <w:rsid w:val="00461B48"/>
    <w:rsid w:val="004641A0"/>
    <w:rsid w:val="00464752"/>
    <w:rsid w:val="0046526A"/>
    <w:rsid w:val="00465C30"/>
    <w:rsid w:val="0046623E"/>
    <w:rsid w:val="0046775E"/>
    <w:rsid w:val="0047007B"/>
    <w:rsid w:val="00470CB9"/>
    <w:rsid w:val="00471620"/>
    <w:rsid w:val="00473CCE"/>
    <w:rsid w:val="00473E22"/>
    <w:rsid w:val="00474136"/>
    <w:rsid w:val="00474EC6"/>
    <w:rsid w:val="004750FD"/>
    <w:rsid w:val="00475385"/>
    <w:rsid w:val="004758C1"/>
    <w:rsid w:val="00475A42"/>
    <w:rsid w:val="00475B8B"/>
    <w:rsid w:val="00477B48"/>
    <w:rsid w:val="00480E59"/>
    <w:rsid w:val="00481446"/>
    <w:rsid w:val="00481F91"/>
    <w:rsid w:val="00484A97"/>
    <w:rsid w:val="00486F69"/>
    <w:rsid w:val="00487421"/>
    <w:rsid w:val="00487CD8"/>
    <w:rsid w:val="00487FDA"/>
    <w:rsid w:val="004909C8"/>
    <w:rsid w:val="0049262E"/>
    <w:rsid w:val="00492C1E"/>
    <w:rsid w:val="00492DDF"/>
    <w:rsid w:val="00492EFA"/>
    <w:rsid w:val="00496C40"/>
    <w:rsid w:val="00496F95"/>
    <w:rsid w:val="004975D2"/>
    <w:rsid w:val="004975E9"/>
    <w:rsid w:val="00497A2F"/>
    <w:rsid w:val="004A069D"/>
    <w:rsid w:val="004A1224"/>
    <w:rsid w:val="004A21FF"/>
    <w:rsid w:val="004A2365"/>
    <w:rsid w:val="004A2390"/>
    <w:rsid w:val="004A284D"/>
    <w:rsid w:val="004A3FBA"/>
    <w:rsid w:val="004A47B6"/>
    <w:rsid w:val="004A4A2A"/>
    <w:rsid w:val="004A763D"/>
    <w:rsid w:val="004A7AAE"/>
    <w:rsid w:val="004A7DAA"/>
    <w:rsid w:val="004B065D"/>
    <w:rsid w:val="004B1072"/>
    <w:rsid w:val="004B1188"/>
    <w:rsid w:val="004B23EC"/>
    <w:rsid w:val="004B2546"/>
    <w:rsid w:val="004B428C"/>
    <w:rsid w:val="004B4505"/>
    <w:rsid w:val="004B546F"/>
    <w:rsid w:val="004B6287"/>
    <w:rsid w:val="004B6AD2"/>
    <w:rsid w:val="004B7735"/>
    <w:rsid w:val="004C08E9"/>
    <w:rsid w:val="004C0A90"/>
    <w:rsid w:val="004C0AA7"/>
    <w:rsid w:val="004C1D20"/>
    <w:rsid w:val="004C1F31"/>
    <w:rsid w:val="004C35FA"/>
    <w:rsid w:val="004C3CE8"/>
    <w:rsid w:val="004C6809"/>
    <w:rsid w:val="004C6F1E"/>
    <w:rsid w:val="004C7E95"/>
    <w:rsid w:val="004D2235"/>
    <w:rsid w:val="004D3094"/>
    <w:rsid w:val="004E42BA"/>
    <w:rsid w:val="004E4D9C"/>
    <w:rsid w:val="004E5CC4"/>
    <w:rsid w:val="004E5D8F"/>
    <w:rsid w:val="004E69C7"/>
    <w:rsid w:val="004E7305"/>
    <w:rsid w:val="004E7C1D"/>
    <w:rsid w:val="004F019A"/>
    <w:rsid w:val="004F0366"/>
    <w:rsid w:val="004F4BD9"/>
    <w:rsid w:val="004F5121"/>
    <w:rsid w:val="004F67F8"/>
    <w:rsid w:val="004F6AC2"/>
    <w:rsid w:val="004F6D09"/>
    <w:rsid w:val="00500866"/>
    <w:rsid w:val="00500C4A"/>
    <w:rsid w:val="00501A3F"/>
    <w:rsid w:val="00501CD0"/>
    <w:rsid w:val="005024AF"/>
    <w:rsid w:val="005030F9"/>
    <w:rsid w:val="00503304"/>
    <w:rsid w:val="0050636F"/>
    <w:rsid w:val="005074A4"/>
    <w:rsid w:val="00510424"/>
    <w:rsid w:val="00511278"/>
    <w:rsid w:val="005114F8"/>
    <w:rsid w:val="00513677"/>
    <w:rsid w:val="0051400D"/>
    <w:rsid w:val="00516733"/>
    <w:rsid w:val="00517EFF"/>
    <w:rsid w:val="00520380"/>
    <w:rsid w:val="00520708"/>
    <w:rsid w:val="00520C71"/>
    <w:rsid w:val="00521512"/>
    <w:rsid w:val="00521536"/>
    <w:rsid w:val="005228F6"/>
    <w:rsid w:val="00523335"/>
    <w:rsid w:val="00525A82"/>
    <w:rsid w:val="0052687F"/>
    <w:rsid w:val="005270C2"/>
    <w:rsid w:val="00527137"/>
    <w:rsid w:val="00527991"/>
    <w:rsid w:val="00530B7A"/>
    <w:rsid w:val="00534514"/>
    <w:rsid w:val="00535FA7"/>
    <w:rsid w:val="005427CD"/>
    <w:rsid w:val="00542D7C"/>
    <w:rsid w:val="005433B1"/>
    <w:rsid w:val="00543600"/>
    <w:rsid w:val="00543790"/>
    <w:rsid w:val="00543B59"/>
    <w:rsid w:val="0054459E"/>
    <w:rsid w:val="005445D9"/>
    <w:rsid w:val="00545F82"/>
    <w:rsid w:val="005468A2"/>
    <w:rsid w:val="00546EA3"/>
    <w:rsid w:val="005478A3"/>
    <w:rsid w:val="005508C6"/>
    <w:rsid w:val="00551BE9"/>
    <w:rsid w:val="005543D2"/>
    <w:rsid w:val="00556063"/>
    <w:rsid w:val="00557013"/>
    <w:rsid w:val="00560B7B"/>
    <w:rsid w:val="00562622"/>
    <w:rsid w:val="00562E8A"/>
    <w:rsid w:val="005646D0"/>
    <w:rsid w:val="00570AD2"/>
    <w:rsid w:val="0057279F"/>
    <w:rsid w:val="00572B8C"/>
    <w:rsid w:val="00572C00"/>
    <w:rsid w:val="00573888"/>
    <w:rsid w:val="00573E0C"/>
    <w:rsid w:val="005744D7"/>
    <w:rsid w:val="005764C2"/>
    <w:rsid w:val="005771CD"/>
    <w:rsid w:val="005779EB"/>
    <w:rsid w:val="00577B54"/>
    <w:rsid w:val="005809FD"/>
    <w:rsid w:val="00581C79"/>
    <w:rsid w:val="005829CA"/>
    <w:rsid w:val="00583FA9"/>
    <w:rsid w:val="0058445F"/>
    <w:rsid w:val="00590AA6"/>
    <w:rsid w:val="00590E04"/>
    <w:rsid w:val="0059115E"/>
    <w:rsid w:val="00591276"/>
    <w:rsid w:val="005915CD"/>
    <w:rsid w:val="00591A9C"/>
    <w:rsid w:val="005921BF"/>
    <w:rsid w:val="0059274B"/>
    <w:rsid w:val="00594266"/>
    <w:rsid w:val="00594D43"/>
    <w:rsid w:val="00595C04"/>
    <w:rsid w:val="00596DE5"/>
    <w:rsid w:val="00597304"/>
    <w:rsid w:val="00597313"/>
    <w:rsid w:val="005A0384"/>
    <w:rsid w:val="005A086A"/>
    <w:rsid w:val="005A0F1D"/>
    <w:rsid w:val="005A1831"/>
    <w:rsid w:val="005A1C9B"/>
    <w:rsid w:val="005A4E01"/>
    <w:rsid w:val="005A71E3"/>
    <w:rsid w:val="005A7435"/>
    <w:rsid w:val="005A7BB6"/>
    <w:rsid w:val="005B1D8F"/>
    <w:rsid w:val="005B35FB"/>
    <w:rsid w:val="005B3763"/>
    <w:rsid w:val="005B41CA"/>
    <w:rsid w:val="005B5F65"/>
    <w:rsid w:val="005B68B5"/>
    <w:rsid w:val="005C01C0"/>
    <w:rsid w:val="005C0B5F"/>
    <w:rsid w:val="005C0F24"/>
    <w:rsid w:val="005C176D"/>
    <w:rsid w:val="005C505E"/>
    <w:rsid w:val="005C603D"/>
    <w:rsid w:val="005C7610"/>
    <w:rsid w:val="005D0355"/>
    <w:rsid w:val="005D10B6"/>
    <w:rsid w:val="005D1BC8"/>
    <w:rsid w:val="005D2B7B"/>
    <w:rsid w:val="005D7839"/>
    <w:rsid w:val="005D79AF"/>
    <w:rsid w:val="005D7B3C"/>
    <w:rsid w:val="005E13B6"/>
    <w:rsid w:val="005E21F5"/>
    <w:rsid w:val="005E4A19"/>
    <w:rsid w:val="005E4CD6"/>
    <w:rsid w:val="005E56E4"/>
    <w:rsid w:val="005E7298"/>
    <w:rsid w:val="005F072C"/>
    <w:rsid w:val="005F1A7E"/>
    <w:rsid w:val="005F4FDA"/>
    <w:rsid w:val="005F5419"/>
    <w:rsid w:val="005F7540"/>
    <w:rsid w:val="00600252"/>
    <w:rsid w:val="00600A32"/>
    <w:rsid w:val="006013DE"/>
    <w:rsid w:val="0060428D"/>
    <w:rsid w:val="00606BD8"/>
    <w:rsid w:val="006074ED"/>
    <w:rsid w:val="006101F3"/>
    <w:rsid w:val="0061044C"/>
    <w:rsid w:val="00610A2C"/>
    <w:rsid w:val="0061161F"/>
    <w:rsid w:val="00611873"/>
    <w:rsid w:val="006137B1"/>
    <w:rsid w:val="00613AE1"/>
    <w:rsid w:val="0061540B"/>
    <w:rsid w:val="0061673E"/>
    <w:rsid w:val="006174C7"/>
    <w:rsid w:val="006175A7"/>
    <w:rsid w:val="00617F24"/>
    <w:rsid w:val="00621662"/>
    <w:rsid w:val="00622E2C"/>
    <w:rsid w:val="00624556"/>
    <w:rsid w:val="0062481B"/>
    <w:rsid w:val="006251C9"/>
    <w:rsid w:val="006269A4"/>
    <w:rsid w:val="0062744D"/>
    <w:rsid w:val="00627499"/>
    <w:rsid w:val="00632981"/>
    <w:rsid w:val="00634118"/>
    <w:rsid w:val="00635EA7"/>
    <w:rsid w:val="00636785"/>
    <w:rsid w:val="00637FB3"/>
    <w:rsid w:val="006421C2"/>
    <w:rsid w:val="00642CEB"/>
    <w:rsid w:val="00643221"/>
    <w:rsid w:val="006449FA"/>
    <w:rsid w:val="006449FD"/>
    <w:rsid w:val="006454A7"/>
    <w:rsid w:val="0064567E"/>
    <w:rsid w:val="006465BB"/>
    <w:rsid w:val="00646941"/>
    <w:rsid w:val="00647F0C"/>
    <w:rsid w:val="00650133"/>
    <w:rsid w:val="00651F9D"/>
    <w:rsid w:val="006523B3"/>
    <w:rsid w:val="00652A64"/>
    <w:rsid w:val="00652F69"/>
    <w:rsid w:val="006543AB"/>
    <w:rsid w:val="00654E7E"/>
    <w:rsid w:val="006557E9"/>
    <w:rsid w:val="00656B71"/>
    <w:rsid w:val="00661F81"/>
    <w:rsid w:val="006631E8"/>
    <w:rsid w:val="00664473"/>
    <w:rsid w:val="006655D3"/>
    <w:rsid w:val="006665AB"/>
    <w:rsid w:val="00666CA6"/>
    <w:rsid w:val="00670CBD"/>
    <w:rsid w:val="0067133C"/>
    <w:rsid w:val="006721F0"/>
    <w:rsid w:val="0067249C"/>
    <w:rsid w:val="0067269D"/>
    <w:rsid w:val="00673E3D"/>
    <w:rsid w:val="00674502"/>
    <w:rsid w:val="00674B7E"/>
    <w:rsid w:val="006754C6"/>
    <w:rsid w:val="0067571E"/>
    <w:rsid w:val="0067686A"/>
    <w:rsid w:val="006825EA"/>
    <w:rsid w:val="00682746"/>
    <w:rsid w:val="006854B5"/>
    <w:rsid w:val="00685D6D"/>
    <w:rsid w:val="0068665B"/>
    <w:rsid w:val="00686ADD"/>
    <w:rsid w:val="0069017A"/>
    <w:rsid w:val="00691450"/>
    <w:rsid w:val="00692800"/>
    <w:rsid w:val="00696A73"/>
    <w:rsid w:val="006971C2"/>
    <w:rsid w:val="006A0DEF"/>
    <w:rsid w:val="006A19A4"/>
    <w:rsid w:val="006A2417"/>
    <w:rsid w:val="006A2C44"/>
    <w:rsid w:val="006A5B02"/>
    <w:rsid w:val="006A5DD1"/>
    <w:rsid w:val="006A68B5"/>
    <w:rsid w:val="006A6B0D"/>
    <w:rsid w:val="006A6C77"/>
    <w:rsid w:val="006A71F8"/>
    <w:rsid w:val="006B1DC1"/>
    <w:rsid w:val="006B24B6"/>
    <w:rsid w:val="006B3981"/>
    <w:rsid w:val="006B3BAF"/>
    <w:rsid w:val="006B4705"/>
    <w:rsid w:val="006B48A2"/>
    <w:rsid w:val="006B5DE4"/>
    <w:rsid w:val="006B6B13"/>
    <w:rsid w:val="006C04DF"/>
    <w:rsid w:val="006C0537"/>
    <w:rsid w:val="006C06E1"/>
    <w:rsid w:val="006C0CBD"/>
    <w:rsid w:val="006C1D3D"/>
    <w:rsid w:val="006C1FAF"/>
    <w:rsid w:val="006C35A8"/>
    <w:rsid w:val="006C3EDA"/>
    <w:rsid w:val="006C533C"/>
    <w:rsid w:val="006C5ACB"/>
    <w:rsid w:val="006C742E"/>
    <w:rsid w:val="006D01F3"/>
    <w:rsid w:val="006D14D5"/>
    <w:rsid w:val="006D418E"/>
    <w:rsid w:val="006D712F"/>
    <w:rsid w:val="006E06EE"/>
    <w:rsid w:val="006E0EDD"/>
    <w:rsid w:val="006E1ABB"/>
    <w:rsid w:val="006E1BA7"/>
    <w:rsid w:val="006E1FE0"/>
    <w:rsid w:val="006E6910"/>
    <w:rsid w:val="006E7853"/>
    <w:rsid w:val="006F0DB1"/>
    <w:rsid w:val="006F1544"/>
    <w:rsid w:val="006F2384"/>
    <w:rsid w:val="006F388D"/>
    <w:rsid w:val="006F4484"/>
    <w:rsid w:val="006F4CFB"/>
    <w:rsid w:val="006F5358"/>
    <w:rsid w:val="006F53A8"/>
    <w:rsid w:val="007000AB"/>
    <w:rsid w:val="00701E54"/>
    <w:rsid w:val="007047E4"/>
    <w:rsid w:val="00704C1C"/>
    <w:rsid w:val="00706014"/>
    <w:rsid w:val="007072D3"/>
    <w:rsid w:val="00710222"/>
    <w:rsid w:val="0071342C"/>
    <w:rsid w:val="00713E5C"/>
    <w:rsid w:val="0071432B"/>
    <w:rsid w:val="007165BE"/>
    <w:rsid w:val="00716798"/>
    <w:rsid w:val="00716F71"/>
    <w:rsid w:val="00717A2D"/>
    <w:rsid w:val="00717FD1"/>
    <w:rsid w:val="00720331"/>
    <w:rsid w:val="00720BDD"/>
    <w:rsid w:val="00722625"/>
    <w:rsid w:val="00722817"/>
    <w:rsid w:val="00724270"/>
    <w:rsid w:val="007250F5"/>
    <w:rsid w:val="007255CB"/>
    <w:rsid w:val="00725B29"/>
    <w:rsid w:val="00725B48"/>
    <w:rsid w:val="00726072"/>
    <w:rsid w:val="00726733"/>
    <w:rsid w:val="007305D4"/>
    <w:rsid w:val="007308F1"/>
    <w:rsid w:val="00731542"/>
    <w:rsid w:val="007337C0"/>
    <w:rsid w:val="0073390D"/>
    <w:rsid w:val="007341A9"/>
    <w:rsid w:val="00735400"/>
    <w:rsid w:val="00735AE4"/>
    <w:rsid w:val="00735C41"/>
    <w:rsid w:val="007377EC"/>
    <w:rsid w:val="00737ACF"/>
    <w:rsid w:val="00737BD8"/>
    <w:rsid w:val="00740188"/>
    <w:rsid w:val="00741A91"/>
    <w:rsid w:val="00741F31"/>
    <w:rsid w:val="00742019"/>
    <w:rsid w:val="00742447"/>
    <w:rsid w:val="00744FCE"/>
    <w:rsid w:val="00745A30"/>
    <w:rsid w:val="00747B00"/>
    <w:rsid w:val="00747FAE"/>
    <w:rsid w:val="007506A2"/>
    <w:rsid w:val="00751327"/>
    <w:rsid w:val="0075192D"/>
    <w:rsid w:val="007519D4"/>
    <w:rsid w:val="00751B6C"/>
    <w:rsid w:val="00752521"/>
    <w:rsid w:val="00753923"/>
    <w:rsid w:val="00753D4D"/>
    <w:rsid w:val="00754F27"/>
    <w:rsid w:val="00755DED"/>
    <w:rsid w:val="00756A18"/>
    <w:rsid w:val="00756C20"/>
    <w:rsid w:val="00760BAB"/>
    <w:rsid w:val="00762179"/>
    <w:rsid w:val="00763A5E"/>
    <w:rsid w:val="00764041"/>
    <w:rsid w:val="0076535F"/>
    <w:rsid w:val="00766734"/>
    <w:rsid w:val="00767D36"/>
    <w:rsid w:val="00770D34"/>
    <w:rsid w:val="007711B3"/>
    <w:rsid w:val="00771C62"/>
    <w:rsid w:val="00772529"/>
    <w:rsid w:val="007751E7"/>
    <w:rsid w:val="007753B8"/>
    <w:rsid w:val="00777340"/>
    <w:rsid w:val="00780B47"/>
    <w:rsid w:val="0078174E"/>
    <w:rsid w:val="00781A65"/>
    <w:rsid w:val="00782965"/>
    <w:rsid w:val="007848D1"/>
    <w:rsid w:val="0078493D"/>
    <w:rsid w:val="00784A75"/>
    <w:rsid w:val="00784A91"/>
    <w:rsid w:val="007861B3"/>
    <w:rsid w:val="0078689A"/>
    <w:rsid w:val="0078717B"/>
    <w:rsid w:val="00787F30"/>
    <w:rsid w:val="00794D83"/>
    <w:rsid w:val="00797A2A"/>
    <w:rsid w:val="00797BE5"/>
    <w:rsid w:val="00797F2E"/>
    <w:rsid w:val="007A1799"/>
    <w:rsid w:val="007A4E51"/>
    <w:rsid w:val="007A4ED0"/>
    <w:rsid w:val="007A5009"/>
    <w:rsid w:val="007A6452"/>
    <w:rsid w:val="007A77AC"/>
    <w:rsid w:val="007A7E95"/>
    <w:rsid w:val="007B01C8"/>
    <w:rsid w:val="007B077A"/>
    <w:rsid w:val="007B0AE0"/>
    <w:rsid w:val="007B2889"/>
    <w:rsid w:val="007B2ACE"/>
    <w:rsid w:val="007B3429"/>
    <w:rsid w:val="007B54AC"/>
    <w:rsid w:val="007B6724"/>
    <w:rsid w:val="007C03E5"/>
    <w:rsid w:val="007C2849"/>
    <w:rsid w:val="007C3449"/>
    <w:rsid w:val="007C4EF8"/>
    <w:rsid w:val="007C4FE2"/>
    <w:rsid w:val="007C5602"/>
    <w:rsid w:val="007C5BE4"/>
    <w:rsid w:val="007C693A"/>
    <w:rsid w:val="007C6C59"/>
    <w:rsid w:val="007D0193"/>
    <w:rsid w:val="007D0FB4"/>
    <w:rsid w:val="007D2C2B"/>
    <w:rsid w:val="007D2F1F"/>
    <w:rsid w:val="007D4E4E"/>
    <w:rsid w:val="007D551C"/>
    <w:rsid w:val="007D55EE"/>
    <w:rsid w:val="007D66AE"/>
    <w:rsid w:val="007D6C78"/>
    <w:rsid w:val="007D791B"/>
    <w:rsid w:val="007D791F"/>
    <w:rsid w:val="007E09DF"/>
    <w:rsid w:val="007E14F6"/>
    <w:rsid w:val="007E211A"/>
    <w:rsid w:val="007E2C3D"/>
    <w:rsid w:val="007E3057"/>
    <w:rsid w:val="007E46DC"/>
    <w:rsid w:val="007E6141"/>
    <w:rsid w:val="007E6667"/>
    <w:rsid w:val="007E6AE3"/>
    <w:rsid w:val="007E6BA0"/>
    <w:rsid w:val="007F1A96"/>
    <w:rsid w:val="007F28DF"/>
    <w:rsid w:val="007F4348"/>
    <w:rsid w:val="007F4A8B"/>
    <w:rsid w:val="007F580D"/>
    <w:rsid w:val="007F5B12"/>
    <w:rsid w:val="007F647F"/>
    <w:rsid w:val="007F6563"/>
    <w:rsid w:val="007F6E9B"/>
    <w:rsid w:val="0080041B"/>
    <w:rsid w:val="00801245"/>
    <w:rsid w:val="008024FC"/>
    <w:rsid w:val="008026F8"/>
    <w:rsid w:val="008113FF"/>
    <w:rsid w:val="00811A84"/>
    <w:rsid w:val="008125BE"/>
    <w:rsid w:val="00812643"/>
    <w:rsid w:val="00812F03"/>
    <w:rsid w:val="00814AE9"/>
    <w:rsid w:val="00816ABF"/>
    <w:rsid w:val="00816C23"/>
    <w:rsid w:val="00821ACB"/>
    <w:rsid w:val="0082451D"/>
    <w:rsid w:val="0082538D"/>
    <w:rsid w:val="008305AC"/>
    <w:rsid w:val="00830CE3"/>
    <w:rsid w:val="00831A03"/>
    <w:rsid w:val="00832E2B"/>
    <w:rsid w:val="00832EEB"/>
    <w:rsid w:val="00833A3B"/>
    <w:rsid w:val="0083497F"/>
    <w:rsid w:val="00835411"/>
    <w:rsid w:val="00836234"/>
    <w:rsid w:val="00836786"/>
    <w:rsid w:val="008375B2"/>
    <w:rsid w:val="00837B1B"/>
    <w:rsid w:val="00837CD3"/>
    <w:rsid w:val="008414CD"/>
    <w:rsid w:val="00841C69"/>
    <w:rsid w:val="00842084"/>
    <w:rsid w:val="008421FF"/>
    <w:rsid w:val="008435D8"/>
    <w:rsid w:val="00844113"/>
    <w:rsid w:val="008442BF"/>
    <w:rsid w:val="008443DA"/>
    <w:rsid w:val="00844FDA"/>
    <w:rsid w:val="008452D2"/>
    <w:rsid w:val="0084607D"/>
    <w:rsid w:val="00846E5E"/>
    <w:rsid w:val="00847247"/>
    <w:rsid w:val="00852612"/>
    <w:rsid w:val="008527F3"/>
    <w:rsid w:val="008571E3"/>
    <w:rsid w:val="008572C2"/>
    <w:rsid w:val="00857B3F"/>
    <w:rsid w:val="00862500"/>
    <w:rsid w:val="008626A9"/>
    <w:rsid w:val="00864242"/>
    <w:rsid w:val="008648CC"/>
    <w:rsid w:val="00867110"/>
    <w:rsid w:val="0086795A"/>
    <w:rsid w:val="00867A54"/>
    <w:rsid w:val="00867B99"/>
    <w:rsid w:val="008735AF"/>
    <w:rsid w:val="008751B8"/>
    <w:rsid w:val="00875A90"/>
    <w:rsid w:val="00875BF5"/>
    <w:rsid w:val="00875FC6"/>
    <w:rsid w:val="00877BEB"/>
    <w:rsid w:val="008807F2"/>
    <w:rsid w:val="00882057"/>
    <w:rsid w:val="00886169"/>
    <w:rsid w:val="008901E4"/>
    <w:rsid w:val="008906CF"/>
    <w:rsid w:val="00891275"/>
    <w:rsid w:val="0089208A"/>
    <w:rsid w:val="0089391E"/>
    <w:rsid w:val="00893ED2"/>
    <w:rsid w:val="00895774"/>
    <w:rsid w:val="0089670C"/>
    <w:rsid w:val="008A05FB"/>
    <w:rsid w:val="008A0AAA"/>
    <w:rsid w:val="008A143A"/>
    <w:rsid w:val="008A26C5"/>
    <w:rsid w:val="008A4205"/>
    <w:rsid w:val="008A4CD4"/>
    <w:rsid w:val="008A5A1C"/>
    <w:rsid w:val="008A68C9"/>
    <w:rsid w:val="008A6BDF"/>
    <w:rsid w:val="008A6FB5"/>
    <w:rsid w:val="008B0287"/>
    <w:rsid w:val="008B0858"/>
    <w:rsid w:val="008B1000"/>
    <w:rsid w:val="008B1AB9"/>
    <w:rsid w:val="008B1F6C"/>
    <w:rsid w:val="008B27DB"/>
    <w:rsid w:val="008B3114"/>
    <w:rsid w:val="008B3F05"/>
    <w:rsid w:val="008B48A2"/>
    <w:rsid w:val="008B5709"/>
    <w:rsid w:val="008C164D"/>
    <w:rsid w:val="008C2F43"/>
    <w:rsid w:val="008C5BA1"/>
    <w:rsid w:val="008C70D8"/>
    <w:rsid w:val="008C7B9E"/>
    <w:rsid w:val="008C7CF9"/>
    <w:rsid w:val="008D102E"/>
    <w:rsid w:val="008D2461"/>
    <w:rsid w:val="008D3648"/>
    <w:rsid w:val="008D43AA"/>
    <w:rsid w:val="008D4B51"/>
    <w:rsid w:val="008D6215"/>
    <w:rsid w:val="008D6C97"/>
    <w:rsid w:val="008E1A38"/>
    <w:rsid w:val="008E1BBB"/>
    <w:rsid w:val="008E1F8D"/>
    <w:rsid w:val="008E5488"/>
    <w:rsid w:val="008E5707"/>
    <w:rsid w:val="008E6136"/>
    <w:rsid w:val="008E6202"/>
    <w:rsid w:val="008E77D1"/>
    <w:rsid w:val="008F0CBA"/>
    <w:rsid w:val="008F2E30"/>
    <w:rsid w:val="008F424B"/>
    <w:rsid w:val="008F4307"/>
    <w:rsid w:val="008F4A12"/>
    <w:rsid w:val="008F6F47"/>
    <w:rsid w:val="008F7008"/>
    <w:rsid w:val="009006A5"/>
    <w:rsid w:val="00901231"/>
    <w:rsid w:val="00901791"/>
    <w:rsid w:val="009026EC"/>
    <w:rsid w:val="009037FF"/>
    <w:rsid w:val="00904BA4"/>
    <w:rsid w:val="00904E84"/>
    <w:rsid w:val="00906CEB"/>
    <w:rsid w:val="00907407"/>
    <w:rsid w:val="00907763"/>
    <w:rsid w:val="00907785"/>
    <w:rsid w:val="00910033"/>
    <w:rsid w:val="00911558"/>
    <w:rsid w:val="00911D5F"/>
    <w:rsid w:val="009142E2"/>
    <w:rsid w:val="00915B62"/>
    <w:rsid w:val="00916524"/>
    <w:rsid w:val="00916A2C"/>
    <w:rsid w:val="009173D6"/>
    <w:rsid w:val="009173F2"/>
    <w:rsid w:val="009179F2"/>
    <w:rsid w:val="00920275"/>
    <w:rsid w:val="009202BD"/>
    <w:rsid w:val="00922B80"/>
    <w:rsid w:val="0092369C"/>
    <w:rsid w:val="00923BE6"/>
    <w:rsid w:val="00924690"/>
    <w:rsid w:val="00924A84"/>
    <w:rsid w:val="00924FD2"/>
    <w:rsid w:val="00925084"/>
    <w:rsid w:val="0092560D"/>
    <w:rsid w:val="009263A5"/>
    <w:rsid w:val="0092643A"/>
    <w:rsid w:val="009268DC"/>
    <w:rsid w:val="0092725D"/>
    <w:rsid w:val="009302F0"/>
    <w:rsid w:val="0093257E"/>
    <w:rsid w:val="0093399E"/>
    <w:rsid w:val="00935094"/>
    <w:rsid w:val="00935DBB"/>
    <w:rsid w:val="009361BB"/>
    <w:rsid w:val="009368E8"/>
    <w:rsid w:val="00936A8B"/>
    <w:rsid w:val="00936EC9"/>
    <w:rsid w:val="0094082D"/>
    <w:rsid w:val="00941D2C"/>
    <w:rsid w:val="00944FEA"/>
    <w:rsid w:val="00945159"/>
    <w:rsid w:val="00946037"/>
    <w:rsid w:val="00946C51"/>
    <w:rsid w:val="00950535"/>
    <w:rsid w:val="009517FB"/>
    <w:rsid w:val="009517FE"/>
    <w:rsid w:val="00951F21"/>
    <w:rsid w:val="0095448C"/>
    <w:rsid w:val="00955CD4"/>
    <w:rsid w:val="00956455"/>
    <w:rsid w:val="00960440"/>
    <w:rsid w:val="00960956"/>
    <w:rsid w:val="00960A45"/>
    <w:rsid w:val="00964271"/>
    <w:rsid w:val="009656E3"/>
    <w:rsid w:val="00965D0E"/>
    <w:rsid w:val="00965D6C"/>
    <w:rsid w:val="00965EEB"/>
    <w:rsid w:val="00965F38"/>
    <w:rsid w:val="0096634C"/>
    <w:rsid w:val="0096752A"/>
    <w:rsid w:val="00970499"/>
    <w:rsid w:val="009707DD"/>
    <w:rsid w:val="0097161A"/>
    <w:rsid w:val="00971F36"/>
    <w:rsid w:val="009741FD"/>
    <w:rsid w:val="0097476B"/>
    <w:rsid w:val="009764A4"/>
    <w:rsid w:val="00976E57"/>
    <w:rsid w:val="0097778C"/>
    <w:rsid w:val="009777C9"/>
    <w:rsid w:val="00977CC6"/>
    <w:rsid w:val="0098006B"/>
    <w:rsid w:val="00980667"/>
    <w:rsid w:val="00980D55"/>
    <w:rsid w:val="0098116B"/>
    <w:rsid w:val="009829A8"/>
    <w:rsid w:val="009830E8"/>
    <w:rsid w:val="00984A1D"/>
    <w:rsid w:val="0098506E"/>
    <w:rsid w:val="00985112"/>
    <w:rsid w:val="00985FCF"/>
    <w:rsid w:val="009869C8"/>
    <w:rsid w:val="0098799C"/>
    <w:rsid w:val="009914A0"/>
    <w:rsid w:val="009926EC"/>
    <w:rsid w:val="0099291C"/>
    <w:rsid w:val="00992CAF"/>
    <w:rsid w:val="0099315C"/>
    <w:rsid w:val="00993219"/>
    <w:rsid w:val="00994DC7"/>
    <w:rsid w:val="0099564D"/>
    <w:rsid w:val="0099751F"/>
    <w:rsid w:val="00997F73"/>
    <w:rsid w:val="009A1008"/>
    <w:rsid w:val="009A1595"/>
    <w:rsid w:val="009A15A7"/>
    <w:rsid w:val="009A1EC2"/>
    <w:rsid w:val="009A29D0"/>
    <w:rsid w:val="009A4262"/>
    <w:rsid w:val="009A440E"/>
    <w:rsid w:val="009A594B"/>
    <w:rsid w:val="009A63C7"/>
    <w:rsid w:val="009A6CD4"/>
    <w:rsid w:val="009A713F"/>
    <w:rsid w:val="009B0D77"/>
    <w:rsid w:val="009B1FDD"/>
    <w:rsid w:val="009B2374"/>
    <w:rsid w:val="009B2F9D"/>
    <w:rsid w:val="009B364C"/>
    <w:rsid w:val="009B4153"/>
    <w:rsid w:val="009B4164"/>
    <w:rsid w:val="009B4974"/>
    <w:rsid w:val="009C0831"/>
    <w:rsid w:val="009C0D5C"/>
    <w:rsid w:val="009C1828"/>
    <w:rsid w:val="009C2F59"/>
    <w:rsid w:val="009C394B"/>
    <w:rsid w:val="009C3E2B"/>
    <w:rsid w:val="009C447C"/>
    <w:rsid w:val="009C4F5B"/>
    <w:rsid w:val="009C614E"/>
    <w:rsid w:val="009C72E4"/>
    <w:rsid w:val="009C7A35"/>
    <w:rsid w:val="009C7D1D"/>
    <w:rsid w:val="009D0568"/>
    <w:rsid w:val="009D13D0"/>
    <w:rsid w:val="009D187A"/>
    <w:rsid w:val="009D1961"/>
    <w:rsid w:val="009D1F3A"/>
    <w:rsid w:val="009D208C"/>
    <w:rsid w:val="009D2815"/>
    <w:rsid w:val="009D47DF"/>
    <w:rsid w:val="009D4A4D"/>
    <w:rsid w:val="009D5133"/>
    <w:rsid w:val="009D788E"/>
    <w:rsid w:val="009D7BDF"/>
    <w:rsid w:val="009E0166"/>
    <w:rsid w:val="009E0B89"/>
    <w:rsid w:val="009E29B6"/>
    <w:rsid w:val="009E2CEE"/>
    <w:rsid w:val="009E2E18"/>
    <w:rsid w:val="009E30C7"/>
    <w:rsid w:val="009E4976"/>
    <w:rsid w:val="009E4BD7"/>
    <w:rsid w:val="009E5652"/>
    <w:rsid w:val="009E7BB7"/>
    <w:rsid w:val="009F141D"/>
    <w:rsid w:val="009F1C02"/>
    <w:rsid w:val="009F1E46"/>
    <w:rsid w:val="009F2665"/>
    <w:rsid w:val="009F354F"/>
    <w:rsid w:val="009F46A2"/>
    <w:rsid w:val="009F5585"/>
    <w:rsid w:val="009F5805"/>
    <w:rsid w:val="009F6AA3"/>
    <w:rsid w:val="009F74E8"/>
    <w:rsid w:val="009F760C"/>
    <w:rsid w:val="009F7F6E"/>
    <w:rsid w:val="00A003B9"/>
    <w:rsid w:val="00A00BF5"/>
    <w:rsid w:val="00A00C63"/>
    <w:rsid w:val="00A014F1"/>
    <w:rsid w:val="00A026EC"/>
    <w:rsid w:val="00A0477A"/>
    <w:rsid w:val="00A05589"/>
    <w:rsid w:val="00A0572F"/>
    <w:rsid w:val="00A06311"/>
    <w:rsid w:val="00A0668C"/>
    <w:rsid w:val="00A110AD"/>
    <w:rsid w:val="00A11221"/>
    <w:rsid w:val="00A11DBC"/>
    <w:rsid w:val="00A13722"/>
    <w:rsid w:val="00A13726"/>
    <w:rsid w:val="00A13BAA"/>
    <w:rsid w:val="00A13C21"/>
    <w:rsid w:val="00A143CF"/>
    <w:rsid w:val="00A145A4"/>
    <w:rsid w:val="00A15B63"/>
    <w:rsid w:val="00A16160"/>
    <w:rsid w:val="00A17F25"/>
    <w:rsid w:val="00A2180D"/>
    <w:rsid w:val="00A218A3"/>
    <w:rsid w:val="00A23C4D"/>
    <w:rsid w:val="00A245D7"/>
    <w:rsid w:val="00A26D36"/>
    <w:rsid w:val="00A27042"/>
    <w:rsid w:val="00A317FB"/>
    <w:rsid w:val="00A34509"/>
    <w:rsid w:val="00A419B4"/>
    <w:rsid w:val="00A436B4"/>
    <w:rsid w:val="00A44D7A"/>
    <w:rsid w:val="00A469B6"/>
    <w:rsid w:val="00A474EC"/>
    <w:rsid w:val="00A5283F"/>
    <w:rsid w:val="00A52CAB"/>
    <w:rsid w:val="00A53170"/>
    <w:rsid w:val="00A55029"/>
    <w:rsid w:val="00A55672"/>
    <w:rsid w:val="00A56A70"/>
    <w:rsid w:val="00A5710F"/>
    <w:rsid w:val="00A57EC1"/>
    <w:rsid w:val="00A603E2"/>
    <w:rsid w:val="00A60A8C"/>
    <w:rsid w:val="00A60EEF"/>
    <w:rsid w:val="00A61304"/>
    <w:rsid w:val="00A61B8E"/>
    <w:rsid w:val="00A628BD"/>
    <w:rsid w:val="00A63970"/>
    <w:rsid w:val="00A64F4C"/>
    <w:rsid w:val="00A65079"/>
    <w:rsid w:val="00A66C81"/>
    <w:rsid w:val="00A676FA"/>
    <w:rsid w:val="00A7105C"/>
    <w:rsid w:val="00A7179A"/>
    <w:rsid w:val="00A73CC7"/>
    <w:rsid w:val="00A75A97"/>
    <w:rsid w:val="00A75B8B"/>
    <w:rsid w:val="00A76044"/>
    <w:rsid w:val="00A76225"/>
    <w:rsid w:val="00A76622"/>
    <w:rsid w:val="00A80DA1"/>
    <w:rsid w:val="00A833E0"/>
    <w:rsid w:val="00A83871"/>
    <w:rsid w:val="00A845CA"/>
    <w:rsid w:val="00A902E5"/>
    <w:rsid w:val="00A90B50"/>
    <w:rsid w:val="00A919BD"/>
    <w:rsid w:val="00A933DA"/>
    <w:rsid w:val="00A93BB6"/>
    <w:rsid w:val="00A942D5"/>
    <w:rsid w:val="00A952B6"/>
    <w:rsid w:val="00A95ED5"/>
    <w:rsid w:val="00A96888"/>
    <w:rsid w:val="00A96BAC"/>
    <w:rsid w:val="00A96EDB"/>
    <w:rsid w:val="00A97724"/>
    <w:rsid w:val="00A97952"/>
    <w:rsid w:val="00AA0175"/>
    <w:rsid w:val="00AA0780"/>
    <w:rsid w:val="00AA0952"/>
    <w:rsid w:val="00AA0A65"/>
    <w:rsid w:val="00AA1E14"/>
    <w:rsid w:val="00AA3302"/>
    <w:rsid w:val="00AA37B2"/>
    <w:rsid w:val="00AA408C"/>
    <w:rsid w:val="00AA6429"/>
    <w:rsid w:val="00AA6977"/>
    <w:rsid w:val="00AA71BF"/>
    <w:rsid w:val="00AA73E2"/>
    <w:rsid w:val="00AB064C"/>
    <w:rsid w:val="00AB1C65"/>
    <w:rsid w:val="00AB1FFC"/>
    <w:rsid w:val="00AB2447"/>
    <w:rsid w:val="00AB3C5A"/>
    <w:rsid w:val="00AB5343"/>
    <w:rsid w:val="00AB75BA"/>
    <w:rsid w:val="00AC094E"/>
    <w:rsid w:val="00AC0B09"/>
    <w:rsid w:val="00AC0DDB"/>
    <w:rsid w:val="00AC0E5D"/>
    <w:rsid w:val="00AC2769"/>
    <w:rsid w:val="00AC3D8F"/>
    <w:rsid w:val="00AC44A8"/>
    <w:rsid w:val="00AC5051"/>
    <w:rsid w:val="00AC528A"/>
    <w:rsid w:val="00AC5D14"/>
    <w:rsid w:val="00AD2B6D"/>
    <w:rsid w:val="00AD4B04"/>
    <w:rsid w:val="00AD53EA"/>
    <w:rsid w:val="00AD66BE"/>
    <w:rsid w:val="00AD6A29"/>
    <w:rsid w:val="00AD6B54"/>
    <w:rsid w:val="00AE02E2"/>
    <w:rsid w:val="00AE0D19"/>
    <w:rsid w:val="00AE4564"/>
    <w:rsid w:val="00AE47FB"/>
    <w:rsid w:val="00AE4D51"/>
    <w:rsid w:val="00AE616F"/>
    <w:rsid w:val="00AE636B"/>
    <w:rsid w:val="00AE70FD"/>
    <w:rsid w:val="00AE717C"/>
    <w:rsid w:val="00AE71CC"/>
    <w:rsid w:val="00AE7799"/>
    <w:rsid w:val="00AF1C2E"/>
    <w:rsid w:val="00AF2B41"/>
    <w:rsid w:val="00AF3AA1"/>
    <w:rsid w:val="00AF6181"/>
    <w:rsid w:val="00AF6CB6"/>
    <w:rsid w:val="00AF70DA"/>
    <w:rsid w:val="00AF7645"/>
    <w:rsid w:val="00B006AA"/>
    <w:rsid w:val="00B013C5"/>
    <w:rsid w:val="00B03427"/>
    <w:rsid w:val="00B04475"/>
    <w:rsid w:val="00B07FFA"/>
    <w:rsid w:val="00B10352"/>
    <w:rsid w:val="00B10FCC"/>
    <w:rsid w:val="00B110AF"/>
    <w:rsid w:val="00B12A1F"/>
    <w:rsid w:val="00B13710"/>
    <w:rsid w:val="00B13AB0"/>
    <w:rsid w:val="00B142FB"/>
    <w:rsid w:val="00B15395"/>
    <w:rsid w:val="00B15E18"/>
    <w:rsid w:val="00B161D2"/>
    <w:rsid w:val="00B17A2A"/>
    <w:rsid w:val="00B21950"/>
    <w:rsid w:val="00B2250F"/>
    <w:rsid w:val="00B22AAD"/>
    <w:rsid w:val="00B233D8"/>
    <w:rsid w:val="00B2686F"/>
    <w:rsid w:val="00B27573"/>
    <w:rsid w:val="00B27C91"/>
    <w:rsid w:val="00B27C9C"/>
    <w:rsid w:val="00B3018B"/>
    <w:rsid w:val="00B32CDA"/>
    <w:rsid w:val="00B32DDB"/>
    <w:rsid w:val="00B332E3"/>
    <w:rsid w:val="00B351D8"/>
    <w:rsid w:val="00B35270"/>
    <w:rsid w:val="00B352D9"/>
    <w:rsid w:val="00B358EB"/>
    <w:rsid w:val="00B35F08"/>
    <w:rsid w:val="00B37A4B"/>
    <w:rsid w:val="00B42165"/>
    <w:rsid w:val="00B42218"/>
    <w:rsid w:val="00B422D9"/>
    <w:rsid w:val="00B42B5A"/>
    <w:rsid w:val="00B44BC2"/>
    <w:rsid w:val="00B44F2D"/>
    <w:rsid w:val="00B45D0A"/>
    <w:rsid w:val="00B45EDA"/>
    <w:rsid w:val="00B47606"/>
    <w:rsid w:val="00B50558"/>
    <w:rsid w:val="00B533E0"/>
    <w:rsid w:val="00B54D6F"/>
    <w:rsid w:val="00B55615"/>
    <w:rsid w:val="00B57F12"/>
    <w:rsid w:val="00B60298"/>
    <w:rsid w:val="00B60319"/>
    <w:rsid w:val="00B6224C"/>
    <w:rsid w:val="00B62440"/>
    <w:rsid w:val="00B626BE"/>
    <w:rsid w:val="00B63371"/>
    <w:rsid w:val="00B638BB"/>
    <w:rsid w:val="00B63947"/>
    <w:rsid w:val="00B64E76"/>
    <w:rsid w:val="00B66A00"/>
    <w:rsid w:val="00B7139F"/>
    <w:rsid w:val="00B72C3B"/>
    <w:rsid w:val="00B730BA"/>
    <w:rsid w:val="00B74B98"/>
    <w:rsid w:val="00B76B42"/>
    <w:rsid w:val="00B778CF"/>
    <w:rsid w:val="00B807A5"/>
    <w:rsid w:val="00B81375"/>
    <w:rsid w:val="00B81D54"/>
    <w:rsid w:val="00B835BB"/>
    <w:rsid w:val="00B83F62"/>
    <w:rsid w:val="00B845D3"/>
    <w:rsid w:val="00B85201"/>
    <w:rsid w:val="00B87479"/>
    <w:rsid w:val="00B87B69"/>
    <w:rsid w:val="00B87D53"/>
    <w:rsid w:val="00B93574"/>
    <w:rsid w:val="00B93A89"/>
    <w:rsid w:val="00B93B12"/>
    <w:rsid w:val="00B943D6"/>
    <w:rsid w:val="00B94FD5"/>
    <w:rsid w:val="00B9536B"/>
    <w:rsid w:val="00B95D7B"/>
    <w:rsid w:val="00B95EE7"/>
    <w:rsid w:val="00B96A0B"/>
    <w:rsid w:val="00BA01A6"/>
    <w:rsid w:val="00BA2049"/>
    <w:rsid w:val="00BA3E19"/>
    <w:rsid w:val="00BA474C"/>
    <w:rsid w:val="00BA50BE"/>
    <w:rsid w:val="00BA56D3"/>
    <w:rsid w:val="00BA606E"/>
    <w:rsid w:val="00BA64E2"/>
    <w:rsid w:val="00BA6A89"/>
    <w:rsid w:val="00BA6F63"/>
    <w:rsid w:val="00BA7131"/>
    <w:rsid w:val="00BA7FAC"/>
    <w:rsid w:val="00BB03C4"/>
    <w:rsid w:val="00BB0FA9"/>
    <w:rsid w:val="00BB391A"/>
    <w:rsid w:val="00BB4F51"/>
    <w:rsid w:val="00BB721F"/>
    <w:rsid w:val="00BB7F3E"/>
    <w:rsid w:val="00BC0181"/>
    <w:rsid w:val="00BC1AE8"/>
    <w:rsid w:val="00BC1FB7"/>
    <w:rsid w:val="00BC23C8"/>
    <w:rsid w:val="00BC39FC"/>
    <w:rsid w:val="00BC3D5C"/>
    <w:rsid w:val="00BC4A46"/>
    <w:rsid w:val="00BC4EBB"/>
    <w:rsid w:val="00BC5771"/>
    <w:rsid w:val="00BC61A3"/>
    <w:rsid w:val="00BD02B5"/>
    <w:rsid w:val="00BD2FDE"/>
    <w:rsid w:val="00BD3539"/>
    <w:rsid w:val="00BD6D9C"/>
    <w:rsid w:val="00BD794E"/>
    <w:rsid w:val="00BE0701"/>
    <w:rsid w:val="00BE16D9"/>
    <w:rsid w:val="00BE27FD"/>
    <w:rsid w:val="00BE2C75"/>
    <w:rsid w:val="00BE46C6"/>
    <w:rsid w:val="00BE58F9"/>
    <w:rsid w:val="00BE5922"/>
    <w:rsid w:val="00BE5FEC"/>
    <w:rsid w:val="00BE6460"/>
    <w:rsid w:val="00BE654A"/>
    <w:rsid w:val="00BE7D92"/>
    <w:rsid w:val="00BE7E69"/>
    <w:rsid w:val="00BE7FE4"/>
    <w:rsid w:val="00BF0F66"/>
    <w:rsid w:val="00BF294C"/>
    <w:rsid w:val="00BF4FFC"/>
    <w:rsid w:val="00BF5027"/>
    <w:rsid w:val="00BF5D4C"/>
    <w:rsid w:val="00BF7039"/>
    <w:rsid w:val="00BF7460"/>
    <w:rsid w:val="00C0039D"/>
    <w:rsid w:val="00C00560"/>
    <w:rsid w:val="00C011D6"/>
    <w:rsid w:val="00C012BA"/>
    <w:rsid w:val="00C01433"/>
    <w:rsid w:val="00C01717"/>
    <w:rsid w:val="00C01C1C"/>
    <w:rsid w:val="00C01E83"/>
    <w:rsid w:val="00C02700"/>
    <w:rsid w:val="00C05363"/>
    <w:rsid w:val="00C057A8"/>
    <w:rsid w:val="00C06197"/>
    <w:rsid w:val="00C0765A"/>
    <w:rsid w:val="00C10D21"/>
    <w:rsid w:val="00C11A22"/>
    <w:rsid w:val="00C11AAF"/>
    <w:rsid w:val="00C12B23"/>
    <w:rsid w:val="00C13B2C"/>
    <w:rsid w:val="00C13B3E"/>
    <w:rsid w:val="00C144C6"/>
    <w:rsid w:val="00C14637"/>
    <w:rsid w:val="00C1554E"/>
    <w:rsid w:val="00C20882"/>
    <w:rsid w:val="00C21368"/>
    <w:rsid w:val="00C22F31"/>
    <w:rsid w:val="00C23680"/>
    <w:rsid w:val="00C24E1B"/>
    <w:rsid w:val="00C26D19"/>
    <w:rsid w:val="00C271F5"/>
    <w:rsid w:val="00C308CB"/>
    <w:rsid w:val="00C3129D"/>
    <w:rsid w:val="00C31579"/>
    <w:rsid w:val="00C31602"/>
    <w:rsid w:val="00C31D8E"/>
    <w:rsid w:val="00C3273D"/>
    <w:rsid w:val="00C32D5D"/>
    <w:rsid w:val="00C33DD7"/>
    <w:rsid w:val="00C34DAE"/>
    <w:rsid w:val="00C350C8"/>
    <w:rsid w:val="00C3562F"/>
    <w:rsid w:val="00C35DAA"/>
    <w:rsid w:val="00C36418"/>
    <w:rsid w:val="00C36779"/>
    <w:rsid w:val="00C36B1A"/>
    <w:rsid w:val="00C3743F"/>
    <w:rsid w:val="00C40849"/>
    <w:rsid w:val="00C42A8F"/>
    <w:rsid w:val="00C43740"/>
    <w:rsid w:val="00C43853"/>
    <w:rsid w:val="00C45231"/>
    <w:rsid w:val="00C454BB"/>
    <w:rsid w:val="00C455A4"/>
    <w:rsid w:val="00C4601D"/>
    <w:rsid w:val="00C46C70"/>
    <w:rsid w:val="00C474A3"/>
    <w:rsid w:val="00C47AF0"/>
    <w:rsid w:val="00C50102"/>
    <w:rsid w:val="00C504F2"/>
    <w:rsid w:val="00C517A1"/>
    <w:rsid w:val="00C51D95"/>
    <w:rsid w:val="00C53197"/>
    <w:rsid w:val="00C56DC3"/>
    <w:rsid w:val="00C6027A"/>
    <w:rsid w:val="00C607C1"/>
    <w:rsid w:val="00C60DAD"/>
    <w:rsid w:val="00C60E86"/>
    <w:rsid w:val="00C619B5"/>
    <w:rsid w:val="00C62270"/>
    <w:rsid w:val="00C62498"/>
    <w:rsid w:val="00C63A3B"/>
    <w:rsid w:val="00C64BEE"/>
    <w:rsid w:val="00C65284"/>
    <w:rsid w:val="00C659AB"/>
    <w:rsid w:val="00C65D56"/>
    <w:rsid w:val="00C6628C"/>
    <w:rsid w:val="00C66462"/>
    <w:rsid w:val="00C67126"/>
    <w:rsid w:val="00C67A1F"/>
    <w:rsid w:val="00C67FFC"/>
    <w:rsid w:val="00C70013"/>
    <w:rsid w:val="00C70E5C"/>
    <w:rsid w:val="00C7382E"/>
    <w:rsid w:val="00C73F0D"/>
    <w:rsid w:val="00C75145"/>
    <w:rsid w:val="00C80D84"/>
    <w:rsid w:val="00C81AD6"/>
    <w:rsid w:val="00C8213C"/>
    <w:rsid w:val="00C8294E"/>
    <w:rsid w:val="00C845D6"/>
    <w:rsid w:val="00C86169"/>
    <w:rsid w:val="00C91B80"/>
    <w:rsid w:val="00C95BB9"/>
    <w:rsid w:val="00C95FEF"/>
    <w:rsid w:val="00C9619A"/>
    <w:rsid w:val="00C97D9A"/>
    <w:rsid w:val="00CA08ED"/>
    <w:rsid w:val="00CA1E99"/>
    <w:rsid w:val="00CA32D5"/>
    <w:rsid w:val="00CA440B"/>
    <w:rsid w:val="00CA4DF7"/>
    <w:rsid w:val="00CA58C5"/>
    <w:rsid w:val="00CA6C3E"/>
    <w:rsid w:val="00CA751D"/>
    <w:rsid w:val="00CB1860"/>
    <w:rsid w:val="00CB2AE5"/>
    <w:rsid w:val="00CB402F"/>
    <w:rsid w:val="00CB4546"/>
    <w:rsid w:val="00CB6294"/>
    <w:rsid w:val="00CB7A34"/>
    <w:rsid w:val="00CB7D01"/>
    <w:rsid w:val="00CB7F46"/>
    <w:rsid w:val="00CC0684"/>
    <w:rsid w:val="00CC2E7B"/>
    <w:rsid w:val="00CC53BF"/>
    <w:rsid w:val="00CC597E"/>
    <w:rsid w:val="00CC7911"/>
    <w:rsid w:val="00CD0715"/>
    <w:rsid w:val="00CD2FF0"/>
    <w:rsid w:val="00CD4398"/>
    <w:rsid w:val="00CD4E5E"/>
    <w:rsid w:val="00CD571E"/>
    <w:rsid w:val="00CD5AD5"/>
    <w:rsid w:val="00CD6C5C"/>
    <w:rsid w:val="00CE2180"/>
    <w:rsid w:val="00CE2533"/>
    <w:rsid w:val="00CE2685"/>
    <w:rsid w:val="00CE4FE2"/>
    <w:rsid w:val="00CE5469"/>
    <w:rsid w:val="00CE588C"/>
    <w:rsid w:val="00CE6B10"/>
    <w:rsid w:val="00CE6EEA"/>
    <w:rsid w:val="00CE7BEB"/>
    <w:rsid w:val="00CF0406"/>
    <w:rsid w:val="00CF2E1E"/>
    <w:rsid w:val="00CF2EBE"/>
    <w:rsid w:val="00CF3231"/>
    <w:rsid w:val="00CF37B2"/>
    <w:rsid w:val="00CF4857"/>
    <w:rsid w:val="00CF7B50"/>
    <w:rsid w:val="00CF7DEB"/>
    <w:rsid w:val="00D00142"/>
    <w:rsid w:val="00D009DD"/>
    <w:rsid w:val="00D016D1"/>
    <w:rsid w:val="00D0288E"/>
    <w:rsid w:val="00D04046"/>
    <w:rsid w:val="00D04D26"/>
    <w:rsid w:val="00D04F3D"/>
    <w:rsid w:val="00D05BBA"/>
    <w:rsid w:val="00D06817"/>
    <w:rsid w:val="00D076A8"/>
    <w:rsid w:val="00D12A94"/>
    <w:rsid w:val="00D16121"/>
    <w:rsid w:val="00D1721B"/>
    <w:rsid w:val="00D20076"/>
    <w:rsid w:val="00D20610"/>
    <w:rsid w:val="00D20D02"/>
    <w:rsid w:val="00D20DDE"/>
    <w:rsid w:val="00D24B3D"/>
    <w:rsid w:val="00D25C7D"/>
    <w:rsid w:val="00D26341"/>
    <w:rsid w:val="00D27509"/>
    <w:rsid w:val="00D2760C"/>
    <w:rsid w:val="00D30021"/>
    <w:rsid w:val="00D306C2"/>
    <w:rsid w:val="00D3073F"/>
    <w:rsid w:val="00D32538"/>
    <w:rsid w:val="00D34158"/>
    <w:rsid w:val="00D3424E"/>
    <w:rsid w:val="00D35132"/>
    <w:rsid w:val="00D35D7D"/>
    <w:rsid w:val="00D35EE8"/>
    <w:rsid w:val="00D40022"/>
    <w:rsid w:val="00D40A3C"/>
    <w:rsid w:val="00D4210F"/>
    <w:rsid w:val="00D447D3"/>
    <w:rsid w:val="00D44D86"/>
    <w:rsid w:val="00D450FB"/>
    <w:rsid w:val="00D45B05"/>
    <w:rsid w:val="00D463C3"/>
    <w:rsid w:val="00D467FD"/>
    <w:rsid w:val="00D50DEA"/>
    <w:rsid w:val="00D5112A"/>
    <w:rsid w:val="00D52457"/>
    <w:rsid w:val="00D554A2"/>
    <w:rsid w:val="00D5578A"/>
    <w:rsid w:val="00D56A85"/>
    <w:rsid w:val="00D60AD4"/>
    <w:rsid w:val="00D624A6"/>
    <w:rsid w:val="00D627CD"/>
    <w:rsid w:val="00D63840"/>
    <w:rsid w:val="00D643EF"/>
    <w:rsid w:val="00D6508E"/>
    <w:rsid w:val="00D65BD2"/>
    <w:rsid w:val="00D65C31"/>
    <w:rsid w:val="00D66709"/>
    <w:rsid w:val="00D67B1A"/>
    <w:rsid w:val="00D71D83"/>
    <w:rsid w:val="00D71DE7"/>
    <w:rsid w:val="00D73312"/>
    <w:rsid w:val="00D7348B"/>
    <w:rsid w:val="00D73CD7"/>
    <w:rsid w:val="00D76B8E"/>
    <w:rsid w:val="00D76E48"/>
    <w:rsid w:val="00D77442"/>
    <w:rsid w:val="00D80857"/>
    <w:rsid w:val="00D81239"/>
    <w:rsid w:val="00D817F1"/>
    <w:rsid w:val="00D81B3B"/>
    <w:rsid w:val="00D81C0D"/>
    <w:rsid w:val="00D8489D"/>
    <w:rsid w:val="00D85697"/>
    <w:rsid w:val="00D862A9"/>
    <w:rsid w:val="00D86F68"/>
    <w:rsid w:val="00D90865"/>
    <w:rsid w:val="00D94356"/>
    <w:rsid w:val="00D9488E"/>
    <w:rsid w:val="00D94ABA"/>
    <w:rsid w:val="00D95483"/>
    <w:rsid w:val="00D95927"/>
    <w:rsid w:val="00D95A5D"/>
    <w:rsid w:val="00D968A1"/>
    <w:rsid w:val="00D97CF1"/>
    <w:rsid w:val="00D97DF4"/>
    <w:rsid w:val="00DA162C"/>
    <w:rsid w:val="00DA202E"/>
    <w:rsid w:val="00DA2505"/>
    <w:rsid w:val="00DA3B8A"/>
    <w:rsid w:val="00DA6061"/>
    <w:rsid w:val="00DA61E5"/>
    <w:rsid w:val="00DA79D5"/>
    <w:rsid w:val="00DB2A3A"/>
    <w:rsid w:val="00DB2EB9"/>
    <w:rsid w:val="00DB3F35"/>
    <w:rsid w:val="00DB45B6"/>
    <w:rsid w:val="00DB62F1"/>
    <w:rsid w:val="00DB787C"/>
    <w:rsid w:val="00DB7E49"/>
    <w:rsid w:val="00DC0879"/>
    <w:rsid w:val="00DC173A"/>
    <w:rsid w:val="00DC1742"/>
    <w:rsid w:val="00DC1A00"/>
    <w:rsid w:val="00DC22B8"/>
    <w:rsid w:val="00DC38C2"/>
    <w:rsid w:val="00DC420C"/>
    <w:rsid w:val="00DC4394"/>
    <w:rsid w:val="00DC43BC"/>
    <w:rsid w:val="00DC4910"/>
    <w:rsid w:val="00DC4A69"/>
    <w:rsid w:val="00DC4A7D"/>
    <w:rsid w:val="00DC4B7C"/>
    <w:rsid w:val="00DC528C"/>
    <w:rsid w:val="00DC52C8"/>
    <w:rsid w:val="00DC71B1"/>
    <w:rsid w:val="00DD245B"/>
    <w:rsid w:val="00DD4D13"/>
    <w:rsid w:val="00DD7049"/>
    <w:rsid w:val="00DE229C"/>
    <w:rsid w:val="00DE23D8"/>
    <w:rsid w:val="00DE2F05"/>
    <w:rsid w:val="00DE62A9"/>
    <w:rsid w:val="00DE78FD"/>
    <w:rsid w:val="00DE7F72"/>
    <w:rsid w:val="00DF0499"/>
    <w:rsid w:val="00DF23C5"/>
    <w:rsid w:val="00DF26E7"/>
    <w:rsid w:val="00DF2CC5"/>
    <w:rsid w:val="00DF3D7B"/>
    <w:rsid w:val="00DF4A03"/>
    <w:rsid w:val="00DF4BF9"/>
    <w:rsid w:val="00DF57DD"/>
    <w:rsid w:val="00DF5A23"/>
    <w:rsid w:val="00DF5F49"/>
    <w:rsid w:val="00DF6A6F"/>
    <w:rsid w:val="00E01931"/>
    <w:rsid w:val="00E01E87"/>
    <w:rsid w:val="00E043ED"/>
    <w:rsid w:val="00E04E44"/>
    <w:rsid w:val="00E04EF7"/>
    <w:rsid w:val="00E05345"/>
    <w:rsid w:val="00E05372"/>
    <w:rsid w:val="00E05D4B"/>
    <w:rsid w:val="00E06146"/>
    <w:rsid w:val="00E06528"/>
    <w:rsid w:val="00E06823"/>
    <w:rsid w:val="00E06A60"/>
    <w:rsid w:val="00E06B8F"/>
    <w:rsid w:val="00E07317"/>
    <w:rsid w:val="00E073FF"/>
    <w:rsid w:val="00E075AA"/>
    <w:rsid w:val="00E0797D"/>
    <w:rsid w:val="00E11EC4"/>
    <w:rsid w:val="00E13074"/>
    <w:rsid w:val="00E13397"/>
    <w:rsid w:val="00E14403"/>
    <w:rsid w:val="00E14ABF"/>
    <w:rsid w:val="00E14C16"/>
    <w:rsid w:val="00E162CE"/>
    <w:rsid w:val="00E16EA5"/>
    <w:rsid w:val="00E213EC"/>
    <w:rsid w:val="00E21679"/>
    <w:rsid w:val="00E2180E"/>
    <w:rsid w:val="00E22EB0"/>
    <w:rsid w:val="00E2301D"/>
    <w:rsid w:val="00E24A77"/>
    <w:rsid w:val="00E25B59"/>
    <w:rsid w:val="00E2748A"/>
    <w:rsid w:val="00E307DD"/>
    <w:rsid w:val="00E31AA8"/>
    <w:rsid w:val="00E31EFA"/>
    <w:rsid w:val="00E32319"/>
    <w:rsid w:val="00E3264B"/>
    <w:rsid w:val="00E32696"/>
    <w:rsid w:val="00E35C96"/>
    <w:rsid w:val="00E36686"/>
    <w:rsid w:val="00E37AE1"/>
    <w:rsid w:val="00E41D9C"/>
    <w:rsid w:val="00E44D66"/>
    <w:rsid w:val="00E46845"/>
    <w:rsid w:val="00E46D80"/>
    <w:rsid w:val="00E477C3"/>
    <w:rsid w:val="00E52CCD"/>
    <w:rsid w:val="00E53420"/>
    <w:rsid w:val="00E556A0"/>
    <w:rsid w:val="00E603AB"/>
    <w:rsid w:val="00E60F1E"/>
    <w:rsid w:val="00E614F4"/>
    <w:rsid w:val="00E61722"/>
    <w:rsid w:val="00E621AB"/>
    <w:rsid w:val="00E633D8"/>
    <w:rsid w:val="00E64170"/>
    <w:rsid w:val="00E6496A"/>
    <w:rsid w:val="00E6627C"/>
    <w:rsid w:val="00E66858"/>
    <w:rsid w:val="00E700A8"/>
    <w:rsid w:val="00E71100"/>
    <w:rsid w:val="00E74A59"/>
    <w:rsid w:val="00E75300"/>
    <w:rsid w:val="00E75EC4"/>
    <w:rsid w:val="00E76009"/>
    <w:rsid w:val="00E77FC9"/>
    <w:rsid w:val="00E8228B"/>
    <w:rsid w:val="00E8247B"/>
    <w:rsid w:val="00E845BB"/>
    <w:rsid w:val="00E84F73"/>
    <w:rsid w:val="00E85AAD"/>
    <w:rsid w:val="00E87196"/>
    <w:rsid w:val="00E90629"/>
    <w:rsid w:val="00E90E97"/>
    <w:rsid w:val="00E90FE6"/>
    <w:rsid w:val="00E91309"/>
    <w:rsid w:val="00E921AB"/>
    <w:rsid w:val="00E958E7"/>
    <w:rsid w:val="00E96A76"/>
    <w:rsid w:val="00EA03F3"/>
    <w:rsid w:val="00EA1227"/>
    <w:rsid w:val="00EA2570"/>
    <w:rsid w:val="00EA3133"/>
    <w:rsid w:val="00EA4487"/>
    <w:rsid w:val="00EA5B91"/>
    <w:rsid w:val="00EA5F4D"/>
    <w:rsid w:val="00EA609A"/>
    <w:rsid w:val="00EA6709"/>
    <w:rsid w:val="00EA78BD"/>
    <w:rsid w:val="00EB0375"/>
    <w:rsid w:val="00EB0872"/>
    <w:rsid w:val="00EB0CB8"/>
    <w:rsid w:val="00EB1C94"/>
    <w:rsid w:val="00EB2070"/>
    <w:rsid w:val="00EB2CCF"/>
    <w:rsid w:val="00EB384D"/>
    <w:rsid w:val="00EB3A61"/>
    <w:rsid w:val="00EB3EC6"/>
    <w:rsid w:val="00EB4022"/>
    <w:rsid w:val="00EB462B"/>
    <w:rsid w:val="00EB4BD7"/>
    <w:rsid w:val="00EB5874"/>
    <w:rsid w:val="00EB62C5"/>
    <w:rsid w:val="00EC220B"/>
    <w:rsid w:val="00EC432A"/>
    <w:rsid w:val="00EC60BA"/>
    <w:rsid w:val="00EC6979"/>
    <w:rsid w:val="00EC7DB6"/>
    <w:rsid w:val="00ED0AAB"/>
    <w:rsid w:val="00ED0CC7"/>
    <w:rsid w:val="00ED1A75"/>
    <w:rsid w:val="00ED2B9C"/>
    <w:rsid w:val="00ED3041"/>
    <w:rsid w:val="00ED3594"/>
    <w:rsid w:val="00ED38F3"/>
    <w:rsid w:val="00ED4734"/>
    <w:rsid w:val="00ED7C96"/>
    <w:rsid w:val="00EE0900"/>
    <w:rsid w:val="00EE0DE0"/>
    <w:rsid w:val="00EE1E11"/>
    <w:rsid w:val="00EE2907"/>
    <w:rsid w:val="00EE37E5"/>
    <w:rsid w:val="00EE3B08"/>
    <w:rsid w:val="00EE534B"/>
    <w:rsid w:val="00EE53D1"/>
    <w:rsid w:val="00EE701F"/>
    <w:rsid w:val="00EE730C"/>
    <w:rsid w:val="00EE770E"/>
    <w:rsid w:val="00EE7D7F"/>
    <w:rsid w:val="00EE7EBD"/>
    <w:rsid w:val="00EF05D1"/>
    <w:rsid w:val="00EF119E"/>
    <w:rsid w:val="00EF2553"/>
    <w:rsid w:val="00EF3592"/>
    <w:rsid w:val="00EF655D"/>
    <w:rsid w:val="00EF6815"/>
    <w:rsid w:val="00EF6B87"/>
    <w:rsid w:val="00EF6E8E"/>
    <w:rsid w:val="00EF747E"/>
    <w:rsid w:val="00EF764F"/>
    <w:rsid w:val="00F039FC"/>
    <w:rsid w:val="00F04C20"/>
    <w:rsid w:val="00F04C92"/>
    <w:rsid w:val="00F0513E"/>
    <w:rsid w:val="00F051EE"/>
    <w:rsid w:val="00F05F6D"/>
    <w:rsid w:val="00F11962"/>
    <w:rsid w:val="00F12968"/>
    <w:rsid w:val="00F12FC0"/>
    <w:rsid w:val="00F13A5D"/>
    <w:rsid w:val="00F13A7E"/>
    <w:rsid w:val="00F143DA"/>
    <w:rsid w:val="00F1456D"/>
    <w:rsid w:val="00F179F9"/>
    <w:rsid w:val="00F204EB"/>
    <w:rsid w:val="00F20C70"/>
    <w:rsid w:val="00F21791"/>
    <w:rsid w:val="00F229B4"/>
    <w:rsid w:val="00F23CCD"/>
    <w:rsid w:val="00F24079"/>
    <w:rsid w:val="00F24646"/>
    <w:rsid w:val="00F259A5"/>
    <w:rsid w:val="00F27399"/>
    <w:rsid w:val="00F274F8"/>
    <w:rsid w:val="00F275ED"/>
    <w:rsid w:val="00F30563"/>
    <w:rsid w:val="00F3147D"/>
    <w:rsid w:val="00F31CD4"/>
    <w:rsid w:val="00F322E9"/>
    <w:rsid w:val="00F3319E"/>
    <w:rsid w:val="00F33F95"/>
    <w:rsid w:val="00F348CD"/>
    <w:rsid w:val="00F359CA"/>
    <w:rsid w:val="00F3660F"/>
    <w:rsid w:val="00F369D0"/>
    <w:rsid w:val="00F370D1"/>
    <w:rsid w:val="00F4231D"/>
    <w:rsid w:val="00F42923"/>
    <w:rsid w:val="00F43181"/>
    <w:rsid w:val="00F477BB"/>
    <w:rsid w:val="00F47E3F"/>
    <w:rsid w:val="00F51720"/>
    <w:rsid w:val="00F51BE0"/>
    <w:rsid w:val="00F520AA"/>
    <w:rsid w:val="00F52AA6"/>
    <w:rsid w:val="00F537CC"/>
    <w:rsid w:val="00F538BB"/>
    <w:rsid w:val="00F53DBD"/>
    <w:rsid w:val="00F5461D"/>
    <w:rsid w:val="00F554A1"/>
    <w:rsid w:val="00F56071"/>
    <w:rsid w:val="00F57687"/>
    <w:rsid w:val="00F57B2F"/>
    <w:rsid w:val="00F6072C"/>
    <w:rsid w:val="00F612BD"/>
    <w:rsid w:val="00F6153A"/>
    <w:rsid w:val="00F63CBA"/>
    <w:rsid w:val="00F653F1"/>
    <w:rsid w:val="00F65983"/>
    <w:rsid w:val="00F674D2"/>
    <w:rsid w:val="00F67D21"/>
    <w:rsid w:val="00F70281"/>
    <w:rsid w:val="00F712D3"/>
    <w:rsid w:val="00F72119"/>
    <w:rsid w:val="00F7309A"/>
    <w:rsid w:val="00F735CA"/>
    <w:rsid w:val="00F73BFE"/>
    <w:rsid w:val="00F73DE4"/>
    <w:rsid w:val="00F744BE"/>
    <w:rsid w:val="00F74A55"/>
    <w:rsid w:val="00F753CA"/>
    <w:rsid w:val="00F77C6F"/>
    <w:rsid w:val="00F817BF"/>
    <w:rsid w:val="00F81836"/>
    <w:rsid w:val="00F81B4A"/>
    <w:rsid w:val="00F825FE"/>
    <w:rsid w:val="00F8329E"/>
    <w:rsid w:val="00F83FAF"/>
    <w:rsid w:val="00F84A9D"/>
    <w:rsid w:val="00F8674A"/>
    <w:rsid w:val="00F9013F"/>
    <w:rsid w:val="00F90469"/>
    <w:rsid w:val="00F9213C"/>
    <w:rsid w:val="00F92426"/>
    <w:rsid w:val="00F92AA0"/>
    <w:rsid w:val="00F95A50"/>
    <w:rsid w:val="00F971E0"/>
    <w:rsid w:val="00F9772E"/>
    <w:rsid w:val="00FA0437"/>
    <w:rsid w:val="00FA17AC"/>
    <w:rsid w:val="00FA1A74"/>
    <w:rsid w:val="00FA1D3B"/>
    <w:rsid w:val="00FA3229"/>
    <w:rsid w:val="00FA35ED"/>
    <w:rsid w:val="00FA3D87"/>
    <w:rsid w:val="00FA4D8E"/>
    <w:rsid w:val="00FA542A"/>
    <w:rsid w:val="00FA56B6"/>
    <w:rsid w:val="00FA6395"/>
    <w:rsid w:val="00FA755A"/>
    <w:rsid w:val="00FA7F57"/>
    <w:rsid w:val="00FB1646"/>
    <w:rsid w:val="00FB33B0"/>
    <w:rsid w:val="00FB4BEB"/>
    <w:rsid w:val="00FB4C42"/>
    <w:rsid w:val="00FB54CE"/>
    <w:rsid w:val="00FB5915"/>
    <w:rsid w:val="00FB6545"/>
    <w:rsid w:val="00FB6B23"/>
    <w:rsid w:val="00FB7CDC"/>
    <w:rsid w:val="00FC0510"/>
    <w:rsid w:val="00FC0706"/>
    <w:rsid w:val="00FC0D54"/>
    <w:rsid w:val="00FC16E0"/>
    <w:rsid w:val="00FC1BF1"/>
    <w:rsid w:val="00FC2EEA"/>
    <w:rsid w:val="00FC46AA"/>
    <w:rsid w:val="00FC5296"/>
    <w:rsid w:val="00FC587B"/>
    <w:rsid w:val="00FC5C22"/>
    <w:rsid w:val="00FC7820"/>
    <w:rsid w:val="00FD17DA"/>
    <w:rsid w:val="00FD1B18"/>
    <w:rsid w:val="00FD233A"/>
    <w:rsid w:val="00FD2E87"/>
    <w:rsid w:val="00FD36B2"/>
    <w:rsid w:val="00FD4C53"/>
    <w:rsid w:val="00FD68FC"/>
    <w:rsid w:val="00FD6E06"/>
    <w:rsid w:val="00FD7B60"/>
    <w:rsid w:val="00FE0607"/>
    <w:rsid w:val="00FE0925"/>
    <w:rsid w:val="00FE0C4A"/>
    <w:rsid w:val="00FE104C"/>
    <w:rsid w:val="00FE1933"/>
    <w:rsid w:val="00FE1AD6"/>
    <w:rsid w:val="00FE271B"/>
    <w:rsid w:val="00FE4BCB"/>
    <w:rsid w:val="00FE61EA"/>
    <w:rsid w:val="00FF1811"/>
    <w:rsid w:val="00FF28F8"/>
    <w:rsid w:val="00FF2947"/>
    <w:rsid w:val="00FF45A9"/>
    <w:rsid w:val="00FF6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89" style="mso-position-horizontal:center;mso-position-horizontal-relative:margin;mso-position-vertical:center;mso-position-vertical-relative:margin" o:allowincell="f" fillcolor="silver" stroke="f">
      <v:fill color="silver" opacity=".5"/>
      <v:stroke on="f"/>
    </o:shapedefaults>
    <o:shapelayout v:ext="edit">
      <o:idmap v:ext="edit" data="1"/>
    </o:shapelayout>
  </w:shapeDefaults>
  <w:decimalSymbol w:val="."/>
  <w:listSeparator w:val=","/>
  <w15:docId w15:val="{939BB826-6528-4AB3-B13F-860F39C9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CDA"/>
    <w:pPr>
      <w:spacing w:before="220" w:after="220" w:line="280" w:lineRule="exact"/>
    </w:pPr>
  </w:style>
  <w:style w:type="paragraph" w:styleId="Heading1">
    <w:name w:val="heading 1"/>
    <w:aliases w:val="numbered"/>
    <w:basedOn w:val="Normal"/>
    <w:next w:val="Normal"/>
    <w:link w:val="Heading1Char"/>
    <w:qFormat/>
    <w:rsid w:val="000B0846"/>
    <w:pPr>
      <w:keepNext/>
      <w:keepLines/>
      <w:spacing w:before="7600" w:after="480"/>
      <w:jc w:val="right"/>
      <w:outlineLvl w:val="0"/>
    </w:pPr>
    <w:rPr>
      <w:rFonts w:ascii="Arial Narrow" w:eastAsiaTheme="majorEastAsia" w:hAnsi="Arial Narrow" w:cstheme="majorBidi"/>
      <w:smallCaps/>
      <w:sz w:val="42"/>
      <w:szCs w:val="32"/>
    </w:rPr>
  </w:style>
  <w:style w:type="paragraph" w:styleId="Heading2">
    <w:name w:val="heading 2"/>
    <w:basedOn w:val="Normal"/>
    <w:next w:val="Normal"/>
    <w:link w:val="Heading2Char"/>
    <w:autoRedefine/>
    <w:unhideWhenUsed/>
    <w:qFormat/>
    <w:rsid w:val="00AC094E"/>
    <w:pPr>
      <w:keepNext/>
      <w:keepLines/>
      <w:spacing w:before="320" w:after="320" w:line="280" w:lineRule="atLeast"/>
      <w:outlineLvl w:val="1"/>
    </w:pPr>
    <w:rPr>
      <w:rFonts w:ascii="Arial Narrow" w:eastAsia="Times New Roman" w:hAnsi="Arial Narrow" w:cstheme="majorBidi"/>
      <w:smallCaps/>
      <w:kern w:val="32"/>
      <w:sz w:val="44"/>
      <w:szCs w:val="44"/>
    </w:rPr>
  </w:style>
  <w:style w:type="paragraph" w:styleId="Heading3">
    <w:name w:val="heading 3"/>
    <w:basedOn w:val="Normal"/>
    <w:next w:val="Normal"/>
    <w:link w:val="Heading3Char"/>
    <w:unhideWhenUsed/>
    <w:qFormat/>
    <w:rsid w:val="0021195E"/>
    <w:pPr>
      <w:keepNext/>
      <w:keepLines/>
      <w:spacing w:before="240" w:after="240"/>
      <w:outlineLvl w:val="2"/>
    </w:pPr>
    <w:rPr>
      <w:rFonts w:ascii="Arial Narrow" w:eastAsiaTheme="majorEastAsia" w:hAnsi="Arial Narrow" w:cstheme="majorBidi"/>
      <w:smallCaps/>
      <w:sz w:val="30"/>
      <w:szCs w:val="24"/>
    </w:rPr>
  </w:style>
  <w:style w:type="paragraph" w:styleId="Heading4">
    <w:name w:val="heading 4"/>
    <w:aliases w:val="Heading 4 numbered"/>
    <w:basedOn w:val="Normal"/>
    <w:next w:val="Normal"/>
    <w:link w:val="Heading4Char"/>
    <w:uiPriority w:val="9"/>
    <w:unhideWhenUsed/>
    <w:qFormat/>
    <w:rsid w:val="000C30A9"/>
    <w:pPr>
      <w:keepNext/>
      <w:keepLines/>
      <w:spacing w:before="240" w:after="240"/>
      <w:outlineLvl w:val="3"/>
    </w:pPr>
    <w:rPr>
      <w:rFonts w:ascii="Arial Narrow" w:eastAsiaTheme="majorEastAsia" w:hAnsi="Arial Narrow" w:cstheme="majorBidi"/>
      <w:b/>
      <w:iCs/>
      <w:smallCaps/>
      <w:sz w:val="26"/>
    </w:rPr>
  </w:style>
  <w:style w:type="paragraph" w:styleId="Heading5">
    <w:name w:val="heading 5"/>
    <w:basedOn w:val="Heading6"/>
    <w:next w:val="Normal"/>
    <w:link w:val="Heading5Char"/>
    <w:uiPriority w:val="9"/>
    <w:unhideWhenUsed/>
    <w:qFormat/>
    <w:rsid w:val="00FA3D87"/>
    <w:pPr>
      <w:keepLines w:val="0"/>
      <w:outlineLvl w:val="4"/>
    </w:pPr>
    <w:rPr>
      <w:rFonts w:ascii="Arial Narrow" w:eastAsia="Calibri" w:hAnsi="Arial Narrow"/>
      <w:i w:val="0"/>
      <w:iCs w:val="0"/>
      <w:smallCaps/>
      <w:szCs w:val="24"/>
      <w:lang w:eastAsia="en-AU"/>
    </w:rPr>
  </w:style>
  <w:style w:type="paragraph" w:styleId="Heading6">
    <w:name w:val="heading 6"/>
    <w:basedOn w:val="Heading7"/>
    <w:next w:val="Normal"/>
    <w:link w:val="Heading6Char"/>
    <w:uiPriority w:val="9"/>
    <w:unhideWhenUsed/>
    <w:qFormat/>
    <w:rsid w:val="005C7610"/>
    <w:pPr>
      <w:spacing w:before="220" w:after="220"/>
      <w:outlineLvl w:val="5"/>
    </w:pPr>
    <w:rPr>
      <w:rFonts w:ascii="Calibri" w:hAnsi="Calibri"/>
      <w:i/>
      <w:smallCaps w:val="0"/>
    </w:rPr>
  </w:style>
  <w:style w:type="paragraph" w:styleId="Heading7">
    <w:name w:val="heading 7"/>
    <w:basedOn w:val="Normal"/>
    <w:next w:val="Normal"/>
    <w:link w:val="Heading7Char"/>
    <w:unhideWhenUsed/>
    <w:qFormat/>
    <w:rsid w:val="00B27573"/>
    <w:pPr>
      <w:keepNext/>
      <w:keepLines/>
      <w:spacing w:before="240" w:after="240"/>
      <w:outlineLvl w:val="6"/>
    </w:pPr>
    <w:rPr>
      <w:rFonts w:eastAsiaTheme="majorEastAsia" w:cstheme="majorBidi"/>
      <w:iCs/>
      <w:smallCaps/>
    </w:rPr>
  </w:style>
  <w:style w:type="paragraph" w:styleId="Heading8">
    <w:name w:val="heading 8"/>
    <w:basedOn w:val="Normal"/>
    <w:next w:val="Normal"/>
    <w:link w:val="Heading8Char"/>
    <w:uiPriority w:val="9"/>
    <w:unhideWhenUsed/>
    <w:qFormat/>
    <w:rsid w:val="00713E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13E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846"/>
  </w:style>
  <w:style w:type="paragraph" w:styleId="Footer">
    <w:name w:val="footer"/>
    <w:basedOn w:val="Normal"/>
    <w:link w:val="FooterChar"/>
    <w:uiPriority w:val="99"/>
    <w:unhideWhenUsed/>
    <w:rsid w:val="000B0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846"/>
  </w:style>
  <w:style w:type="character" w:customStyle="1" w:styleId="Heading1Char">
    <w:name w:val="Heading 1 Char"/>
    <w:aliases w:val="numbered Char"/>
    <w:basedOn w:val="DefaultParagraphFont"/>
    <w:link w:val="Heading1"/>
    <w:rsid w:val="000B0846"/>
    <w:rPr>
      <w:rFonts w:ascii="Arial Narrow" w:eastAsiaTheme="majorEastAsia" w:hAnsi="Arial Narrow" w:cstheme="majorBidi"/>
      <w:smallCaps/>
      <w:sz w:val="42"/>
      <w:szCs w:val="32"/>
    </w:rPr>
  </w:style>
  <w:style w:type="character" w:customStyle="1" w:styleId="Heading2Char">
    <w:name w:val="Heading 2 Char"/>
    <w:basedOn w:val="DefaultParagraphFont"/>
    <w:link w:val="Heading2"/>
    <w:rsid w:val="00AC094E"/>
    <w:rPr>
      <w:rFonts w:ascii="Arial Narrow" w:eastAsia="Times New Roman" w:hAnsi="Arial Narrow" w:cstheme="majorBidi"/>
      <w:smallCaps/>
      <w:kern w:val="32"/>
      <w:sz w:val="44"/>
      <w:szCs w:val="44"/>
    </w:rPr>
  </w:style>
  <w:style w:type="character" w:customStyle="1" w:styleId="Heading3Char">
    <w:name w:val="Heading 3 Char"/>
    <w:basedOn w:val="DefaultParagraphFont"/>
    <w:link w:val="Heading3"/>
    <w:rsid w:val="0021195E"/>
    <w:rPr>
      <w:rFonts w:ascii="Arial Narrow" w:eastAsiaTheme="majorEastAsia" w:hAnsi="Arial Narrow" w:cstheme="majorBidi"/>
      <w:smallCaps/>
      <w:sz w:val="30"/>
      <w:szCs w:val="24"/>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列出段,列出,列"/>
    <w:basedOn w:val="Normal"/>
    <w:link w:val="ListParagraphChar"/>
    <w:uiPriority w:val="34"/>
    <w:qFormat/>
    <w:rsid w:val="00F6072C"/>
    <w:pPr>
      <w:ind w:left="720"/>
      <w:contextualSpacing/>
    </w:pPr>
  </w:style>
  <w:style w:type="paragraph" w:styleId="BalloonText">
    <w:name w:val="Balloon Text"/>
    <w:basedOn w:val="Normal"/>
    <w:link w:val="BalloonTextChar"/>
    <w:semiHidden/>
    <w:unhideWhenUsed/>
    <w:rsid w:val="00713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3E5C"/>
    <w:rPr>
      <w:rFonts w:ascii="Segoe UI" w:hAnsi="Segoe UI" w:cs="Segoe UI"/>
      <w:sz w:val="18"/>
      <w:szCs w:val="18"/>
    </w:rPr>
  </w:style>
  <w:style w:type="paragraph" w:styleId="Bibliography">
    <w:name w:val="Bibliography"/>
    <w:basedOn w:val="Normal"/>
    <w:next w:val="Normal"/>
    <w:uiPriority w:val="37"/>
    <w:semiHidden/>
    <w:unhideWhenUsed/>
    <w:rsid w:val="00713E5C"/>
  </w:style>
  <w:style w:type="paragraph" w:styleId="BlockText">
    <w:name w:val="Block Text"/>
    <w:basedOn w:val="Normal"/>
    <w:uiPriority w:val="99"/>
    <w:semiHidden/>
    <w:unhideWhenUsed/>
    <w:rsid w:val="00713E5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nhideWhenUsed/>
    <w:rsid w:val="00713E5C"/>
    <w:pPr>
      <w:spacing w:after="120"/>
    </w:pPr>
  </w:style>
  <w:style w:type="character" w:customStyle="1" w:styleId="BodyTextChar">
    <w:name w:val="Body Text Char"/>
    <w:basedOn w:val="DefaultParagraphFont"/>
    <w:link w:val="BodyText"/>
    <w:rsid w:val="00713E5C"/>
  </w:style>
  <w:style w:type="paragraph" w:styleId="BodyText2">
    <w:name w:val="Body Text 2"/>
    <w:basedOn w:val="Normal"/>
    <w:link w:val="BodyText2Char"/>
    <w:uiPriority w:val="99"/>
    <w:semiHidden/>
    <w:unhideWhenUsed/>
    <w:rsid w:val="00713E5C"/>
    <w:pPr>
      <w:spacing w:after="120" w:line="480" w:lineRule="auto"/>
    </w:pPr>
  </w:style>
  <w:style w:type="character" w:customStyle="1" w:styleId="BodyText2Char">
    <w:name w:val="Body Text 2 Char"/>
    <w:basedOn w:val="DefaultParagraphFont"/>
    <w:link w:val="BodyText2"/>
    <w:uiPriority w:val="99"/>
    <w:semiHidden/>
    <w:rsid w:val="00713E5C"/>
  </w:style>
  <w:style w:type="paragraph" w:styleId="BodyText3">
    <w:name w:val="Body Text 3"/>
    <w:basedOn w:val="Normal"/>
    <w:link w:val="BodyText3Char"/>
    <w:uiPriority w:val="99"/>
    <w:semiHidden/>
    <w:unhideWhenUsed/>
    <w:rsid w:val="00713E5C"/>
    <w:pPr>
      <w:spacing w:after="120"/>
    </w:pPr>
    <w:rPr>
      <w:sz w:val="16"/>
      <w:szCs w:val="16"/>
    </w:rPr>
  </w:style>
  <w:style w:type="character" w:customStyle="1" w:styleId="BodyText3Char">
    <w:name w:val="Body Text 3 Char"/>
    <w:basedOn w:val="DefaultParagraphFont"/>
    <w:link w:val="BodyText3"/>
    <w:uiPriority w:val="99"/>
    <w:semiHidden/>
    <w:rsid w:val="00713E5C"/>
    <w:rPr>
      <w:sz w:val="16"/>
      <w:szCs w:val="16"/>
    </w:rPr>
  </w:style>
  <w:style w:type="paragraph" w:styleId="BodyTextFirstIndent">
    <w:name w:val="Body Text First Indent"/>
    <w:basedOn w:val="BodyText"/>
    <w:link w:val="BodyTextFirstIndentChar"/>
    <w:uiPriority w:val="99"/>
    <w:semiHidden/>
    <w:unhideWhenUsed/>
    <w:rsid w:val="00713E5C"/>
    <w:pPr>
      <w:spacing w:after="160"/>
      <w:ind w:firstLine="360"/>
    </w:pPr>
  </w:style>
  <w:style w:type="character" w:customStyle="1" w:styleId="BodyTextFirstIndentChar">
    <w:name w:val="Body Text First Indent Char"/>
    <w:basedOn w:val="BodyTextChar"/>
    <w:link w:val="BodyTextFirstIndent"/>
    <w:uiPriority w:val="99"/>
    <w:semiHidden/>
    <w:rsid w:val="00713E5C"/>
  </w:style>
  <w:style w:type="paragraph" w:styleId="BodyTextIndent">
    <w:name w:val="Body Text Indent"/>
    <w:basedOn w:val="Normal"/>
    <w:link w:val="BodyTextIndentChar"/>
    <w:unhideWhenUsed/>
    <w:rsid w:val="00713E5C"/>
    <w:pPr>
      <w:spacing w:after="120"/>
      <w:ind w:left="283"/>
    </w:pPr>
  </w:style>
  <w:style w:type="character" w:customStyle="1" w:styleId="BodyTextIndentChar">
    <w:name w:val="Body Text Indent Char"/>
    <w:basedOn w:val="DefaultParagraphFont"/>
    <w:link w:val="BodyTextIndent"/>
    <w:rsid w:val="00713E5C"/>
  </w:style>
  <w:style w:type="paragraph" w:styleId="BodyTextFirstIndent2">
    <w:name w:val="Body Text First Indent 2"/>
    <w:basedOn w:val="BodyTextIndent"/>
    <w:link w:val="BodyTextFirstIndent2Char"/>
    <w:uiPriority w:val="99"/>
    <w:semiHidden/>
    <w:unhideWhenUsed/>
    <w:rsid w:val="00713E5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13E5C"/>
  </w:style>
  <w:style w:type="paragraph" w:styleId="BodyTextIndent2">
    <w:name w:val="Body Text Indent 2"/>
    <w:basedOn w:val="Normal"/>
    <w:link w:val="BodyTextIndent2Char"/>
    <w:uiPriority w:val="99"/>
    <w:semiHidden/>
    <w:unhideWhenUsed/>
    <w:rsid w:val="00713E5C"/>
    <w:pPr>
      <w:spacing w:after="120" w:line="480" w:lineRule="auto"/>
      <w:ind w:left="283"/>
    </w:pPr>
  </w:style>
  <w:style w:type="character" w:customStyle="1" w:styleId="BodyTextIndent2Char">
    <w:name w:val="Body Text Indent 2 Char"/>
    <w:basedOn w:val="DefaultParagraphFont"/>
    <w:link w:val="BodyTextIndent2"/>
    <w:uiPriority w:val="99"/>
    <w:semiHidden/>
    <w:rsid w:val="00713E5C"/>
  </w:style>
  <w:style w:type="paragraph" w:styleId="BodyTextIndent3">
    <w:name w:val="Body Text Indent 3"/>
    <w:basedOn w:val="Normal"/>
    <w:link w:val="BodyTextIndent3Char"/>
    <w:uiPriority w:val="99"/>
    <w:semiHidden/>
    <w:unhideWhenUsed/>
    <w:rsid w:val="00713E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13E5C"/>
    <w:rPr>
      <w:sz w:val="16"/>
      <w:szCs w:val="16"/>
    </w:rPr>
  </w:style>
  <w:style w:type="paragraph" w:styleId="Caption">
    <w:name w:val="caption"/>
    <w:basedOn w:val="Normal"/>
    <w:next w:val="Normal"/>
    <w:unhideWhenUsed/>
    <w:qFormat/>
    <w:rsid w:val="00713E5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13E5C"/>
    <w:pPr>
      <w:spacing w:after="0" w:line="240" w:lineRule="auto"/>
      <w:ind w:left="4252"/>
    </w:pPr>
  </w:style>
  <w:style w:type="character" w:customStyle="1" w:styleId="ClosingChar">
    <w:name w:val="Closing Char"/>
    <w:basedOn w:val="DefaultParagraphFont"/>
    <w:link w:val="Closing"/>
    <w:uiPriority w:val="99"/>
    <w:semiHidden/>
    <w:rsid w:val="00713E5C"/>
  </w:style>
  <w:style w:type="paragraph" w:styleId="CommentText">
    <w:name w:val="annotation text"/>
    <w:basedOn w:val="Normal"/>
    <w:link w:val="CommentTextChar"/>
    <w:unhideWhenUsed/>
    <w:rsid w:val="00713E5C"/>
    <w:pPr>
      <w:spacing w:line="240" w:lineRule="auto"/>
    </w:pPr>
    <w:rPr>
      <w:sz w:val="20"/>
      <w:szCs w:val="20"/>
    </w:rPr>
  </w:style>
  <w:style w:type="character" w:customStyle="1" w:styleId="CommentTextChar">
    <w:name w:val="Comment Text Char"/>
    <w:basedOn w:val="DefaultParagraphFont"/>
    <w:link w:val="CommentText"/>
    <w:rsid w:val="00713E5C"/>
    <w:rPr>
      <w:sz w:val="20"/>
      <w:szCs w:val="20"/>
    </w:rPr>
  </w:style>
  <w:style w:type="paragraph" w:styleId="CommentSubject">
    <w:name w:val="annotation subject"/>
    <w:basedOn w:val="CommentText"/>
    <w:next w:val="CommentText"/>
    <w:link w:val="CommentSubjectChar"/>
    <w:unhideWhenUsed/>
    <w:rsid w:val="00713E5C"/>
    <w:rPr>
      <w:b/>
      <w:bCs/>
    </w:rPr>
  </w:style>
  <w:style w:type="character" w:customStyle="1" w:styleId="CommentSubjectChar">
    <w:name w:val="Comment Subject Char"/>
    <w:basedOn w:val="CommentTextChar"/>
    <w:link w:val="CommentSubject"/>
    <w:rsid w:val="00713E5C"/>
    <w:rPr>
      <w:b/>
      <w:bCs/>
      <w:sz w:val="20"/>
      <w:szCs w:val="20"/>
    </w:rPr>
  </w:style>
  <w:style w:type="paragraph" w:styleId="Date">
    <w:name w:val="Date"/>
    <w:basedOn w:val="Normal"/>
    <w:next w:val="Normal"/>
    <w:link w:val="DateChar"/>
    <w:uiPriority w:val="99"/>
    <w:semiHidden/>
    <w:unhideWhenUsed/>
    <w:rsid w:val="00713E5C"/>
  </w:style>
  <w:style w:type="character" w:customStyle="1" w:styleId="DateChar">
    <w:name w:val="Date Char"/>
    <w:basedOn w:val="DefaultParagraphFont"/>
    <w:link w:val="Date"/>
    <w:uiPriority w:val="99"/>
    <w:semiHidden/>
    <w:rsid w:val="00713E5C"/>
  </w:style>
  <w:style w:type="paragraph" w:styleId="DocumentMap">
    <w:name w:val="Document Map"/>
    <w:basedOn w:val="Normal"/>
    <w:link w:val="DocumentMapChar"/>
    <w:uiPriority w:val="99"/>
    <w:semiHidden/>
    <w:unhideWhenUsed/>
    <w:rsid w:val="00713E5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13E5C"/>
    <w:rPr>
      <w:rFonts w:ascii="Segoe UI" w:hAnsi="Segoe UI" w:cs="Segoe UI"/>
      <w:sz w:val="16"/>
      <w:szCs w:val="16"/>
    </w:rPr>
  </w:style>
  <w:style w:type="paragraph" w:styleId="E-mailSignature">
    <w:name w:val="E-mail Signature"/>
    <w:basedOn w:val="Normal"/>
    <w:link w:val="E-mailSignatureChar"/>
    <w:uiPriority w:val="99"/>
    <w:semiHidden/>
    <w:unhideWhenUsed/>
    <w:rsid w:val="00713E5C"/>
    <w:pPr>
      <w:spacing w:after="0" w:line="240" w:lineRule="auto"/>
    </w:pPr>
  </w:style>
  <w:style w:type="character" w:customStyle="1" w:styleId="E-mailSignatureChar">
    <w:name w:val="E-mail Signature Char"/>
    <w:basedOn w:val="DefaultParagraphFont"/>
    <w:link w:val="E-mailSignature"/>
    <w:uiPriority w:val="99"/>
    <w:semiHidden/>
    <w:rsid w:val="00713E5C"/>
  </w:style>
  <w:style w:type="paragraph" w:styleId="EndnoteText">
    <w:name w:val="endnote text"/>
    <w:basedOn w:val="Normal"/>
    <w:link w:val="EndnoteTextChar"/>
    <w:unhideWhenUsed/>
    <w:rsid w:val="00713E5C"/>
    <w:pPr>
      <w:spacing w:after="0" w:line="240" w:lineRule="auto"/>
    </w:pPr>
    <w:rPr>
      <w:sz w:val="20"/>
      <w:szCs w:val="20"/>
    </w:rPr>
  </w:style>
  <w:style w:type="character" w:customStyle="1" w:styleId="EndnoteTextChar">
    <w:name w:val="Endnote Text Char"/>
    <w:basedOn w:val="DefaultParagraphFont"/>
    <w:link w:val="EndnoteText"/>
    <w:rsid w:val="00713E5C"/>
    <w:rPr>
      <w:sz w:val="20"/>
      <w:szCs w:val="20"/>
    </w:rPr>
  </w:style>
  <w:style w:type="paragraph" w:styleId="EnvelopeAddress">
    <w:name w:val="envelope address"/>
    <w:basedOn w:val="Normal"/>
    <w:uiPriority w:val="99"/>
    <w:semiHidden/>
    <w:unhideWhenUsed/>
    <w:rsid w:val="00713E5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13E5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B32CDA"/>
    <w:pPr>
      <w:spacing w:after="0" w:line="240" w:lineRule="auto"/>
      <w:ind w:left="115" w:hanging="115"/>
    </w:pPr>
    <w:rPr>
      <w:sz w:val="20"/>
      <w:szCs w:val="20"/>
    </w:rPr>
  </w:style>
  <w:style w:type="character" w:customStyle="1" w:styleId="FootnoteTextChar">
    <w:name w:val="Footnote Text Char"/>
    <w:basedOn w:val="DefaultParagraphFont"/>
    <w:link w:val="FootnoteText"/>
    <w:uiPriority w:val="99"/>
    <w:rsid w:val="00B32CDA"/>
    <w:rPr>
      <w:sz w:val="20"/>
      <w:szCs w:val="20"/>
    </w:rPr>
  </w:style>
  <w:style w:type="character" w:customStyle="1" w:styleId="Heading4Char">
    <w:name w:val="Heading 4 Char"/>
    <w:aliases w:val="Heading 4 numbered Char"/>
    <w:basedOn w:val="DefaultParagraphFont"/>
    <w:link w:val="Heading4"/>
    <w:uiPriority w:val="9"/>
    <w:rsid w:val="000C30A9"/>
    <w:rPr>
      <w:rFonts w:ascii="Arial Narrow" w:eastAsiaTheme="majorEastAsia" w:hAnsi="Arial Narrow" w:cstheme="majorBidi"/>
      <w:b/>
      <w:iCs/>
      <w:smallCaps/>
      <w:sz w:val="26"/>
    </w:rPr>
  </w:style>
  <w:style w:type="character" w:customStyle="1" w:styleId="Heading5Char">
    <w:name w:val="Heading 5 Char"/>
    <w:basedOn w:val="DefaultParagraphFont"/>
    <w:link w:val="Heading5"/>
    <w:uiPriority w:val="9"/>
    <w:rsid w:val="00FA3D87"/>
    <w:rPr>
      <w:rFonts w:ascii="Arial Narrow" w:eastAsia="Calibri" w:hAnsi="Arial Narrow" w:cstheme="majorBidi"/>
      <w:smallCaps/>
      <w:szCs w:val="24"/>
      <w:lang w:eastAsia="en-AU"/>
    </w:rPr>
  </w:style>
  <w:style w:type="character" w:customStyle="1" w:styleId="Heading6Char">
    <w:name w:val="Heading 6 Char"/>
    <w:basedOn w:val="DefaultParagraphFont"/>
    <w:link w:val="Heading6"/>
    <w:uiPriority w:val="9"/>
    <w:rsid w:val="005C7610"/>
    <w:rPr>
      <w:rFonts w:ascii="Calibri" w:eastAsiaTheme="majorEastAsia" w:hAnsi="Calibri" w:cstheme="majorBidi"/>
      <w:i/>
      <w:iCs/>
    </w:rPr>
  </w:style>
  <w:style w:type="character" w:customStyle="1" w:styleId="Heading7Char">
    <w:name w:val="Heading 7 Char"/>
    <w:basedOn w:val="DefaultParagraphFont"/>
    <w:link w:val="Heading7"/>
    <w:rsid w:val="00B27573"/>
    <w:rPr>
      <w:rFonts w:eastAsiaTheme="majorEastAsia" w:cstheme="majorBidi"/>
      <w:iCs/>
      <w:smallCaps/>
    </w:rPr>
  </w:style>
  <w:style w:type="character" w:customStyle="1" w:styleId="Heading8Char">
    <w:name w:val="Heading 8 Char"/>
    <w:basedOn w:val="DefaultParagraphFont"/>
    <w:link w:val="Heading8"/>
    <w:semiHidden/>
    <w:rsid w:val="00713E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13E5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13E5C"/>
    <w:pPr>
      <w:spacing w:after="0" w:line="240" w:lineRule="auto"/>
    </w:pPr>
    <w:rPr>
      <w:i/>
      <w:iCs/>
    </w:rPr>
  </w:style>
  <w:style w:type="character" w:customStyle="1" w:styleId="HTMLAddressChar">
    <w:name w:val="HTML Address Char"/>
    <w:basedOn w:val="DefaultParagraphFont"/>
    <w:link w:val="HTMLAddress"/>
    <w:uiPriority w:val="99"/>
    <w:semiHidden/>
    <w:rsid w:val="00713E5C"/>
    <w:rPr>
      <w:i/>
      <w:iCs/>
    </w:rPr>
  </w:style>
  <w:style w:type="paragraph" w:styleId="HTMLPreformatted">
    <w:name w:val="HTML Preformatted"/>
    <w:basedOn w:val="Normal"/>
    <w:link w:val="HTMLPreformattedChar"/>
    <w:uiPriority w:val="99"/>
    <w:semiHidden/>
    <w:unhideWhenUsed/>
    <w:rsid w:val="00713E5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13E5C"/>
    <w:rPr>
      <w:rFonts w:ascii="Consolas" w:hAnsi="Consolas" w:cs="Consolas"/>
      <w:sz w:val="20"/>
      <w:szCs w:val="20"/>
    </w:rPr>
  </w:style>
  <w:style w:type="paragraph" w:styleId="Index1">
    <w:name w:val="index 1"/>
    <w:basedOn w:val="Normal"/>
    <w:next w:val="Normal"/>
    <w:autoRedefine/>
    <w:uiPriority w:val="99"/>
    <w:semiHidden/>
    <w:unhideWhenUsed/>
    <w:rsid w:val="00713E5C"/>
    <w:pPr>
      <w:spacing w:after="0" w:line="240" w:lineRule="auto"/>
      <w:ind w:left="220" w:hanging="220"/>
    </w:pPr>
  </w:style>
  <w:style w:type="paragraph" w:styleId="Index2">
    <w:name w:val="index 2"/>
    <w:basedOn w:val="Normal"/>
    <w:next w:val="Normal"/>
    <w:autoRedefine/>
    <w:uiPriority w:val="99"/>
    <w:semiHidden/>
    <w:unhideWhenUsed/>
    <w:rsid w:val="00713E5C"/>
    <w:pPr>
      <w:spacing w:after="0" w:line="240" w:lineRule="auto"/>
      <w:ind w:left="440" w:hanging="220"/>
    </w:pPr>
  </w:style>
  <w:style w:type="paragraph" w:styleId="Index3">
    <w:name w:val="index 3"/>
    <w:basedOn w:val="Normal"/>
    <w:next w:val="Normal"/>
    <w:autoRedefine/>
    <w:uiPriority w:val="99"/>
    <w:semiHidden/>
    <w:unhideWhenUsed/>
    <w:rsid w:val="00713E5C"/>
    <w:pPr>
      <w:spacing w:after="0" w:line="240" w:lineRule="auto"/>
      <w:ind w:left="660" w:hanging="220"/>
    </w:pPr>
  </w:style>
  <w:style w:type="paragraph" w:styleId="Index4">
    <w:name w:val="index 4"/>
    <w:basedOn w:val="Normal"/>
    <w:next w:val="Normal"/>
    <w:autoRedefine/>
    <w:uiPriority w:val="99"/>
    <w:semiHidden/>
    <w:unhideWhenUsed/>
    <w:rsid w:val="00713E5C"/>
    <w:pPr>
      <w:spacing w:after="0" w:line="240" w:lineRule="auto"/>
      <w:ind w:left="880" w:hanging="220"/>
    </w:pPr>
  </w:style>
  <w:style w:type="paragraph" w:styleId="Index5">
    <w:name w:val="index 5"/>
    <w:basedOn w:val="Normal"/>
    <w:next w:val="Normal"/>
    <w:autoRedefine/>
    <w:uiPriority w:val="99"/>
    <w:semiHidden/>
    <w:unhideWhenUsed/>
    <w:rsid w:val="00713E5C"/>
    <w:pPr>
      <w:spacing w:after="0" w:line="240" w:lineRule="auto"/>
      <w:ind w:left="1100" w:hanging="220"/>
    </w:pPr>
  </w:style>
  <w:style w:type="paragraph" w:styleId="Index6">
    <w:name w:val="index 6"/>
    <w:basedOn w:val="Normal"/>
    <w:next w:val="Normal"/>
    <w:autoRedefine/>
    <w:uiPriority w:val="99"/>
    <w:semiHidden/>
    <w:unhideWhenUsed/>
    <w:rsid w:val="00713E5C"/>
    <w:pPr>
      <w:spacing w:after="0" w:line="240" w:lineRule="auto"/>
      <w:ind w:left="1320" w:hanging="220"/>
    </w:pPr>
  </w:style>
  <w:style w:type="paragraph" w:styleId="Index7">
    <w:name w:val="index 7"/>
    <w:basedOn w:val="Normal"/>
    <w:next w:val="Normal"/>
    <w:autoRedefine/>
    <w:uiPriority w:val="99"/>
    <w:semiHidden/>
    <w:unhideWhenUsed/>
    <w:rsid w:val="00713E5C"/>
    <w:pPr>
      <w:spacing w:after="0" w:line="240" w:lineRule="auto"/>
      <w:ind w:left="1540" w:hanging="220"/>
    </w:pPr>
  </w:style>
  <w:style w:type="paragraph" w:styleId="Index8">
    <w:name w:val="index 8"/>
    <w:basedOn w:val="Normal"/>
    <w:next w:val="Normal"/>
    <w:autoRedefine/>
    <w:uiPriority w:val="99"/>
    <w:semiHidden/>
    <w:unhideWhenUsed/>
    <w:rsid w:val="00713E5C"/>
    <w:pPr>
      <w:spacing w:after="0" w:line="240" w:lineRule="auto"/>
      <w:ind w:left="1760" w:hanging="220"/>
    </w:pPr>
  </w:style>
  <w:style w:type="paragraph" w:styleId="Index9">
    <w:name w:val="index 9"/>
    <w:basedOn w:val="Normal"/>
    <w:next w:val="Normal"/>
    <w:autoRedefine/>
    <w:uiPriority w:val="99"/>
    <w:semiHidden/>
    <w:unhideWhenUsed/>
    <w:rsid w:val="00713E5C"/>
    <w:pPr>
      <w:spacing w:after="0" w:line="240" w:lineRule="auto"/>
      <w:ind w:left="1980" w:hanging="220"/>
    </w:pPr>
  </w:style>
  <w:style w:type="paragraph" w:styleId="IndexHeading">
    <w:name w:val="index heading"/>
    <w:basedOn w:val="Normal"/>
    <w:next w:val="Index1"/>
    <w:uiPriority w:val="99"/>
    <w:semiHidden/>
    <w:unhideWhenUsed/>
    <w:rsid w:val="00713E5C"/>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13E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13E5C"/>
    <w:rPr>
      <w:i/>
      <w:iCs/>
      <w:color w:val="5B9BD5" w:themeColor="accent1"/>
    </w:rPr>
  </w:style>
  <w:style w:type="paragraph" w:styleId="List">
    <w:name w:val="List"/>
    <w:basedOn w:val="Normal"/>
    <w:uiPriority w:val="99"/>
    <w:semiHidden/>
    <w:unhideWhenUsed/>
    <w:rsid w:val="00713E5C"/>
    <w:pPr>
      <w:ind w:left="283" w:hanging="283"/>
      <w:contextualSpacing/>
    </w:pPr>
  </w:style>
  <w:style w:type="paragraph" w:styleId="List2">
    <w:name w:val="List 2"/>
    <w:basedOn w:val="Normal"/>
    <w:uiPriority w:val="99"/>
    <w:semiHidden/>
    <w:unhideWhenUsed/>
    <w:rsid w:val="00713E5C"/>
    <w:pPr>
      <w:ind w:left="566" w:hanging="283"/>
      <w:contextualSpacing/>
    </w:pPr>
  </w:style>
  <w:style w:type="paragraph" w:styleId="List3">
    <w:name w:val="List 3"/>
    <w:basedOn w:val="Normal"/>
    <w:uiPriority w:val="99"/>
    <w:semiHidden/>
    <w:unhideWhenUsed/>
    <w:rsid w:val="00713E5C"/>
    <w:pPr>
      <w:ind w:left="849" w:hanging="283"/>
      <w:contextualSpacing/>
    </w:pPr>
  </w:style>
  <w:style w:type="paragraph" w:styleId="List4">
    <w:name w:val="List 4"/>
    <w:basedOn w:val="Normal"/>
    <w:uiPriority w:val="99"/>
    <w:semiHidden/>
    <w:unhideWhenUsed/>
    <w:rsid w:val="00713E5C"/>
    <w:pPr>
      <w:ind w:left="1132" w:hanging="283"/>
      <w:contextualSpacing/>
    </w:pPr>
  </w:style>
  <w:style w:type="paragraph" w:styleId="List5">
    <w:name w:val="List 5"/>
    <w:basedOn w:val="Normal"/>
    <w:uiPriority w:val="99"/>
    <w:semiHidden/>
    <w:unhideWhenUsed/>
    <w:rsid w:val="00713E5C"/>
    <w:pPr>
      <w:ind w:left="1415" w:hanging="283"/>
      <w:contextualSpacing/>
    </w:pPr>
  </w:style>
  <w:style w:type="paragraph" w:styleId="ListBullet">
    <w:name w:val="List Bullet"/>
    <w:basedOn w:val="Normal"/>
    <w:uiPriority w:val="99"/>
    <w:semiHidden/>
    <w:unhideWhenUsed/>
    <w:rsid w:val="00713E5C"/>
    <w:pPr>
      <w:numPr>
        <w:numId w:val="1"/>
      </w:numPr>
      <w:contextualSpacing/>
    </w:pPr>
  </w:style>
  <w:style w:type="paragraph" w:styleId="ListBullet2">
    <w:name w:val="List Bullet 2"/>
    <w:basedOn w:val="Normal"/>
    <w:uiPriority w:val="99"/>
    <w:semiHidden/>
    <w:unhideWhenUsed/>
    <w:rsid w:val="00713E5C"/>
    <w:pPr>
      <w:numPr>
        <w:numId w:val="2"/>
      </w:numPr>
      <w:contextualSpacing/>
    </w:pPr>
  </w:style>
  <w:style w:type="paragraph" w:styleId="ListBullet3">
    <w:name w:val="List Bullet 3"/>
    <w:basedOn w:val="Normal"/>
    <w:uiPriority w:val="99"/>
    <w:semiHidden/>
    <w:unhideWhenUsed/>
    <w:rsid w:val="00713E5C"/>
    <w:pPr>
      <w:numPr>
        <w:numId w:val="3"/>
      </w:numPr>
      <w:contextualSpacing/>
    </w:pPr>
  </w:style>
  <w:style w:type="paragraph" w:styleId="ListBullet4">
    <w:name w:val="List Bullet 4"/>
    <w:basedOn w:val="Normal"/>
    <w:uiPriority w:val="99"/>
    <w:semiHidden/>
    <w:unhideWhenUsed/>
    <w:rsid w:val="00713E5C"/>
    <w:pPr>
      <w:numPr>
        <w:numId w:val="4"/>
      </w:numPr>
      <w:contextualSpacing/>
    </w:pPr>
  </w:style>
  <w:style w:type="paragraph" w:styleId="ListBullet5">
    <w:name w:val="List Bullet 5"/>
    <w:basedOn w:val="Normal"/>
    <w:uiPriority w:val="99"/>
    <w:semiHidden/>
    <w:unhideWhenUsed/>
    <w:rsid w:val="00713E5C"/>
    <w:pPr>
      <w:numPr>
        <w:numId w:val="5"/>
      </w:numPr>
      <w:contextualSpacing/>
    </w:pPr>
  </w:style>
  <w:style w:type="paragraph" w:styleId="ListContinue">
    <w:name w:val="List Continue"/>
    <w:basedOn w:val="Normal"/>
    <w:uiPriority w:val="99"/>
    <w:semiHidden/>
    <w:unhideWhenUsed/>
    <w:rsid w:val="00713E5C"/>
    <w:pPr>
      <w:spacing w:after="120"/>
      <w:ind w:left="283"/>
      <w:contextualSpacing/>
    </w:pPr>
  </w:style>
  <w:style w:type="paragraph" w:styleId="ListContinue2">
    <w:name w:val="List Continue 2"/>
    <w:basedOn w:val="Normal"/>
    <w:uiPriority w:val="99"/>
    <w:semiHidden/>
    <w:unhideWhenUsed/>
    <w:rsid w:val="00713E5C"/>
    <w:pPr>
      <w:spacing w:after="120"/>
      <w:ind w:left="566"/>
      <w:contextualSpacing/>
    </w:pPr>
  </w:style>
  <w:style w:type="paragraph" w:styleId="ListContinue3">
    <w:name w:val="List Continue 3"/>
    <w:basedOn w:val="Normal"/>
    <w:uiPriority w:val="99"/>
    <w:semiHidden/>
    <w:unhideWhenUsed/>
    <w:rsid w:val="00713E5C"/>
    <w:pPr>
      <w:spacing w:after="120"/>
      <w:ind w:left="849"/>
      <w:contextualSpacing/>
    </w:pPr>
  </w:style>
  <w:style w:type="paragraph" w:styleId="ListContinue4">
    <w:name w:val="List Continue 4"/>
    <w:basedOn w:val="Normal"/>
    <w:uiPriority w:val="99"/>
    <w:semiHidden/>
    <w:unhideWhenUsed/>
    <w:rsid w:val="00713E5C"/>
    <w:pPr>
      <w:spacing w:after="120"/>
      <w:ind w:left="1132"/>
      <w:contextualSpacing/>
    </w:pPr>
  </w:style>
  <w:style w:type="paragraph" w:styleId="ListContinue5">
    <w:name w:val="List Continue 5"/>
    <w:basedOn w:val="Normal"/>
    <w:uiPriority w:val="99"/>
    <w:semiHidden/>
    <w:unhideWhenUsed/>
    <w:rsid w:val="00713E5C"/>
    <w:pPr>
      <w:spacing w:after="120"/>
      <w:ind w:left="1415"/>
      <w:contextualSpacing/>
    </w:pPr>
  </w:style>
  <w:style w:type="paragraph" w:styleId="ListNumber">
    <w:name w:val="List Number"/>
    <w:basedOn w:val="Normal"/>
    <w:uiPriority w:val="99"/>
    <w:semiHidden/>
    <w:unhideWhenUsed/>
    <w:rsid w:val="00713E5C"/>
    <w:pPr>
      <w:numPr>
        <w:numId w:val="6"/>
      </w:numPr>
      <w:contextualSpacing/>
    </w:pPr>
  </w:style>
  <w:style w:type="paragraph" w:styleId="ListNumber2">
    <w:name w:val="List Number 2"/>
    <w:basedOn w:val="Normal"/>
    <w:uiPriority w:val="99"/>
    <w:unhideWhenUsed/>
    <w:rsid w:val="00713E5C"/>
    <w:pPr>
      <w:numPr>
        <w:numId w:val="7"/>
      </w:numPr>
      <w:contextualSpacing/>
    </w:pPr>
  </w:style>
  <w:style w:type="paragraph" w:styleId="ListNumber3">
    <w:name w:val="List Number 3"/>
    <w:basedOn w:val="Normal"/>
    <w:uiPriority w:val="99"/>
    <w:semiHidden/>
    <w:unhideWhenUsed/>
    <w:rsid w:val="00713E5C"/>
    <w:pPr>
      <w:numPr>
        <w:numId w:val="8"/>
      </w:numPr>
      <w:contextualSpacing/>
    </w:pPr>
  </w:style>
  <w:style w:type="paragraph" w:styleId="ListNumber4">
    <w:name w:val="List Number 4"/>
    <w:basedOn w:val="Normal"/>
    <w:uiPriority w:val="99"/>
    <w:semiHidden/>
    <w:unhideWhenUsed/>
    <w:rsid w:val="00713E5C"/>
    <w:pPr>
      <w:numPr>
        <w:numId w:val="9"/>
      </w:numPr>
      <w:contextualSpacing/>
    </w:pPr>
  </w:style>
  <w:style w:type="paragraph" w:styleId="ListNumber5">
    <w:name w:val="List Number 5"/>
    <w:basedOn w:val="Normal"/>
    <w:uiPriority w:val="99"/>
    <w:semiHidden/>
    <w:unhideWhenUsed/>
    <w:rsid w:val="00713E5C"/>
    <w:pPr>
      <w:numPr>
        <w:numId w:val="10"/>
      </w:numPr>
      <w:contextualSpacing/>
    </w:pPr>
  </w:style>
  <w:style w:type="paragraph" w:styleId="MacroText">
    <w:name w:val="macro"/>
    <w:link w:val="MacroTextChar"/>
    <w:uiPriority w:val="99"/>
    <w:semiHidden/>
    <w:unhideWhenUsed/>
    <w:rsid w:val="00713E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713E5C"/>
    <w:rPr>
      <w:rFonts w:ascii="Consolas" w:hAnsi="Consolas" w:cs="Consolas"/>
      <w:sz w:val="20"/>
      <w:szCs w:val="20"/>
    </w:rPr>
  </w:style>
  <w:style w:type="paragraph" w:styleId="MessageHeader">
    <w:name w:val="Message Header"/>
    <w:basedOn w:val="Normal"/>
    <w:link w:val="MessageHeaderChar"/>
    <w:uiPriority w:val="99"/>
    <w:semiHidden/>
    <w:unhideWhenUsed/>
    <w:rsid w:val="00713E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3E5C"/>
    <w:rPr>
      <w:rFonts w:asciiTheme="majorHAnsi" w:eastAsiaTheme="majorEastAsia" w:hAnsiTheme="majorHAnsi" w:cstheme="majorBidi"/>
      <w:sz w:val="24"/>
      <w:szCs w:val="24"/>
      <w:shd w:val="pct20" w:color="auto" w:fill="auto"/>
    </w:rPr>
  </w:style>
  <w:style w:type="paragraph" w:styleId="NoSpacing">
    <w:name w:val="No Spacing"/>
    <w:uiPriority w:val="1"/>
    <w:qFormat/>
    <w:rsid w:val="00713E5C"/>
    <w:pPr>
      <w:spacing w:after="0" w:line="240" w:lineRule="auto"/>
    </w:pPr>
  </w:style>
  <w:style w:type="paragraph" w:styleId="NormalWeb">
    <w:name w:val="Normal (Web)"/>
    <w:basedOn w:val="Normal"/>
    <w:uiPriority w:val="99"/>
    <w:unhideWhenUsed/>
    <w:rsid w:val="00713E5C"/>
    <w:rPr>
      <w:rFonts w:ascii="Times New Roman" w:hAnsi="Times New Roman" w:cs="Times New Roman"/>
      <w:sz w:val="24"/>
      <w:szCs w:val="24"/>
    </w:rPr>
  </w:style>
  <w:style w:type="paragraph" w:styleId="NormalIndent">
    <w:name w:val="Normal Indent"/>
    <w:basedOn w:val="Normal"/>
    <w:uiPriority w:val="99"/>
    <w:semiHidden/>
    <w:unhideWhenUsed/>
    <w:rsid w:val="00713E5C"/>
    <w:pPr>
      <w:ind w:left="720"/>
    </w:pPr>
  </w:style>
  <w:style w:type="paragraph" w:styleId="NoteHeading">
    <w:name w:val="Note Heading"/>
    <w:basedOn w:val="Normal"/>
    <w:next w:val="Normal"/>
    <w:link w:val="NoteHeadingChar"/>
    <w:uiPriority w:val="99"/>
    <w:semiHidden/>
    <w:unhideWhenUsed/>
    <w:rsid w:val="00713E5C"/>
    <w:pPr>
      <w:spacing w:after="0" w:line="240" w:lineRule="auto"/>
    </w:pPr>
  </w:style>
  <w:style w:type="character" w:customStyle="1" w:styleId="NoteHeadingChar">
    <w:name w:val="Note Heading Char"/>
    <w:basedOn w:val="DefaultParagraphFont"/>
    <w:link w:val="NoteHeading"/>
    <w:uiPriority w:val="99"/>
    <w:semiHidden/>
    <w:rsid w:val="00713E5C"/>
  </w:style>
  <w:style w:type="paragraph" w:styleId="PlainText">
    <w:name w:val="Plain Text"/>
    <w:basedOn w:val="Normal"/>
    <w:link w:val="PlainTextChar"/>
    <w:uiPriority w:val="99"/>
    <w:semiHidden/>
    <w:unhideWhenUsed/>
    <w:rsid w:val="00713E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13E5C"/>
    <w:rPr>
      <w:rFonts w:ascii="Consolas" w:hAnsi="Consolas" w:cs="Consolas"/>
      <w:sz w:val="21"/>
      <w:szCs w:val="21"/>
    </w:rPr>
  </w:style>
  <w:style w:type="paragraph" w:styleId="Quote">
    <w:name w:val="Quote"/>
    <w:basedOn w:val="Normal"/>
    <w:next w:val="Normal"/>
    <w:link w:val="QuoteChar"/>
    <w:uiPriority w:val="29"/>
    <w:qFormat/>
    <w:rsid w:val="00ED4734"/>
    <w:pPr>
      <w:ind w:left="709"/>
    </w:pPr>
  </w:style>
  <w:style w:type="character" w:customStyle="1" w:styleId="QuoteChar">
    <w:name w:val="Quote Char"/>
    <w:basedOn w:val="DefaultParagraphFont"/>
    <w:link w:val="Quote"/>
    <w:uiPriority w:val="29"/>
    <w:rsid w:val="00ED4734"/>
  </w:style>
  <w:style w:type="paragraph" w:styleId="Salutation">
    <w:name w:val="Salutation"/>
    <w:basedOn w:val="Normal"/>
    <w:next w:val="Normal"/>
    <w:link w:val="SalutationChar"/>
    <w:uiPriority w:val="99"/>
    <w:semiHidden/>
    <w:unhideWhenUsed/>
    <w:rsid w:val="00713E5C"/>
  </w:style>
  <w:style w:type="character" w:customStyle="1" w:styleId="SalutationChar">
    <w:name w:val="Salutation Char"/>
    <w:basedOn w:val="DefaultParagraphFont"/>
    <w:link w:val="Salutation"/>
    <w:uiPriority w:val="99"/>
    <w:semiHidden/>
    <w:rsid w:val="00713E5C"/>
  </w:style>
  <w:style w:type="paragraph" w:styleId="Signature">
    <w:name w:val="Signature"/>
    <w:basedOn w:val="Normal"/>
    <w:link w:val="SignatureChar"/>
    <w:uiPriority w:val="99"/>
    <w:semiHidden/>
    <w:unhideWhenUsed/>
    <w:rsid w:val="00713E5C"/>
    <w:pPr>
      <w:spacing w:after="0" w:line="240" w:lineRule="auto"/>
      <w:ind w:left="4252"/>
    </w:pPr>
  </w:style>
  <w:style w:type="character" w:customStyle="1" w:styleId="SignatureChar">
    <w:name w:val="Signature Char"/>
    <w:basedOn w:val="DefaultParagraphFont"/>
    <w:link w:val="Signature"/>
    <w:uiPriority w:val="99"/>
    <w:semiHidden/>
    <w:rsid w:val="00713E5C"/>
  </w:style>
  <w:style w:type="paragraph" w:styleId="Subtitle">
    <w:name w:val="Subtitle"/>
    <w:basedOn w:val="Normal"/>
    <w:next w:val="Normal"/>
    <w:link w:val="SubtitleChar"/>
    <w:uiPriority w:val="11"/>
    <w:rsid w:val="00713E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3E5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13E5C"/>
    <w:pPr>
      <w:spacing w:after="0"/>
      <w:ind w:left="220" w:hanging="220"/>
    </w:pPr>
  </w:style>
  <w:style w:type="paragraph" w:styleId="TableofFigures">
    <w:name w:val="table of figures"/>
    <w:basedOn w:val="Normal"/>
    <w:next w:val="Normal"/>
    <w:uiPriority w:val="99"/>
    <w:semiHidden/>
    <w:unhideWhenUsed/>
    <w:rsid w:val="00713E5C"/>
    <w:pPr>
      <w:spacing w:after="0"/>
    </w:pPr>
  </w:style>
  <w:style w:type="paragraph" w:styleId="Title">
    <w:name w:val="Title"/>
    <w:basedOn w:val="Normal"/>
    <w:next w:val="Normal"/>
    <w:link w:val="TitleChar"/>
    <w:uiPriority w:val="10"/>
    <w:rsid w:val="00713E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E5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13E5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A0668C"/>
    <w:pPr>
      <w:keepNext/>
      <w:tabs>
        <w:tab w:val="right" w:leader="dot" w:pos="9061"/>
      </w:tabs>
      <w:spacing w:before="240" w:after="40" w:line="312" w:lineRule="auto"/>
      <w:ind w:left="288" w:hanging="288"/>
    </w:pPr>
    <w:rPr>
      <w:rFonts w:ascii="Calibri" w:eastAsia="Times New Roman" w:hAnsi="Calibri" w:cs="Times New Roman"/>
      <w:bCs/>
      <w:smallCaps/>
      <w:noProof/>
      <w:spacing w:val="40"/>
      <w:sz w:val="28"/>
      <w:szCs w:val="28"/>
    </w:rPr>
  </w:style>
  <w:style w:type="paragraph" w:styleId="TOC2">
    <w:name w:val="toc 2"/>
    <w:basedOn w:val="Normal"/>
    <w:next w:val="Normal"/>
    <w:autoRedefine/>
    <w:uiPriority w:val="39"/>
    <w:unhideWhenUsed/>
    <w:rsid w:val="00EB384D"/>
    <w:pPr>
      <w:tabs>
        <w:tab w:val="right" w:leader="dot" w:pos="9061"/>
      </w:tabs>
      <w:spacing w:before="120" w:after="0" w:line="240" w:lineRule="auto"/>
      <w:ind w:left="850" w:hanging="562"/>
    </w:pPr>
    <w:rPr>
      <w:rFonts w:ascii="Calibri" w:eastAsia="Times New Roman" w:hAnsi="Calibri" w:cs="Times New Roman"/>
      <w:b/>
      <w:sz w:val="24"/>
      <w:szCs w:val="24"/>
    </w:rPr>
  </w:style>
  <w:style w:type="paragraph" w:styleId="TOC3">
    <w:name w:val="toc 3"/>
    <w:basedOn w:val="Normal"/>
    <w:next w:val="Normal"/>
    <w:autoRedefine/>
    <w:uiPriority w:val="39"/>
    <w:unhideWhenUsed/>
    <w:rsid w:val="007D6C78"/>
    <w:pPr>
      <w:tabs>
        <w:tab w:val="right" w:leader="dot" w:pos="9016"/>
      </w:tabs>
      <w:spacing w:before="120" w:after="120" w:line="240" w:lineRule="auto"/>
      <w:ind w:left="692"/>
    </w:pPr>
    <w:rPr>
      <w:rFonts w:eastAsia="Times New Roman"/>
      <w:b/>
      <w:smallCaps/>
      <w:noProof/>
    </w:rPr>
  </w:style>
  <w:style w:type="paragraph" w:styleId="TOC4">
    <w:name w:val="toc 4"/>
    <w:basedOn w:val="Normal"/>
    <w:next w:val="Normal"/>
    <w:autoRedefine/>
    <w:unhideWhenUsed/>
    <w:rsid w:val="0097778C"/>
    <w:pPr>
      <w:tabs>
        <w:tab w:val="right" w:leader="dot" w:pos="9016"/>
      </w:tabs>
      <w:spacing w:beforeLines="100" w:afterLines="100" w:line="240" w:lineRule="auto"/>
      <w:ind w:left="658"/>
    </w:pPr>
    <w:rPr>
      <w:rFonts w:ascii="Arial Narrow" w:hAnsi="Arial Narrow"/>
      <w:b/>
      <w:noProof/>
      <w:sz w:val="24"/>
    </w:rPr>
  </w:style>
  <w:style w:type="paragraph" w:styleId="TOC5">
    <w:name w:val="toc 5"/>
    <w:basedOn w:val="Normal"/>
    <w:next w:val="Normal"/>
    <w:autoRedefine/>
    <w:uiPriority w:val="39"/>
    <w:semiHidden/>
    <w:unhideWhenUsed/>
    <w:rsid w:val="00713E5C"/>
    <w:pPr>
      <w:spacing w:after="100"/>
      <w:ind w:left="880"/>
    </w:pPr>
  </w:style>
  <w:style w:type="paragraph" w:styleId="TOC6">
    <w:name w:val="toc 6"/>
    <w:basedOn w:val="Normal"/>
    <w:next w:val="Normal"/>
    <w:autoRedefine/>
    <w:uiPriority w:val="39"/>
    <w:semiHidden/>
    <w:unhideWhenUsed/>
    <w:rsid w:val="00713E5C"/>
    <w:pPr>
      <w:spacing w:after="100"/>
      <w:ind w:left="1100"/>
    </w:pPr>
  </w:style>
  <w:style w:type="paragraph" w:styleId="TOC7">
    <w:name w:val="toc 7"/>
    <w:basedOn w:val="Normal"/>
    <w:next w:val="Normal"/>
    <w:autoRedefine/>
    <w:uiPriority w:val="39"/>
    <w:semiHidden/>
    <w:unhideWhenUsed/>
    <w:rsid w:val="00713E5C"/>
    <w:pPr>
      <w:spacing w:after="100"/>
      <w:ind w:left="1320"/>
    </w:pPr>
  </w:style>
  <w:style w:type="paragraph" w:styleId="TOC8">
    <w:name w:val="toc 8"/>
    <w:basedOn w:val="Normal"/>
    <w:next w:val="Normal"/>
    <w:autoRedefine/>
    <w:uiPriority w:val="39"/>
    <w:semiHidden/>
    <w:unhideWhenUsed/>
    <w:rsid w:val="00713E5C"/>
    <w:pPr>
      <w:spacing w:after="100"/>
      <w:ind w:left="1540"/>
    </w:pPr>
  </w:style>
  <w:style w:type="paragraph" w:styleId="TOC9">
    <w:name w:val="toc 9"/>
    <w:basedOn w:val="Normal"/>
    <w:next w:val="Normal"/>
    <w:autoRedefine/>
    <w:uiPriority w:val="39"/>
    <w:semiHidden/>
    <w:unhideWhenUsed/>
    <w:rsid w:val="00713E5C"/>
    <w:pPr>
      <w:spacing w:after="100"/>
      <w:ind w:left="1760"/>
    </w:pPr>
  </w:style>
  <w:style w:type="paragraph" w:styleId="TOCHeading">
    <w:name w:val="TOC Heading"/>
    <w:basedOn w:val="Heading1"/>
    <w:next w:val="Normal"/>
    <w:unhideWhenUsed/>
    <w:qFormat/>
    <w:rsid w:val="00116E9B"/>
    <w:pPr>
      <w:spacing w:before="240" w:after="240"/>
      <w:jc w:val="left"/>
      <w:outlineLvl w:val="9"/>
    </w:pPr>
    <w:rPr>
      <w:smallCaps w:val="0"/>
      <w:sz w:val="30"/>
    </w:rPr>
  </w:style>
  <w:style w:type="character" w:styleId="Hyperlink">
    <w:name w:val="Hyperlink"/>
    <w:basedOn w:val="DefaultParagraphFont"/>
    <w:uiPriority w:val="99"/>
    <w:unhideWhenUsed/>
    <w:rsid w:val="00AD53EA"/>
    <w:rPr>
      <w:color w:val="0000FF"/>
    </w:rPr>
  </w:style>
  <w:style w:type="character" w:styleId="FootnoteReference">
    <w:name w:val="footnote reference"/>
    <w:aliases w:val="Footnote number,Footnotes refss"/>
    <w:basedOn w:val="DefaultParagraphFont"/>
    <w:uiPriority w:val="99"/>
    <w:unhideWhenUsed/>
    <w:rsid w:val="006013DE"/>
    <w:rPr>
      <w:vertAlign w:val="superscript"/>
    </w:rPr>
  </w:style>
  <w:style w:type="character" w:styleId="Strong">
    <w:name w:val="Strong"/>
    <w:basedOn w:val="DefaultParagraphFont"/>
    <w:uiPriority w:val="22"/>
    <w:qFormat/>
    <w:rsid w:val="00034ADC"/>
    <w:rPr>
      <w:b/>
      <w:bCs/>
    </w:rPr>
  </w:style>
  <w:style w:type="paragraph" w:customStyle="1" w:styleId="Bodycopy">
    <w:name w:val="Body copy"/>
    <w:qFormat/>
    <w:rsid w:val="00133AB1"/>
    <w:pPr>
      <w:widowControl w:val="0"/>
      <w:tabs>
        <w:tab w:val="left" w:pos="1276"/>
      </w:tabs>
      <w:spacing w:before="240" w:after="240" w:line="300" w:lineRule="exact"/>
    </w:pPr>
    <w:rPr>
      <w:rFonts w:ascii="Calibri" w:eastAsia="Calibri" w:hAnsi="Calibri" w:cs="Calibri"/>
      <w:color w:val="000000"/>
      <w:szCs w:val="20"/>
      <w:lang w:eastAsia="en-AU"/>
    </w:rPr>
  </w:style>
  <w:style w:type="character" w:styleId="FollowedHyperlink">
    <w:name w:val="FollowedHyperlink"/>
    <w:basedOn w:val="DefaultParagraphFont"/>
    <w:unhideWhenUsed/>
    <w:rsid w:val="00670CBD"/>
    <w:rPr>
      <w:color w:val="954F72" w:themeColor="followedHyperlink"/>
      <w:u w:val="single"/>
    </w:rPr>
  </w:style>
  <w:style w:type="paragraph" w:customStyle="1" w:styleId="Amain">
    <w:name w:val="A main"/>
    <w:basedOn w:val="Normal"/>
    <w:link w:val="AmainChar"/>
    <w:rsid w:val="00833A3B"/>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rPr>
  </w:style>
  <w:style w:type="paragraph" w:customStyle="1" w:styleId="Apara">
    <w:name w:val="A para"/>
    <w:basedOn w:val="Normal"/>
    <w:link w:val="AparaChar"/>
    <w:rsid w:val="00833A3B"/>
    <w:pPr>
      <w:tabs>
        <w:tab w:val="right" w:pos="1400"/>
        <w:tab w:val="left" w:pos="1600"/>
      </w:tabs>
      <w:spacing w:before="140" w:after="0" w:line="240" w:lineRule="auto"/>
      <w:ind w:left="1600" w:hanging="1600"/>
      <w:jc w:val="both"/>
      <w:outlineLvl w:val="6"/>
    </w:pPr>
    <w:rPr>
      <w:rFonts w:ascii="Times New Roman" w:eastAsia="Times New Roman" w:hAnsi="Times New Roman" w:cs="Times New Roman"/>
      <w:sz w:val="24"/>
      <w:szCs w:val="20"/>
    </w:rPr>
  </w:style>
  <w:style w:type="paragraph" w:customStyle="1" w:styleId="Asubpara">
    <w:name w:val="A subpara"/>
    <w:basedOn w:val="Normal"/>
    <w:rsid w:val="00833A3B"/>
    <w:pPr>
      <w:tabs>
        <w:tab w:val="right" w:pos="1900"/>
        <w:tab w:val="left" w:pos="2100"/>
      </w:tabs>
      <w:spacing w:before="140" w:after="0" w:line="240" w:lineRule="auto"/>
      <w:ind w:left="2100" w:hanging="2100"/>
      <w:jc w:val="both"/>
      <w:outlineLvl w:val="7"/>
    </w:pPr>
    <w:rPr>
      <w:rFonts w:ascii="Times New Roman" w:eastAsia="Times New Roman" w:hAnsi="Times New Roman" w:cs="Times New Roman"/>
      <w:sz w:val="24"/>
      <w:szCs w:val="20"/>
    </w:rPr>
  </w:style>
  <w:style w:type="character" w:customStyle="1" w:styleId="charItals">
    <w:name w:val="charItals"/>
    <w:basedOn w:val="DefaultParagraphFont"/>
    <w:rsid w:val="00833A3B"/>
    <w:rPr>
      <w:rFonts w:cs="Times New Roman"/>
      <w:i/>
    </w:rPr>
  </w:style>
  <w:style w:type="paragraph" w:customStyle="1" w:styleId="aNotepar">
    <w:name w:val="aNotepar"/>
    <w:basedOn w:val="Normal"/>
    <w:next w:val="Normal"/>
    <w:rsid w:val="00833A3B"/>
    <w:pPr>
      <w:spacing w:before="140" w:after="0" w:line="240" w:lineRule="auto"/>
      <w:ind w:left="2400" w:hanging="800"/>
      <w:jc w:val="both"/>
    </w:pPr>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833A3B"/>
    <w:rPr>
      <w:rFonts w:cs="Times New Roman"/>
      <w:color w:val="0563C1" w:themeColor="hyperlink"/>
      <w:u w:val="none"/>
    </w:rPr>
  </w:style>
  <w:style w:type="paragraph" w:customStyle="1" w:styleId="Amainreturn">
    <w:name w:val="A main return"/>
    <w:basedOn w:val="Normal"/>
    <w:link w:val="AmainreturnChar"/>
    <w:rsid w:val="00BC1FB7"/>
    <w:pPr>
      <w:spacing w:before="140" w:after="0" w:line="240" w:lineRule="auto"/>
      <w:ind w:left="1100"/>
      <w:jc w:val="both"/>
    </w:pPr>
    <w:rPr>
      <w:rFonts w:ascii="Times New Roman" w:eastAsia="Times New Roman" w:hAnsi="Times New Roman" w:cs="Times New Roman"/>
      <w:sz w:val="24"/>
      <w:szCs w:val="20"/>
    </w:rPr>
  </w:style>
  <w:style w:type="paragraph" w:customStyle="1" w:styleId="aNote">
    <w:name w:val="aNote"/>
    <w:basedOn w:val="Normal"/>
    <w:link w:val="aNoteChar"/>
    <w:rsid w:val="00BC1FB7"/>
    <w:pPr>
      <w:spacing w:before="140" w:after="0" w:line="240" w:lineRule="auto"/>
      <w:ind w:left="1900" w:hanging="800"/>
      <w:jc w:val="both"/>
    </w:pPr>
    <w:rPr>
      <w:rFonts w:ascii="Times New Roman" w:eastAsia="Times New Roman" w:hAnsi="Times New Roman" w:cs="Times New Roman"/>
      <w:sz w:val="20"/>
      <w:szCs w:val="20"/>
    </w:rPr>
  </w:style>
  <w:style w:type="paragraph" w:customStyle="1" w:styleId="IH5Sec">
    <w:name w:val="I H5 Sec"/>
    <w:basedOn w:val="Normal"/>
    <w:next w:val="Normal"/>
    <w:rsid w:val="00BC1FB7"/>
    <w:pPr>
      <w:keepNext/>
      <w:tabs>
        <w:tab w:val="left" w:pos="1100"/>
      </w:tabs>
      <w:spacing w:before="240" w:after="0" w:line="240" w:lineRule="auto"/>
      <w:ind w:left="1100" w:hanging="1100"/>
    </w:pPr>
    <w:rPr>
      <w:rFonts w:ascii="Arial" w:eastAsia="Times New Roman" w:hAnsi="Arial" w:cs="Times New Roman"/>
      <w:b/>
      <w:sz w:val="24"/>
      <w:szCs w:val="20"/>
    </w:rPr>
  </w:style>
  <w:style w:type="paragraph" w:customStyle="1" w:styleId="Ipara">
    <w:name w:val="I para"/>
    <w:basedOn w:val="Apara"/>
    <w:rsid w:val="00BC1FB7"/>
    <w:pPr>
      <w:outlineLvl w:val="9"/>
    </w:pPr>
  </w:style>
  <w:style w:type="paragraph" w:customStyle="1" w:styleId="PenaltyPara">
    <w:name w:val="PenaltyPara"/>
    <w:basedOn w:val="Normal"/>
    <w:rsid w:val="00BC1FB7"/>
    <w:pPr>
      <w:tabs>
        <w:tab w:val="left" w:pos="0"/>
        <w:tab w:val="right" w:pos="1360"/>
      </w:tabs>
      <w:spacing w:before="60" w:after="0" w:line="240" w:lineRule="auto"/>
      <w:ind w:left="1600" w:hanging="1600"/>
      <w:jc w:val="both"/>
    </w:pPr>
    <w:rPr>
      <w:rFonts w:ascii="Times New Roman" w:eastAsia="Times New Roman" w:hAnsi="Times New Roman" w:cs="Times New Roman"/>
      <w:sz w:val="24"/>
      <w:szCs w:val="20"/>
    </w:rPr>
  </w:style>
  <w:style w:type="paragraph" w:customStyle="1" w:styleId="Penalty">
    <w:name w:val="Penalty"/>
    <w:basedOn w:val="Amainreturn"/>
    <w:rsid w:val="00BC1FB7"/>
  </w:style>
  <w:style w:type="character" w:customStyle="1" w:styleId="aNoteChar">
    <w:name w:val="aNote Char"/>
    <w:basedOn w:val="DefaultParagraphFont"/>
    <w:link w:val="aNote"/>
    <w:locked/>
    <w:rsid w:val="00BC1FB7"/>
    <w:rPr>
      <w:rFonts w:ascii="Times New Roman" w:eastAsia="Times New Roman" w:hAnsi="Times New Roman" w:cs="Times New Roman"/>
      <w:sz w:val="20"/>
      <w:szCs w:val="20"/>
    </w:rPr>
  </w:style>
  <w:style w:type="character" w:customStyle="1" w:styleId="AmainreturnChar">
    <w:name w:val="A main return Char"/>
    <w:basedOn w:val="DefaultParagraphFont"/>
    <w:link w:val="Amainreturn"/>
    <w:locked/>
    <w:rsid w:val="00BC1FB7"/>
    <w:rPr>
      <w:rFonts w:ascii="Times New Roman" w:eastAsia="Times New Roman" w:hAnsi="Times New Roman" w:cs="Times New Roman"/>
      <w:sz w:val="24"/>
      <w:szCs w:val="20"/>
    </w:rPr>
  </w:style>
  <w:style w:type="paragraph" w:customStyle="1" w:styleId="Headiong5">
    <w:name w:val="Headiong 5"/>
    <w:basedOn w:val="Normal"/>
    <w:rsid w:val="007F6E9B"/>
    <w:pPr>
      <w:keepNext/>
      <w:keepLines/>
      <w:outlineLvl w:val="4"/>
    </w:pPr>
    <w:rPr>
      <w:rFonts w:ascii="Arial Narrow" w:eastAsia="Times New Roman" w:hAnsi="Arial Narrow" w:cs="Times New Roman"/>
      <w:iCs/>
      <w:smallCaps/>
      <w:szCs w:val="24"/>
    </w:rPr>
  </w:style>
  <w:style w:type="paragraph" w:customStyle="1" w:styleId="Paper">
    <w:name w:val="Paper"/>
    <w:rsid w:val="00434745"/>
    <w:pPr>
      <w:spacing w:after="120" w:line="240" w:lineRule="auto"/>
    </w:pPr>
    <w:rPr>
      <w:rFonts w:ascii="Times New Roman" w:eastAsia="Times New Roman" w:hAnsi="Times New Roman" w:cs="Times New Roman"/>
      <w:sz w:val="24"/>
      <w:szCs w:val="20"/>
    </w:rPr>
  </w:style>
  <w:style w:type="paragraph" w:customStyle="1" w:styleId="Hyper">
    <w:name w:val="Hyper"/>
    <w:basedOn w:val="Normal"/>
    <w:rsid w:val="0093399E"/>
    <w:pPr>
      <w:spacing w:line="280" w:lineRule="atLeast"/>
    </w:pPr>
    <w:rPr>
      <w:rFonts w:ascii="Calibri" w:eastAsia="Times New Roman" w:hAnsi="Calibri" w:cs="Calibri"/>
      <w:color w:val="1F3864" w:themeColor="accent5" w:themeShade="80"/>
    </w:rPr>
  </w:style>
  <w:style w:type="paragraph" w:customStyle="1" w:styleId="Bodycopynumbered">
    <w:name w:val="Body copy numbered"/>
    <w:rsid w:val="00196028"/>
    <w:pPr>
      <w:keepNext/>
      <w:widowControl w:val="0"/>
      <w:spacing w:before="240" w:after="100" w:line="300" w:lineRule="exact"/>
      <w:ind w:left="567" w:hanging="567"/>
      <w:outlineLvl w:val="1"/>
    </w:pPr>
    <w:rPr>
      <w:rFonts w:ascii="Calibri" w:eastAsia="Calibri" w:hAnsi="Calibri" w:cs="Arial"/>
      <w:bCs/>
      <w:kern w:val="32"/>
      <w:szCs w:val="20"/>
    </w:rPr>
  </w:style>
  <w:style w:type="paragraph" w:customStyle="1" w:styleId="Body">
    <w:name w:val="Body"/>
    <w:basedOn w:val="Paper"/>
    <w:rsid w:val="00BB4F51"/>
    <w:rPr>
      <w:rFonts w:ascii="Calibri" w:hAnsi="Calibri" w:cs="Calibri"/>
      <w:b/>
    </w:rPr>
  </w:style>
  <w:style w:type="paragraph" w:customStyle="1" w:styleId="headingparagraph">
    <w:name w:val="headingparagraph"/>
    <w:basedOn w:val="Normal"/>
    <w:rsid w:val="00B422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name">
    <w:name w:val="headingname"/>
    <w:basedOn w:val="DefaultParagraphFont"/>
    <w:rsid w:val="00B422D9"/>
  </w:style>
  <w:style w:type="character" w:customStyle="1" w:styleId="listnumber0">
    <w:name w:val="listnumber"/>
    <w:basedOn w:val="DefaultParagraphFont"/>
    <w:rsid w:val="00B422D9"/>
  </w:style>
  <w:style w:type="character" w:customStyle="1" w:styleId="CharSectNo">
    <w:name w:val="CharSectNo"/>
    <w:rsid w:val="00B76B42"/>
    <w:rPr>
      <w:rFonts w:cs="Times New Roman"/>
    </w:rPr>
  </w:style>
  <w:style w:type="paragraph" w:customStyle="1" w:styleId="Schclauseheading">
    <w:name w:val="Sch clause heading"/>
    <w:basedOn w:val="Normal"/>
    <w:next w:val="Normal"/>
    <w:rsid w:val="00B76B42"/>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paragraph" w:customStyle="1" w:styleId="AH5Sec">
    <w:name w:val="A H5 Sec"/>
    <w:basedOn w:val="Normal"/>
    <w:next w:val="Amain"/>
    <w:link w:val="AH5SecChar"/>
    <w:rsid w:val="004B2546"/>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character" w:customStyle="1" w:styleId="charBoldItals">
    <w:name w:val="charBoldItals"/>
    <w:basedOn w:val="DefaultParagraphFont"/>
    <w:rsid w:val="004B2546"/>
    <w:rPr>
      <w:b/>
      <w:i/>
    </w:rPr>
  </w:style>
  <w:style w:type="character" w:customStyle="1" w:styleId="AH5SecChar">
    <w:name w:val="A H5 Sec Char"/>
    <w:basedOn w:val="DefaultParagraphFont"/>
    <w:link w:val="AH5Sec"/>
    <w:locked/>
    <w:rsid w:val="004B2546"/>
    <w:rPr>
      <w:rFonts w:ascii="Arial" w:eastAsia="Times New Roman" w:hAnsi="Arial" w:cs="Times New Roman"/>
      <w:b/>
      <w:sz w:val="24"/>
      <w:szCs w:val="20"/>
    </w:rPr>
  </w:style>
  <w:style w:type="paragraph" w:customStyle="1" w:styleId="PaperTitle">
    <w:name w:val="PaperTitle"/>
    <w:basedOn w:val="Normal"/>
    <w:rsid w:val="003446DE"/>
    <w:pPr>
      <w:tabs>
        <w:tab w:val="left" w:leader="dot" w:pos="6379"/>
      </w:tabs>
      <w:spacing w:before="0" w:after="0" w:line="240" w:lineRule="auto"/>
      <w:ind w:left="284" w:hanging="284"/>
    </w:pPr>
    <w:rPr>
      <w:rFonts w:ascii="Times New (W1)" w:eastAsia="Times New Roman" w:hAnsi="Times New (W1)" w:cs="Times New Roman"/>
      <w:sz w:val="20"/>
      <w:szCs w:val="20"/>
      <w:lang w:eastAsia="en-AU"/>
    </w:rPr>
  </w:style>
  <w:style w:type="paragraph" w:customStyle="1" w:styleId="aDef">
    <w:name w:val="aDef"/>
    <w:basedOn w:val="Normal"/>
    <w:link w:val="aDefChar"/>
    <w:rsid w:val="009B1FDD"/>
    <w:pPr>
      <w:spacing w:before="140" w:after="0" w:line="240" w:lineRule="auto"/>
      <w:ind w:left="1100"/>
      <w:jc w:val="both"/>
    </w:pPr>
    <w:rPr>
      <w:rFonts w:ascii="Times New Roman" w:eastAsia="Times New Roman" w:hAnsi="Times New Roman" w:cs="Times New Roman"/>
      <w:sz w:val="24"/>
      <w:szCs w:val="20"/>
      <w:lang w:eastAsia="en-AU"/>
    </w:rPr>
  </w:style>
  <w:style w:type="character" w:customStyle="1" w:styleId="aDefChar">
    <w:name w:val="aDef Char"/>
    <w:link w:val="aDef"/>
    <w:locked/>
    <w:rsid w:val="009B1FDD"/>
    <w:rPr>
      <w:rFonts w:ascii="Times New Roman" w:eastAsia="Times New Roman" w:hAnsi="Times New Roman" w:cs="Times New Roman"/>
      <w:sz w:val="24"/>
      <w:szCs w:val="20"/>
      <w:lang w:eastAsia="en-AU"/>
    </w:rPr>
  </w:style>
  <w:style w:type="paragraph" w:customStyle="1" w:styleId="Idefpara">
    <w:name w:val="I def para"/>
    <w:basedOn w:val="Ipara"/>
    <w:rsid w:val="009B1FDD"/>
  </w:style>
  <w:style w:type="paragraph" w:customStyle="1" w:styleId="Idefsubpara">
    <w:name w:val="I def subpara"/>
    <w:basedOn w:val="Normal"/>
    <w:rsid w:val="009B1FDD"/>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copybulletlevel2">
    <w:name w:val="Body copy bullet level 2"/>
    <w:rsid w:val="00DF23C5"/>
    <w:pPr>
      <w:keepNext/>
      <w:widowControl w:val="0"/>
      <w:numPr>
        <w:numId w:val="16"/>
      </w:numPr>
      <w:spacing w:after="0" w:line="240" w:lineRule="auto"/>
      <w:ind w:left="1701" w:hanging="567"/>
    </w:pPr>
    <w:rPr>
      <w:rFonts w:ascii="Calibri" w:eastAsia="Times New Roman" w:hAnsi="Calibri" w:cs="Calibri"/>
      <w:color w:val="000000"/>
      <w:szCs w:val="20"/>
      <w:lang w:eastAsia="en-AU"/>
    </w:rPr>
  </w:style>
  <w:style w:type="paragraph" w:customStyle="1" w:styleId="Titleheading">
    <w:name w:val="Title heading"/>
    <w:next w:val="Bodycopy"/>
    <w:rsid w:val="00DF23C5"/>
    <w:pPr>
      <w:keepNext/>
      <w:pageBreakBefore/>
      <w:widowControl w:val="0"/>
      <w:tabs>
        <w:tab w:val="left" w:pos="9643"/>
      </w:tabs>
      <w:spacing w:afterLines="200" w:after="0" w:line="240" w:lineRule="auto"/>
      <w:outlineLvl w:val="0"/>
    </w:pPr>
    <w:rPr>
      <w:rFonts w:ascii="Arial Narrow" w:eastAsia="Calibri" w:hAnsi="Arial Narrow" w:cs="Arial Narrow"/>
      <w:smallCaps/>
      <w:color w:val="000000"/>
      <w:sz w:val="60"/>
      <w:szCs w:val="60"/>
      <w:lang w:eastAsia="en-AU"/>
    </w:rPr>
  </w:style>
  <w:style w:type="table" w:customStyle="1" w:styleId="LightShading1">
    <w:name w:val="Light Shading1"/>
    <w:rsid w:val="00DF23C5"/>
    <w:pPr>
      <w:spacing w:after="0" w:line="240" w:lineRule="auto"/>
    </w:pPr>
    <w:rPr>
      <w:rFonts w:ascii="Calibri" w:eastAsia="Calibri" w:hAnsi="Calibri" w:cs="Times New Roman"/>
      <w:color w:val="000000"/>
      <w:sz w:val="20"/>
      <w:szCs w:val="2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Bulletlistlevel1">
    <w:name w:val="Bullet list  level 1"/>
    <w:qFormat/>
    <w:rsid w:val="00DF23C5"/>
    <w:pPr>
      <w:keepNext/>
      <w:widowControl w:val="0"/>
      <w:numPr>
        <w:numId w:val="15"/>
      </w:numPr>
      <w:spacing w:before="120" w:after="120" w:line="300" w:lineRule="exact"/>
      <w:ind w:left="1134" w:hanging="567"/>
    </w:pPr>
    <w:rPr>
      <w:rFonts w:ascii="Calibri" w:eastAsia="Times New Roman" w:hAnsi="Calibri" w:cs="Calibri"/>
      <w:color w:val="000000"/>
      <w:szCs w:val="20"/>
      <w:lang w:eastAsia="en-AU"/>
    </w:rPr>
  </w:style>
  <w:style w:type="paragraph" w:customStyle="1" w:styleId="Tableheading">
    <w:name w:val="Table heading"/>
    <w:rsid w:val="00DF23C5"/>
    <w:pPr>
      <w:keepNext/>
      <w:widowControl w:val="0"/>
      <w:spacing w:before="120" w:after="120" w:line="240" w:lineRule="auto"/>
    </w:pPr>
    <w:rPr>
      <w:rFonts w:ascii="Arial Narrow" w:eastAsia="Times New Roman" w:hAnsi="Arial Narrow" w:cs="Calibri"/>
      <w:b/>
      <w:bCs/>
      <w:smallCaps/>
      <w:color w:val="FFFFFF"/>
      <w:szCs w:val="20"/>
      <w:lang w:eastAsia="en-AU"/>
    </w:rPr>
  </w:style>
  <w:style w:type="paragraph" w:customStyle="1" w:styleId="Tablebodycopy">
    <w:name w:val="Table body copy"/>
    <w:rsid w:val="00DF23C5"/>
    <w:pPr>
      <w:keepNext/>
      <w:widowControl w:val="0"/>
      <w:spacing w:before="120" w:after="120" w:line="240" w:lineRule="auto"/>
    </w:pPr>
    <w:rPr>
      <w:rFonts w:ascii="Calibri" w:eastAsia="Times New Roman" w:hAnsi="Calibri" w:cs="Calibri"/>
      <w:bCs/>
      <w:szCs w:val="20"/>
      <w:lang w:eastAsia="en-AU"/>
    </w:rPr>
  </w:style>
  <w:style w:type="paragraph" w:customStyle="1" w:styleId="Bulletlistquote">
    <w:name w:val="Bullet list quote"/>
    <w:rsid w:val="00DF23C5"/>
    <w:pPr>
      <w:keepNext/>
      <w:widowControl w:val="0"/>
      <w:spacing w:after="0" w:line="240" w:lineRule="auto"/>
      <w:ind w:left="1701"/>
    </w:pPr>
    <w:rPr>
      <w:rFonts w:ascii="Calibri" w:eastAsia="Times New Roman" w:hAnsi="Calibri" w:cs="Calibri"/>
      <w:i/>
      <w:color w:val="000000"/>
      <w:szCs w:val="20"/>
      <w:lang w:eastAsia="en-AU"/>
    </w:rPr>
  </w:style>
  <w:style w:type="paragraph" w:customStyle="1" w:styleId="TOCHeading1">
    <w:name w:val="TOC Heading1"/>
    <w:rsid w:val="00DF23C5"/>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paragraph" w:customStyle="1" w:styleId="Heading1nonumber">
    <w:name w:val="Heading 1 no number"/>
    <w:next w:val="Bodycopynumbered"/>
    <w:rsid w:val="00DF23C5"/>
    <w:pPr>
      <w:keepNext/>
      <w:widowControl w:val="0"/>
      <w:spacing w:after="100" w:line="240" w:lineRule="auto"/>
    </w:pPr>
    <w:rPr>
      <w:rFonts w:ascii="Arial Narrow" w:eastAsia="Calibri" w:hAnsi="Arial Narrow" w:cs="Times New Roman"/>
      <w:bCs/>
      <w:smallCaps/>
      <w:color w:val="000000"/>
      <w:sz w:val="44"/>
      <w:szCs w:val="44"/>
    </w:rPr>
  </w:style>
  <w:style w:type="paragraph" w:customStyle="1" w:styleId="Bodycopynumbered2">
    <w:name w:val="Body copy numbered 2"/>
    <w:rsid w:val="00DF23C5"/>
    <w:pPr>
      <w:keepNext/>
      <w:widowControl w:val="0"/>
      <w:numPr>
        <w:numId w:val="21"/>
      </w:numPr>
      <w:spacing w:before="120" w:after="120" w:line="300" w:lineRule="exact"/>
      <w:ind w:left="567" w:hanging="567"/>
    </w:pPr>
    <w:rPr>
      <w:rFonts w:ascii="Calibri" w:eastAsia="Times New Roman" w:hAnsi="Calibri" w:cs="Calibri"/>
      <w:color w:val="000000"/>
      <w:szCs w:val="20"/>
      <w:lang w:eastAsia="en-AU"/>
    </w:rPr>
  </w:style>
  <w:style w:type="paragraph" w:customStyle="1" w:styleId="Committeemembership">
    <w:name w:val="Committee membership"/>
    <w:next w:val="Bodycopy"/>
    <w:rsid w:val="00DF23C5"/>
    <w:pPr>
      <w:keepNext/>
      <w:widowControl w:val="0"/>
      <w:spacing w:beforeLines="100" w:afterLines="100" w:after="0" w:line="240" w:lineRule="auto"/>
      <w:outlineLvl w:val="0"/>
    </w:pPr>
    <w:rPr>
      <w:rFonts w:ascii="Arial Narrow" w:eastAsia="Calibri" w:hAnsi="Arial Narrow" w:cs="Arial Narrow"/>
      <w:smallCaps/>
      <w:sz w:val="44"/>
      <w:szCs w:val="44"/>
    </w:rPr>
  </w:style>
  <w:style w:type="paragraph" w:customStyle="1" w:styleId="Secretariat">
    <w:name w:val="Secretariat"/>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Contactinformation">
    <w:name w:val="Contact information"/>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Recommendationsheading">
    <w:name w:val="Recommendations heading"/>
    <w:next w:val="Recommendationbodycopy"/>
    <w:rsid w:val="00DF23C5"/>
    <w:pPr>
      <w:keepNext/>
      <w:pageBreakBefore/>
      <w:widowControl w:val="0"/>
      <w:spacing w:after="240" w:line="240" w:lineRule="auto"/>
    </w:pPr>
    <w:rPr>
      <w:rFonts w:ascii="Arial Narrow" w:eastAsia="Calibri" w:hAnsi="Arial Narrow" w:cs="Times New Roman"/>
      <w:bCs/>
      <w:smallCaps/>
      <w:color w:val="000000"/>
      <w:sz w:val="44"/>
      <w:szCs w:val="44"/>
    </w:rPr>
  </w:style>
  <w:style w:type="character" w:styleId="PageNumber">
    <w:name w:val="page number"/>
    <w:rsid w:val="00DF23C5"/>
    <w:rPr>
      <w:rFonts w:ascii="Calibri" w:hAnsi="Calibri" w:cs="Times New Roman"/>
      <w:b/>
      <w:sz w:val="18"/>
      <w:szCs w:val="18"/>
    </w:rPr>
  </w:style>
  <w:style w:type="paragraph" w:customStyle="1" w:styleId="Recommendationbodycopy">
    <w:name w:val="Recommendation body copy"/>
    <w:rsid w:val="00DF23C5"/>
    <w:pPr>
      <w:keepNext/>
      <w:widowControl w:val="0"/>
      <w:spacing w:after="0" w:line="240" w:lineRule="auto"/>
    </w:pPr>
    <w:rPr>
      <w:rFonts w:ascii="Arial Narrow" w:eastAsia="Calibri" w:hAnsi="Arial Narrow" w:cs="Arial"/>
      <w:bCs/>
      <w:kern w:val="32"/>
      <w:szCs w:val="20"/>
    </w:rPr>
  </w:style>
  <w:style w:type="paragraph" w:customStyle="1" w:styleId="Recommendationbodycopynumbered">
    <w:name w:val="Recommendation body copy numbered"/>
    <w:rsid w:val="00DF23C5"/>
    <w:pPr>
      <w:keepNext/>
      <w:widowControl w:val="0"/>
      <w:numPr>
        <w:ilvl w:val="1"/>
        <w:numId w:val="23"/>
      </w:numPr>
      <w:spacing w:before="200" w:after="200" w:line="240" w:lineRule="auto"/>
      <w:ind w:left="578" w:hanging="578"/>
      <w:outlineLvl w:val="7"/>
    </w:pPr>
    <w:rPr>
      <w:rFonts w:ascii="Arial Narrow" w:eastAsia="Calibri" w:hAnsi="Arial Narrow" w:cs="Arial"/>
      <w:b/>
      <w:bCs/>
      <w:kern w:val="32"/>
      <w:szCs w:val="20"/>
    </w:rPr>
  </w:style>
  <w:style w:type="paragraph" w:customStyle="1" w:styleId="Recommendationheadingbody">
    <w:name w:val="Recommendation heading body"/>
    <w:next w:val="Recommendationbodycopynumbered"/>
    <w:rsid w:val="00DF23C5"/>
    <w:pPr>
      <w:keepNext/>
      <w:widowControl w:val="0"/>
      <w:spacing w:beforeLines="150" w:afterLines="100" w:after="0" w:line="240" w:lineRule="auto"/>
      <w:outlineLvl w:val="6"/>
    </w:pPr>
    <w:rPr>
      <w:rFonts w:ascii="Arial Narrow" w:eastAsia="Calibri" w:hAnsi="Arial Narrow" w:cs="Arial Narrow"/>
      <w:b/>
      <w:smallCaps/>
      <w:sz w:val="30"/>
      <w:szCs w:val="30"/>
    </w:rPr>
  </w:style>
  <w:style w:type="paragraph" w:customStyle="1" w:styleId="Bodycopybulletlevel1alpha">
    <w:name w:val="Body copy bullet level 1 alpha"/>
    <w:rsid w:val="00DF23C5"/>
    <w:pPr>
      <w:keepNext/>
      <w:widowControl w:val="0"/>
      <w:numPr>
        <w:numId w:val="18"/>
      </w:numPr>
      <w:spacing w:after="0" w:line="240" w:lineRule="auto"/>
      <w:ind w:left="851" w:hanging="284"/>
    </w:pPr>
    <w:rPr>
      <w:rFonts w:ascii="Calibri" w:eastAsia="Times New Roman" w:hAnsi="Calibri" w:cs="Calibri"/>
      <w:color w:val="000000"/>
      <w:szCs w:val="20"/>
      <w:lang w:eastAsia="en-AU"/>
    </w:rPr>
  </w:style>
  <w:style w:type="paragraph" w:customStyle="1" w:styleId="Headereven">
    <w:name w:val="Header even"/>
    <w:rsid w:val="00DF23C5"/>
    <w:pPr>
      <w:keepNext/>
      <w:widowControl w:val="0"/>
      <w:tabs>
        <w:tab w:val="center" w:pos="4513"/>
        <w:tab w:val="right" w:pos="9026"/>
      </w:tabs>
      <w:spacing w:after="0" w:line="240" w:lineRule="auto"/>
    </w:pPr>
    <w:rPr>
      <w:rFonts w:ascii="Calibri" w:eastAsia="Calibri" w:hAnsi="Calibri" w:cs="Arial Narrow"/>
      <w:smallCaps/>
      <w:szCs w:val="20"/>
    </w:rPr>
  </w:style>
  <w:style w:type="paragraph" w:customStyle="1" w:styleId="Headerodd">
    <w:name w:val="Header odd"/>
    <w:rsid w:val="00DF23C5"/>
    <w:pPr>
      <w:keepNext/>
      <w:widowControl w:val="0"/>
      <w:tabs>
        <w:tab w:val="center" w:pos="4513"/>
        <w:tab w:val="right" w:pos="9026"/>
      </w:tabs>
      <w:spacing w:after="0" w:line="240" w:lineRule="auto"/>
      <w:jc w:val="right"/>
    </w:pPr>
    <w:rPr>
      <w:rFonts w:ascii="Calibri" w:eastAsia="Calibri" w:hAnsi="Calibri" w:cs="Arial Narrow"/>
      <w:smallCaps/>
      <w:szCs w:val="20"/>
    </w:rPr>
  </w:style>
  <w:style w:type="paragraph" w:customStyle="1" w:styleId="Reportcoverfooter">
    <w:name w:val="Report cover footer"/>
    <w:basedOn w:val="Headerodd"/>
    <w:rsid w:val="00DF23C5"/>
    <w:rPr>
      <w:smallCaps w:val="0"/>
      <w:sz w:val="28"/>
      <w:szCs w:val="28"/>
    </w:rPr>
  </w:style>
  <w:style w:type="paragraph" w:customStyle="1" w:styleId="ReportTitle">
    <w:name w:val="Report Title"/>
    <w:rsid w:val="00DF23C5"/>
    <w:pPr>
      <w:keepNext/>
      <w:widowControl w:val="0"/>
      <w:spacing w:after="480" w:line="240" w:lineRule="auto"/>
      <w:jc w:val="right"/>
    </w:pPr>
    <w:rPr>
      <w:rFonts w:ascii="Arial Narrow" w:eastAsia="Calibri" w:hAnsi="Arial Narrow" w:cs="Arial Narrow"/>
      <w:smallCaps/>
      <w:sz w:val="56"/>
      <w:szCs w:val="56"/>
    </w:rPr>
  </w:style>
  <w:style w:type="paragraph" w:customStyle="1" w:styleId="CommitteeName">
    <w:name w:val="Committee Name"/>
    <w:rsid w:val="00DF23C5"/>
    <w:pPr>
      <w:keepNext/>
      <w:widowControl w:val="0"/>
      <w:spacing w:after="480" w:line="240" w:lineRule="auto"/>
      <w:jc w:val="right"/>
    </w:pPr>
    <w:rPr>
      <w:rFonts w:ascii="Arial Narrow" w:eastAsia="Calibri" w:hAnsi="Arial Narrow" w:cs="Arial Narrow"/>
      <w:smallCaps/>
      <w:sz w:val="44"/>
      <w:szCs w:val="44"/>
    </w:rPr>
  </w:style>
  <w:style w:type="paragraph" w:customStyle="1" w:styleId="Bulletlistalpha">
    <w:name w:val="Bullet list alpha"/>
    <w:rsid w:val="00DF23C5"/>
    <w:pPr>
      <w:keepNext/>
      <w:widowControl w:val="0"/>
      <w:numPr>
        <w:ilvl w:val="1"/>
        <w:numId w:val="16"/>
      </w:numPr>
      <w:spacing w:beforeLines="120" w:afterLines="120" w:after="0" w:line="200" w:lineRule="exact"/>
      <w:ind w:left="1701" w:hanging="567"/>
    </w:pPr>
    <w:rPr>
      <w:rFonts w:ascii="Calibri" w:eastAsia="Times New Roman" w:hAnsi="Calibri" w:cs="Calibri"/>
      <w:color w:val="000000"/>
      <w:spacing w:val="-3"/>
      <w:szCs w:val="20"/>
      <w:lang w:eastAsia="en-AU"/>
    </w:rPr>
  </w:style>
  <w:style w:type="paragraph" w:customStyle="1" w:styleId="Bulletlistroman">
    <w:name w:val="Bullet list roman"/>
    <w:rsid w:val="00DF23C5"/>
    <w:pPr>
      <w:keepNext/>
      <w:widowControl w:val="0"/>
      <w:numPr>
        <w:numId w:val="20"/>
      </w:numPr>
      <w:spacing w:beforeLines="120" w:afterLines="120" w:after="0" w:line="200" w:lineRule="exact"/>
      <w:ind w:left="2268" w:hanging="567"/>
    </w:pPr>
    <w:rPr>
      <w:rFonts w:ascii="Calibri" w:eastAsia="Times New Roman" w:hAnsi="Calibri" w:cs="Calibri"/>
      <w:color w:val="000000"/>
      <w:spacing w:val="-3"/>
      <w:szCs w:val="20"/>
      <w:lang w:eastAsia="en-AU"/>
    </w:rPr>
  </w:style>
  <w:style w:type="paragraph" w:customStyle="1" w:styleId="Heading4nonumber">
    <w:name w:val="Heading 4 no number"/>
    <w:next w:val="Bodycopynumbered"/>
    <w:rsid w:val="00DF23C5"/>
    <w:pPr>
      <w:keepNext/>
      <w:widowControl w:val="0"/>
      <w:spacing w:after="0" w:line="240" w:lineRule="auto"/>
    </w:pPr>
    <w:rPr>
      <w:rFonts w:ascii="Arial Narrow" w:eastAsia="Calibri" w:hAnsi="Arial Narrow" w:cs="Arial Narrow"/>
      <w:smallCaps/>
      <w:sz w:val="26"/>
      <w:szCs w:val="26"/>
    </w:rPr>
  </w:style>
  <w:style w:type="paragraph" w:customStyle="1" w:styleId="aIndent">
    <w:name w:val="(a) Indent"/>
    <w:basedOn w:val="Normal"/>
    <w:rsid w:val="00DF23C5"/>
    <w:pPr>
      <w:tabs>
        <w:tab w:val="left" w:pos="560"/>
      </w:tabs>
      <w:spacing w:before="0" w:after="0" w:line="240" w:lineRule="auto"/>
      <w:ind w:left="1120" w:hanging="1120"/>
    </w:pPr>
    <w:rPr>
      <w:rFonts w:ascii="Times" w:eastAsia="Times New Roman" w:hAnsi="Times" w:cs="Times New Roman"/>
      <w:sz w:val="24"/>
      <w:szCs w:val="20"/>
      <w:lang w:val="en-US" w:eastAsia="en-AU"/>
    </w:rPr>
  </w:style>
  <w:style w:type="numbering" w:customStyle="1" w:styleId="Style1">
    <w:name w:val="Style1"/>
    <w:rsid w:val="00DF23C5"/>
    <w:pPr>
      <w:numPr>
        <w:numId w:val="17"/>
      </w:numPr>
    </w:pPr>
  </w:style>
  <w:style w:type="numbering" w:customStyle="1" w:styleId="Style3">
    <w:name w:val="Style3"/>
    <w:rsid w:val="00DF23C5"/>
    <w:pPr>
      <w:numPr>
        <w:numId w:val="22"/>
      </w:numPr>
    </w:pPr>
  </w:style>
  <w:style w:type="numbering" w:customStyle="1" w:styleId="Style2">
    <w:name w:val="Style2"/>
    <w:rsid w:val="00DF23C5"/>
    <w:pPr>
      <w:numPr>
        <w:numId w:val="19"/>
      </w:numPr>
    </w:pPr>
  </w:style>
  <w:style w:type="paragraph" w:customStyle="1" w:styleId="Default">
    <w:name w:val="Default"/>
    <w:rsid w:val="00DF23C5"/>
    <w:pPr>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table" w:styleId="TableGrid">
    <w:name w:val="Table Grid"/>
    <w:basedOn w:val="TableNormal"/>
    <w:uiPriority w:val="59"/>
    <w:rsid w:val="00DF23C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DF23C5"/>
    <w:pPr>
      <w:spacing w:before="0" w:after="0" w:line="240" w:lineRule="auto"/>
      <w:jc w:val="both"/>
    </w:pPr>
    <w:rPr>
      <w:rFonts w:ascii="AvantGarde Bk BT" w:eastAsia="Times New Roman" w:hAnsi="AvantGarde Bk BT" w:cs="Times New Roman"/>
      <w:b/>
      <w:sz w:val="24"/>
      <w:szCs w:val="24"/>
      <w:lang w:eastAsia="en-AU"/>
    </w:rPr>
  </w:style>
  <w:style w:type="character" w:customStyle="1" w:styleId="GBHeadingChar">
    <w:name w:val="GB Heading Char"/>
    <w:link w:val="GBHeading"/>
    <w:locked/>
    <w:rsid w:val="00DF23C5"/>
    <w:rPr>
      <w:rFonts w:ascii="AvantGarde Bk BT" w:eastAsia="Times New Roman" w:hAnsi="AvantGarde Bk BT" w:cs="Times New Roman"/>
      <w:b/>
      <w:sz w:val="24"/>
      <w:szCs w:val="24"/>
      <w:lang w:eastAsia="en-AU"/>
    </w:rPr>
  </w:style>
  <w:style w:type="paragraph" w:customStyle="1" w:styleId="PaperTitleIndent1">
    <w:name w:val="PaperTitleIndent1"/>
    <w:basedOn w:val="Normal"/>
    <w:uiPriority w:val="99"/>
    <w:rsid w:val="00DF23C5"/>
    <w:pPr>
      <w:spacing w:before="0" w:after="120" w:line="240" w:lineRule="auto"/>
      <w:ind w:right="1701"/>
    </w:pPr>
    <w:rPr>
      <w:rFonts w:ascii="Times New Roman" w:eastAsia="Calibri" w:hAnsi="Times New Roman" w:cs="Times New Roman"/>
      <w:sz w:val="24"/>
      <w:szCs w:val="24"/>
      <w:lang w:eastAsia="en-AU"/>
    </w:rPr>
  </w:style>
  <w:style w:type="paragraph" w:customStyle="1" w:styleId="PaperTitleIndent2">
    <w:name w:val="PaperTitleIndent2"/>
    <w:basedOn w:val="Normal"/>
    <w:uiPriority w:val="99"/>
    <w:rsid w:val="00DF23C5"/>
    <w:pPr>
      <w:spacing w:before="0" w:after="120" w:line="240" w:lineRule="auto"/>
      <w:ind w:left="238" w:right="1701"/>
    </w:pPr>
    <w:rPr>
      <w:rFonts w:ascii="Times New Roman" w:eastAsia="Calibri" w:hAnsi="Times New Roman" w:cs="Times New Roman"/>
      <w:sz w:val="24"/>
      <w:szCs w:val="24"/>
      <w:lang w:eastAsia="en-AU"/>
    </w:rPr>
  </w:style>
  <w:style w:type="character" w:styleId="CommentReference">
    <w:name w:val="annotation reference"/>
    <w:rsid w:val="00DF23C5"/>
    <w:rPr>
      <w:sz w:val="16"/>
      <w:szCs w:val="16"/>
    </w:rPr>
  </w:style>
  <w:style w:type="paragraph" w:customStyle="1" w:styleId="IMain">
    <w:name w:val="I Main"/>
    <w:basedOn w:val="Normal"/>
    <w:rsid w:val="00DF23C5"/>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lang w:eastAsia="en-AU"/>
    </w:rPr>
  </w:style>
  <w:style w:type="paragraph" w:customStyle="1" w:styleId="Resol">
    <w:name w:val="Resol"/>
    <w:basedOn w:val="Committeemembership"/>
    <w:rsid w:val="00DF23C5"/>
    <w:pPr>
      <w:spacing w:before="240" w:after="240"/>
    </w:pPr>
    <w:rPr>
      <w:rFonts w:eastAsia="Times New Roman"/>
    </w:rPr>
  </w:style>
  <w:style w:type="character" w:customStyle="1" w:styleId="charCitHyperlinkItal">
    <w:name w:val="charCitHyperlinkItal"/>
    <w:uiPriority w:val="1"/>
    <w:rsid w:val="00DF23C5"/>
    <w:rPr>
      <w:rFonts w:cs="Times New Roman"/>
      <w:i/>
      <w:color w:val="0000FF"/>
      <w:u w:val="none"/>
    </w:rPr>
  </w:style>
  <w:style w:type="paragraph" w:customStyle="1" w:styleId="aDefpara">
    <w:name w:val="aDef para"/>
    <w:basedOn w:val="Apara"/>
    <w:rsid w:val="00DF23C5"/>
    <w:rPr>
      <w:lang w:eastAsia="en-AU"/>
    </w:rPr>
  </w:style>
  <w:style w:type="paragraph" w:customStyle="1" w:styleId="aExamHdgss">
    <w:name w:val="aExamHdgss"/>
    <w:basedOn w:val="Normal"/>
    <w:next w:val="Normal"/>
    <w:rsid w:val="00DF23C5"/>
    <w:pPr>
      <w:keepNext/>
      <w:spacing w:before="140" w:after="0" w:line="240" w:lineRule="auto"/>
      <w:ind w:left="1100"/>
    </w:pPr>
    <w:rPr>
      <w:rFonts w:ascii="Arial" w:eastAsia="Times New Roman" w:hAnsi="Arial" w:cs="Times New Roman"/>
      <w:b/>
      <w:sz w:val="18"/>
      <w:szCs w:val="20"/>
      <w:lang w:eastAsia="en-AU"/>
    </w:rPr>
  </w:style>
  <w:style w:type="paragraph" w:customStyle="1" w:styleId="aExamss">
    <w:name w:val="aExamss"/>
    <w:basedOn w:val="aNote"/>
    <w:rsid w:val="00DF23C5"/>
    <w:pPr>
      <w:spacing w:before="60"/>
      <w:ind w:left="1100" w:firstLine="0"/>
    </w:pPr>
    <w:rPr>
      <w:lang w:eastAsia="en-AU"/>
    </w:rPr>
  </w:style>
  <w:style w:type="character" w:customStyle="1" w:styleId="aNoteCharChar">
    <w:name w:val="aNote Char Char"/>
    <w:locked/>
    <w:rsid w:val="00DF23C5"/>
    <w:rPr>
      <w:rFonts w:cs="Times New Roman"/>
      <w:lang w:val="x-none" w:eastAsia="en-US"/>
    </w:rPr>
  </w:style>
  <w:style w:type="paragraph" w:customStyle="1" w:styleId="CoverActName">
    <w:name w:val="CoverActName"/>
    <w:basedOn w:val="Normal"/>
    <w:rsid w:val="00DF23C5"/>
    <w:pPr>
      <w:tabs>
        <w:tab w:val="left" w:pos="2600"/>
      </w:tabs>
      <w:overflowPunct w:val="0"/>
      <w:autoSpaceDE w:val="0"/>
      <w:autoSpaceDN w:val="0"/>
      <w:adjustRightInd w:val="0"/>
      <w:spacing w:before="200" w:after="60" w:line="240" w:lineRule="auto"/>
      <w:jc w:val="both"/>
    </w:pPr>
    <w:rPr>
      <w:rFonts w:ascii="Arial" w:eastAsia="Times New Roman" w:hAnsi="Arial" w:cs="Arial"/>
      <w:b/>
      <w:bCs/>
      <w:sz w:val="24"/>
      <w:szCs w:val="24"/>
      <w:lang w:eastAsia="en-AU"/>
    </w:rPr>
  </w:style>
  <w:style w:type="character" w:customStyle="1" w:styleId="AparaChar">
    <w:name w:val="A para Char"/>
    <w:link w:val="Apara"/>
    <w:locked/>
    <w:rsid w:val="00DF23C5"/>
    <w:rPr>
      <w:rFonts w:ascii="Times New Roman" w:eastAsia="Times New Roman" w:hAnsi="Times New Roman" w:cs="Times New Roman"/>
      <w:sz w:val="24"/>
      <w:szCs w:val="20"/>
    </w:rPr>
  </w:style>
  <w:style w:type="paragraph" w:customStyle="1" w:styleId="ESText">
    <w:name w:val="ES_Text"/>
    <w:basedOn w:val="Normal"/>
    <w:uiPriority w:val="99"/>
    <w:rsid w:val="00DF23C5"/>
    <w:pPr>
      <w:spacing w:before="0" w:after="0"/>
    </w:pPr>
    <w:rPr>
      <w:rFonts w:ascii="Times New Roman" w:eastAsia="Times New Roman" w:hAnsi="Times New Roman" w:cs="Times New Roman"/>
      <w:sz w:val="24"/>
      <w:szCs w:val="24"/>
      <w:lang w:eastAsia="en-AU"/>
    </w:rPr>
  </w:style>
  <w:style w:type="character" w:customStyle="1" w:styleId="Mention">
    <w:name w:val="Mention"/>
    <w:uiPriority w:val="99"/>
    <w:semiHidden/>
    <w:unhideWhenUsed/>
    <w:rsid w:val="00DF23C5"/>
    <w:rPr>
      <w:color w:val="2B579A"/>
      <w:shd w:val="clear" w:color="auto" w:fill="E6E6E6"/>
    </w:rPr>
  </w:style>
  <w:style w:type="character" w:customStyle="1" w:styleId="UnresolvedMention">
    <w:name w:val="Unresolved Mention"/>
    <w:uiPriority w:val="99"/>
    <w:semiHidden/>
    <w:unhideWhenUsed/>
    <w:rsid w:val="00DF23C5"/>
    <w:rPr>
      <w:color w:val="808080"/>
      <w:shd w:val="clear" w:color="auto" w:fill="E6E6E6"/>
    </w:rPr>
  </w:style>
  <w:style w:type="numbering" w:styleId="1ai">
    <w:name w:val="Outline List 1"/>
    <w:basedOn w:val="NoList"/>
    <w:rsid w:val="00DF23C5"/>
    <w:pPr>
      <w:numPr>
        <w:numId w:val="24"/>
      </w:numPr>
    </w:pPr>
  </w:style>
  <w:style w:type="paragraph" w:customStyle="1" w:styleId="TableHd">
    <w:name w:val="TableHd"/>
    <w:basedOn w:val="Normal"/>
    <w:rsid w:val="00DF23C5"/>
    <w:pPr>
      <w:keepNext/>
      <w:tabs>
        <w:tab w:val="left" w:pos="0"/>
      </w:tabs>
      <w:spacing w:before="300" w:after="0" w:line="240" w:lineRule="auto"/>
      <w:ind w:left="1200" w:hanging="1200"/>
    </w:pPr>
    <w:rPr>
      <w:rFonts w:ascii="Arial" w:eastAsia="Times New Roman" w:hAnsi="Arial" w:cs="Times New Roman"/>
      <w:b/>
      <w:sz w:val="20"/>
      <w:szCs w:val="20"/>
    </w:rPr>
  </w:style>
  <w:style w:type="paragraph" w:customStyle="1" w:styleId="TableColHd">
    <w:name w:val="TableColHd"/>
    <w:basedOn w:val="Normal"/>
    <w:rsid w:val="00DF23C5"/>
    <w:pPr>
      <w:keepNext/>
      <w:tabs>
        <w:tab w:val="left" w:pos="0"/>
      </w:tabs>
      <w:spacing w:before="0" w:after="60" w:line="240" w:lineRule="auto"/>
    </w:pPr>
    <w:rPr>
      <w:rFonts w:ascii="Arial" w:eastAsia="Times New Roman" w:hAnsi="Arial" w:cs="Times New Roman"/>
      <w:b/>
      <w:sz w:val="18"/>
      <w:szCs w:val="20"/>
    </w:rPr>
  </w:style>
  <w:style w:type="paragraph" w:customStyle="1" w:styleId="TableText">
    <w:name w:val="TableText"/>
    <w:basedOn w:val="Normal"/>
    <w:uiPriority w:val="99"/>
    <w:rsid w:val="00DF23C5"/>
    <w:pPr>
      <w:spacing w:before="60" w:after="60" w:line="240" w:lineRule="auto"/>
    </w:pPr>
    <w:rPr>
      <w:rFonts w:ascii="Times New Roman" w:eastAsia="Times New Roman" w:hAnsi="Times New Roman" w:cs="Times New Roman"/>
      <w:sz w:val="24"/>
      <w:szCs w:val="24"/>
    </w:rPr>
  </w:style>
  <w:style w:type="character" w:customStyle="1" w:styleId="AmainChar">
    <w:name w:val="A main Char"/>
    <w:link w:val="Amain"/>
    <w:locked/>
    <w:rsid w:val="007377EC"/>
    <w:rPr>
      <w:rFonts w:ascii="Times New Roman" w:eastAsia="Times New Roman" w:hAnsi="Times New Roman" w:cs="Times New Roman"/>
      <w:sz w:val="24"/>
      <w:szCs w:val="20"/>
    </w:rPr>
  </w:style>
  <w:style w:type="character" w:customStyle="1" w:styleId="Calibri12">
    <w:name w:val="Calibri 12"/>
    <w:basedOn w:val="DefaultParagraphFont"/>
    <w:uiPriority w:val="1"/>
    <w:qFormat/>
    <w:rsid w:val="00B32DDB"/>
    <w:rPr>
      <w:rFonts w:ascii="Calibri" w:hAnsi="Calibri"/>
      <w:sz w:val="24"/>
    </w:rPr>
  </w:style>
  <w:style w:type="paragraph" w:customStyle="1" w:styleId="ref">
    <w:name w:val="ref"/>
    <w:basedOn w:val="Normal"/>
    <w:next w:val="Normal"/>
    <w:rsid w:val="007E46DC"/>
    <w:pPr>
      <w:spacing w:before="60" w:after="0" w:line="240" w:lineRule="auto"/>
      <w:jc w:val="both"/>
    </w:pPr>
    <w:rPr>
      <w:rFonts w:ascii="Times New Roman" w:eastAsia="Times New Roman" w:hAnsi="Times New Roman" w:cs="Times New Roman"/>
      <w:sz w:val="18"/>
      <w:szCs w:val="20"/>
    </w:rPr>
  </w:style>
  <w:style w:type="paragraph" w:customStyle="1" w:styleId="TableText10">
    <w:name w:val="TableText10"/>
    <w:basedOn w:val="TableText"/>
    <w:rsid w:val="007E46DC"/>
    <w:pPr>
      <w:tabs>
        <w:tab w:val="left" w:pos="0"/>
      </w:tabs>
    </w:pPr>
    <w:rPr>
      <w:sz w:val="20"/>
      <w:szCs w:val="20"/>
    </w:rPr>
  </w:style>
  <w:style w:type="paragraph" w:customStyle="1" w:styleId="TableNumbered">
    <w:name w:val="TableNumbered"/>
    <w:basedOn w:val="TableText10"/>
    <w:qFormat/>
    <w:rsid w:val="007E46DC"/>
    <w:pPr>
      <w:numPr>
        <w:numId w:val="25"/>
      </w:numPr>
    </w:pPr>
  </w:style>
  <w:style w:type="paragraph" w:customStyle="1" w:styleId="Sched-heading">
    <w:name w:val="Sched-heading"/>
    <w:basedOn w:val="Normal"/>
    <w:next w:val="Normal"/>
    <w:rsid w:val="007E46DC"/>
    <w:pPr>
      <w:keepNext/>
      <w:tabs>
        <w:tab w:val="left" w:pos="2600"/>
      </w:tabs>
      <w:spacing w:before="380" w:after="0" w:line="240" w:lineRule="auto"/>
      <w:ind w:left="2600" w:hanging="2600"/>
      <w:outlineLvl w:val="0"/>
    </w:pPr>
    <w:rPr>
      <w:rFonts w:ascii="Arial" w:eastAsia="Times New Roman" w:hAnsi="Arial" w:cs="Times New Roman"/>
      <w:b/>
      <w:sz w:val="34"/>
      <w:szCs w:val="20"/>
    </w:rPr>
  </w:style>
  <w:style w:type="character" w:customStyle="1" w:styleId="CharChapNo">
    <w:name w:val="CharChapNo"/>
    <w:rsid w:val="007E46DC"/>
  </w:style>
  <w:style w:type="character" w:customStyle="1" w:styleId="CharChapText">
    <w:name w:val="CharChapText"/>
    <w:rsid w:val="007E46DC"/>
  </w:style>
  <w:style w:type="paragraph" w:customStyle="1" w:styleId="Calibribody">
    <w:name w:val="Calibri body"/>
    <w:basedOn w:val="AH5Sec"/>
    <w:rsid w:val="00452F37"/>
    <w:pPr>
      <w:tabs>
        <w:tab w:val="clear" w:pos="1100"/>
        <w:tab w:val="left" w:pos="360"/>
        <w:tab w:val="left" w:pos="1440"/>
      </w:tabs>
      <w:spacing w:before="220" w:after="220" w:line="280" w:lineRule="atLeast"/>
      <w:ind w:left="360" w:firstLine="0"/>
    </w:pPr>
    <w:rPr>
      <w:rFonts w:ascii="Calibri" w:hAnsi="Calibri" w:cs="Calibri"/>
      <w:sz w:val="22"/>
      <w:szCs w:val="22"/>
    </w:rPr>
  </w:style>
  <w:style w:type="paragraph" w:customStyle="1" w:styleId="TOCHeading2">
    <w:name w:val="TOC Heading2"/>
    <w:rsid w:val="00AF6CB6"/>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character" w:styleId="EndnoteReference">
    <w:name w:val="endnote reference"/>
    <w:rsid w:val="00AF6CB6"/>
    <w:rPr>
      <w:vertAlign w:val="superscript"/>
    </w:rPr>
  </w:style>
  <w:style w:type="paragraph" w:customStyle="1" w:styleId="LongTitle">
    <w:name w:val="LongTitle"/>
    <w:basedOn w:val="Normal"/>
    <w:rsid w:val="001352E7"/>
    <w:pPr>
      <w:spacing w:before="240" w:after="60" w:line="240" w:lineRule="auto"/>
      <w:jc w:val="both"/>
    </w:pPr>
    <w:rPr>
      <w:rFonts w:ascii="Times New Roman" w:eastAsia="Times New Roman" w:hAnsi="Times New Roman" w:cs="Times New Roman"/>
      <w:sz w:val="24"/>
      <w:szCs w:val="24"/>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link w:val="ListParagraph"/>
    <w:uiPriority w:val="34"/>
    <w:qFormat/>
    <w:locked/>
    <w:rsid w:val="005D1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3566">
      <w:bodyDiv w:val="1"/>
      <w:marLeft w:val="0"/>
      <w:marRight w:val="0"/>
      <w:marTop w:val="0"/>
      <w:marBottom w:val="0"/>
      <w:divBdr>
        <w:top w:val="none" w:sz="0" w:space="0" w:color="auto"/>
        <w:left w:val="none" w:sz="0" w:space="0" w:color="auto"/>
        <w:bottom w:val="none" w:sz="0" w:space="0" w:color="auto"/>
        <w:right w:val="none" w:sz="0" w:space="0" w:color="auto"/>
      </w:divBdr>
    </w:div>
    <w:div w:id="44761495">
      <w:bodyDiv w:val="1"/>
      <w:marLeft w:val="0"/>
      <w:marRight w:val="0"/>
      <w:marTop w:val="0"/>
      <w:marBottom w:val="0"/>
      <w:divBdr>
        <w:top w:val="none" w:sz="0" w:space="0" w:color="auto"/>
        <w:left w:val="none" w:sz="0" w:space="0" w:color="auto"/>
        <w:bottom w:val="none" w:sz="0" w:space="0" w:color="auto"/>
        <w:right w:val="none" w:sz="0" w:space="0" w:color="auto"/>
      </w:divBdr>
    </w:div>
    <w:div w:id="80682419">
      <w:bodyDiv w:val="1"/>
      <w:marLeft w:val="0"/>
      <w:marRight w:val="0"/>
      <w:marTop w:val="0"/>
      <w:marBottom w:val="0"/>
      <w:divBdr>
        <w:top w:val="none" w:sz="0" w:space="0" w:color="auto"/>
        <w:left w:val="none" w:sz="0" w:space="0" w:color="auto"/>
        <w:bottom w:val="none" w:sz="0" w:space="0" w:color="auto"/>
        <w:right w:val="none" w:sz="0" w:space="0" w:color="auto"/>
      </w:divBdr>
    </w:div>
    <w:div w:id="353387201">
      <w:bodyDiv w:val="1"/>
      <w:marLeft w:val="0"/>
      <w:marRight w:val="0"/>
      <w:marTop w:val="0"/>
      <w:marBottom w:val="0"/>
      <w:divBdr>
        <w:top w:val="none" w:sz="0" w:space="0" w:color="auto"/>
        <w:left w:val="none" w:sz="0" w:space="0" w:color="auto"/>
        <w:bottom w:val="none" w:sz="0" w:space="0" w:color="auto"/>
        <w:right w:val="none" w:sz="0" w:space="0" w:color="auto"/>
      </w:divBdr>
    </w:div>
    <w:div w:id="378287222">
      <w:bodyDiv w:val="1"/>
      <w:marLeft w:val="0"/>
      <w:marRight w:val="0"/>
      <w:marTop w:val="0"/>
      <w:marBottom w:val="0"/>
      <w:divBdr>
        <w:top w:val="none" w:sz="0" w:space="0" w:color="auto"/>
        <w:left w:val="none" w:sz="0" w:space="0" w:color="auto"/>
        <w:bottom w:val="none" w:sz="0" w:space="0" w:color="auto"/>
        <w:right w:val="none" w:sz="0" w:space="0" w:color="auto"/>
      </w:divBdr>
    </w:div>
    <w:div w:id="413749720">
      <w:bodyDiv w:val="1"/>
      <w:marLeft w:val="0"/>
      <w:marRight w:val="0"/>
      <w:marTop w:val="0"/>
      <w:marBottom w:val="0"/>
      <w:divBdr>
        <w:top w:val="none" w:sz="0" w:space="0" w:color="auto"/>
        <w:left w:val="none" w:sz="0" w:space="0" w:color="auto"/>
        <w:bottom w:val="none" w:sz="0" w:space="0" w:color="auto"/>
        <w:right w:val="none" w:sz="0" w:space="0" w:color="auto"/>
      </w:divBdr>
    </w:div>
    <w:div w:id="451359759">
      <w:bodyDiv w:val="1"/>
      <w:marLeft w:val="0"/>
      <w:marRight w:val="0"/>
      <w:marTop w:val="0"/>
      <w:marBottom w:val="0"/>
      <w:divBdr>
        <w:top w:val="none" w:sz="0" w:space="0" w:color="auto"/>
        <w:left w:val="none" w:sz="0" w:space="0" w:color="auto"/>
        <w:bottom w:val="none" w:sz="0" w:space="0" w:color="auto"/>
        <w:right w:val="none" w:sz="0" w:space="0" w:color="auto"/>
      </w:divBdr>
    </w:div>
    <w:div w:id="453252857">
      <w:bodyDiv w:val="1"/>
      <w:marLeft w:val="0"/>
      <w:marRight w:val="0"/>
      <w:marTop w:val="0"/>
      <w:marBottom w:val="0"/>
      <w:divBdr>
        <w:top w:val="none" w:sz="0" w:space="0" w:color="auto"/>
        <w:left w:val="none" w:sz="0" w:space="0" w:color="auto"/>
        <w:bottom w:val="none" w:sz="0" w:space="0" w:color="auto"/>
        <w:right w:val="none" w:sz="0" w:space="0" w:color="auto"/>
      </w:divBdr>
    </w:div>
    <w:div w:id="479882438">
      <w:bodyDiv w:val="1"/>
      <w:marLeft w:val="0"/>
      <w:marRight w:val="0"/>
      <w:marTop w:val="0"/>
      <w:marBottom w:val="0"/>
      <w:divBdr>
        <w:top w:val="none" w:sz="0" w:space="0" w:color="auto"/>
        <w:left w:val="none" w:sz="0" w:space="0" w:color="auto"/>
        <w:bottom w:val="none" w:sz="0" w:space="0" w:color="auto"/>
        <w:right w:val="none" w:sz="0" w:space="0" w:color="auto"/>
      </w:divBdr>
    </w:div>
    <w:div w:id="496581886">
      <w:bodyDiv w:val="1"/>
      <w:marLeft w:val="0"/>
      <w:marRight w:val="0"/>
      <w:marTop w:val="0"/>
      <w:marBottom w:val="0"/>
      <w:divBdr>
        <w:top w:val="none" w:sz="0" w:space="0" w:color="auto"/>
        <w:left w:val="none" w:sz="0" w:space="0" w:color="auto"/>
        <w:bottom w:val="none" w:sz="0" w:space="0" w:color="auto"/>
        <w:right w:val="none" w:sz="0" w:space="0" w:color="auto"/>
      </w:divBdr>
    </w:div>
    <w:div w:id="665597187">
      <w:bodyDiv w:val="1"/>
      <w:marLeft w:val="0"/>
      <w:marRight w:val="0"/>
      <w:marTop w:val="0"/>
      <w:marBottom w:val="0"/>
      <w:divBdr>
        <w:top w:val="none" w:sz="0" w:space="0" w:color="auto"/>
        <w:left w:val="none" w:sz="0" w:space="0" w:color="auto"/>
        <w:bottom w:val="none" w:sz="0" w:space="0" w:color="auto"/>
        <w:right w:val="none" w:sz="0" w:space="0" w:color="auto"/>
      </w:divBdr>
    </w:div>
    <w:div w:id="669332373">
      <w:bodyDiv w:val="1"/>
      <w:marLeft w:val="0"/>
      <w:marRight w:val="0"/>
      <w:marTop w:val="0"/>
      <w:marBottom w:val="0"/>
      <w:divBdr>
        <w:top w:val="none" w:sz="0" w:space="0" w:color="auto"/>
        <w:left w:val="none" w:sz="0" w:space="0" w:color="auto"/>
        <w:bottom w:val="none" w:sz="0" w:space="0" w:color="auto"/>
        <w:right w:val="none" w:sz="0" w:space="0" w:color="auto"/>
      </w:divBdr>
    </w:div>
    <w:div w:id="709569828">
      <w:bodyDiv w:val="1"/>
      <w:marLeft w:val="0"/>
      <w:marRight w:val="0"/>
      <w:marTop w:val="0"/>
      <w:marBottom w:val="0"/>
      <w:divBdr>
        <w:top w:val="none" w:sz="0" w:space="0" w:color="auto"/>
        <w:left w:val="none" w:sz="0" w:space="0" w:color="auto"/>
        <w:bottom w:val="none" w:sz="0" w:space="0" w:color="auto"/>
        <w:right w:val="none" w:sz="0" w:space="0" w:color="auto"/>
      </w:divBdr>
    </w:div>
    <w:div w:id="752706501">
      <w:bodyDiv w:val="1"/>
      <w:marLeft w:val="0"/>
      <w:marRight w:val="0"/>
      <w:marTop w:val="0"/>
      <w:marBottom w:val="0"/>
      <w:divBdr>
        <w:top w:val="none" w:sz="0" w:space="0" w:color="auto"/>
        <w:left w:val="none" w:sz="0" w:space="0" w:color="auto"/>
        <w:bottom w:val="none" w:sz="0" w:space="0" w:color="auto"/>
        <w:right w:val="none" w:sz="0" w:space="0" w:color="auto"/>
      </w:divBdr>
    </w:div>
    <w:div w:id="859782865">
      <w:bodyDiv w:val="1"/>
      <w:marLeft w:val="0"/>
      <w:marRight w:val="0"/>
      <w:marTop w:val="0"/>
      <w:marBottom w:val="0"/>
      <w:divBdr>
        <w:top w:val="none" w:sz="0" w:space="0" w:color="auto"/>
        <w:left w:val="none" w:sz="0" w:space="0" w:color="auto"/>
        <w:bottom w:val="none" w:sz="0" w:space="0" w:color="auto"/>
        <w:right w:val="none" w:sz="0" w:space="0" w:color="auto"/>
      </w:divBdr>
    </w:div>
    <w:div w:id="893808291">
      <w:bodyDiv w:val="1"/>
      <w:marLeft w:val="0"/>
      <w:marRight w:val="0"/>
      <w:marTop w:val="0"/>
      <w:marBottom w:val="0"/>
      <w:divBdr>
        <w:top w:val="none" w:sz="0" w:space="0" w:color="auto"/>
        <w:left w:val="none" w:sz="0" w:space="0" w:color="auto"/>
        <w:bottom w:val="none" w:sz="0" w:space="0" w:color="auto"/>
        <w:right w:val="none" w:sz="0" w:space="0" w:color="auto"/>
      </w:divBdr>
    </w:div>
    <w:div w:id="921261751">
      <w:bodyDiv w:val="1"/>
      <w:marLeft w:val="0"/>
      <w:marRight w:val="0"/>
      <w:marTop w:val="0"/>
      <w:marBottom w:val="0"/>
      <w:divBdr>
        <w:top w:val="none" w:sz="0" w:space="0" w:color="auto"/>
        <w:left w:val="none" w:sz="0" w:space="0" w:color="auto"/>
        <w:bottom w:val="none" w:sz="0" w:space="0" w:color="auto"/>
        <w:right w:val="none" w:sz="0" w:space="0" w:color="auto"/>
      </w:divBdr>
    </w:div>
    <w:div w:id="1040787363">
      <w:bodyDiv w:val="1"/>
      <w:marLeft w:val="0"/>
      <w:marRight w:val="0"/>
      <w:marTop w:val="0"/>
      <w:marBottom w:val="0"/>
      <w:divBdr>
        <w:top w:val="none" w:sz="0" w:space="0" w:color="auto"/>
        <w:left w:val="none" w:sz="0" w:space="0" w:color="auto"/>
        <w:bottom w:val="none" w:sz="0" w:space="0" w:color="auto"/>
        <w:right w:val="none" w:sz="0" w:space="0" w:color="auto"/>
      </w:divBdr>
    </w:div>
    <w:div w:id="1101681319">
      <w:bodyDiv w:val="1"/>
      <w:marLeft w:val="0"/>
      <w:marRight w:val="0"/>
      <w:marTop w:val="0"/>
      <w:marBottom w:val="0"/>
      <w:divBdr>
        <w:top w:val="none" w:sz="0" w:space="0" w:color="auto"/>
        <w:left w:val="none" w:sz="0" w:space="0" w:color="auto"/>
        <w:bottom w:val="none" w:sz="0" w:space="0" w:color="auto"/>
        <w:right w:val="none" w:sz="0" w:space="0" w:color="auto"/>
      </w:divBdr>
    </w:div>
    <w:div w:id="1140925372">
      <w:bodyDiv w:val="1"/>
      <w:marLeft w:val="0"/>
      <w:marRight w:val="0"/>
      <w:marTop w:val="0"/>
      <w:marBottom w:val="0"/>
      <w:divBdr>
        <w:top w:val="none" w:sz="0" w:space="0" w:color="auto"/>
        <w:left w:val="none" w:sz="0" w:space="0" w:color="auto"/>
        <w:bottom w:val="none" w:sz="0" w:space="0" w:color="auto"/>
        <w:right w:val="none" w:sz="0" w:space="0" w:color="auto"/>
      </w:divBdr>
    </w:div>
    <w:div w:id="1159611574">
      <w:bodyDiv w:val="1"/>
      <w:marLeft w:val="0"/>
      <w:marRight w:val="0"/>
      <w:marTop w:val="0"/>
      <w:marBottom w:val="0"/>
      <w:divBdr>
        <w:top w:val="none" w:sz="0" w:space="0" w:color="auto"/>
        <w:left w:val="none" w:sz="0" w:space="0" w:color="auto"/>
        <w:bottom w:val="none" w:sz="0" w:space="0" w:color="auto"/>
        <w:right w:val="none" w:sz="0" w:space="0" w:color="auto"/>
      </w:divBdr>
    </w:div>
    <w:div w:id="1221866825">
      <w:bodyDiv w:val="1"/>
      <w:marLeft w:val="0"/>
      <w:marRight w:val="0"/>
      <w:marTop w:val="0"/>
      <w:marBottom w:val="0"/>
      <w:divBdr>
        <w:top w:val="none" w:sz="0" w:space="0" w:color="auto"/>
        <w:left w:val="none" w:sz="0" w:space="0" w:color="auto"/>
        <w:bottom w:val="none" w:sz="0" w:space="0" w:color="auto"/>
        <w:right w:val="none" w:sz="0" w:space="0" w:color="auto"/>
      </w:divBdr>
    </w:div>
    <w:div w:id="1272972304">
      <w:bodyDiv w:val="1"/>
      <w:marLeft w:val="0"/>
      <w:marRight w:val="0"/>
      <w:marTop w:val="0"/>
      <w:marBottom w:val="0"/>
      <w:divBdr>
        <w:top w:val="none" w:sz="0" w:space="0" w:color="auto"/>
        <w:left w:val="none" w:sz="0" w:space="0" w:color="auto"/>
        <w:bottom w:val="none" w:sz="0" w:space="0" w:color="auto"/>
        <w:right w:val="none" w:sz="0" w:space="0" w:color="auto"/>
      </w:divBdr>
    </w:div>
    <w:div w:id="1288320872">
      <w:bodyDiv w:val="1"/>
      <w:marLeft w:val="0"/>
      <w:marRight w:val="0"/>
      <w:marTop w:val="0"/>
      <w:marBottom w:val="0"/>
      <w:divBdr>
        <w:top w:val="none" w:sz="0" w:space="0" w:color="auto"/>
        <w:left w:val="none" w:sz="0" w:space="0" w:color="auto"/>
        <w:bottom w:val="none" w:sz="0" w:space="0" w:color="auto"/>
        <w:right w:val="none" w:sz="0" w:space="0" w:color="auto"/>
      </w:divBdr>
    </w:div>
    <w:div w:id="1288389191">
      <w:bodyDiv w:val="1"/>
      <w:marLeft w:val="0"/>
      <w:marRight w:val="0"/>
      <w:marTop w:val="0"/>
      <w:marBottom w:val="0"/>
      <w:divBdr>
        <w:top w:val="none" w:sz="0" w:space="0" w:color="auto"/>
        <w:left w:val="none" w:sz="0" w:space="0" w:color="auto"/>
        <w:bottom w:val="none" w:sz="0" w:space="0" w:color="auto"/>
        <w:right w:val="none" w:sz="0" w:space="0" w:color="auto"/>
      </w:divBdr>
    </w:div>
    <w:div w:id="1297570248">
      <w:bodyDiv w:val="1"/>
      <w:marLeft w:val="0"/>
      <w:marRight w:val="0"/>
      <w:marTop w:val="0"/>
      <w:marBottom w:val="0"/>
      <w:divBdr>
        <w:top w:val="none" w:sz="0" w:space="0" w:color="auto"/>
        <w:left w:val="none" w:sz="0" w:space="0" w:color="auto"/>
        <w:bottom w:val="none" w:sz="0" w:space="0" w:color="auto"/>
        <w:right w:val="none" w:sz="0" w:space="0" w:color="auto"/>
      </w:divBdr>
    </w:div>
    <w:div w:id="1307322897">
      <w:bodyDiv w:val="1"/>
      <w:marLeft w:val="0"/>
      <w:marRight w:val="0"/>
      <w:marTop w:val="0"/>
      <w:marBottom w:val="0"/>
      <w:divBdr>
        <w:top w:val="none" w:sz="0" w:space="0" w:color="auto"/>
        <w:left w:val="none" w:sz="0" w:space="0" w:color="auto"/>
        <w:bottom w:val="none" w:sz="0" w:space="0" w:color="auto"/>
        <w:right w:val="none" w:sz="0" w:space="0" w:color="auto"/>
      </w:divBdr>
    </w:div>
    <w:div w:id="1311326864">
      <w:bodyDiv w:val="1"/>
      <w:marLeft w:val="0"/>
      <w:marRight w:val="0"/>
      <w:marTop w:val="0"/>
      <w:marBottom w:val="0"/>
      <w:divBdr>
        <w:top w:val="none" w:sz="0" w:space="0" w:color="auto"/>
        <w:left w:val="none" w:sz="0" w:space="0" w:color="auto"/>
        <w:bottom w:val="none" w:sz="0" w:space="0" w:color="auto"/>
        <w:right w:val="none" w:sz="0" w:space="0" w:color="auto"/>
      </w:divBdr>
    </w:div>
    <w:div w:id="1341810655">
      <w:bodyDiv w:val="1"/>
      <w:marLeft w:val="0"/>
      <w:marRight w:val="0"/>
      <w:marTop w:val="0"/>
      <w:marBottom w:val="0"/>
      <w:divBdr>
        <w:top w:val="none" w:sz="0" w:space="0" w:color="auto"/>
        <w:left w:val="none" w:sz="0" w:space="0" w:color="auto"/>
        <w:bottom w:val="none" w:sz="0" w:space="0" w:color="auto"/>
        <w:right w:val="none" w:sz="0" w:space="0" w:color="auto"/>
      </w:divBdr>
    </w:div>
    <w:div w:id="1405562978">
      <w:bodyDiv w:val="1"/>
      <w:marLeft w:val="0"/>
      <w:marRight w:val="0"/>
      <w:marTop w:val="0"/>
      <w:marBottom w:val="0"/>
      <w:divBdr>
        <w:top w:val="none" w:sz="0" w:space="0" w:color="auto"/>
        <w:left w:val="none" w:sz="0" w:space="0" w:color="auto"/>
        <w:bottom w:val="none" w:sz="0" w:space="0" w:color="auto"/>
        <w:right w:val="none" w:sz="0" w:space="0" w:color="auto"/>
      </w:divBdr>
    </w:div>
    <w:div w:id="1413235515">
      <w:bodyDiv w:val="1"/>
      <w:marLeft w:val="0"/>
      <w:marRight w:val="0"/>
      <w:marTop w:val="0"/>
      <w:marBottom w:val="0"/>
      <w:divBdr>
        <w:top w:val="none" w:sz="0" w:space="0" w:color="auto"/>
        <w:left w:val="none" w:sz="0" w:space="0" w:color="auto"/>
        <w:bottom w:val="none" w:sz="0" w:space="0" w:color="auto"/>
        <w:right w:val="none" w:sz="0" w:space="0" w:color="auto"/>
      </w:divBdr>
    </w:div>
    <w:div w:id="1449006435">
      <w:bodyDiv w:val="1"/>
      <w:marLeft w:val="0"/>
      <w:marRight w:val="0"/>
      <w:marTop w:val="0"/>
      <w:marBottom w:val="0"/>
      <w:divBdr>
        <w:top w:val="none" w:sz="0" w:space="0" w:color="auto"/>
        <w:left w:val="none" w:sz="0" w:space="0" w:color="auto"/>
        <w:bottom w:val="none" w:sz="0" w:space="0" w:color="auto"/>
        <w:right w:val="none" w:sz="0" w:space="0" w:color="auto"/>
      </w:divBdr>
    </w:div>
    <w:div w:id="1456174768">
      <w:bodyDiv w:val="1"/>
      <w:marLeft w:val="0"/>
      <w:marRight w:val="0"/>
      <w:marTop w:val="0"/>
      <w:marBottom w:val="0"/>
      <w:divBdr>
        <w:top w:val="none" w:sz="0" w:space="0" w:color="auto"/>
        <w:left w:val="none" w:sz="0" w:space="0" w:color="auto"/>
        <w:bottom w:val="none" w:sz="0" w:space="0" w:color="auto"/>
        <w:right w:val="none" w:sz="0" w:space="0" w:color="auto"/>
      </w:divBdr>
    </w:div>
    <w:div w:id="1484615299">
      <w:bodyDiv w:val="1"/>
      <w:marLeft w:val="0"/>
      <w:marRight w:val="0"/>
      <w:marTop w:val="0"/>
      <w:marBottom w:val="0"/>
      <w:divBdr>
        <w:top w:val="none" w:sz="0" w:space="0" w:color="auto"/>
        <w:left w:val="none" w:sz="0" w:space="0" w:color="auto"/>
        <w:bottom w:val="none" w:sz="0" w:space="0" w:color="auto"/>
        <w:right w:val="none" w:sz="0" w:space="0" w:color="auto"/>
      </w:divBdr>
    </w:div>
    <w:div w:id="1861891162">
      <w:bodyDiv w:val="1"/>
      <w:marLeft w:val="0"/>
      <w:marRight w:val="0"/>
      <w:marTop w:val="0"/>
      <w:marBottom w:val="0"/>
      <w:divBdr>
        <w:top w:val="none" w:sz="0" w:space="0" w:color="auto"/>
        <w:left w:val="none" w:sz="0" w:space="0" w:color="auto"/>
        <w:bottom w:val="none" w:sz="0" w:space="0" w:color="auto"/>
        <w:right w:val="none" w:sz="0" w:space="0" w:color="auto"/>
      </w:divBdr>
      <w:divsChild>
        <w:div w:id="85677447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9148265">
              <w:blockQuote w:val="1"/>
              <w:marLeft w:val="480"/>
              <w:marRight w:val="0"/>
              <w:marTop w:val="120"/>
              <w:marBottom w:val="120"/>
              <w:divBdr>
                <w:top w:val="none" w:sz="0" w:space="0" w:color="auto"/>
                <w:left w:val="none" w:sz="0" w:space="0" w:color="auto"/>
                <w:bottom w:val="none" w:sz="0" w:space="0" w:color="auto"/>
                <w:right w:val="none" w:sz="0" w:space="0" w:color="auto"/>
              </w:divBdr>
            </w:div>
            <w:div w:id="445807919">
              <w:blockQuote w:val="1"/>
              <w:marLeft w:val="480"/>
              <w:marRight w:val="0"/>
              <w:marTop w:val="120"/>
              <w:marBottom w:val="120"/>
              <w:divBdr>
                <w:top w:val="none" w:sz="0" w:space="0" w:color="auto"/>
                <w:left w:val="none" w:sz="0" w:space="0" w:color="auto"/>
                <w:bottom w:val="none" w:sz="0" w:space="0" w:color="auto"/>
                <w:right w:val="none" w:sz="0" w:space="0" w:color="auto"/>
              </w:divBdr>
            </w:div>
            <w:div w:id="455835139">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514419143">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652513648">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1783913921">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761950779">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941982867">
      <w:bodyDiv w:val="1"/>
      <w:marLeft w:val="0"/>
      <w:marRight w:val="0"/>
      <w:marTop w:val="0"/>
      <w:marBottom w:val="0"/>
      <w:divBdr>
        <w:top w:val="none" w:sz="0" w:space="0" w:color="auto"/>
        <w:left w:val="none" w:sz="0" w:space="0" w:color="auto"/>
        <w:bottom w:val="none" w:sz="0" w:space="0" w:color="auto"/>
        <w:right w:val="none" w:sz="0" w:space="0" w:color="auto"/>
      </w:divBdr>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04315815">
      <w:bodyDiv w:val="1"/>
      <w:marLeft w:val="0"/>
      <w:marRight w:val="0"/>
      <w:marTop w:val="0"/>
      <w:marBottom w:val="0"/>
      <w:divBdr>
        <w:top w:val="none" w:sz="0" w:space="0" w:color="auto"/>
        <w:left w:val="none" w:sz="0" w:space="0" w:color="auto"/>
        <w:bottom w:val="none" w:sz="0" w:space="0" w:color="auto"/>
        <w:right w:val="none" w:sz="0" w:space="0" w:color="auto"/>
      </w:divBdr>
    </w:div>
    <w:div w:id="20046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parliament.act.gov.au/parliamentary-business/in-committees/committees/JCS_Scrutiny/response-to-comments-on-subordinate-legislation"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ustlii.edu.au/cgi-bin/viewdoc/au/cases/act/ACTSC/2015/3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5B0B-D405-4F95-84A1-A56830AF9D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9161BA7-EC5F-4903-A1AF-000FEE37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23</Pages>
  <Words>7975</Words>
  <Characters>45459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Scrutiny Report 45—30 June 2020</vt:lpstr>
    </vt:vector>
  </TitlesOfParts>
  <Company/>
  <LinksUpToDate>false</LinksUpToDate>
  <CharactersWithSpaces>53328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Report 4 - 4 May 2021</dc:title>
  <dc:creator>Anne Shannon</dc:creator>
  <cp:lastModifiedBy>Milne, Sophie</cp:lastModifiedBy>
  <cp:revision>70</cp:revision>
  <cp:lastPrinted>2020-06-30T02:19:00Z</cp:lastPrinted>
  <dcterms:created xsi:type="dcterms:W3CDTF">2021-04-27T04:04:00Z</dcterms:created>
  <dcterms:modified xsi:type="dcterms:W3CDTF">2021-06-09T00:13:00Z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b5416023-e907-4e5c-94a6-d4a6d91d63bb</vt:lpwstr>
  </property>
  <property fmtid="{D5CDD505-2E9C-101B-9397-08002B2CF9AE}" pid="3" name="bjSaver">
    <vt:lpwstr>ZwE+/ToLrPDfvyrx1nh9MyjXnSm5Wksu</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