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7FE" w:rsidRPr="00104A8B" w:rsidRDefault="009517FE" w:rsidP="009517FE">
      <w:pPr>
        <w:spacing w:before="7560" w:after="240" w:line="259" w:lineRule="auto"/>
        <w:jc w:val="right"/>
        <w:rPr>
          <w:rFonts w:ascii="Arial Narrow" w:hAnsi="Arial Narrow"/>
          <w:sz w:val="42"/>
          <w:szCs w:val="42"/>
        </w:rPr>
      </w:pPr>
      <w:bookmarkStart w:id="0" w:name="_Toc500938167"/>
      <w:bookmarkStart w:id="1" w:name="_Toc500947015"/>
      <w:bookmarkStart w:id="2" w:name="_Toc501547024"/>
      <w:bookmarkStart w:id="3" w:name="_Toc501547379"/>
      <w:bookmarkStart w:id="4" w:name="_Toc505005664"/>
      <w:bookmarkStart w:id="5" w:name="_Toc505153755"/>
      <w:bookmarkStart w:id="6" w:name="_Toc508283423"/>
      <w:bookmarkStart w:id="7" w:name="_Toc510081779"/>
      <w:bookmarkStart w:id="8" w:name="_Toc511812216"/>
      <w:bookmarkStart w:id="9" w:name="_Toc512240154"/>
      <w:bookmarkStart w:id="10" w:name="_Toc513192151"/>
      <w:bookmarkStart w:id="11" w:name="_Toc514832413"/>
      <w:bookmarkStart w:id="12" w:name="_Toc514837957"/>
      <w:r w:rsidRPr="00104A8B">
        <w:rPr>
          <w:rFonts w:ascii="Arial Narrow" w:hAnsi="Arial Narrow"/>
          <w:sz w:val="42"/>
          <w:szCs w:val="42"/>
        </w:rPr>
        <w:t>Standing Committee on Justice and Community Safety (Legislative Scrutiny Role)</w:t>
      </w:r>
    </w:p>
    <w:p w:rsidR="000B0846" w:rsidRPr="00104A8B" w:rsidRDefault="000B0846" w:rsidP="001F1D6D">
      <w:pPr>
        <w:pStyle w:val="Heading1"/>
        <w:spacing w:before="2200"/>
      </w:pPr>
      <w:r w:rsidRPr="00104A8B">
        <w:t>S</w:t>
      </w:r>
      <w:r w:rsidR="00907785" w:rsidRPr="00104A8B">
        <w:t xml:space="preserve">crutiny Report </w:t>
      </w:r>
      <w:bookmarkEnd w:id="0"/>
      <w:bookmarkEnd w:id="1"/>
      <w:bookmarkEnd w:id="2"/>
      <w:bookmarkEnd w:id="3"/>
      <w:bookmarkEnd w:id="4"/>
      <w:bookmarkEnd w:id="5"/>
      <w:bookmarkEnd w:id="6"/>
      <w:bookmarkEnd w:id="7"/>
      <w:bookmarkEnd w:id="8"/>
      <w:bookmarkEnd w:id="9"/>
      <w:bookmarkEnd w:id="10"/>
      <w:bookmarkEnd w:id="11"/>
      <w:bookmarkEnd w:id="12"/>
      <w:r w:rsidR="008C2E3F">
        <w:t>2</w:t>
      </w:r>
    </w:p>
    <w:p w:rsidR="00D4210F" w:rsidRPr="00104A8B" w:rsidRDefault="00A7562C" w:rsidP="003D000F">
      <w:pPr>
        <w:spacing w:before="1800" w:after="240"/>
        <w:jc w:val="right"/>
        <w:rPr>
          <w:sz w:val="24"/>
          <w:szCs w:val="24"/>
        </w:rPr>
      </w:pPr>
      <w:r w:rsidRPr="007D45A8">
        <w:rPr>
          <w:sz w:val="24"/>
          <w:szCs w:val="24"/>
        </w:rPr>
        <w:t>2</w:t>
      </w:r>
      <w:r w:rsidR="007D45A8" w:rsidRPr="007D45A8">
        <w:rPr>
          <w:sz w:val="24"/>
          <w:szCs w:val="24"/>
        </w:rPr>
        <w:t>4</w:t>
      </w:r>
      <w:r w:rsidRPr="007D45A8">
        <w:rPr>
          <w:sz w:val="24"/>
          <w:szCs w:val="24"/>
        </w:rPr>
        <w:t xml:space="preserve"> MARCH</w:t>
      </w:r>
      <w:r w:rsidR="00107EEA" w:rsidRPr="007D45A8">
        <w:rPr>
          <w:sz w:val="24"/>
          <w:szCs w:val="24"/>
        </w:rPr>
        <w:t xml:space="preserve"> 2021</w:t>
      </w:r>
    </w:p>
    <w:p w:rsidR="00D4210F" w:rsidRPr="00104A8B" w:rsidRDefault="00D4210F" w:rsidP="00D4210F">
      <w:r w:rsidRPr="00104A8B">
        <w:br w:type="page"/>
      </w:r>
    </w:p>
    <w:p w:rsidR="000B0846" w:rsidRPr="00104A8B" w:rsidRDefault="000B0846" w:rsidP="000B0846">
      <w:pPr>
        <w:spacing w:before="1800" w:after="240"/>
        <w:jc w:val="right"/>
      </w:pPr>
    </w:p>
    <w:p w:rsidR="00AE4D51" w:rsidRPr="00104A8B" w:rsidRDefault="00AE4D51" w:rsidP="00AC094E">
      <w:pPr>
        <w:pStyle w:val="Heading2"/>
        <w:rPr>
          <w:rFonts w:asciiTheme="minorHAnsi" w:hAnsiTheme="minorHAnsi"/>
        </w:rPr>
        <w:sectPr w:rsidR="00AE4D51" w:rsidRPr="00104A8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bookmarkStart w:id="13" w:name="_Toc500938168"/>
      <w:bookmarkStart w:id="14" w:name="_Toc500947016"/>
    </w:p>
    <w:p w:rsidR="002A185D" w:rsidRPr="00104A8B" w:rsidRDefault="002A185D" w:rsidP="00AC094E">
      <w:pPr>
        <w:pStyle w:val="Heading2"/>
        <w:rPr>
          <w:rFonts w:asciiTheme="minorHAnsi" w:hAnsiTheme="minorHAnsi"/>
        </w:rPr>
      </w:pPr>
      <w:bookmarkStart w:id="15" w:name="_Toc502671580"/>
      <w:bookmarkStart w:id="16" w:name="_Toc502671759"/>
      <w:bookmarkStart w:id="17" w:name="_Toc502671864"/>
      <w:bookmarkStart w:id="18" w:name="_Toc502672797"/>
      <w:bookmarkStart w:id="19" w:name="_Toc514768035"/>
      <w:bookmarkStart w:id="20" w:name="_Toc514837958"/>
      <w:bookmarkStart w:id="21" w:name="_Toc518297244"/>
      <w:bookmarkStart w:id="22" w:name="_Toc519069302"/>
      <w:bookmarkStart w:id="23" w:name="_Toc519069363"/>
      <w:bookmarkStart w:id="24" w:name="_Toc519520730"/>
      <w:bookmarkStart w:id="25" w:name="_Toc520188709"/>
      <w:bookmarkStart w:id="26" w:name="_Toc521054226"/>
      <w:bookmarkStart w:id="27" w:name="_Toc521054313"/>
      <w:bookmarkStart w:id="28" w:name="_Toc521054385"/>
      <w:bookmarkStart w:id="29" w:name="_Toc523753608"/>
      <w:bookmarkStart w:id="30" w:name="_Toc523814157"/>
      <w:bookmarkStart w:id="31" w:name="_Toc523900448"/>
      <w:bookmarkStart w:id="32" w:name="_Toc526855809"/>
      <w:bookmarkStart w:id="33" w:name="_Toc528155835"/>
      <w:bookmarkStart w:id="34" w:name="_Toc528157194"/>
      <w:bookmarkStart w:id="35" w:name="_Toc528310847"/>
      <w:bookmarkStart w:id="36" w:name="_Toc529974526"/>
      <w:bookmarkStart w:id="37" w:name="_Toc530039421"/>
      <w:bookmarkStart w:id="38" w:name="_Toc536527669"/>
      <w:bookmarkStart w:id="39" w:name="_Toc536527832"/>
      <w:bookmarkStart w:id="40" w:name="_Toc536615370"/>
      <w:bookmarkStart w:id="41" w:name="_Toc172148"/>
      <w:bookmarkStart w:id="42" w:name="_Toc506073"/>
      <w:bookmarkStart w:id="43" w:name="_Toc945917"/>
      <w:bookmarkStart w:id="44" w:name="_Toc965807"/>
      <w:bookmarkStart w:id="45" w:name="_Toc2839571"/>
      <w:bookmarkStart w:id="46" w:name="_Toc2850231"/>
      <w:bookmarkStart w:id="47" w:name="_Toc3271208"/>
      <w:bookmarkStart w:id="48" w:name="_Toc4588269"/>
      <w:bookmarkStart w:id="49" w:name="_Toc4652915"/>
      <w:bookmarkStart w:id="50" w:name="_Toc5003657"/>
      <w:bookmarkStart w:id="51" w:name="_Toc6211030"/>
      <w:bookmarkStart w:id="52" w:name="_Toc9499988"/>
      <w:bookmarkStart w:id="53" w:name="_Toc14266110"/>
      <w:bookmarkStart w:id="54" w:name="_Toc14334599"/>
      <w:bookmarkStart w:id="55" w:name="_Toc14775949"/>
      <w:bookmarkStart w:id="56" w:name="_Toc15285027"/>
      <w:bookmarkStart w:id="57" w:name="_Toc15630647"/>
      <w:bookmarkStart w:id="58" w:name="_Toc18415319"/>
      <w:bookmarkStart w:id="59" w:name="_Toc18487687"/>
      <w:bookmarkStart w:id="60" w:name="_Toc19708390"/>
      <w:bookmarkStart w:id="61" w:name="_Toc20131679"/>
      <w:bookmarkStart w:id="62" w:name="_Toc21595437"/>
      <w:bookmarkStart w:id="63" w:name="_Toc22025438"/>
      <w:bookmarkStart w:id="64" w:name="_Toc24463701"/>
      <w:bookmarkStart w:id="65" w:name="_Toc24617698"/>
      <w:bookmarkStart w:id="66" w:name="_Toc25050770"/>
      <w:bookmarkStart w:id="67" w:name="_Toc31202134"/>
      <w:bookmarkStart w:id="68" w:name="_Toc31202255"/>
      <w:bookmarkStart w:id="69" w:name="_Toc32390195"/>
      <w:bookmarkStart w:id="70" w:name="_Toc32566836"/>
      <w:bookmarkStart w:id="71" w:name="_Toc35437926"/>
      <w:bookmarkStart w:id="72" w:name="_Toc38270536"/>
      <w:bookmarkStart w:id="73" w:name="_Toc38362387"/>
      <w:bookmarkStart w:id="74" w:name="_Toc38441868"/>
      <w:bookmarkStart w:id="75" w:name="_Toc38442375"/>
      <w:bookmarkStart w:id="76" w:name="_Toc38976313"/>
      <w:bookmarkStart w:id="77" w:name="_Toc40693084"/>
      <w:bookmarkStart w:id="78" w:name="_Toc40693225"/>
      <w:bookmarkStart w:id="79" w:name="_Toc41570911"/>
      <w:bookmarkStart w:id="80" w:name="_Toc42874993"/>
      <w:bookmarkStart w:id="81" w:name="_Toc44074210"/>
      <w:bookmarkStart w:id="82" w:name="_Toc44317221"/>
      <w:bookmarkStart w:id="83" w:name="_Toc44323924"/>
      <w:bookmarkStart w:id="84" w:name="_Toc65140115"/>
      <w:bookmarkStart w:id="85" w:name="_Toc67054451"/>
      <w:bookmarkStart w:id="86" w:name="_Toc67055518"/>
      <w:bookmarkStart w:id="87" w:name="_Toc500938169"/>
      <w:bookmarkStart w:id="88" w:name="_Toc500947017"/>
      <w:bookmarkStart w:id="89" w:name="_Toc501547026"/>
      <w:bookmarkStart w:id="90" w:name="_Toc501547381"/>
      <w:bookmarkStart w:id="91" w:name="_Toc505005665"/>
      <w:bookmarkStart w:id="92" w:name="_Toc505153756"/>
      <w:bookmarkStart w:id="93" w:name="_Toc508283424"/>
      <w:bookmarkStart w:id="94" w:name="_Toc510081780"/>
      <w:bookmarkStart w:id="95" w:name="_Toc511812217"/>
      <w:bookmarkStart w:id="96" w:name="_Toc512240155"/>
      <w:bookmarkStart w:id="97" w:name="_Toc513192152"/>
      <w:bookmarkStart w:id="98" w:name="_Toc514832414"/>
      <w:bookmarkEnd w:id="13"/>
      <w:bookmarkEnd w:id="14"/>
      <w:r w:rsidRPr="00104A8B">
        <w:rPr>
          <w:rFonts w:asciiTheme="minorHAnsi" w:hAnsiTheme="minorHAnsi"/>
        </w:rPr>
        <w:t>The Committee</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0B0846" w:rsidRPr="00104A8B" w:rsidRDefault="000B0846" w:rsidP="002A185D">
      <w:pPr>
        <w:pStyle w:val="Heading3"/>
        <w:rPr>
          <w:rFonts w:asciiTheme="minorHAnsi" w:hAnsiTheme="minorHAnsi"/>
        </w:rPr>
      </w:pPr>
      <w:bookmarkStart w:id="99" w:name="_Toc514837959"/>
      <w:bookmarkStart w:id="100" w:name="_Toc514943593"/>
      <w:bookmarkStart w:id="101" w:name="_Toc515352036"/>
      <w:bookmarkStart w:id="102" w:name="_Toc518297245"/>
      <w:bookmarkStart w:id="103" w:name="_Toc519069303"/>
      <w:bookmarkStart w:id="104" w:name="_Toc519069364"/>
      <w:bookmarkStart w:id="105" w:name="_Toc519520731"/>
      <w:bookmarkStart w:id="106" w:name="_Toc520188710"/>
      <w:bookmarkStart w:id="107" w:name="_Toc521054227"/>
      <w:bookmarkStart w:id="108" w:name="_Toc521054314"/>
      <w:bookmarkStart w:id="109" w:name="_Toc521054386"/>
      <w:bookmarkStart w:id="110" w:name="_Toc523753609"/>
      <w:bookmarkStart w:id="111" w:name="_Toc523814158"/>
      <w:bookmarkStart w:id="112" w:name="_Toc523900449"/>
      <w:bookmarkStart w:id="113" w:name="_Toc526855810"/>
      <w:bookmarkStart w:id="114" w:name="_Toc528155836"/>
      <w:bookmarkStart w:id="115" w:name="_Toc528157195"/>
      <w:bookmarkStart w:id="116" w:name="_Toc528310848"/>
      <w:bookmarkStart w:id="117" w:name="_Toc529974527"/>
      <w:bookmarkStart w:id="118" w:name="_Toc530039422"/>
      <w:bookmarkStart w:id="119" w:name="_Toc536527670"/>
      <w:bookmarkStart w:id="120" w:name="_Toc536527833"/>
      <w:bookmarkStart w:id="121" w:name="_Toc536615371"/>
      <w:bookmarkStart w:id="122" w:name="_Toc172149"/>
      <w:bookmarkStart w:id="123" w:name="_Toc506074"/>
      <w:bookmarkStart w:id="124" w:name="_Toc945918"/>
      <w:bookmarkStart w:id="125" w:name="_Toc965808"/>
      <w:bookmarkStart w:id="126" w:name="_Toc2839572"/>
      <w:bookmarkStart w:id="127" w:name="_Toc2850232"/>
      <w:bookmarkStart w:id="128" w:name="_Toc3271209"/>
      <w:bookmarkStart w:id="129" w:name="_Toc4588270"/>
      <w:bookmarkStart w:id="130" w:name="_Toc4652916"/>
      <w:bookmarkStart w:id="131" w:name="_Toc5003658"/>
      <w:bookmarkStart w:id="132" w:name="_Toc6211031"/>
      <w:bookmarkStart w:id="133" w:name="_Toc9499989"/>
      <w:bookmarkStart w:id="134" w:name="_Toc14266111"/>
      <w:bookmarkStart w:id="135" w:name="_Toc14334600"/>
      <w:bookmarkStart w:id="136" w:name="_Toc14775950"/>
      <w:bookmarkStart w:id="137" w:name="_Toc15285028"/>
      <w:bookmarkStart w:id="138" w:name="_Toc15630648"/>
      <w:bookmarkStart w:id="139" w:name="_Toc18415320"/>
      <w:bookmarkStart w:id="140" w:name="_Toc18487688"/>
      <w:bookmarkStart w:id="141" w:name="_Toc19708391"/>
      <w:bookmarkStart w:id="142" w:name="_Toc20131680"/>
      <w:bookmarkStart w:id="143" w:name="_Toc21595438"/>
      <w:bookmarkStart w:id="144" w:name="_Toc22025439"/>
      <w:bookmarkStart w:id="145" w:name="_Toc24463702"/>
      <w:bookmarkStart w:id="146" w:name="_Toc24617699"/>
      <w:bookmarkStart w:id="147" w:name="_Toc25050771"/>
      <w:bookmarkStart w:id="148" w:name="_Toc31202135"/>
      <w:bookmarkStart w:id="149" w:name="_Toc31202256"/>
      <w:bookmarkStart w:id="150" w:name="_Toc32390196"/>
      <w:bookmarkStart w:id="151" w:name="_Toc32566837"/>
      <w:bookmarkStart w:id="152" w:name="_Toc35437927"/>
      <w:bookmarkStart w:id="153" w:name="_Toc38270537"/>
      <w:bookmarkStart w:id="154" w:name="_Toc38362388"/>
      <w:bookmarkStart w:id="155" w:name="_Toc38441869"/>
      <w:bookmarkStart w:id="156" w:name="_Toc38442376"/>
      <w:bookmarkStart w:id="157" w:name="_Toc38976314"/>
      <w:bookmarkStart w:id="158" w:name="_Toc40693085"/>
      <w:bookmarkStart w:id="159" w:name="_Toc40693226"/>
      <w:bookmarkStart w:id="160" w:name="_Toc41570912"/>
      <w:bookmarkStart w:id="161" w:name="_Toc42874994"/>
      <w:bookmarkStart w:id="162" w:name="_Toc44074211"/>
      <w:bookmarkStart w:id="163" w:name="_Toc44317222"/>
      <w:bookmarkStart w:id="164" w:name="_Toc44323925"/>
      <w:bookmarkStart w:id="165" w:name="_Toc65140116"/>
      <w:bookmarkStart w:id="166" w:name="_Toc67054452"/>
      <w:bookmarkStart w:id="167" w:name="_Toc67055519"/>
      <w:r w:rsidRPr="00104A8B">
        <w:rPr>
          <w:rFonts w:asciiTheme="minorHAnsi" w:hAnsiTheme="minorHAnsi"/>
        </w:rPr>
        <w:t>C</w:t>
      </w:r>
      <w:r w:rsidR="00474136" w:rsidRPr="00104A8B">
        <w:rPr>
          <w:rFonts w:asciiTheme="minorHAnsi" w:hAnsiTheme="minorHAnsi"/>
        </w:rPr>
        <w:t>ommittee Membership</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0B0846" w:rsidRPr="00104A8B" w:rsidRDefault="00E41D9C" w:rsidP="009C4F5B">
      <w:pPr>
        <w:pStyle w:val="ListParagraph"/>
        <w:ind w:left="0"/>
      </w:pPr>
      <w:r>
        <w:t>Mr Jeremy Hanson MLA</w:t>
      </w:r>
      <w:r w:rsidR="00A919BD" w:rsidRPr="00104A8B">
        <w:t xml:space="preserve"> </w:t>
      </w:r>
      <w:r w:rsidR="000B0846" w:rsidRPr="00104A8B">
        <w:t>(Chair)</w:t>
      </w:r>
    </w:p>
    <w:p w:rsidR="000B0846" w:rsidRPr="00104A8B" w:rsidRDefault="00E41D9C" w:rsidP="009C4F5B">
      <w:pPr>
        <w:pStyle w:val="ListParagraph"/>
        <w:ind w:left="0"/>
      </w:pPr>
      <w:r>
        <w:t>Dr Marisa Pa</w:t>
      </w:r>
      <w:r w:rsidR="00F825FE">
        <w:t>t</w:t>
      </w:r>
      <w:r>
        <w:t>erson</w:t>
      </w:r>
      <w:r w:rsidR="000B0846" w:rsidRPr="00104A8B">
        <w:t xml:space="preserve"> (Deputy Chair)</w:t>
      </w:r>
    </w:p>
    <w:p w:rsidR="000B0846" w:rsidRPr="00104A8B" w:rsidRDefault="00E41D9C" w:rsidP="009C4F5B">
      <w:pPr>
        <w:pStyle w:val="ListParagraph"/>
        <w:spacing w:after="360"/>
        <w:ind w:left="0"/>
      </w:pPr>
      <w:r>
        <w:t>Ms Jo Clay</w:t>
      </w:r>
      <w:r w:rsidR="003C4A44">
        <w:t xml:space="preserve"> ML</w:t>
      </w:r>
      <w:r w:rsidR="000B0846" w:rsidRPr="00104A8B">
        <w:t>A</w:t>
      </w:r>
    </w:p>
    <w:p w:rsidR="000B0846" w:rsidRPr="00104A8B" w:rsidRDefault="000B0846" w:rsidP="002A185D">
      <w:pPr>
        <w:pStyle w:val="Heading3"/>
        <w:rPr>
          <w:rFonts w:asciiTheme="minorHAnsi" w:hAnsiTheme="minorHAnsi"/>
        </w:rPr>
      </w:pPr>
      <w:bookmarkStart w:id="168" w:name="_Toc500938170"/>
      <w:bookmarkStart w:id="169" w:name="_Toc500947018"/>
      <w:bookmarkStart w:id="170" w:name="_Toc501547027"/>
      <w:bookmarkStart w:id="171" w:name="_Toc501547382"/>
      <w:bookmarkStart w:id="172" w:name="_Toc505005666"/>
      <w:bookmarkStart w:id="173" w:name="_Toc505153757"/>
      <w:bookmarkStart w:id="174" w:name="_Toc508283425"/>
      <w:bookmarkStart w:id="175" w:name="_Toc510081781"/>
      <w:bookmarkStart w:id="176" w:name="_Toc511812218"/>
      <w:bookmarkStart w:id="177" w:name="_Toc512240156"/>
      <w:bookmarkStart w:id="178" w:name="_Toc513192153"/>
      <w:bookmarkStart w:id="179" w:name="_Toc514832415"/>
      <w:bookmarkStart w:id="180" w:name="_Toc514837960"/>
      <w:bookmarkStart w:id="181" w:name="_Toc514943594"/>
      <w:bookmarkStart w:id="182" w:name="_Toc515352037"/>
      <w:bookmarkStart w:id="183" w:name="_Toc518297246"/>
      <w:bookmarkStart w:id="184" w:name="_Toc519069304"/>
      <w:bookmarkStart w:id="185" w:name="_Toc519069365"/>
      <w:bookmarkStart w:id="186" w:name="_Toc519520732"/>
      <w:bookmarkStart w:id="187" w:name="_Toc520188711"/>
      <w:bookmarkStart w:id="188" w:name="_Toc521054228"/>
      <w:bookmarkStart w:id="189" w:name="_Toc521054315"/>
      <w:bookmarkStart w:id="190" w:name="_Toc521054387"/>
      <w:bookmarkStart w:id="191" w:name="_Toc523753610"/>
      <w:bookmarkStart w:id="192" w:name="_Toc523814159"/>
      <w:bookmarkStart w:id="193" w:name="_Toc523900450"/>
      <w:bookmarkStart w:id="194" w:name="_Toc526855811"/>
      <w:bookmarkStart w:id="195" w:name="_Toc528155837"/>
      <w:bookmarkStart w:id="196" w:name="_Toc528157196"/>
      <w:bookmarkStart w:id="197" w:name="_Toc528310849"/>
      <w:bookmarkStart w:id="198" w:name="_Toc529974528"/>
      <w:bookmarkStart w:id="199" w:name="_Toc530039423"/>
      <w:bookmarkStart w:id="200" w:name="_Toc536527671"/>
      <w:bookmarkStart w:id="201" w:name="_Toc536527834"/>
      <w:bookmarkStart w:id="202" w:name="_Toc536615372"/>
      <w:bookmarkStart w:id="203" w:name="_Toc172150"/>
      <w:bookmarkStart w:id="204" w:name="_Toc506075"/>
      <w:bookmarkStart w:id="205" w:name="_Toc945919"/>
      <w:bookmarkStart w:id="206" w:name="_Toc965809"/>
      <w:bookmarkStart w:id="207" w:name="_Toc2839573"/>
      <w:bookmarkStart w:id="208" w:name="_Toc2850233"/>
      <w:bookmarkStart w:id="209" w:name="_Toc3271210"/>
      <w:bookmarkStart w:id="210" w:name="_Toc4588271"/>
      <w:bookmarkStart w:id="211" w:name="_Toc4652917"/>
      <w:bookmarkStart w:id="212" w:name="_Toc5003659"/>
      <w:bookmarkStart w:id="213" w:name="_Toc6211032"/>
      <w:bookmarkStart w:id="214" w:name="_Toc9499990"/>
      <w:bookmarkStart w:id="215" w:name="_Toc14266112"/>
      <w:bookmarkStart w:id="216" w:name="_Toc14334601"/>
      <w:bookmarkStart w:id="217" w:name="_Toc14775951"/>
      <w:bookmarkStart w:id="218" w:name="_Toc15285029"/>
      <w:bookmarkStart w:id="219" w:name="_Toc15630649"/>
      <w:bookmarkStart w:id="220" w:name="_Toc18415321"/>
      <w:bookmarkStart w:id="221" w:name="_Toc18487689"/>
      <w:bookmarkStart w:id="222" w:name="_Toc19708392"/>
      <w:bookmarkStart w:id="223" w:name="_Toc20131681"/>
      <w:bookmarkStart w:id="224" w:name="_Toc21595439"/>
      <w:bookmarkStart w:id="225" w:name="_Toc22025440"/>
      <w:bookmarkStart w:id="226" w:name="_Toc24463703"/>
      <w:bookmarkStart w:id="227" w:name="_Toc24617700"/>
      <w:bookmarkStart w:id="228" w:name="_Toc25050772"/>
      <w:bookmarkStart w:id="229" w:name="_Toc31202136"/>
      <w:bookmarkStart w:id="230" w:name="_Toc31202257"/>
      <w:bookmarkStart w:id="231" w:name="_Toc32390197"/>
      <w:bookmarkStart w:id="232" w:name="_Toc32566838"/>
      <w:bookmarkStart w:id="233" w:name="_Toc35437928"/>
      <w:bookmarkStart w:id="234" w:name="_Toc38270538"/>
      <w:bookmarkStart w:id="235" w:name="_Toc38362389"/>
      <w:bookmarkStart w:id="236" w:name="_Toc38441870"/>
      <w:bookmarkStart w:id="237" w:name="_Toc38442377"/>
      <w:bookmarkStart w:id="238" w:name="_Toc38976315"/>
      <w:bookmarkStart w:id="239" w:name="_Toc40693086"/>
      <w:bookmarkStart w:id="240" w:name="_Toc40693227"/>
      <w:bookmarkStart w:id="241" w:name="_Toc41570913"/>
      <w:bookmarkStart w:id="242" w:name="_Toc42874995"/>
      <w:bookmarkStart w:id="243" w:name="_Toc44074212"/>
      <w:bookmarkStart w:id="244" w:name="_Toc44317223"/>
      <w:bookmarkStart w:id="245" w:name="_Toc44323926"/>
      <w:bookmarkStart w:id="246" w:name="_Toc65140117"/>
      <w:bookmarkStart w:id="247" w:name="_Toc67054453"/>
      <w:bookmarkStart w:id="248" w:name="_Toc67055520"/>
      <w:r w:rsidRPr="00104A8B">
        <w:rPr>
          <w:rFonts w:asciiTheme="minorHAnsi" w:hAnsiTheme="minorHAnsi"/>
        </w:rPr>
        <w:t>S</w:t>
      </w:r>
      <w:bookmarkEnd w:id="168"/>
      <w:r w:rsidR="00474136" w:rsidRPr="00104A8B">
        <w:rPr>
          <w:rFonts w:asciiTheme="minorHAnsi" w:hAnsiTheme="minorHAnsi"/>
        </w:rPr>
        <w:t>ecretariat</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5D7839" w:rsidRDefault="00E41D9C" w:rsidP="009C4F5B">
      <w:pPr>
        <w:pStyle w:val="ListParagraph"/>
        <w:ind w:left="0"/>
      </w:pPr>
      <w:r>
        <w:t xml:space="preserve">Ms Julia Agostino </w:t>
      </w:r>
      <w:r w:rsidR="005D7839">
        <w:t>(Secretary)</w:t>
      </w:r>
    </w:p>
    <w:p w:rsidR="000B0846" w:rsidRPr="00104A8B" w:rsidRDefault="00BA64E2" w:rsidP="009C4F5B">
      <w:pPr>
        <w:pStyle w:val="ListParagraph"/>
        <w:ind w:left="0"/>
      </w:pPr>
      <w:r>
        <w:t xml:space="preserve">Ms </w:t>
      </w:r>
      <w:r w:rsidR="00E41D9C">
        <w:t>Sophie Milne</w:t>
      </w:r>
      <w:r>
        <w:t xml:space="preserve"> </w:t>
      </w:r>
      <w:r w:rsidR="000B0846" w:rsidRPr="00104A8B">
        <w:t>(Assistant Secretary)</w:t>
      </w:r>
    </w:p>
    <w:p w:rsidR="000B0846" w:rsidRPr="00104A8B" w:rsidRDefault="000B0846" w:rsidP="009C4F5B">
      <w:pPr>
        <w:pStyle w:val="ListParagraph"/>
        <w:ind w:left="0"/>
      </w:pPr>
      <w:r w:rsidRPr="00104A8B">
        <w:t>Mr Stephen Argument (Legal Adviser—Subordinate Legislation)</w:t>
      </w:r>
    </w:p>
    <w:p w:rsidR="000B0846" w:rsidRDefault="000B0846" w:rsidP="009C4F5B">
      <w:pPr>
        <w:pStyle w:val="ListParagraph"/>
        <w:spacing w:after="360"/>
        <w:ind w:left="0"/>
      </w:pPr>
      <w:r w:rsidRPr="00104A8B">
        <w:t>Mr Daniel Stewart (Legal Adviser—Bills)</w:t>
      </w:r>
    </w:p>
    <w:p w:rsidR="000B0846" w:rsidRPr="00104A8B" w:rsidRDefault="000B0846" w:rsidP="002A185D">
      <w:pPr>
        <w:pStyle w:val="Heading3"/>
        <w:rPr>
          <w:rFonts w:asciiTheme="minorHAnsi" w:hAnsiTheme="minorHAnsi"/>
        </w:rPr>
      </w:pPr>
      <w:bookmarkStart w:id="249" w:name="_Toc500938171"/>
      <w:bookmarkStart w:id="250" w:name="_Toc500947019"/>
      <w:bookmarkStart w:id="251" w:name="_Toc501547028"/>
      <w:bookmarkStart w:id="252" w:name="_Toc501547383"/>
      <w:bookmarkStart w:id="253" w:name="_Toc505005667"/>
      <w:bookmarkStart w:id="254" w:name="_Toc505153758"/>
      <w:bookmarkStart w:id="255" w:name="_Toc508283426"/>
      <w:bookmarkStart w:id="256" w:name="_Toc510081782"/>
      <w:bookmarkStart w:id="257" w:name="_Toc511812219"/>
      <w:bookmarkStart w:id="258" w:name="_Toc512240157"/>
      <w:bookmarkStart w:id="259" w:name="_Toc513192154"/>
      <w:bookmarkStart w:id="260" w:name="_Toc514832416"/>
      <w:bookmarkStart w:id="261" w:name="_Toc514837961"/>
      <w:bookmarkStart w:id="262" w:name="_Toc514943595"/>
      <w:bookmarkStart w:id="263" w:name="_Toc515352038"/>
      <w:bookmarkStart w:id="264" w:name="_Toc518297247"/>
      <w:bookmarkStart w:id="265" w:name="_Toc519069305"/>
      <w:bookmarkStart w:id="266" w:name="_Toc519069366"/>
      <w:bookmarkStart w:id="267" w:name="_Toc519520733"/>
      <w:bookmarkStart w:id="268" w:name="_Toc520188712"/>
      <w:bookmarkStart w:id="269" w:name="_Toc521054229"/>
      <w:bookmarkStart w:id="270" w:name="_Toc521054316"/>
      <w:bookmarkStart w:id="271" w:name="_Toc521054388"/>
      <w:bookmarkStart w:id="272" w:name="_Toc523753611"/>
      <w:bookmarkStart w:id="273" w:name="_Toc523814160"/>
      <w:bookmarkStart w:id="274" w:name="_Toc523900451"/>
      <w:bookmarkStart w:id="275" w:name="_Toc526855812"/>
      <w:bookmarkStart w:id="276" w:name="_Toc528155838"/>
      <w:bookmarkStart w:id="277" w:name="_Toc528157197"/>
      <w:bookmarkStart w:id="278" w:name="_Toc528310850"/>
      <w:bookmarkStart w:id="279" w:name="_Toc529974529"/>
      <w:bookmarkStart w:id="280" w:name="_Toc530039424"/>
      <w:bookmarkStart w:id="281" w:name="_Toc536527672"/>
      <w:bookmarkStart w:id="282" w:name="_Toc536527835"/>
      <w:bookmarkStart w:id="283" w:name="_Toc536615373"/>
      <w:bookmarkStart w:id="284" w:name="_Toc172151"/>
      <w:bookmarkStart w:id="285" w:name="_Toc506076"/>
      <w:bookmarkStart w:id="286" w:name="_Toc945920"/>
      <w:bookmarkStart w:id="287" w:name="_Toc965810"/>
      <w:bookmarkStart w:id="288" w:name="_Toc2839574"/>
      <w:bookmarkStart w:id="289" w:name="_Toc2850234"/>
      <w:bookmarkStart w:id="290" w:name="_Toc3271211"/>
      <w:bookmarkStart w:id="291" w:name="_Toc4588272"/>
      <w:bookmarkStart w:id="292" w:name="_Toc4652918"/>
      <w:bookmarkStart w:id="293" w:name="_Toc5003660"/>
      <w:bookmarkStart w:id="294" w:name="_Toc6211033"/>
      <w:bookmarkStart w:id="295" w:name="_Toc9499991"/>
      <w:bookmarkStart w:id="296" w:name="_Toc14266113"/>
      <w:bookmarkStart w:id="297" w:name="_Toc14334602"/>
      <w:bookmarkStart w:id="298" w:name="_Toc14775952"/>
      <w:bookmarkStart w:id="299" w:name="_Toc15285030"/>
      <w:bookmarkStart w:id="300" w:name="_Toc15630650"/>
      <w:bookmarkStart w:id="301" w:name="_Toc18415322"/>
      <w:bookmarkStart w:id="302" w:name="_Toc18487690"/>
      <w:bookmarkStart w:id="303" w:name="_Toc19708393"/>
      <w:bookmarkStart w:id="304" w:name="_Toc20131682"/>
      <w:bookmarkStart w:id="305" w:name="_Toc21595440"/>
      <w:bookmarkStart w:id="306" w:name="_Toc22025441"/>
      <w:bookmarkStart w:id="307" w:name="_Toc24463704"/>
      <w:bookmarkStart w:id="308" w:name="_Toc24617701"/>
      <w:bookmarkStart w:id="309" w:name="_Toc25050773"/>
      <w:bookmarkStart w:id="310" w:name="_Toc31202137"/>
      <w:bookmarkStart w:id="311" w:name="_Toc31202258"/>
      <w:bookmarkStart w:id="312" w:name="_Toc32390198"/>
      <w:bookmarkStart w:id="313" w:name="_Toc32566839"/>
      <w:bookmarkStart w:id="314" w:name="_Toc35437929"/>
      <w:bookmarkStart w:id="315" w:name="_Toc38270539"/>
      <w:bookmarkStart w:id="316" w:name="_Toc38362390"/>
      <w:bookmarkStart w:id="317" w:name="_Toc38441871"/>
      <w:bookmarkStart w:id="318" w:name="_Toc38442378"/>
      <w:bookmarkStart w:id="319" w:name="_Toc38976316"/>
      <w:bookmarkStart w:id="320" w:name="_Toc40693087"/>
      <w:bookmarkStart w:id="321" w:name="_Toc40693228"/>
      <w:bookmarkStart w:id="322" w:name="_Toc41570914"/>
      <w:bookmarkStart w:id="323" w:name="_Toc42874996"/>
      <w:bookmarkStart w:id="324" w:name="_Toc44074213"/>
      <w:bookmarkStart w:id="325" w:name="_Toc44317224"/>
      <w:bookmarkStart w:id="326" w:name="_Toc44323927"/>
      <w:bookmarkStart w:id="327" w:name="_Toc65140118"/>
      <w:bookmarkStart w:id="328" w:name="_Toc67054454"/>
      <w:bookmarkStart w:id="329" w:name="_Toc67055521"/>
      <w:r w:rsidRPr="00104A8B">
        <w:rPr>
          <w:rFonts w:asciiTheme="minorHAnsi" w:hAnsiTheme="minorHAnsi"/>
        </w:rPr>
        <w:t>C</w:t>
      </w:r>
      <w:r w:rsidR="00474136" w:rsidRPr="00104A8B">
        <w:rPr>
          <w:rFonts w:asciiTheme="minorHAnsi" w:hAnsiTheme="minorHAnsi"/>
        </w:rPr>
        <w:t>ontact Information</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0B0846" w:rsidRPr="00104A8B" w:rsidRDefault="000B0846" w:rsidP="009C4F5B">
      <w:pPr>
        <w:pStyle w:val="ListParagraph"/>
        <w:tabs>
          <w:tab w:val="left" w:pos="1260"/>
        </w:tabs>
        <w:ind w:left="0"/>
      </w:pPr>
      <w:r w:rsidRPr="00104A8B">
        <w:t>Telephone</w:t>
      </w:r>
      <w:r w:rsidRPr="00104A8B">
        <w:tab/>
        <w:t xml:space="preserve">02 6205 </w:t>
      </w:r>
      <w:r w:rsidR="00415478">
        <w:t>0</w:t>
      </w:r>
      <w:r w:rsidR="00BE6460">
        <w:t>171</w:t>
      </w:r>
    </w:p>
    <w:p w:rsidR="000B0846" w:rsidRPr="00104A8B" w:rsidRDefault="000B0846" w:rsidP="009C4F5B">
      <w:pPr>
        <w:pStyle w:val="ListParagraph"/>
        <w:tabs>
          <w:tab w:val="left" w:pos="1260"/>
        </w:tabs>
        <w:ind w:left="0"/>
      </w:pPr>
      <w:r w:rsidRPr="00104A8B">
        <w:t>Facsimile</w:t>
      </w:r>
      <w:r w:rsidRPr="00104A8B">
        <w:tab/>
        <w:t>02 6205 3109</w:t>
      </w:r>
    </w:p>
    <w:p w:rsidR="000B0846" w:rsidRPr="00104A8B" w:rsidRDefault="000B0846" w:rsidP="009C4F5B">
      <w:pPr>
        <w:pStyle w:val="ListParagraph"/>
        <w:tabs>
          <w:tab w:val="left" w:pos="1260"/>
        </w:tabs>
        <w:ind w:left="0"/>
      </w:pPr>
      <w:r w:rsidRPr="00104A8B">
        <w:t>Post</w:t>
      </w:r>
      <w:r w:rsidRPr="00104A8B">
        <w:tab/>
        <w:t>GPO Box 1020, CANBERRA ACT 2601</w:t>
      </w:r>
    </w:p>
    <w:p w:rsidR="000B0846" w:rsidRPr="00104A8B" w:rsidRDefault="000B0846" w:rsidP="009C4F5B">
      <w:pPr>
        <w:pStyle w:val="ListParagraph"/>
        <w:tabs>
          <w:tab w:val="left" w:pos="1260"/>
        </w:tabs>
        <w:ind w:left="0"/>
      </w:pPr>
      <w:r w:rsidRPr="00104A8B">
        <w:t>Email</w:t>
      </w:r>
      <w:r w:rsidRPr="00104A8B">
        <w:tab/>
        <w:t>scrutiny@parliament.act.gov.au</w:t>
      </w:r>
    </w:p>
    <w:p w:rsidR="000B0846" w:rsidRPr="00104A8B" w:rsidRDefault="000B0846" w:rsidP="009C4F5B">
      <w:pPr>
        <w:pStyle w:val="ListParagraph"/>
        <w:tabs>
          <w:tab w:val="left" w:pos="1260"/>
        </w:tabs>
        <w:spacing w:after="360"/>
        <w:ind w:left="0"/>
      </w:pPr>
      <w:r w:rsidRPr="00104A8B">
        <w:t>Website</w:t>
      </w:r>
      <w:r w:rsidRPr="00104A8B">
        <w:tab/>
        <w:t>www.parliament.act.gov.au</w:t>
      </w:r>
    </w:p>
    <w:p w:rsidR="000B0846" w:rsidRPr="00104A8B" w:rsidRDefault="000B0846" w:rsidP="002A185D">
      <w:pPr>
        <w:pStyle w:val="Heading3"/>
        <w:rPr>
          <w:rFonts w:asciiTheme="minorHAnsi" w:hAnsiTheme="minorHAnsi"/>
        </w:rPr>
      </w:pPr>
      <w:bookmarkStart w:id="330" w:name="_Toc500938172"/>
      <w:bookmarkStart w:id="331" w:name="_Toc500947020"/>
      <w:bookmarkStart w:id="332" w:name="_Toc501547029"/>
      <w:bookmarkStart w:id="333" w:name="_Toc501547384"/>
      <w:bookmarkStart w:id="334" w:name="_Toc505005668"/>
      <w:bookmarkStart w:id="335" w:name="_Toc505153759"/>
      <w:bookmarkStart w:id="336" w:name="_Toc508283427"/>
      <w:bookmarkStart w:id="337" w:name="_Toc510081783"/>
      <w:bookmarkStart w:id="338" w:name="_Toc511812220"/>
      <w:bookmarkStart w:id="339" w:name="_Toc512240158"/>
      <w:bookmarkStart w:id="340" w:name="_Toc513192155"/>
      <w:bookmarkStart w:id="341" w:name="_Toc514832417"/>
      <w:bookmarkStart w:id="342" w:name="_Toc514837962"/>
      <w:bookmarkStart w:id="343" w:name="_Toc514943596"/>
      <w:bookmarkStart w:id="344" w:name="_Toc515352039"/>
      <w:bookmarkStart w:id="345" w:name="_Toc518297248"/>
      <w:bookmarkStart w:id="346" w:name="_Toc519069306"/>
      <w:bookmarkStart w:id="347" w:name="_Toc519069367"/>
      <w:bookmarkStart w:id="348" w:name="_Toc519520734"/>
      <w:bookmarkStart w:id="349" w:name="_Toc520188713"/>
      <w:bookmarkStart w:id="350" w:name="_Toc521054230"/>
      <w:bookmarkStart w:id="351" w:name="_Toc521054317"/>
      <w:bookmarkStart w:id="352" w:name="_Toc521054389"/>
      <w:bookmarkStart w:id="353" w:name="_Toc523753612"/>
      <w:bookmarkStart w:id="354" w:name="_Toc523814161"/>
      <w:bookmarkStart w:id="355" w:name="_Toc523900452"/>
      <w:bookmarkStart w:id="356" w:name="_Toc526855813"/>
      <w:bookmarkStart w:id="357" w:name="_Toc528155839"/>
      <w:bookmarkStart w:id="358" w:name="_Toc528157198"/>
      <w:bookmarkStart w:id="359" w:name="_Toc528310851"/>
      <w:bookmarkStart w:id="360" w:name="_Toc529974530"/>
      <w:bookmarkStart w:id="361" w:name="_Toc530039425"/>
      <w:bookmarkStart w:id="362" w:name="_Toc536527673"/>
      <w:bookmarkStart w:id="363" w:name="_Toc536527836"/>
      <w:bookmarkStart w:id="364" w:name="_Toc536615374"/>
      <w:bookmarkStart w:id="365" w:name="_Toc172152"/>
      <w:bookmarkStart w:id="366" w:name="_Toc506077"/>
      <w:bookmarkStart w:id="367" w:name="_Toc945921"/>
      <w:bookmarkStart w:id="368" w:name="_Toc965811"/>
      <w:bookmarkStart w:id="369" w:name="_Toc2839575"/>
      <w:bookmarkStart w:id="370" w:name="_Toc2850235"/>
      <w:bookmarkStart w:id="371" w:name="_Toc3271212"/>
      <w:bookmarkStart w:id="372" w:name="_Toc4588273"/>
      <w:bookmarkStart w:id="373" w:name="_Toc4652919"/>
      <w:bookmarkStart w:id="374" w:name="_Toc5003661"/>
      <w:bookmarkStart w:id="375" w:name="_Toc6211034"/>
      <w:bookmarkStart w:id="376" w:name="_Toc9499992"/>
      <w:bookmarkStart w:id="377" w:name="_Toc14266114"/>
      <w:bookmarkStart w:id="378" w:name="_Toc14334603"/>
      <w:bookmarkStart w:id="379" w:name="_Toc14775953"/>
      <w:bookmarkStart w:id="380" w:name="_Toc15285031"/>
      <w:bookmarkStart w:id="381" w:name="_Toc15630651"/>
      <w:bookmarkStart w:id="382" w:name="_Toc18415323"/>
      <w:bookmarkStart w:id="383" w:name="_Toc18487691"/>
      <w:bookmarkStart w:id="384" w:name="_Toc19708394"/>
      <w:bookmarkStart w:id="385" w:name="_Toc20131683"/>
      <w:bookmarkStart w:id="386" w:name="_Toc21595441"/>
      <w:bookmarkStart w:id="387" w:name="_Toc22025442"/>
      <w:bookmarkStart w:id="388" w:name="_Toc24463705"/>
      <w:bookmarkStart w:id="389" w:name="_Toc24617702"/>
      <w:bookmarkStart w:id="390" w:name="_Toc25050774"/>
      <w:bookmarkStart w:id="391" w:name="_Toc31202138"/>
      <w:bookmarkStart w:id="392" w:name="_Toc31202259"/>
      <w:bookmarkStart w:id="393" w:name="_Toc32390199"/>
      <w:bookmarkStart w:id="394" w:name="_Toc32566840"/>
      <w:bookmarkStart w:id="395" w:name="_Toc35437930"/>
      <w:bookmarkStart w:id="396" w:name="_Toc38270540"/>
      <w:bookmarkStart w:id="397" w:name="_Toc38362391"/>
      <w:bookmarkStart w:id="398" w:name="_Toc38441872"/>
      <w:bookmarkStart w:id="399" w:name="_Toc38442379"/>
      <w:bookmarkStart w:id="400" w:name="_Toc38976317"/>
      <w:bookmarkStart w:id="401" w:name="_Toc40693088"/>
      <w:bookmarkStart w:id="402" w:name="_Toc40693229"/>
      <w:bookmarkStart w:id="403" w:name="_Toc41570915"/>
      <w:bookmarkStart w:id="404" w:name="_Toc42874997"/>
      <w:bookmarkStart w:id="405" w:name="_Toc44074214"/>
      <w:bookmarkStart w:id="406" w:name="_Toc44317225"/>
      <w:bookmarkStart w:id="407" w:name="_Toc44323928"/>
      <w:bookmarkStart w:id="408" w:name="_Toc65140119"/>
      <w:bookmarkStart w:id="409" w:name="_Toc67054455"/>
      <w:bookmarkStart w:id="410" w:name="_Toc67055522"/>
      <w:r w:rsidRPr="00104A8B">
        <w:rPr>
          <w:rFonts w:asciiTheme="minorHAnsi" w:hAnsiTheme="minorHAnsi"/>
        </w:rPr>
        <w:t>R</w:t>
      </w:r>
      <w:r w:rsidR="00474136" w:rsidRPr="00104A8B">
        <w:rPr>
          <w:rFonts w:asciiTheme="minorHAnsi" w:hAnsiTheme="minorHAnsi"/>
        </w:rPr>
        <w:t>ole of Committee</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rsidR="000B0846" w:rsidRPr="00104A8B" w:rsidRDefault="000B0846" w:rsidP="000B0846">
      <w:r w:rsidRPr="00104A8B">
        <w:t>The Committee examines all Bills and subordinate legislation presented to the Assembly. It does not make any comments on the policy aspects of the legislation. The Committee’s terms of reference contain principles of scrutiny that enable it to operate in the best traditions of totally non-partisan, non-political technical scrutiny of legislation. These traditions have been adopted, without exception, by all scrutiny committees in Australia. Non-partisan, non-policy scrutiny allows the Committee to help the Assembly pass into law Acts and subordinate legislation which comply with the ideals set out in its terms of reference.</w:t>
      </w:r>
    </w:p>
    <w:p w:rsidR="00045F75" w:rsidRPr="00104A8B" w:rsidRDefault="00652A64" w:rsidP="00AC094E">
      <w:pPr>
        <w:pStyle w:val="Heading2"/>
        <w:rPr>
          <w:rFonts w:asciiTheme="minorHAnsi" w:hAnsiTheme="minorHAnsi"/>
        </w:rPr>
      </w:pPr>
      <w:r w:rsidRPr="00104A8B">
        <w:rPr>
          <w:rFonts w:asciiTheme="minorHAnsi" w:hAnsiTheme="minorHAnsi"/>
        </w:rPr>
        <w:br w:type="page"/>
      </w:r>
      <w:bookmarkStart w:id="411" w:name="_Toc500938173"/>
      <w:bookmarkStart w:id="412" w:name="_Toc500947021"/>
      <w:bookmarkStart w:id="413" w:name="_Toc501547030"/>
      <w:bookmarkStart w:id="414" w:name="_Toc501547385"/>
      <w:bookmarkStart w:id="415" w:name="_Toc505005669"/>
      <w:bookmarkStart w:id="416" w:name="_Toc505153760"/>
      <w:bookmarkStart w:id="417" w:name="_Toc508283428"/>
      <w:bookmarkStart w:id="418" w:name="_Toc510081784"/>
      <w:bookmarkStart w:id="419" w:name="_Toc511812221"/>
      <w:bookmarkStart w:id="420" w:name="_Toc512240159"/>
      <w:bookmarkStart w:id="421" w:name="_Toc513192156"/>
      <w:bookmarkStart w:id="422" w:name="_Toc514832418"/>
      <w:bookmarkStart w:id="423" w:name="_Toc514837963"/>
      <w:bookmarkStart w:id="424" w:name="_Toc518297249"/>
      <w:bookmarkStart w:id="425" w:name="_Toc519069307"/>
      <w:bookmarkStart w:id="426" w:name="_Toc519069368"/>
      <w:bookmarkStart w:id="427" w:name="_Toc519520735"/>
      <w:bookmarkStart w:id="428" w:name="_Toc520188714"/>
      <w:bookmarkStart w:id="429" w:name="_Toc521054231"/>
      <w:bookmarkStart w:id="430" w:name="_Toc521054318"/>
      <w:bookmarkStart w:id="431" w:name="_Toc521054390"/>
      <w:bookmarkStart w:id="432" w:name="_Toc523753613"/>
      <w:bookmarkStart w:id="433" w:name="_Toc523814162"/>
      <w:bookmarkStart w:id="434" w:name="_Toc523900453"/>
      <w:bookmarkStart w:id="435" w:name="_Toc526855814"/>
      <w:bookmarkStart w:id="436" w:name="_Toc528155840"/>
      <w:bookmarkStart w:id="437" w:name="_Toc528157199"/>
      <w:bookmarkStart w:id="438" w:name="_Toc528310852"/>
      <w:bookmarkStart w:id="439" w:name="_Toc529974531"/>
      <w:bookmarkStart w:id="440" w:name="_Toc530039426"/>
      <w:bookmarkStart w:id="441" w:name="_Toc536527674"/>
      <w:bookmarkStart w:id="442" w:name="_Toc536527837"/>
      <w:bookmarkStart w:id="443" w:name="_Toc536615375"/>
      <w:bookmarkStart w:id="444" w:name="_Toc172153"/>
      <w:bookmarkStart w:id="445" w:name="_Toc506078"/>
      <w:bookmarkStart w:id="446" w:name="_Toc945922"/>
      <w:bookmarkStart w:id="447" w:name="_Toc965812"/>
      <w:bookmarkStart w:id="448" w:name="_Toc2839576"/>
      <w:bookmarkStart w:id="449" w:name="_Toc2850236"/>
      <w:bookmarkStart w:id="450" w:name="_Toc3271213"/>
      <w:bookmarkStart w:id="451" w:name="_Toc4588274"/>
      <w:bookmarkStart w:id="452" w:name="_Toc4652920"/>
      <w:bookmarkStart w:id="453" w:name="_Toc5003662"/>
      <w:bookmarkStart w:id="454" w:name="_Toc6211035"/>
      <w:bookmarkStart w:id="455" w:name="_Toc9499993"/>
      <w:bookmarkStart w:id="456" w:name="_Toc14266115"/>
      <w:bookmarkStart w:id="457" w:name="_Toc14334604"/>
      <w:bookmarkStart w:id="458" w:name="_Toc14775954"/>
      <w:bookmarkStart w:id="459" w:name="_Toc15285032"/>
      <w:bookmarkStart w:id="460" w:name="_Toc15630652"/>
      <w:bookmarkStart w:id="461" w:name="_Toc18415324"/>
      <w:bookmarkStart w:id="462" w:name="_Toc18487692"/>
      <w:bookmarkStart w:id="463" w:name="_Toc19708395"/>
      <w:bookmarkStart w:id="464" w:name="_Toc20131684"/>
      <w:bookmarkStart w:id="465" w:name="_Toc21595442"/>
      <w:bookmarkStart w:id="466" w:name="_Toc22025443"/>
      <w:bookmarkStart w:id="467" w:name="_Toc24463706"/>
      <w:bookmarkStart w:id="468" w:name="_Toc24617703"/>
      <w:bookmarkStart w:id="469" w:name="_Toc25050775"/>
      <w:bookmarkStart w:id="470" w:name="_Toc31202139"/>
      <w:bookmarkStart w:id="471" w:name="_Toc31202260"/>
      <w:bookmarkStart w:id="472" w:name="_Toc32390200"/>
      <w:bookmarkStart w:id="473" w:name="_Toc32566841"/>
      <w:bookmarkStart w:id="474" w:name="_Toc35437931"/>
      <w:bookmarkStart w:id="475" w:name="_Toc38270541"/>
      <w:bookmarkStart w:id="476" w:name="_Toc38362392"/>
      <w:bookmarkStart w:id="477" w:name="_Toc38441873"/>
      <w:bookmarkStart w:id="478" w:name="_Toc38442380"/>
      <w:bookmarkStart w:id="479" w:name="_Toc38976318"/>
      <w:bookmarkStart w:id="480" w:name="_Toc40693089"/>
      <w:bookmarkStart w:id="481" w:name="_Toc40693230"/>
      <w:bookmarkStart w:id="482" w:name="_Toc41570916"/>
      <w:bookmarkStart w:id="483" w:name="_Toc42874998"/>
      <w:bookmarkStart w:id="484" w:name="_Toc44074215"/>
      <w:bookmarkStart w:id="485" w:name="_Toc44317226"/>
      <w:bookmarkStart w:id="486" w:name="_Toc44323929"/>
      <w:bookmarkStart w:id="487" w:name="_Toc65140120"/>
      <w:bookmarkStart w:id="488" w:name="_Toc67054456"/>
      <w:bookmarkStart w:id="489" w:name="_Toc67055523"/>
      <w:r w:rsidR="00045F75" w:rsidRPr="00104A8B">
        <w:rPr>
          <w:rFonts w:asciiTheme="minorHAnsi" w:hAnsiTheme="minorHAnsi"/>
        </w:rPr>
        <w:t>Resolution of Appointment</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rsidR="000D387C" w:rsidRDefault="000D387C" w:rsidP="000D387C">
      <w:r>
        <w:t>The 10</w:t>
      </w:r>
      <w:r w:rsidRPr="00C80D52">
        <w:rPr>
          <w:vertAlign w:val="superscript"/>
        </w:rPr>
        <w:t>th</w:t>
      </w:r>
      <w:r>
        <w:t xml:space="preserve"> ACT Legislative Assembly appointed the Standing Committee on Justice and Community Safety (Legislative Scrutiny Role) on 2 December 2020.</w:t>
      </w:r>
    </w:p>
    <w:p w:rsidR="000D387C" w:rsidRDefault="000D387C" w:rsidP="000D387C">
      <w:r>
        <w:t>Specifically, the resolution of 2 December 2020 establishing the Standing Committees of the 10</w:t>
      </w:r>
      <w:r w:rsidRPr="00C80D52">
        <w:rPr>
          <w:vertAlign w:val="superscript"/>
        </w:rPr>
        <w:t>th</w:t>
      </w:r>
      <w:r>
        <w:t> Assembly as it relates to the Standing Committee on Justice and Community Safety (Legislative Scrutiny Role) states:</w:t>
      </w:r>
    </w:p>
    <w:p w:rsidR="001D271A" w:rsidRPr="00697120" w:rsidRDefault="001D271A" w:rsidP="001D271A">
      <w:pPr>
        <w:keepNext/>
        <w:keepLines/>
        <w:tabs>
          <w:tab w:val="left" w:pos="567"/>
        </w:tabs>
        <w:spacing w:before="60" w:after="60"/>
        <w:ind w:left="1701" w:hanging="567"/>
        <w:rPr>
          <w:rFonts w:ascii="Calibri" w:hAnsi="Calibri"/>
        </w:rPr>
      </w:pPr>
      <w:r w:rsidRPr="00697120">
        <w:rPr>
          <w:rFonts w:ascii="Calibri" w:hAnsi="Calibri"/>
        </w:rPr>
        <w:t xml:space="preserve"> </w:t>
      </w:r>
      <w:r w:rsidR="000D387C">
        <w:rPr>
          <w:rFonts w:ascii="Calibri" w:hAnsi="Calibri"/>
        </w:rPr>
        <w:t>“</w:t>
      </w:r>
      <w:r w:rsidRPr="00697120">
        <w:rPr>
          <w:rFonts w:ascii="Calibri" w:hAnsi="Calibri"/>
        </w:rPr>
        <w:t>(10)</w:t>
      </w:r>
      <w:r w:rsidRPr="00697120">
        <w:rPr>
          <w:rFonts w:ascii="Calibri" w:hAnsi="Calibri"/>
        </w:rPr>
        <w:tab/>
      </w:r>
      <w:proofErr w:type="gramStart"/>
      <w:r w:rsidRPr="00697120">
        <w:rPr>
          <w:rFonts w:ascii="Calibri" w:hAnsi="Calibri"/>
        </w:rPr>
        <w:t>the</w:t>
      </w:r>
      <w:proofErr w:type="gramEnd"/>
      <w:r w:rsidRPr="00697120">
        <w:rPr>
          <w:rFonts w:ascii="Calibri" w:hAnsi="Calibri"/>
        </w:rPr>
        <w:t xml:space="preserve"> Standing Committee on Justice and Community Safety is also to perform a legislative scrutiny role of bills and subordinate legislation by:</w:t>
      </w:r>
    </w:p>
    <w:p w:rsidR="001D271A" w:rsidRPr="00697120" w:rsidRDefault="001D271A" w:rsidP="001D271A">
      <w:pPr>
        <w:keepNext/>
        <w:keepLines/>
        <w:tabs>
          <w:tab w:val="left" w:pos="567"/>
        </w:tabs>
        <w:spacing w:before="60" w:after="60"/>
        <w:ind w:left="2268" w:hanging="567"/>
        <w:rPr>
          <w:rFonts w:ascii="Calibri" w:hAnsi="Calibri"/>
        </w:rPr>
      </w:pPr>
      <w:r w:rsidRPr="00697120">
        <w:rPr>
          <w:rFonts w:ascii="Calibri" w:hAnsi="Calibri"/>
        </w:rPr>
        <w:t>(a)</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the clauses of bills (and amendments proposed by the Government to its own bills) introduced into the Assembly:</w:t>
      </w:r>
    </w:p>
    <w:p w:rsidR="001D271A" w:rsidRPr="00697120" w:rsidRDefault="001D271A" w:rsidP="001D271A">
      <w:pPr>
        <w:keepNext/>
        <w:keepLines/>
        <w:spacing w:before="60" w:after="60"/>
        <w:ind w:left="2835" w:hanging="567"/>
        <w:rPr>
          <w:rFonts w:ascii="Calibri" w:hAnsi="Calibri"/>
        </w:rPr>
      </w:pPr>
      <w:r w:rsidRPr="00697120">
        <w:rPr>
          <w:rFonts w:ascii="Calibri" w:hAnsi="Calibri"/>
        </w:rPr>
        <w:t>(</w:t>
      </w:r>
      <w:proofErr w:type="spellStart"/>
      <w:r w:rsidRPr="00697120">
        <w:rPr>
          <w:rFonts w:ascii="Calibri" w:hAnsi="Calibri"/>
        </w:rPr>
        <w:t>i</w:t>
      </w:r>
      <w:proofErr w:type="spellEnd"/>
      <w:r w:rsidRPr="00697120">
        <w:rPr>
          <w:rFonts w:ascii="Calibri" w:hAnsi="Calibri"/>
        </w:rPr>
        <w:t>)</w:t>
      </w:r>
      <w:r w:rsidRPr="00697120">
        <w:rPr>
          <w:rFonts w:ascii="Calibri" w:hAnsi="Calibri"/>
        </w:rPr>
        <w:tab/>
      </w:r>
      <w:proofErr w:type="gramStart"/>
      <w:r w:rsidRPr="00697120">
        <w:rPr>
          <w:rFonts w:ascii="Calibri" w:hAnsi="Calibri"/>
        </w:rPr>
        <w:t>unduly</w:t>
      </w:r>
      <w:proofErr w:type="gramEnd"/>
      <w:r w:rsidRPr="00697120">
        <w:rPr>
          <w:rFonts w:ascii="Calibri" w:hAnsi="Calibri"/>
        </w:rPr>
        <w:t xml:space="preserve"> trespass on personal rights and liberties;</w:t>
      </w:r>
    </w:p>
    <w:p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r>
      <w:proofErr w:type="gramStart"/>
      <w:r w:rsidRPr="00697120">
        <w:rPr>
          <w:rFonts w:ascii="Calibri" w:hAnsi="Calibri"/>
        </w:rPr>
        <w:t>make</w:t>
      </w:r>
      <w:proofErr w:type="gramEnd"/>
      <w:r w:rsidRPr="00697120">
        <w:rPr>
          <w:rFonts w:ascii="Calibri" w:hAnsi="Calibri"/>
        </w:rPr>
        <w:t xml:space="preserve"> rights, liberties and/or obligations unduly dependent upon insufficiently defined administrative powers;</w:t>
      </w:r>
    </w:p>
    <w:p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r>
      <w:proofErr w:type="gramStart"/>
      <w:r w:rsidRPr="00697120">
        <w:rPr>
          <w:rFonts w:ascii="Calibri" w:hAnsi="Calibri"/>
        </w:rPr>
        <w:t>make</w:t>
      </w:r>
      <w:proofErr w:type="gramEnd"/>
      <w:r w:rsidRPr="00697120">
        <w:rPr>
          <w:rFonts w:ascii="Calibri" w:hAnsi="Calibri"/>
        </w:rPr>
        <w:t xml:space="preserve"> rights, liberties and/or obligations unduly dependent upon non-reviewable decisions;</w:t>
      </w:r>
    </w:p>
    <w:p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r>
      <w:proofErr w:type="gramStart"/>
      <w:r w:rsidRPr="00697120">
        <w:rPr>
          <w:rFonts w:ascii="Calibri" w:hAnsi="Calibri"/>
        </w:rPr>
        <w:t>inappropriately</w:t>
      </w:r>
      <w:proofErr w:type="gramEnd"/>
      <w:r w:rsidRPr="00697120">
        <w:rPr>
          <w:rFonts w:ascii="Calibri" w:hAnsi="Calibri"/>
        </w:rPr>
        <w:t xml:space="preserve"> delegate legislative powers; or</w:t>
      </w:r>
    </w:p>
    <w:p w:rsidR="001D271A" w:rsidRPr="00697120" w:rsidRDefault="001D271A" w:rsidP="001D271A">
      <w:pPr>
        <w:spacing w:before="60" w:after="60"/>
        <w:ind w:left="2835" w:hanging="567"/>
        <w:rPr>
          <w:rFonts w:ascii="Calibri" w:hAnsi="Calibri"/>
        </w:rPr>
      </w:pPr>
      <w:r w:rsidRPr="00697120">
        <w:rPr>
          <w:rFonts w:ascii="Calibri" w:hAnsi="Calibri"/>
        </w:rPr>
        <w:t>(v)</w:t>
      </w:r>
      <w:r w:rsidRPr="00697120">
        <w:rPr>
          <w:rFonts w:ascii="Calibri" w:hAnsi="Calibri"/>
        </w:rPr>
        <w:tab/>
      </w:r>
      <w:proofErr w:type="gramStart"/>
      <w:r w:rsidRPr="00697120">
        <w:rPr>
          <w:rFonts w:ascii="Calibri" w:hAnsi="Calibri"/>
        </w:rPr>
        <w:t>insufficiently</w:t>
      </w:r>
      <w:proofErr w:type="gramEnd"/>
      <w:r w:rsidRPr="00697120">
        <w:rPr>
          <w:rFonts w:ascii="Calibri" w:hAnsi="Calibri"/>
        </w:rPr>
        <w:t xml:space="preserve"> subject the exercise of legislative power to parliamentary scrutiny; and</w:t>
      </w:r>
    </w:p>
    <w:p w:rsidR="001D271A" w:rsidRPr="00697120" w:rsidRDefault="001D271A" w:rsidP="001D271A">
      <w:pPr>
        <w:spacing w:before="60" w:after="60"/>
        <w:ind w:left="2835" w:hanging="567"/>
        <w:rPr>
          <w:rFonts w:ascii="Calibri" w:hAnsi="Calibri"/>
        </w:rPr>
      </w:pPr>
      <w:r w:rsidRPr="00697120">
        <w:rPr>
          <w:rFonts w:ascii="Calibri" w:hAnsi="Calibri"/>
        </w:rPr>
        <w:t>(vi)</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associated with legislation meets the technical or stylistic standards expected by the Assembly;</w:t>
      </w:r>
    </w:p>
    <w:p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(b)</w:t>
      </w:r>
      <w:r w:rsidRPr="00697120">
        <w:rPr>
          <w:rFonts w:ascii="Calibri" w:hAnsi="Calibri"/>
        </w:rPr>
        <w:tab/>
      </w:r>
      <w:proofErr w:type="gramStart"/>
      <w:r w:rsidRPr="00697120">
        <w:rPr>
          <w:rFonts w:ascii="Calibri" w:hAnsi="Calibri"/>
        </w:rPr>
        <w:t>reporting</w:t>
      </w:r>
      <w:proofErr w:type="gramEnd"/>
      <w:r w:rsidRPr="00697120">
        <w:rPr>
          <w:rFonts w:ascii="Calibri" w:hAnsi="Calibri"/>
        </w:rPr>
        <w:t xml:space="preserve"> to the Legislative Assembly about human rights issues raised by bills presented to the Assembly pursuant to section 38 of the </w:t>
      </w:r>
      <w:r w:rsidRPr="00697120">
        <w:rPr>
          <w:rFonts w:ascii="Calibri" w:hAnsi="Calibri"/>
          <w:i/>
        </w:rPr>
        <w:t>Human Rights Act 2004</w:t>
      </w:r>
      <w:r w:rsidRPr="00697120">
        <w:rPr>
          <w:rFonts w:ascii="Calibri" w:hAnsi="Calibri"/>
        </w:rPr>
        <w:t xml:space="preserve">; </w:t>
      </w:r>
    </w:p>
    <w:p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(c)</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any instrument of a legislative nature made under an Act which is subject to disallowance and/or disapproval by the Assembly (including a regulation, rule or by-law):</w:t>
      </w:r>
    </w:p>
    <w:p w:rsidR="001D271A" w:rsidRPr="00697120" w:rsidRDefault="001D271A" w:rsidP="001D271A">
      <w:pPr>
        <w:spacing w:before="60" w:after="60"/>
        <w:ind w:left="2835" w:hanging="567"/>
        <w:rPr>
          <w:rFonts w:ascii="Calibri" w:hAnsi="Calibri"/>
        </w:rPr>
      </w:pPr>
      <w:r w:rsidRPr="00697120">
        <w:rPr>
          <w:rFonts w:ascii="Calibri" w:hAnsi="Calibri"/>
        </w:rPr>
        <w:t>(</w:t>
      </w:r>
      <w:proofErr w:type="spellStart"/>
      <w:proofErr w:type="gramStart"/>
      <w:r w:rsidRPr="00697120">
        <w:rPr>
          <w:rFonts w:ascii="Calibri" w:hAnsi="Calibri"/>
        </w:rPr>
        <w:t>i</w:t>
      </w:r>
      <w:proofErr w:type="spellEnd"/>
      <w:proofErr w:type="gramEnd"/>
      <w:r w:rsidRPr="00697120">
        <w:rPr>
          <w:rFonts w:ascii="Calibri" w:hAnsi="Calibri"/>
        </w:rPr>
        <w:t>)</w:t>
      </w:r>
      <w:r w:rsidRPr="00697120">
        <w:rPr>
          <w:rFonts w:ascii="Calibri" w:hAnsi="Calibri"/>
        </w:rPr>
        <w:tab/>
        <w:t>is in accord with the general objects of the Act under which it is made;</w:t>
      </w:r>
    </w:p>
    <w:p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r>
      <w:proofErr w:type="gramStart"/>
      <w:r w:rsidRPr="00697120">
        <w:rPr>
          <w:rFonts w:ascii="Calibri" w:hAnsi="Calibri"/>
        </w:rPr>
        <w:t>unduly</w:t>
      </w:r>
      <w:proofErr w:type="gramEnd"/>
      <w:r w:rsidRPr="00697120">
        <w:rPr>
          <w:rFonts w:ascii="Calibri" w:hAnsi="Calibri"/>
        </w:rPr>
        <w:t xml:space="preserve"> trespasses on rights previously established by law;</w:t>
      </w:r>
    </w:p>
    <w:p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r>
      <w:proofErr w:type="gramStart"/>
      <w:r w:rsidRPr="00697120">
        <w:rPr>
          <w:rFonts w:ascii="Calibri" w:hAnsi="Calibri"/>
        </w:rPr>
        <w:t>makes</w:t>
      </w:r>
      <w:proofErr w:type="gramEnd"/>
      <w:r w:rsidRPr="00697120">
        <w:rPr>
          <w:rFonts w:ascii="Calibri" w:hAnsi="Calibri"/>
        </w:rPr>
        <w:t xml:space="preserve"> rights, liberties and/or obligations unduly dependent upon non-reviewable decisions; or</w:t>
      </w:r>
    </w:p>
    <w:p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r>
      <w:proofErr w:type="gramStart"/>
      <w:r w:rsidRPr="00697120">
        <w:rPr>
          <w:rFonts w:ascii="Calibri" w:hAnsi="Calibri"/>
        </w:rPr>
        <w:t>contains</w:t>
      </w:r>
      <w:proofErr w:type="gramEnd"/>
      <w:r w:rsidRPr="00697120">
        <w:rPr>
          <w:rFonts w:ascii="Calibri" w:hAnsi="Calibri"/>
        </w:rPr>
        <w:t xml:space="preserve"> matter which in the opinion of the Committee should properly be dealt with in an Act of the Legislative Assembly; and</w:t>
      </w:r>
    </w:p>
    <w:p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(d)</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or explanatory memorandum associated with legislation and any regulatory impact statement meets the technical or stylistic standards expected by the Assembly;</w:t>
      </w:r>
      <w:r w:rsidR="000D387C">
        <w:rPr>
          <w:rFonts w:ascii="Calibri" w:hAnsi="Calibri"/>
        </w:rPr>
        <w:t>”</w:t>
      </w:r>
    </w:p>
    <w:p w:rsidR="00126D9A" w:rsidRPr="00104A8B" w:rsidRDefault="00126D9A">
      <w:r w:rsidRPr="00104A8B">
        <w:br w:type="page"/>
      </w:r>
    </w:p>
    <w:p w:rsidR="00B75EEA" w:rsidRDefault="00D447D3" w:rsidP="00FC46AA">
      <w:pPr>
        <w:pStyle w:val="TOCHeading"/>
        <w:keepNext w:val="0"/>
        <w:keepLines w:val="0"/>
        <w:spacing w:before="120" w:after="360" w:line="500" w:lineRule="exact"/>
        <w:outlineLvl w:val="1"/>
        <w:rPr>
          <w:noProof/>
        </w:rPr>
      </w:pPr>
      <w:bookmarkStart w:id="490" w:name="_Toc514837964"/>
      <w:r w:rsidRPr="00104A8B">
        <w:rPr>
          <w:rFonts w:asciiTheme="minorHAnsi" w:eastAsia="Times New Roman" w:hAnsiTheme="minorHAnsi" w:cs="Times New Roman"/>
          <w:smallCaps/>
          <w:spacing w:val="20"/>
          <w:kern w:val="42"/>
          <w:sz w:val="44"/>
          <w:szCs w:val="44"/>
        </w:rPr>
        <w:t>Table of Contents</w:t>
      </w:r>
      <w:bookmarkEnd w:id="490"/>
      <w:r w:rsidR="00CD5AD5" w:rsidRPr="00104A8B">
        <w:rPr>
          <w:rFonts w:asciiTheme="minorHAnsi" w:hAnsiTheme="minorHAnsi"/>
        </w:rPr>
        <w:fldChar w:fldCharType="begin"/>
      </w:r>
      <w:r w:rsidR="00562E8A" w:rsidRPr="00104A8B">
        <w:rPr>
          <w:rFonts w:asciiTheme="minorHAnsi" w:hAnsiTheme="minorHAnsi"/>
        </w:rPr>
        <w:instrText xml:space="preserve"> TOC \h \z \u \t "Heading 2,1,Heading 3,2,Heading 4,3" </w:instrText>
      </w:r>
      <w:r w:rsidR="00CD5AD5" w:rsidRPr="00104A8B">
        <w:rPr>
          <w:rFonts w:asciiTheme="minorHAnsi" w:hAnsiTheme="minorHAnsi"/>
        </w:rPr>
        <w:fldChar w:fldCharType="separate"/>
      </w:r>
    </w:p>
    <w:p w:rsidR="00B75EEA" w:rsidRDefault="000C727C">
      <w:pPr>
        <w:pStyle w:val="TOC1"/>
        <w:rPr>
          <w:rFonts w:asciiTheme="minorHAnsi" w:eastAsiaTheme="minorEastAsia" w:hAnsiTheme="minorHAnsi" w:cstheme="minorBidi"/>
          <w:bCs w:val="0"/>
          <w:smallCaps w:val="0"/>
          <w:spacing w:val="0"/>
          <w:sz w:val="22"/>
          <w:szCs w:val="22"/>
          <w:lang w:eastAsia="en-AU"/>
        </w:rPr>
      </w:pPr>
      <w:hyperlink w:anchor="_Toc67055524" w:history="1">
        <w:r w:rsidR="00B75EEA" w:rsidRPr="00143B42">
          <w:rPr>
            <w:rStyle w:val="Hyperlink"/>
            <w:rFonts w:eastAsia="Calibri"/>
            <w:lang w:eastAsia="en-AU"/>
          </w:rPr>
          <w:t>Bills</w:t>
        </w:r>
        <w:r w:rsidR="00B75EEA">
          <w:rPr>
            <w:webHidden/>
          </w:rPr>
          <w:tab/>
        </w:r>
        <w:r w:rsidR="00B75EEA">
          <w:rPr>
            <w:webHidden/>
          </w:rPr>
          <w:fldChar w:fldCharType="begin"/>
        </w:r>
        <w:r w:rsidR="00B75EEA">
          <w:rPr>
            <w:webHidden/>
          </w:rPr>
          <w:instrText xml:space="preserve"> PAGEREF _Toc67055524 \h </w:instrText>
        </w:r>
        <w:r w:rsidR="00B75EEA">
          <w:rPr>
            <w:webHidden/>
          </w:rPr>
        </w:r>
        <w:r w:rsidR="00B75EEA">
          <w:rPr>
            <w:webHidden/>
          </w:rPr>
          <w:fldChar w:fldCharType="separate"/>
        </w:r>
        <w:r w:rsidR="00B75EEA">
          <w:rPr>
            <w:webHidden/>
          </w:rPr>
          <w:t>4</w:t>
        </w:r>
        <w:r w:rsidR="00B75EEA">
          <w:rPr>
            <w:webHidden/>
          </w:rPr>
          <w:fldChar w:fldCharType="end"/>
        </w:r>
      </w:hyperlink>
    </w:p>
    <w:p w:rsidR="00B75EEA" w:rsidRDefault="000C727C">
      <w:pPr>
        <w:pStyle w:val="TOC2"/>
        <w:rPr>
          <w:rFonts w:asciiTheme="minorHAnsi" w:eastAsiaTheme="minorEastAsia" w:hAnsiTheme="minorHAnsi" w:cstheme="minorBidi"/>
          <w:b w:val="0"/>
          <w:noProof/>
          <w:sz w:val="22"/>
          <w:szCs w:val="22"/>
          <w:lang w:eastAsia="en-AU"/>
        </w:rPr>
      </w:pPr>
      <w:hyperlink w:anchor="_Toc67055525" w:history="1">
        <w:r w:rsidR="00B75EEA" w:rsidRPr="00143B42">
          <w:rPr>
            <w:rStyle w:val="Hyperlink"/>
            <w:noProof/>
          </w:rPr>
          <w:t>Bills—No comment</w:t>
        </w:r>
        <w:r w:rsidR="00B75EEA">
          <w:rPr>
            <w:noProof/>
            <w:webHidden/>
          </w:rPr>
          <w:tab/>
        </w:r>
        <w:r w:rsidR="00B75EEA">
          <w:rPr>
            <w:noProof/>
            <w:webHidden/>
          </w:rPr>
          <w:fldChar w:fldCharType="begin"/>
        </w:r>
        <w:r w:rsidR="00B75EEA">
          <w:rPr>
            <w:noProof/>
            <w:webHidden/>
          </w:rPr>
          <w:instrText xml:space="preserve"> PAGEREF _Toc67055525 \h </w:instrText>
        </w:r>
        <w:r w:rsidR="00B75EEA">
          <w:rPr>
            <w:noProof/>
            <w:webHidden/>
          </w:rPr>
        </w:r>
        <w:r w:rsidR="00B75EEA">
          <w:rPr>
            <w:noProof/>
            <w:webHidden/>
          </w:rPr>
          <w:fldChar w:fldCharType="separate"/>
        </w:r>
        <w:r w:rsidR="00B75EEA">
          <w:rPr>
            <w:noProof/>
            <w:webHidden/>
          </w:rPr>
          <w:t>4</w:t>
        </w:r>
        <w:r w:rsidR="00B75EEA">
          <w:rPr>
            <w:noProof/>
            <w:webHidden/>
          </w:rPr>
          <w:fldChar w:fldCharType="end"/>
        </w:r>
      </w:hyperlink>
    </w:p>
    <w:p w:rsidR="00B75EEA" w:rsidRDefault="000C727C">
      <w:pPr>
        <w:pStyle w:val="TOC3"/>
        <w:rPr>
          <w:rFonts w:eastAsiaTheme="minorEastAsia"/>
          <w:b w:val="0"/>
          <w:smallCaps w:val="0"/>
          <w:lang w:eastAsia="en-AU"/>
        </w:rPr>
      </w:pPr>
      <w:hyperlink w:anchor="_Toc67055526" w:history="1">
        <w:r w:rsidR="00B75EEA" w:rsidRPr="00143B42">
          <w:rPr>
            <w:rStyle w:val="Hyperlink"/>
          </w:rPr>
          <w:t>Appropriation Bill 2020-2021</w:t>
        </w:r>
        <w:r w:rsidR="00B75EEA">
          <w:rPr>
            <w:webHidden/>
          </w:rPr>
          <w:tab/>
        </w:r>
        <w:r w:rsidR="00B75EEA">
          <w:rPr>
            <w:webHidden/>
          </w:rPr>
          <w:fldChar w:fldCharType="begin"/>
        </w:r>
        <w:r w:rsidR="00B75EEA">
          <w:rPr>
            <w:webHidden/>
          </w:rPr>
          <w:instrText xml:space="preserve"> PAGEREF _Toc67055526 \h </w:instrText>
        </w:r>
        <w:r w:rsidR="00B75EEA">
          <w:rPr>
            <w:webHidden/>
          </w:rPr>
        </w:r>
        <w:r w:rsidR="00B75EEA">
          <w:rPr>
            <w:webHidden/>
          </w:rPr>
          <w:fldChar w:fldCharType="separate"/>
        </w:r>
        <w:r w:rsidR="00B75EEA">
          <w:rPr>
            <w:webHidden/>
          </w:rPr>
          <w:t>4</w:t>
        </w:r>
        <w:r w:rsidR="00B75EEA">
          <w:rPr>
            <w:webHidden/>
          </w:rPr>
          <w:fldChar w:fldCharType="end"/>
        </w:r>
      </w:hyperlink>
    </w:p>
    <w:p w:rsidR="00B75EEA" w:rsidRDefault="000C727C">
      <w:pPr>
        <w:pStyle w:val="TOC3"/>
        <w:rPr>
          <w:rFonts w:eastAsiaTheme="minorEastAsia"/>
          <w:b w:val="0"/>
          <w:smallCaps w:val="0"/>
          <w:lang w:eastAsia="en-AU"/>
        </w:rPr>
      </w:pPr>
      <w:hyperlink w:anchor="_Toc67055527" w:history="1">
        <w:r w:rsidR="00B75EEA" w:rsidRPr="00143B42">
          <w:rPr>
            <w:rStyle w:val="Hyperlink"/>
          </w:rPr>
          <w:t>Appropriation (Office of the Legislative Assembly) Bill 2020-2021</w:t>
        </w:r>
        <w:r w:rsidR="00B75EEA">
          <w:rPr>
            <w:webHidden/>
          </w:rPr>
          <w:tab/>
        </w:r>
        <w:r w:rsidR="00B75EEA">
          <w:rPr>
            <w:webHidden/>
          </w:rPr>
          <w:fldChar w:fldCharType="begin"/>
        </w:r>
        <w:r w:rsidR="00B75EEA">
          <w:rPr>
            <w:webHidden/>
          </w:rPr>
          <w:instrText xml:space="preserve"> PAGEREF _Toc67055527 \h </w:instrText>
        </w:r>
        <w:r w:rsidR="00B75EEA">
          <w:rPr>
            <w:webHidden/>
          </w:rPr>
        </w:r>
        <w:r w:rsidR="00B75EEA">
          <w:rPr>
            <w:webHidden/>
          </w:rPr>
          <w:fldChar w:fldCharType="separate"/>
        </w:r>
        <w:r w:rsidR="00B75EEA">
          <w:rPr>
            <w:webHidden/>
          </w:rPr>
          <w:t>4</w:t>
        </w:r>
        <w:r w:rsidR="00B75EEA">
          <w:rPr>
            <w:webHidden/>
          </w:rPr>
          <w:fldChar w:fldCharType="end"/>
        </w:r>
      </w:hyperlink>
    </w:p>
    <w:p w:rsidR="00B75EEA" w:rsidRDefault="000C727C">
      <w:pPr>
        <w:pStyle w:val="TOC3"/>
        <w:rPr>
          <w:rFonts w:eastAsiaTheme="minorEastAsia"/>
          <w:b w:val="0"/>
          <w:smallCaps w:val="0"/>
          <w:lang w:eastAsia="en-AU"/>
        </w:rPr>
      </w:pPr>
      <w:hyperlink w:anchor="_Toc67055528" w:history="1">
        <w:r w:rsidR="00B75EEA" w:rsidRPr="00143B42">
          <w:rPr>
            <w:rStyle w:val="Hyperlink"/>
          </w:rPr>
          <w:t>Planning and Development Amendment Bill 2021</w:t>
        </w:r>
        <w:r w:rsidR="00B75EEA">
          <w:rPr>
            <w:webHidden/>
          </w:rPr>
          <w:tab/>
        </w:r>
        <w:r w:rsidR="00B75EEA">
          <w:rPr>
            <w:webHidden/>
          </w:rPr>
          <w:fldChar w:fldCharType="begin"/>
        </w:r>
        <w:r w:rsidR="00B75EEA">
          <w:rPr>
            <w:webHidden/>
          </w:rPr>
          <w:instrText xml:space="preserve"> PAGEREF _Toc67055528 \h </w:instrText>
        </w:r>
        <w:r w:rsidR="00B75EEA">
          <w:rPr>
            <w:webHidden/>
          </w:rPr>
        </w:r>
        <w:r w:rsidR="00B75EEA">
          <w:rPr>
            <w:webHidden/>
          </w:rPr>
          <w:fldChar w:fldCharType="separate"/>
        </w:r>
        <w:r w:rsidR="00B75EEA">
          <w:rPr>
            <w:webHidden/>
          </w:rPr>
          <w:t>4</w:t>
        </w:r>
        <w:r w:rsidR="00B75EEA">
          <w:rPr>
            <w:webHidden/>
          </w:rPr>
          <w:fldChar w:fldCharType="end"/>
        </w:r>
      </w:hyperlink>
    </w:p>
    <w:p w:rsidR="00B75EEA" w:rsidRDefault="000C727C">
      <w:pPr>
        <w:pStyle w:val="TOC2"/>
        <w:rPr>
          <w:rFonts w:asciiTheme="minorHAnsi" w:eastAsiaTheme="minorEastAsia" w:hAnsiTheme="minorHAnsi" w:cstheme="minorBidi"/>
          <w:b w:val="0"/>
          <w:noProof/>
          <w:sz w:val="22"/>
          <w:szCs w:val="22"/>
          <w:lang w:eastAsia="en-AU"/>
        </w:rPr>
      </w:pPr>
      <w:hyperlink w:anchor="_Toc67055529" w:history="1">
        <w:r w:rsidR="00B75EEA" w:rsidRPr="00143B42">
          <w:rPr>
            <w:rStyle w:val="Hyperlink"/>
            <w:noProof/>
          </w:rPr>
          <w:t>Bill—Comment</w:t>
        </w:r>
        <w:r w:rsidR="00B75EEA">
          <w:rPr>
            <w:noProof/>
            <w:webHidden/>
          </w:rPr>
          <w:tab/>
        </w:r>
        <w:r w:rsidR="00B75EEA">
          <w:rPr>
            <w:noProof/>
            <w:webHidden/>
          </w:rPr>
          <w:fldChar w:fldCharType="begin"/>
        </w:r>
        <w:r w:rsidR="00B75EEA">
          <w:rPr>
            <w:noProof/>
            <w:webHidden/>
          </w:rPr>
          <w:instrText xml:space="preserve"> PAGEREF _Toc67055529 \h </w:instrText>
        </w:r>
        <w:r w:rsidR="00B75EEA">
          <w:rPr>
            <w:noProof/>
            <w:webHidden/>
          </w:rPr>
        </w:r>
        <w:r w:rsidR="00B75EEA">
          <w:rPr>
            <w:noProof/>
            <w:webHidden/>
          </w:rPr>
          <w:fldChar w:fldCharType="separate"/>
        </w:r>
        <w:r w:rsidR="00B75EEA">
          <w:rPr>
            <w:noProof/>
            <w:webHidden/>
          </w:rPr>
          <w:t>4</w:t>
        </w:r>
        <w:r w:rsidR="00B75EEA">
          <w:rPr>
            <w:noProof/>
            <w:webHidden/>
          </w:rPr>
          <w:fldChar w:fldCharType="end"/>
        </w:r>
      </w:hyperlink>
    </w:p>
    <w:p w:rsidR="00B75EEA" w:rsidRDefault="000C727C">
      <w:pPr>
        <w:pStyle w:val="TOC3"/>
        <w:rPr>
          <w:rFonts w:eastAsiaTheme="minorEastAsia"/>
          <w:b w:val="0"/>
          <w:smallCaps w:val="0"/>
          <w:lang w:eastAsia="en-AU"/>
        </w:rPr>
      </w:pPr>
      <w:hyperlink w:anchor="_Toc67055530" w:history="1">
        <w:r w:rsidR="00B75EEA" w:rsidRPr="00143B42">
          <w:rPr>
            <w:rStyle w:val="Hyperlink"/>
          </w:rPr>
          <w:t>Drugs of Dependence (Personal Use) Amendment Bill 2021</w:t>
        </w:r>
        <w:r w:rsidR="00B75EEA">
          <w:rPr>
            <w:webHidden/>
          </w:rPr>
          <w:tab/>
        </w:r>
        <w:r w:rsidR="00B75EEA">
          <w:rPr>
            <w:webHidden/>
          </w:rPr>
          <w:fldChar w:fldCharType="begin"/>
        </w:r>
        <w:r w:rsidR="00B75EEA">
          <w:rPr>
            <w:webHidden/>
          </w:rPr>
          <w:instrText xml:space="preserve"> PAGEREF _Toc67055530 \h </w:instrText>
        </w:r>
        <w:r w:rsidR="00B75EEA">
          <w:rPr>
            <w:webHidden/>
          </w:rPr>
        </w:r>
        <w:r w:rsidR="00B75EEA">
          <w:rPr>
            <w:webHidden/>
          </w:rPr>
          <w:fldChar w:fldCharType="separate"/>
        </w:r>
        <w:r w:rsidR="00B75EEA">
          <w:rPr>
            <w:webHidden/>
          </w:rPr>
          <w:t>4</w:t>
        </w:r>
        <w:r w:rsidR="00B75EEA">
          <w:rPr>
            <w:webHidden/>
          </w:rPr>
          <w:fldChar w:fldCharType="end"/>
        </w:r>
      </w:hyperlink>
    </w:p>
    <w:p w:rsidR="00B75EEA" w:rsidRDefault="000C727C">
      <w:pPr>
        <w:pStyle w:val="TOC2"/>
        <w:rPr>
          <w:rFonts w:asciiTheme="minorHAnsi" w:eastAsiaTheme="minorEastAsia" w:hAnsiTheme="minorHAnsi" w:cstheme="minorBidi"/>
          <w:b w:val="0"/>
          <w:noProof/>
          <w:sz w:val="22"/>
          <w:szCs w:val="22"/>
          <w:lang w:eastAsia="en-AU"/>
        </w:rPr>
      </w:pPr>
      <w:hyperlink w:anchor="_Toc67055531" w:history="1">
        <w:r w:rsidR="00B75EEA" w:rsidRPr="00143B42">
          <w:rPr>
            <w:rStyle w:val="Hyperlink"/>
            <w:noProof/>
          </w:rPr>
          <w:t>Proposed amendments</w:t>
        </w:r>
        <w:r w:rsidR="00B75EEA">
          <w:rPr>
            <w:noProof/>
            <w:webHidden/>
          </w:rPr>
          <w:tab/>
        </w:r>
        <w:r w:rsidR="00B75EEA">
          <w:rPr>
            <w:noProof/>
            <w:webHidden/>
          </w:rPr>
          <w:fldChar w:fldCharType="begin"/>
        </w:r>
        <w:r w:rsidR="00B75EEA">
          <w:rPr>
            <w:noProof/>
            <w:webHidden/>
          </w:rPr>
          <w:instrText xml:space="preserve"> PAGEREF _Toc67055531 \h </w:instrText>
        </w:r>
        <w:r w:rsidR="00B75EEA">
          <w:rPr>
            <w:noProof/>
            <w:webHidden/>
          </w:rPr>
        </w:r>
        <w:r w:rsidR="00B75EEA">
          <w:rPr>
            <w:noProof/>
            <w:webHidden/>
          </w:rPr>
          <w:fldChar w:fldCharType="separate"/>
        </w:r>
        <w:r w:rsidR="00B75EEA">
          <w:rPr>
            <w:noProof/>
            <w:webHidden/>
          </w:rPr>
          <w:t>6</w:t>
        </w:r>
        <w:r w:rsidR="00B75EEA">
          <w:rPr>
            <w:noProof/>
            <w:webHidden/>
          </w:rPr>
          <w:fldChar w:fldCharType="end"/>
        </w:r>
      </w:hyperlink>
    </w:p>
    <w:p w:rsidR="00B75EEA" w:rsidRDefault="000C727C">
      <w:pPr>
        <w:pStyle w:val="TOC3"/>
        <w:rPr>
          <w:rFonts w:eastAsiaTheme="minorEastAsia"/>
          <w:b w:val="0"/>
          <w:smallCaps w:val="0"/>
          <w:lang w:eastAsia="en-AU"/>
        </w:rPr>
      </w:pPr>
      <w:hyperlink w:anchor="_Toc67055532" w:history="1">
        <w:r w:rsidR="00B75EEA" w:rsidRPr="00143B42">
          <w:rPr>
            <w:rStyle w:val="Hyperlink"/>
          </w:rPr>
          <w:t>Crimes Legislation Amendment Bill 2020</w:t>
        </w:r>
        <w:r w:rsidR="00B75EEA">
          <w:rPr>
            <w:webHidden/>
          </w:rPr>
          <w:tab/>
        </w:r>
        <w:r w:rsidR="00B75EEA">
          <w:rPr>
            <w:webHidden/>
          </w:rPr>
          <w:fldChar w:fldCharType="begin"/>
        </w:r>
        <w:r w:rsidR="00B75EEA">
          <w:rPr>
            <w:webHidden/>
          </w:rPr>
          <w:instrText xml:space="preserve"> PAGEREF _Toc67055532 \h </w:instrText>
        </w:r>
        <w:r w:rsidR="00B75EEA">
          <w:rPr>
            <w:webHidden/>
          </w:rPr>
        </w:r>
        <w:r w:rsidR="00B75EEA">
          <w:rPr>
            <w:webHidden/>
          </w:rPr>
          <w:fldChar w:fldCharType="separate"/>
        </w:r>
        <w:r w:rsidR="00B75EEA">
          <w:rPr>
            <w:webHidden/>
          </w:rPr>
          <w:t>6</w:t>
        </w:r>
        <w:r w:rsidR="00B75EEA">
          <w:rPr>
            <w:webHidden/>
          </w:rPr>
          <w:fldChar w:fldCharType="end"/>
        </w:r>
      </w:hyperlink>
    </w:p>
    <w:p w:rsidR="00B75EEA" w:rsidRDefault="000C727C">
      <w:pPr>
        <w:pStyle w:val="TOC1"/>
        <w:rPr>
          <w:rFonts w:asciiTheme="minorHAnsi" w:eastAsiaTheme="minorEastAsia" w:hAnsiTheme="minorHAnsi" w:cstheme="minorBidi"/>
          <w:bCs w:val="0"/>
          <w:smallCaps w:val="0"/>
          <w:spacing w:val="0"/>
          <w:sz w:val="22"/>
          <w:szCs w:val="22"/>
          <w:lang w:eastAsia="en-AU"/>
        </w:rPr>
      </w:pPr>
      <w:hyperlink w:anchor="_Toc67055533" w:history="1">
        <w:r w:rsidR="00B75EEA" w:rsidRPr="00143B42">
          <w:rPr>
            <w:rStyle w:val="Hyperlink"/>
            <w:rFonts w:eastAsia="Calibri"/>
            <w:lang w:eastAsia="en-AU"/>
          </w:rPr>
          <w:t>Subordinate Legislation</w:t>
        </w:r>
        <w:r w:rsidR="00B75EEA">
          <w:rPr>
            <w:webHidden/>
          </w:rPr>
          <w:tab/>
        </w:r>
        <w:r w:rsidR="00B75EEA">
          <w:rPr>
            <w:webHidden/>
          </w:rPr>
          <w:fldChar w:fldCharType="begin"/>
        </w:r>
        <w:r w:rsidR="00B75EEA">
          <w:rPr>
            <w:webHidden/>
          </w:rPr>
          <w:instrText xml:space="preserve"> PAGEREF _Toc67055533 \h </w:instrText>
        </w:r>
        <w:r w:rsidR="00B75EEA">
          <w:rPr>
            <w:webHidden/>
          </w:rPr>
        </w:r>
        <w:r w:rsidR="00B75EEA">
          <w:rPr>
            <w:webHidden/>
          </w:rPr>
          <w:fldChar w:fldCharType="separate"/>
        </w:r>
        <w:r w:rsidR="00B75EEA">
          <w:rPr>
            <w:webHidden/>
          </w:rPr>
          <w:t>9</w:t>
        </w:r>
        <w:r w:rsidR="00B75EEA">
          <w:rPr>
            <w:webHidden/>
          </w:rPr>
          <w:fldChar w:fldCharType="end"/>
        </w:r>
      </w:hyperlink>
    </w:p>
    <w:p w:rsidR="00B75EEA" w:rsidRDefault="000C727C">
      <w:pPr>
        <w:pStyle w:val="TOC2"/>
        <w:rPr>
          <w:rFonts w:asciiTheme="minorHAnsi" w:eastAsiaTheme="minorEastAsia" w:hAnsiTheme="minorHAnsi" w:cstheme="minorBidi"/>
          <w:b w:val="0"/>
          <w:noProof/>
          <w:sz w:val="22"/>
          <w:szCs w:val="22"/>
          <w:lang w:eastAsia="en-AU"/>
        </w:rPr>
      </w:pPr>
      <w:hyperlink w:anchor="_Toc67055534" w:history="1">
        <w:r w:rsidR="00B75EEA" w:rsidRPr="00143B42">
          <w:rPr>
            <w:rStyle w:val="Hyperlink"/>
            <w:noProof/>
          </w:rPr>
          <w:t>Disallowable Instruments—No comment</w:t>
        </w:r>
        <w:r w:rsidR="00B75EEA">
          <w:rPr>
            <w:noProof/>
            <w:webHidden/>
          </w:rPr>
          <w:tab/>
        </w:r>
        <w:r w:rsidR="00B75EEA">
          <w:rPr>
            <w:noProof/>
            <w:webHidden/>
          </w:rPr>
          <w:fldChar w:fldCharType="begin"/>
        </w:r>
        <w:r w:rsidR="00B75EEA">
          <w:rPr>
            <w:noProof/>
            <w:webHidden/>
          </w:rPr>
          <w:instrText xml:space="preserve"> PAGEREF _Toc67055534 \h </w:instrText>
        </w:r>
        <w:r w:rsidR="00B75EEA">
          <w:rPr>
            <w:noProof/>
            <w:webHidden/>
          </w:rPr>
        </w:r>
        <w:r w:rsidR="00B75EEA">
          <w:rPr>
            <w:noProof/>
            <w:webHidden/>
          </w:rPr>
          <w:fldChar w:fldCharType="separate"/>
        </w:r>
        <w:r w:rsidR="00B75EEA">
          <w:rPr>
            <w:noProof/>
            <w:webHidden/>
          </w:rPr>
          <w:t>9</w:t>
        </w:r>
        <w:r w:rsidR="00B75EEA">
          <w:rPr>
            <w:noProof/>
            <w:webHidden/>
          </w:rPr>
          <w:fldChar w:fldCharType="end"/>
        </w:r>
      </w:hyperlink>
    </w:p>
    <w:p w:rsidR="00B75EEA" w:rsidRDefault="000C727C">
      <w:pPr>
        <w:pStyle w:val="TOC2"/>
        <w:rPr>
          <w:rFonts w:asciiTheme="minorHAnsi" w:eastAsiaTheme="minorEastAsia" w:hAnsiTheme="minorHAnsi" w:cstheme="minorBidi"/>
          <w:b w:val="0"/>
          <w:noProof/>
          <w:sz w:val="22"/>
          <w:szCs w:val="22"/>
          <w:lang w:eastAsia="en-AU"/>
        </w:rPr>
      </w:pPr>
      <w:hyperlink w:anchor="_Toc67055535" w:history="1">
        <w:r w:rsidR="00B75EEA" w:rsidRPr="00143B42">
          <w:rPr>
            <w:rStyle w:val="Hyperlink"/>
            <w:rFonts w:eastAsia="Calibri"/>
            <w:noProof/>
            <w:lang w:eastAsia="en-AU"/>
          </w:rPr>
          <w:t>Disallowable Instruments—Comment</w:t>
        </w:r>
        <w:r w:rsidR="00B75EEA">
          <w:rPr>
            <w:noProof/>
            <w:webHidden/>
          </w:rPr>
          <w:tab/>
        </w:r>
        <w:r w:rsidR="00B75EEA">
          <w:rPr>
            <w:noProof/>
            <w:webHidden/>
          </w:rPr>
          <w:fldChar w:fldCharType="begin"/>
        </w:r>
        <w:r w:rsidR="00B75EEA">
          <w:rPr>
            <w:noProof/>
            <w:webHidden/>
          </w:rPr>
          <w:instrText xml:space="preserve"> PAGEREF _Toc67055535 \h </w:instrText>
        </w:r>
        <w:r w:rsidR="00B75EEA">
          <w:rPr>
            <w:noProof/>
            <w:webHidden/>
          </w:rPr>
        </w:r>
        <w:r w:rsidR="00B75EEA">
          <w:rPr>
            <w:noProof/>
            <w:webHidden/>
          </w:rPr>
          <w:fldChar w:fldCharType="separate"/>
        </w:r>
        <w:r w:rsidR="00B75EEA">
          <w:rPr>
            <w:noProof/>
            <w:webHidden/>
          </w:rPr>
          <w:t>10</w:t>
        </w:r>
        <w:r w:rsidR="00B75EEA">
          <w:rPr>
            <w:noProof/>
            <w:webHidden/>
          </w:rPr>
          <w:fldChar w:fldCharType="end"/>
        </w:r>
      </w:hyperlink>
    </w:p>
    <w:p w:rsidR="00B75EEA" w:rsidRDefault="000C727C">
      <w:pPr>
        <w:pStyle w:val="TOC1"/>
        <w:rPr>
          <w:rFonts w:asciiTheme="minorHAnsi" w:eastAsiaTheme="minorEastAsia" w:hAnsiTheme="minorHAnsi" w:cstheme="minorBidi"/>
          <w:bCs w:val="0"/>
          <w:smallCaps w:val="0"/>
          <w:spacing w:val="0"/>
          <w:sz w:val="22"/>
          <w:szCs w:val="22"/>
          <w:lang w:eastAsia="en-AU"/>
        </w:rPr>
      </w:pPr>
      <w:hyperlink w:anchor="_Toc67055536" w:history="1">
        <w:r w:rsidR="00B75EEA" w:rsidRPr="00143B42">
          <w:rPr>
            <w:rStyle w:val="Hyperlink"/>
            <w:rFonts w:eastAsia="Calibri"/>
            <w:lang w:eastAsia="en-AU"/>
          </w:rPr>
          <w:t>Responses</w:t>
        </w:r>
        <w:r w:rsidR="00B75EEA">
          <w:rPr>
            <w:webHidden/>
          </w:rPr>
          <w:tab/>
        </w:r>
        <w:r w:rsidR="00B75EEA">
          <w:rPr>
            <w:webHidden/>
          </w:rPr>
          <w:fldChar w:fldCharType="begin"/>
        </w:r>
        <w:r w:rsidR="00B75EEA">
          <w:rPr>
            <w:webHidden/>
          </w:rPr>
          <w:instrText xml:space="preserve"> PAGEREF _Toc67055536 \h </w:instrText>
        </w:r>
        <w:r w:rsidR="00B75EEA">
          <w:rPr>
            <w:webHidden/>
          </w:rPr>
        </w:r>
        <w:r w:rsidR="00B75EEA">
          <w:rPr>
            <w:webHidden/>
          </w:rPr>
          <w:fldChar w:fldCharType="separate"/>
        </w:r>
        <w:r w:rsidR="00B75EEA">
          <w:rPr>
            <w:webHidden/>
          </w:rPr>
          <w:t>14</w:t>
        </w:r>
        <w:r w:rsidR="00B75EEA">
          <w:rPr>
            <w:webHidden/>
          </w:rPr>
          <w:fldChar w:fldCharType="end"/>
        </w:r>
      </w:hyperlink>
    </w:p>
    <w:p w:rsidR="00B75EEA" w:rsidRDefault="000C727C">
      <w:pPr>
        <w:pStyle w:val="TOC2"/>
        <w:rPr>
          <w:rFonts w:asciiTheme="minorHAnsi" w:eastAsiaTheme="minorEastAsia" w:hAnsiTheme="minorHAnsi" w:cstheme="minorBidi"/>
          <w:b w:val="0"/>
          <w:noProof/>
          <w:sz w:val="22"/>
          <w:szCs w:val="22"/>
          <w:lang w:eastAsia="en-AU"/>
        </w:rPr>
      </w:pPr>
      <w:hyperlink w:anchor="_Toc67055537" w:history="1">
        <w:r w:rsidR="00B75EEA" w:rsidRPr="00143B42">
          <w:rPr>
            <w:rStyle w:val="Hyperlink"/>
            <w:noProof/>
            <w:lang w:eastAsia="en-AU"/>
          </w:rPr>
          <w:t>Government responses</w:t>
        </w:r>
        <w:r w:rsidR="00B75EEA">
          <w:rPr>
            <w:noProof/>
            <w:webHidden/>
          </w:rPr>
          <w:tab/>
        </w:r>
        <w:r w:rsidR="00B75EEA">
          <w:rPr>
            <w:noProof/>
            <w:webHidden/>
          </w:rPr>
          <w:fldChar w:fldCharType="begin"/>
        </w:r>
        <w:r w:rsidR="00B75EEA">
          <w:rPr>
            <w:noProof/>
            <w:webHidden/>
          </w:rPr>
          <w:instrText xml:space="preserve"> PAGEREF _Toc67055537 \h </w:instrText>
        </w:r>
        <w:r w:rsidR="00B75EEA">
          <w:rPr>
            <w:noProof/>
            <w:webHidden/>
          </w:rPr>
        </w:r>
        <w:r w:rsidR="00B75EEA">
          <w:rPr>
            <w:noProof/>
            <w:webHidden/>
          </w:rPr>
          <w:fldChar w:fldCharType="separate"/>
        </w:r>
        <w:r w:rsidR="00B75EEA">
          <w:rPr>
            <w:noProof/>
            <w:webHidden/>
          </w:rPr>
          <w:t>14</w:t>
        </w:r>
        <w:r w:rsidR="00B75EEA">
          <w:rPr>
            <w:noProof/>
            <w:webHidden/>
          </w:rPr>
          <w:fldChar w:fldCharType="end"/>
        </w:r>
      </w:hyperlink>
    </w:p>
    <w:p w:rsidR="00351AD0" w:rsidRPr="00104A8B" w:rsidRDefault="00CD5AD5" w:rsidP="00A0668C">
      <w:pPr>
        <w:pStyle w:val="TOC1"/>
      </w:pPr>
      <w:r w:rsidRPr="00104A8B">
        <w:fldChar w:fldCharType="end"/>
      </w:r>
    </w:p>
    <w:p w:rsidR="00351AD0" w:rsidRPr="00104A8B" w:rsidRDefault="00351AD0" w:rsidP="00351AD0">
      <w:pPr>
        <w:sectPr w:rsidR="00351AD0" w:rsidRPr="00104A8B" w:rsidSect="00E8247B">
          <w:headerReference w:type="even" r:id="rId15"/>
          <w:headerReference w:type="default" r:id="rId16"/>
          <w:footerReference w:type="even" r:id="rId17"/>
          <w:footerReference w:type="default" r:id="rId18"/>
          <w:headerReference w:type="first" r:id="rId19"/>
          <w:pgSz w:w="11906" w:h="16838"/>
          <w:pgMar w:top="1440" w:right="1440" w:bottom="1440" w:left="1440" w:header="708" w:footer="708" w:gutter="0"/>
          <w:pgNumType w:fmt="lowerRoman" w:start="1"/>
          <w:cols w:space="708"/>
          <w:docGrid w:linePitch="360"/>
        </w:sectPr>
      </w:pPr>
    </w:p>
    <w:p w:rsidR="00632981" w:rsidRPr="00104A8B" w:rsidRDefault="00632981">
      <w:pPr>
        <w:sectPr w:rsidR="00632981" w:rsidRPr="00104A8B" w:rsidSect="00351AD0">
          <w:headerReference w:type="even" r:id="rId20"/>
          <w:headerReference w:type="default" r:id="rId21"/>
          <w:footerReference w:type="even" r:id="rId22"/>
          <w:headerReference w:type="first" r:id="rId23"/>
          <w:type w:val="continuous"/>
          <w:pgSz w:w="11906" w:h="16838"/>
          <w:pgMar w:top="1440" w:right="1440" w:bottom="1440" w:left="1440" w:header="708" w:footer="708" w:gutter="0"/>
          <w:cols w:space="708"/>
          <w:docGrid w:linePitch="360"/>
        </w:sectPr>
      </w:pPr>
    </w:p>
    <w:p w:rsidR="00D20076" w:rsidRPr="00104A8B" w:rsidRDefault="00D20076" w:rsidP="00D20076">
      <w:pPr>
        <w:pStyle w:val="Heading2"/>
        <w:rPr>
          <w:rFonts w:asciiTheme="minorHAnsi" w:eastAsia="Calibri" w:hAnsiTheme="minorHAnsi"/>
          <w:lang w:eastAsia="en-AU"/>
        </w:rPr>
      </w:pPr>
      <w:bookmarkStart w:id="491" w:name="_Toc67055524"/>
      <w:bookmarkStart w:id="492" w:name="_Toc501448810"/>
      <w:bookmarkStart w:id="493" w:name="_Toc514837969"/>
      <w:r>
        <w:rPr>
          <w:rFonts w:asciiTheme="minorHAnsi" w:eastAsia="Calibri" w:hAnsiTheme="minorHAnsi"/>
          <w:lang w:eastAsia="en-AU"/>
        </w:rPr>
        <w:t>Bills</w:t>
      </w:r>
      <w:bookmarkEnd w:id="491"/>
    </w:p>
    <w:p w:rsidR="00F9213C" w:rsidRDefault="00417022" w:rsidP="00F9213C">
      <w:pPr>
        <w:pStyle w:val="Heading3"/>
      </w:pPr>
      <w:bookmarkStart w:id="494" w:name="_Toc67055525"/>
      <w:bookmarkStart w:id="495" w:name="_Toc35437939"/>
      <w:r>
        <w:t>Bill</w:t>
      </w:r>
      <w:r w:rsidR="00C03EFF">
        <w:t>s</w:t>
      </w:r>
      <w:r w:rsidR="00F9213C" w:rsidRPr="00103E7B">
        <w:t>—</w:t>
      </w:r>
      <w:r w:rsidR="00F9213C">
        <w:t>No c</w:t>
      </w:r>
      <w:r w:rsidR="00F9213C" w:rsidRPr="00103E7B">
        <w:t>omment</w:t>
      </w:r>
      <w:bookmarkEnd w:id="494"/>
    </w:p>
    <w:p w:rsidR="00F9213C" w:rsidRDefault="00F9213C" w:rsidP="00F9213C">
      <w:pPr>
        <w:widowControl w:val="0"/>
        <w:tabs>
          <w:tab w:val="left" w:pos="1276"/>
        </w:tabs>
        <w:rPr>
          <w:rFonts w:ascii="Calibri" w:hAnsi="Calibri" w:cs="Calibri"/>
          <w:color w:val="000000"/>
        </w:rPr>
      </w:pPr>
      <w:r w:rsidRPr="00987942">
        <w:rPr>
          <w:rFonts w:ascii="Calibri" w:hAnsi="Calibri" w:cs="Calibri"/>
          <w:color w:val="000000"/>
        </w:rPr>
        <w:t xml:space="preserve">The Committee has examined the </w:t>
      </w:r>
      <w:r w:rsidR="00417022">
        <w:rPr>
          <w:rFonts w:ascii="Calibri" w:hAnsi="Calibri" w:cs="Calibri"/>
          <w:color w:val="000000"/>
        </w:rPr>
        <w:t>following bill</w:t>
      </w:r>
      <w:r w:rsidR="00C13B44">
        <w:rPr>
          <w:rFonts w:ascii="Calibri" w:hAnsi="Calibri" w:cs="Calibri"/>
          <w:color w:val="000000"/>
        </w:rPr>
        <w:t>s</w:t>
      </w:r>
      <w:r>
        <w:rPr>
          <w:rFonts w:ascii="Calibri" w:hAnsi="Calibri" w:cs="Calibri"/>
          <w:color w:val="000000"/>
        </w:rPr>
        <w:t xml:space="preserve"> and offers no comment on </w:t>
      </w:r>
      <w:r w:rsidR="00C13B44">
        <w:rPr>
          <w:rFonts w:ascii="Calibri" w:hAnsi="Calibri" w:cs="Calibri"/>
          <w:color w:val="000000"/>
        </w:rPr>
        <w:t>them</w:t>
      </w:r>
      <w:r w:rsidRPr="00987942">
        <w:rPr>
          <w:rFonts w:ascii="Calibri" w:hAnsi="Calibri" w:cs="Calibri"/>
          <w:color w:val="000000"/>
        </w:rPr>
        <w:t>:</w:t>
      </w:r>
    </w:p>
    <w:p w:rsidR="00B13D2F" w:rsidRPr="00133AB1" w:rsidRDefault="00B13D2F" w:rsidP="00B13D2F">
      <w:pPr>
        <w:pStyle w:val="Heading4"/>
        <w:pBdr>
          <w:bottom w:val="single" w:sz="6" w:space="1" w:color="000000"/>
        </w:pBdr>
        <w:rPr>
          <w:rFonts w:eastAsia="Times New Roman"/>
        </w:rPr>
      </w:pPr>
      <w:bookmarkStart w:id="496" w:name="_Toc67055526"/>
      <w:r w:rsidRPr="001B4666">
        <w:rPr>
          <w:rFonts w:eastAsia="Times New Roman"/>
        </w:rPr>
        <w:t>Appropriation Bill 2020-2021</w:t>
      </w:r>
      <w:bookmarkEnd w:id="496"/>
    </w:p>
    <w:p w:rsidR="00B13D2F" w:rsidRDefault="00B13D2F" w:rsidP="00B13D2F">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 xml:space="preserve">This Bill </w:t>
      </w:r>
      <w:r>
        <w:rPr>
          <w:rFonts w:ascii="Calibri" w:eastAsia="Calibri" w:hAnsi="Calibri" w:cs="Calibri"/>
          <w:color w:val="000000"/>
          <w:szCs w:val="20"/>
          <w:lang w:eastAsia="en-AU"/>
        </w:rPr>
        <w:t>a</w:t>
      </w:r>
      <w:r w:rsidRPr="001B4666">
        <w:rPr>
          <w:rFonts w:ascii="Calibri" w:eastAsia="Calibri" w:hAnsi="Calibri" w:cs="Calibri"/>
          <w:color w:val="000000"/>
          <w:szCs w:val="20"/>
          <w:lang w:eastAsia="en-AU"/>
        </w:rPr>
        <w:t>ppropriate</w:t>
      </w:r>
      <w:r>
        <w:rPr>
          <w:rFonts w:ascii="Calibri" w:eastAsia="Calibri" w:hAnsi="Calibri" w:cs="Calibri"/>
          <w:color w:val="000000"/>
          <w:szCs w:val="20"/>
          <w:lang w:eastAsia="en-AU"/>
        </w:rPr>
        <w:t>s</w:t>
      </w:r>
      <w:r w:rsidRPr="001B4666">
        <w:rPr>
          <w:rFonts w:ascii="Calibri" w:eastAsia="Calibri" w:hAnsi="Calibri" w:cs="Calibri"/>
          <w:color w:val="000000"/>
          <w:szCs w:val="20"/>
          <w:lang w:eastAsia="en-AU"/>
        </w:rPr>
        <w:t xml:space="preserve"> money for the purposes of the Territory for the financi</w:t>
      </w:r>
      <w:r>
        <w:rPr>
          <w:rFonts w:ascii="Calibri" w:eastAsia="Calibri" w:hAnsi="Calibri" w:cs="Calibri"/>
          <w:color w:val="000000"/>
          <w:szCs w:val="20"/>
          <w:lang w:eastAsia="en-AU"/>
        </w:rPr>
        <w:t>al year beginning on 1 July 2020.</w:t>
      </w:r>
    </w:p>
    <w:p w:rsidR="00B13D2F" w:rsidRPr="00133AB1" w:rsidRDefault="00B13D2F" w:rsidP="00B13D2F">
      <w:pPr>
        <w:pStyle w:val="Heading4"/>
        <w:pBdr>
          <w:bottom w:val="single" w:sz="6" w:space="1" w:color="000000"/>
        </w:pBdr>
        <w:rPr>
          <w:rFonts w:eastAsia="Times New Roman"/>
        </w:rPr>
      </w:pPr>
      <w:bookmarkStart w:id="497" w:name="_Toc67055527"/>
      <w:r w:rsidRPr="00A80550">
        <w:rPr>
          <w:rFonts w:eastAsia="Times New Roman"/>
        </w:rPr>
        <w:t>Appropriation (Office of the Legislative Assembly) Bill</w:t>
      </w:r>
      <w:r>
        <w:rPr>
          <w:rFonts w:eastAsia="Times New Roman"/>
        </w:rPr>
        <w:t xml:space="preserve"> </w:t>
      </w:r>
      <w:r w:rsidRPr="00A80550">
        <w:rPr>
          <w:rFonts w:eastAsia="Times New Roman"/>
        </w:rPr>
        <w:t>2020-2021</w:t>
      </w:r>
      <w:bookmarkEnd w:id="497"/>
    </w:p>
    <w:p w:rsidR="00B13D2F" w:rsidRDefault="00B13D2F" w:rsidP="00B13D2F">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This Bill</w:t>
      </w:r>
      <w:r>
        <w:rPr>
          <w:rFonts w:ascii="Calibri" w:eastAsia="Calibri" w:hAnsi="Calibri" w:cs="Calibri"/>
          <w:color w:val="000000"/>
          <w:szCs w:val="20"/>
          <w:lang w:eastAsia="en-AU"/>
        </w:rPr>
        <w:t xml:space="preserve"> </w:t>
      </w:r>
      <w:r w:rsidRPr="00A80550">
        <w:rPr>
          <w:rFonts w:ascii="Calibri" w:eastAsia="Calibri" w:hAnsi="Calibri" w:cs="Calibri"/>
          <w:color w:val="000000"/>
          <w:szCs w:val="20"/>
          <w:lang w:eastAsia="en-AU"/>
        </w:rPr>
        <w:t>appropriate</w:t>
      </w:r>
      <w:r>
        <w:rPr>
          <w:rFonts w:ascii="Calibri" w:eastAsia="Calibri" w:hAnsi="Calibri" w:cs="Calibri"/>
          <w:color w:val="000000"/>
          <w:szCs w:val="20"/>
          <w:lang w:eastAsia="en-AU"/>
        </w:rPr>
        <w:t>s</w:t>
      </w:r>
      <w:r w:rsidRPr="00A80550">
        <w:rPr>
          <w:rFonts w:ascii="Calibri" w:eastAsia="Calibri" w:hAnsi="Calibri" w:cs="Calibri"/>
          <w:color w:val="000000"/>
          <w:szCs w:val="20"/>
          <w:lang w:eastAsia="en-AU"/>
        </w:rPr>
        <w:t xml:space="preserve"> money for expenditure in relation to the Office of the Legislative Assembly </w:t>
      </w:r>
      <w:r>
        <w:rPr>
          <w:rFonts w:ascii="Calibri" w:eastAsia="Calibri" w:hAnsi="Calibri" w:cs="Calibri"/>
          <w:color w:val="000000"/>
          <w:szCs w:val="20"/>
          <w:lang w:eastAsia="en-AU"/>
        </w:rPr>
        <w:t xml:space="preserve">and officers of the Assembly for the financial </w:t>
      </w:r>
      <w:r w:rsidRPr="00A80550">
        <w:rPr>
          <w:rFonts w:ascii="Calibri" w:eastAsia="Calibri" w:hAnsi="Calibri" w:cs="Calibri"/>
          <w:color w:val="000000"/>
          <w:szCs w:val="20"/>
          <w:lang w:eastAsia="en-AU"/>
        </w:rPr>
        <w:t>year beginning on 1 July 2020</w:t>
      </w:r>
      <w:r w:rsidR="005B5029">
        <w:rPr>
          <w:rFonts w:ascii="Calibri" w:eastAsia="Calibri" w:hAnsi="Calibri" w:cs="Calibri"/>
          <w:color w:val="000000"/>
          <w:szCs w:val="20"/>
          <w:lang w:eastAsia="en-AU"/>
        </w:rPr>
        <w:t>.</w:t>
      </w:r>
    </w:p>
    <w:p w:rsidR="00B13D2F" w:rsidRPr="00133AB1" w:rsidRDefault="00B13D2F" w:rsidP="00B13D2F">
      <w:pPr>
        <w:pStyle w:val="Heading4"/>
        <w:pBdr>
          <w:bottom w:val="single" w:sz="6" w:space="1" w:color="000000"/>
        </w:pBdr>
        <w:rPr>
          <w:rFonts w:eastAsia="Times New Roman"/>
        </w:rPr>
      </w:pPr>
      <w:bookmarkStart w:id="498" w:name="_Toc67055528"/>
      <w:r w:rsidRPr="00650AC8">
        <w:rPr>
          <w:rFonts w:eastAsia="Times New Roman"/>
        </w:rPr>
        <w:t>Planning and Development Amendment Bill 2021</w:t>
      </w:r>
      <w:bookmarkEnd w:id="498"/>
    </w:p>
    <w:p w:rsidR="00B13D2F" w:rsidRDefault="00B13D2F" w:rsidP="00B13D2F">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 xml:space="preserve">This Bill </w:t>
      </w:r>
      <w:r>
        <w:rPr>
          <w:rFonts w:ascii="Calibri" w:eastAsia="Calibri" w:hAnsi="Calibri" w:cs="Calibri"/>
          <w:color w:val="000000"/>
          <w:szCs w:val="20"/>
          <w:lang w:eastAsia="en-AU"/>
        </w:rPr>
        <w:t xml:space="preserve">amends the </w:t>
      </w:r>
      <w:r w:rsidRPr="00650AC8">
        <w:rPr>
          <w:rFonts w:ascii="Calibri" w:eastAsia="Calibri" w:hAnsi="Calibri" w:cs="Calibri"/>
          <w:i/>
          <w:color w:val="000000"/>
          <w:szCs w:val="20"/>
          <w:lang w:eastAsia="en-AU"/>
        </w:rPr>
        <w:t>Planning and Development Act 2007</w:t>
      </w:r>
      <w:r>
        <w:rPr>
          <w:rFonts w:ascii="Calibri" w:eastAsia="Calibri" w:hAnsi="Calibri" w:cs="Calibri"/>
          <w:color w:val="000000"/>
          <w:szCs w:val="20"/>
          <w:lang w:eastAsia="en-AU"/>
        </w:rPr>
        <w:t xml:space="preserve"> to prohibit the approval of applications for the development of new waste facilities, or developments which would increase the amount of waste handled on the land each year, in the division of Fyshwick.</w:t>
      </w:r>
    </w:p>
    <w:p w:rsidR="007D6C78" w:rsidRPr="00103E7B" w:rsidRDefault="00C12B23" w:rsidP="007D6C78">
      <w:pPr>
        <w:pStyle w:val="Heading3"/>
      </w:pPr>
      <w:bookmarkStart w:id="499" w:name="_Toc67055529"/>
      <w:r>
        <w:t>B</w:t>
      </w:r>
      <w:r w:rsidR="00417022">
        <w:t>ill</w:t>
      </w:r>
      <w:r w:rsidR="007D6C78" w:rsidRPr="00103E7B">
        <w:t>—</w:t>
      </w:r>
      <w:r w:rsidR="007D6C78">
        <w:t>C</w:t>
      </w:r>
      <w:r w:rsidR="007D6C78" w:rsidRPr="00103E7B">
        <w:t>omment</w:t>
      </w:r>
      <w:bookmarkEnd w:id="495"/>
      <w:bookmarkEnd w:id="499"/>
    </w:p>
    <w:p w:rsidR="0087165E" w:rsidRDefault="0087165E" w:rsidP="0087165E">
      <w:bookmarkStart w:id="500" w:name="_Toc505153763"/>
      <w:r w:rsidRPr="00261783">
        <w:t xml:space="preserve">The Committee has examined the following </w:t>
      </w:r>
      <w:r>
        <w:t xml:space="preserve">bill </w:t>
      </w:r>
      <w:r w:rsidRPr="00261783">
        <w:t xml:space="preserve">and offers </w:t>
      </w:r>
      <w:r>
        <w:t>these</w:t>
      </w:r>
      <w:r w:rsidRPr="00261783">
        <w:t xml:space="preserve"> comment</w:t>
      </w:r>
      <w:r>
        <w:t>s</w:t>
      </w:r>
      <w:r w:rsidRPr="00261783">
        <w:t xml:space="preserve"> on</w:t>
      </w:r>
      <w:r>
        <w:t xml:space="preserve"> it</w:t>
      </w:r>
      <w:r w:rsidRPr="00261783">
        <w:t>:</w:t>
      </w:r>
    </w:p>
    <w:p w:rsidR="00C2676D" w:rsidRPr="00133AB1" w:rsidRDefault="00C2676D" w:rsidP="00C2676D">
      <w:pPr>
        <w:pStyle w:val="Heading4"/>
        <w:pBdr>
          <w:bottom w:val="single" w:sz="6" w:space="1" w:color="000000"/>
        </w:pBdr>
        <w:rPr>
          <w:rFonts w:eastAsia="Times New Roman"/>
        </w:rPr>
      </w:pPr>
      <w:bookmarkStart w:id="501" w:name="_Toc67055530"/>
      <w:r w:rsidRPr="0055047C">
        <w:rPr>
          <w:rFonts w:eastAsia="Times New Roman"/>
        </w:rPr>
        <w:t>Drugs of Dependence (Personal Use) Amendment Bill 2021</w:t>
      </w:r>
      <w:bookmarkEnd w:id="501"/>
    </w:p>
    <w:p w:rsidR="00C2676D" w:rsidRPr="007C28FC" w:rsidRDefault="00C2676D" w:rsidP="00C2676D">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 xml:space="preserve">This </w:t>
      </w:r>
      <w:r>
        <w:rPr>
          <w:rFonts w:ascii="Calibri" w:eastAsia="Calibri" w:hAnsi="Calibri" w:cs="Calibri"/>
          <w:color w:val="000000"/>
          <w:szCs w:val="20"/>
          <w:lang w:eastAsia="en-AU"/>
        </w:rPr>
        <w:t xml:space="preserve">Private Member’s Bill will </w:t>
      </w:r>
      <w:r w:rsidRPr="007C28FC">
        <w:rPr>
          <w:rFonts w:ascii="Calibri" w:eastAsia="Calibri" w:hAnsi="Calibri" w:cs="Calibri"/>
          <w:color w:val="000000"/>
          <w:szCs w:val="20"/>
          <w:lang w:eastAsia="en-AU"/>
        </w:rPr>
        <w:t xml:space="preserve">amend the </w:t>
      </w:r>
      <w:r w:rsidRPr="007C28FC">
        <w:rPr>
          <w:rFonts w:ascii="Calibri" w:eastAsia="Calibri" w:hAnsi="Calibri" w:cs="Calibri"/>
          <w:i/>
          <w:color w:val="000000"/>
          <w:szCs w:val="20"/>
          <w:lang w:eastAsia="en-AU"/>
        </w:rPr>
        <w:t>Drugs of Dependence Act 1989</w:t>
      </w:r>
      <w:r>
        <w:rPr>
          <w:rFonts w:ascii="Calibri" w:eastAsia="Calibri" w:hAnsi="Calibri" w:cs="Calibri"/>
          <w:color w:val="000000"/>
          <w:szCs w:val="20"/>
          <w:lang w:eastAsia="en-AU"/>
        </w:rPr>
        <w:t xml:space="preserve"> to introduce offences relating to the possession of less than prescribed amounts of drugs of dependence and prohibited substances and amend the simple cannabis offence notices scheme to include these simple drug offences.</w:t>
      </w:r>
    </w:p>
    <w:p w:rsidR="00C2676D" w:rsidRPr="00E83C75" w:rsidRDefault="00C2676D" w:rsidP="00C2676D">
      <w:pPr>
        <w:pStyle w:val="Bodycopy"/>
        <w:spacing w:line="280" w:lineRule="exact"/>
        <w:rPr>
          <w:b/>
          <w:i/>
        </w:rPr>
      </w:pPr>
      <w:r w:rsidRPr="00E83C75">
        <w:rPr>
          <w:b/>
          <w:i/>
          <w:lang w:val="en-US"/>
        </w:rPr>
        <w:t>Whether any explanatory statement or explanatory memorandum associated with legislation and any regulatory impact statement meets the technical or stylistic standards expected by the Committee</w:t>
      </w:r>
      <w:r>
        <w:rPr>
          <w:b/>
          <w:i/>
          <w:lang w:val="en-US"/>
        </w:rPr>
        <w:t>—</w:t>
      </w:r>
      <w:r w:rsidRPr="00E83C75">
        <w:rPr>
          <w:b/>
          <w:i/>
          <w:lang w:val="en-US"/>
        </w:rPr>
        <w:t xml:space="preserve">Committee </w:t>
      </w:r>
      <w:r>
        <w:rPr>
          <w:b/>
          <w:i/>
          <w:lang w:val="en-US"/>
        </w:rPr>
        <w:t>Resolution of Appointment paragraphs (10</w:t>
      </w:r>
      <w:proofErr w:type="gramStart"/>
      <w:r>
        <w:rPr>
          <w:b/>
          <w:i/>
          <w:lang w:val="en-US"/>
        </w:rPr>
        <w:t>)(</w:t>
      </w:r>
      <w:proofErr w:type="gramEnd"/>
      <w:r>
        <w:rPr>
          <w:b/>
          <w:i/>
          <w:lang w:val="en-US"/>
        </w:rPr>
        <w:t>a)(vi) and (10)(d)</w:t>
      </w:r>
      <w:r w:rsidRPr="00E83C75">
        <w:rPr>
          <w:b/>
          <w:i/>
          <w:lang w:val="en-US"/>
        </w:rPr>
        <w:t xml:space="preserve"> </w:t>
      </w:r>
    </w:p>
    <w:p w:rsidR="00C2676D" w:rsidRPr="00133AB1" w:rsidRDefault="00C2676D" w:rsidP="00C2676D">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Do any provisions of the Bill amount to an undue trespass on personal rights and liberties</w:t>
      </w:r>
      <w:proofErr w:type="gramStart"/>
      <w:r w:rsidRPr="00133AB1">
        <w:rPr>
          <w:rFonts w:ascii="Calibri" w:eastAsia="Calibri" w:hAnsi="Calibri" w:cs="Calibri"/>
          <w:b/>
          <w:bCs/>
          <w:i/>
          <w:color w:val="000000"/>
          <w:szCs w:val="20"/>
          <w:lang w:eastAsia="en-AU"/>
        </w:rPr>
        <w:t>?—</w:t>
      </w:r>
      <w:proofErr w:type="gramEnd"/>
      <w:r w:rsidRPr="00133AB1">
        <w:rPr>
          <w:rFonts w:ascii="Calibri" w:eastAsia="Calibri" w:hAnsi="Calibri" w:cs="Calibri"/>
          <w:b/>
          <w:bCs/>
          <w:i/>
          <w:color w:val="000000"/>
          <w:szCs w:val="20"/>
          <w:lang w:eastAsia="en-AU"/>
        </w:rPr>
        <w:t xml:space="preserve"> </w:t>
      </w:r>
      <w:r w:rsidRPr="00E83C75">
        <w:rPr>
          <w:b/>
          <w:i/>
          <w:lang w:val="en-US"/>
        </w:rPr>
        <w:t xml:space="preserve">Committee </w:t>
      </w:r>
      <w:r>
        <w:rPr>
          <w:b/>
          <w:i/>
          <w:lang w:val="en-US"/>
        </w:rPr>
        <w:t>Resolution of Appointment paragraph (10)(a)(</w:t>
      </w:r>
      <w:proofErr w:type="spellStart"/>
      <w:r>
        <w:rPr>
          <w:b/>
          <w:i/>
          <w:lang w:val="en-US"/>
        </w:rPr>
        <w:t>i</w:t>
      </w:r>
      <w:proofErr w:type="spellEnd"/>
      <w:r>
        <w:rPr>
          <w:b/>
          <w:i/>
          <w:lang w:val="en-US"/>
        </w:rPr>
        <w:t xml:space="preserve">) </w:t>
      </w:r>
      <w:r w:rsidRPr="00E83C75">
        <w:rPr>
          <w:b/>
          <w:i/>
          <w:lang w:val="en-US"/>
        </w:rPr>
        <w:t xml:space="preserve"> </w:t>
      </w:r>
    </w:p>
    <w:p w:rsidR="00C2676D" w:rsidRPr="00133AB1" w:rsidRDefault="00C2676D" w:rsidP="00C2676D">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rsidR="00C2676D" w:rsidRPr="00E83C75" w:rsidRDefault="00C2676D" w:rsidP="00C2676D">
      <w:pPr>
        <w:pStyle w:val="Heading6"/>
      </w:pPr>
      <w:r w:rsidRPr="00E83C75">
        <w:t xml:space="preserve">Right to </w:t>
      </w:r>
      <w:r>
        <w:t xml:space="preserve">recognition and equality before the law </w:t>
      </w:r>
      <w:r w:rsidRPr="00E83C75">
        <w:t>(s</w:t>
      </w:r>
      <w:r>
        <w:t>ection</w:t>
      </w:r>
      <w:r w:rsidRPr="00E83C75">
        <w:t xml:space="preserve"> 8 </w:t>
      </w:r>
      <w:r>
        <w:t>HRA</w:t>
      </w:r>
      <w:r w:rsidRPr="00E83C75">
        <w:t>)</w:t>
      </w:r>
    </w:p>
    <w:p w:rsidR="00C2676D" w:rsidRDefault="00C2676D" w:rsidP="00C2676D">
      <w:r>
        <w:t xml:space="preserve">Under the </w:t>
      </w:r>
      <w:r w:rsidRPr="00AA30DC">
        <w:rPr>
          <w:i/>
        </w:rPr>
        <w:t>Drugs of Dependence Act</w:t>
      </w:r>
      <w:r>
        <w:t xml:space="preserve"> possessing a drug of dependence or a prohibited substance, unless you are </w:t>
      </w:r>
      <w:r w:rsidRPr="00E523DD">
        <w:t xml:space="preserve">authorised </w:t>
      </w:r>
      <w:r>
        <w:t xml:space="preserve">to do so </w:t>
      </w:r>
      <w:r w:rsidRPr="00E523DD">
        <w:t>under</w:t>
      </w:r>
      <w:r>
        <w:t xml:space="preserve"> the </w:t>
      </w:r>
      <w:r w:rsidRPr="00E84C09">
        <w:rPr>
          <w:i/>
        </w:rPr>
        <w:t>Medicines, Poisons and Therapeutic Goods Act 2008</w:t>
      </w:r>
      <w:r w:rsidRPr="00E523DD">
        <w:t>,</w:t>
      </w:r>
      <w:r>
        <w:t xml:space="preserve"> is an offence, each with a maximum penalty of 50 penalty units</w:t>
      </w:r>
      <w:r>
        <w:rPr>
          <w:rStyle w:val="FootnoteReference"/>
        </w:rPr>
        <w:footnoteReference w:id="1"/>
      </w:r>
      <w:r w:rsidR="00E13119">
        <w:t xml:space="preserve"> or imprisonment up to two</w:t>
      </w:r>
      <w:r>
        <w:t xml:space="preserve"> years. Drugs of dependence and prohibited substances are prescribed by regulations.</w:t>
      </w:r>
      <w:r>
        <w:rPr>
          <w:rStyle w:val="FootnoteReference"/>
        </w:rPr>
        <w:footnoteReference w:id="2"/>
      </w:r>
      <w:r>
        <w:t xml:space="preserve"> However, due to amendments introduced by the </w:t>
      </w:r>
      <w:r w:rsidRPr="00974828">
        <w:rPr>
          <w:i/>
        </w:rPr>
        <w:t>Drugs of Dependence (Personal Cannabis Use) Amendment Act 2019</w:t>
      </w:r>
      <w:r>
        <w:rPr>
          <w:i/>
        </w:rPr>
        <w:t xml:space="preserve"> </w:t>
      </w:r>
      <w:r w:rsidRPr="001D3D6E">
        <w:t>(‘Amendment Act</w:t>
      </w:r>
      <w:r>
        <w:t>’</w:t>
      </w:r>
      <w:r w:rsidRPr="001D3D6E">
        <w:t>)</w:t>
      </w:r>
      <w:r>
        <w:t xml:space="preserve">, cannabis is excluded from the definition of prohibited substances. Instead, that amendment created new cannabis offences, including possessing more than 50g of only dried cannabis or more than 150g of harvested cannabis (subject to the same penalties of </w:t>
      </w:r>
      <w:r w:rsidR="00E13119">
        <w:t>50 penalty units or two</w:t>
      </w:r>
      <w:r>
        <w:t xml:space="preserve"> years imprisonment), along with new offences relati</w:t>
      </w:r>
      <w:r w:rsidR="00E13119">
        <w:t>ng to cultivation of more than four</w:t>
      </w:r>
      <w:r>
        <w:t xml:space="preserve"> cannabis plants, storing harvested cannabis within reach of children and smoking cannabis in a public place near a child. </w:t>
      </w:r>
    </w:p>
    <w:p w:rsidR="00C2676D" w:rsidRDefault="00C2676D" w:rsidP="00C2676D">
      <w:r>
        <w:t>The amendment also introduced or amended two ‘simple cannabis offences’ that applied to persons under 18 years of age - possessing less than the 50g or 15</w:t>
      </w:r>
      <w:r w:rsidR="00E13119">
        <w:t>0g of cannabis, or cultivating one or two</w:t>
      </w:r>
      <w:r>
        <w:t xml:space="preserve"> cannabis plants – with ea</w:t>
      </w:r>
      <w:r w:rsidR="00E13119">
        <w:t>ch having a maximum penalty of one</w:t>
      </w:r>
      <w:r>
        <w:t xml:space="preserve"> penalty unit. These offences are the basis of the simple cannabis offence notice scheme. Where a police officer reasonably believes a person has committed a simple cannabis offence, they or their parents or guardians can be served with an offence notice with a penalty of $100 rather than being prosecuted and convicted of the offence.</w:t>
      </w:r>
    </w:p>
    <w:p w:rsidR="00C2676D" w:rsidRDefault="00C2676D" w:rsidP="00C2676D">
      <w:r>
        <w:t>The Bill will amend the offences relating to drugs of dependence and prohibited substances by only</w:t>
      </w:r>
      <w:r w:rsidR="00BB01DD">
        <w:t xml:space="preserve"> applying a maximum penalty of one</w:t>
      </w:r>
      <w:r>
        <w:t xml:space="preserve"> penalty unit where the person possesses less than the personal possession limit. Cannabis offences will also be defined by reference to the personal possession limits, though maintaining the current limits of 50g of dried cannabis and 150g of other harvested cannabis. The personal possession limit for 11 substances is included in the Bill, with no provision to extend the list other than by legislative amendment.  The offence notice scheme will also be extended to apply to these new offences of possessing less than the personal possession limit of drugs of dependence and prohibited substances.</w:t>
      </w:r>
    </w:p>
    <w:p w:rsidR="00C2676D" w:rsidRDefault="00C2676D" w:rsidP="00C2676D">
      <w:r>
        <w:t>As the Bill will maintain and amend provisions in the Act which draw a distinction based on the age of the person, the Bill may potentially limit the right to equality before the law protected by section</w:t>
      </w:r>
      <w:r w:rsidR="00BB01DD">
        <w:t> </w:t>
      </w:r>
      <w:r>
        <w:t xml:space="preserve">8 of the HRA. Persons over 18 will continue to not be subject to the offence of possessing less than the personal possession limit of dried or harvested cannabis. The Committee notes that this distinction was originally introduced in the Amendment Act. As with the </w:t>
      </w:r>
      <w:r w:rsidRPr="001D3D6E">
        <w:t>Drugs of Dependence (Personal Cannabis Use) Amendment Bill 2019</w:t>
      </w:r>
      <w:r>
        <w:t xml:space="preserve">, the explanatory statement accompanying this Bill refers to this distinction by stating that the </w:t>
      </w:r>
      <w:r w:rsidRPr="00A75942">
        <w:t>health consequences and vulnerability of children and young people as compared to adults justifies the preservation of the prohibition on cannabis possession for people under the age of 18</w:t>
      </w:r>
      <w:r>
        <w:t>. The Committee refers this statement to the Assembly.</w:t>
      </w:r>
    </w:p>
    <w:p w:rsidR="00C2676D" w:rsidRDefault="00C2676D" w:rsidP="00C2676D">
      <w:r>
        <w:t>However, the Committee is concerned that the explanatory statement contains limited justification for the range of substances and amounts included in the personal possession limits and the distinction between the treatment of these substances and cannabis. The explanatory statement states:</w:t>
      </w:r>
    </w:p>
    <w:p w:rsidR="00C2676D" w:rsidRDefault="00C2676D" w:rsidP="00C2676D">
      <w:pPr>
        <w:ind w:left="720"/>
      </w:pPr>
      <w:r w:rsidRPr="00BD7248">
        <w:t xml:space="preserve">This Bill will reduce interaction with the criminal justice system and support people impacted by drug addiction to access treatment. The drugs listed in </w:t>
      </w:r>
      <w:r>
        <w:t xml:space="preserve">[the table setting out the personal possession limits] … </w:t>
      </w:r>
      <w:r w:rsidRPr="00BD7248">
        <w:t>have been identified for inclusion in the Simple Drug Offence Notice scheme because they are common sources of interaction with the justice system for individuals and some of the most commonly used. Bringing a diversionary, health-focused approach to the legal classification of these drugs is important.</w:t>
      </w:r>
      <w:r>
        <w:t xml:space="preserve"> </w:t>
      </w:r>
    </w:p>
    <w:p w:rsidR="00C2676D" w:rsidRDefault="00C2676D" w:rsidP="00C2676D">
      <w:r>
        <w:t>The Committee is not clear how reference to the most common sources of interaction with the justice system or common usage relates to a health-focused approach and requests further information from the Member as to how the substances were selected and what evidence is available that the amounts set out in the Bill correspond to health effects, particularly in relation to young persons.</w:t>
      </w:r>
    </w:p>
    <w:p w:rsidR="00C2676D" w:rsidRDefault="00C2676D" w:rsidP="00C2676D">
      <w:r>
        <w:t xml:space="preserve">The Committee is also concerned that the explanatory statement does not contain an outline of the provisions of the Bill, describing the purpose of the Bill and its operation only in very broad terms. As set out in the Committee’s </w:t>
      </w:r>
      <w:r>
        <w:rPr>
          <w:i/>
        </w:rPr>
        <w:t>Guide to writing an explanatory statement,</w:t>
      </w:r>
      <w:r>
        <w:rPr>
          <w:rStyle w:val="FootnoteReference"/>
          <w:i/>
        </w:rPr>
        <w:footnoteReference w:id="3"/>
      </w:r>
      <w:r>
        <w:t xml:space="preserve"> an outline of provisions usually amounts to the bulk of an explanatory statement, setting out the purpose of the provisions, their relationship with other provisions in the Bill and Act being amended, and ho</w:t>
      </w:r>
      <w:r w:rsidR="005B5029">
        <w:t>w they are intended to operate.</w:t>
      </w:r>
    </w:p>
    <w:p w:rsidR="00C2676D" w:rsidRDefault="00C2676D" w:rsidP="00C2676D">
      <w:r>
        <w:t xml:space="preserve">The Committee also notes that the explanatory statement refers to the preservation of the simple cannabis offence notice scheme for cultivation of not more than four cannabis plants. However, as described above, the offence notice applies to simple cannabis offences including the cultivation of one or two cannabis plants. The explanatory statement also refers to the Bill including a new section 171BA which will create a new offence of smoking near children in public places. This seems to replicate a statement in the explanatory statement accompanying the </w:t>
      </w:r>
      <w:r w:rsidRPr="001D3D6E">
        <w:t xml:space="preserve">Drugs of Dependence (Personal Cannabis Use) Amendment </w:t>
      </w:r>
      <w:r>
        <w:t xml:space="preserve">Bill </w:t>
      </w:r>
      <w:r w:rsidRPr="001D3D6E">
        <w:t>2019</w:t>
      </w:r>
      <w:r>
        <w:rPr>
          <w:i/>
        </w:rPr>
        <w:t xml:space="preserve">. </w:t>
      </w:r>
      <w:r>
        <w:t>The explanatory statement for this Bill should make clear that section 171AB, introduced by the Amendment Act, currently provides for that offence.</w:t>
      </w:r>
    </w:p>
    <w:p w:rsidR="00C2676D" w:rsidRDefault="00C2676D" w:rsidP="00C2676D">
      <w:r>
        <w:t>While the Committee recognises the limited resources of a private member in producing explanatory statements, some detail of the operation of the different provisions of the Bill and an accurate description of the interaction with other legislative provisions is expected. The Committee therefore requests that an amended explanatory statement be provided.</w:t>
      </w:r>
    </w:p>
    <w:p w:rsidR="00C2676D" w:rsidRPr="00E83C75" w:rsidRDefault="00C2676D" w:rsidP="00C2676D">
      <w:pPr>
        <w:pStyle w:val="Bodycopy"/>
        <w:spacing w:line="280" w:lineRule="exact"/>
        <w:rPr>
          <w:b/>
        </w:rPr>
      </w:pPr>
      <w:r w:rsidRPr="00E83C75">
        <w:rPr>
          <w:b/>
        </w:rPr>
        <w:t>The Committee draws th</w:t>
      </w:r>
      <w:r>
        <w:rPr>
          <w:b/>
        </w:rPr>
        <w:t>ese</w:t>
      </w:r>
      <w:r w:rsidRPr="00E83C75">
        <w:rPr>
          <w:b/>
        </w:rPr>
        <w:t xml:space="preserve"> matters to the attention of the Assembly, and asks the </w:t>
      </w:r>
      <w:r>
        <w:rPr>
          <w:b/>
        </w:rPr>
        <w:t>Member</w:t>
      </w:r>
      <w:r w:rsidRPr="00E83C75">
        <w:rPr>
          <w:b/>
        </w:rPr>
        <w:t xml:space="preserve"> to respond.</w:t>
      </w:r>
    </w:p>
    <w:p w:rsidR="003941DF" w:rsidRDefault="003941DF" w:rsidP="003941DF">
      <w:pPr>
        <w:pStyle w:val="Heading3"/>
        <w:rPr>
          <w:rFonts w:eastAsia="Times New Roman"/>
        </w:rPr>
      </w:pPr>
      <w:bookmarkStart w:id="502" w:name="_Toc505153767"/>
      <w:bookmarkStart w:id="503" w:name="_Toc67055531"/>
      <w:bookmarkStart w:id="504" w:name="_Toc338841796"/>
      <w:bookmarkStart w:id="505" w:name="_Hlk496454859"/>
      <w:bookmarkStart w:id="506" w:name="_Toc514837978"/>
      <w:bookmarkStart w:id="507" w:name="_Toc526855824"/>
      <w:bookmarkStart w:id="508" w:name="_Toc338841795"/>
      <w:bookmarkStart w:id="509" w:name="_Hlk483295725"/>
      <w:bookmarkEnd w:id="500"/>
      <w:bookmarkEnd w:id="492"/>
      <w:bookmarkEnd w:id="493"/>
      <w:r>
        <w:rPr>
          <w:rFonts w:eastAsia="Times New Roman"/>
        </w:rPr>
        <w:t>Proposed amendment</w:t>
      </w:r>
      <w:bookmarkEnd w:id="502"/>
      <w:r w:rsidR="00EB3FEA">
        <w:rPr>
          <w:rFonts w:eastAsia="Times New Roman"/>
        </w:rPr>
        <w:t>s</w:t>
      </w:r>
      <w:bookmarkEnd w:id="503"/>
    </w:p>
    <w:p w:rsidR="003941DF" w:rsidRPr="003941DF" w:rsidRDefault="004462A3" w:rsidP="003941DF">
      <w:pPr>
        <w:pStyle w:val="Heading4"/>
      </w:pPr>
      <w:bookmarkStart w:id="510" w:name="_Toc67055532"/>
      <w:r>
        <w:t>Crimes Legislation</w:t>
      </w:r>
      <w:r w:rsidR="00AC44A8">
        <w:t xml:space="preserve"> Amendment Bill 2020</w:t>
      </w:r>
      <w:bookmarkEnd w:id="510"/>
    </w:p>
    <w:p w:rsidR="000164DC" w:rsidRPr="00133AB1" w:rsidRDefault="000164DC" w:rsidP="000164DC">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Do any provisions of the Bill amount to an undue trespass on personal rights and liberties</w:t>
      </w:r>
      <w:proofErr w:type="gramStart"/>
      <w:r w:rsidRPr="00133AB1">
        <w:rPr>
          <w:rFonts w:ascii="Calibri" w:eastAsia="Calibri" w:hAnsi="Calibri" w:cs="Calibri"/>
          <w:b/>
          <w:bCs/>
          <w:i/>
          <w:color w:val="000000"/>
          <w:szCs w:val="20"/>
          <w:lang w:eastAsia="en-AU"/>
        </w:rPr>
        <w:t>?—</w:t>
      </w:r>
      <w:proofErr w:type="gramEnd"/>
      <w:r w:rsidRPr="00133AB1">
        <w:rPr>
          <w:rFonts w:ascii="Calibri" w:eastAsia="Calibri" w:hAnsi="Calibri" w:cs="Calibri"/>
          <w:b/>
          <w:bCs/>
          <w:i/>
          <w:color w:val="000000"/>
          <w:szCs w:val="20"/>
          <w:lang w:eastAsia="en-AU"/>
        </w:rPr>
        <w:t xml:space="preserve"> </w:t>
      </w:r>
      <w:r w:rsidRPr="00E83C75">
        <w:rPr>
          <w:b/>
          <w:i/>
          <w:lang w:val="en-US"/>
        </w:rPr>
        <w:t xml:space="preserve">Committee </w:t>
      </w:r>
      <w:r>
        <w:rPr>
          <w:b/>
          <w:i/>
          <w:lang w:val="en-US"/>
        </w:rPr>
        <w:t>Resolution of Appointment paragraph (10)(a)(</w:t>
      </w:r>
      <w:proofErr w:type="spellStart"/>
      <w:r>
        <w:rPr>
          <w:b/>
          <w:i/>
          <w:lang w:val="en-US"/>
        </w:rPr>
        <w:t>i</w:t>
      </w:r>
      <w:proofErr w:type="spellEnd"/>
      <w:r>
        <w:rPr>
          <w:b/>
          <w:i/>
          <w:lang w:val="en-US"/>
        </w:rPr>
        <w:t xml:space="preserve">) </w:t>
      </w:r>
      <w:r w:rsidRPr="00E83C75">
        <w:rPr>
          <w:b/>
          <w:i/>
          <w:lang w:val="en-US"/>
        </w:rPr>
        <w:t xml:space="preserve"> </w:t>
      </w:r>
    </w:p>
    <w:p w:rsidR="000164DC" w:rsidRPr="00133AB1" w:rsidRDefault="000164DC" w:rsidP="000164DC">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rsidR="000164DC" w:rsidRDefault="00926BEC" w:rsidP="000164DC">
      <w:pPr>
        <w:pStyle w:val="Heading6"/>
        <w:rPr>
          <w:lang w:eastAsia="en-AU"/>
        </w:rPr>
      </w:pPr>
      <w:r>
        <w:rPr>
          <w:lang w:eastAsia="en-AU"/>
        </w:rPr>
        <w:t>R</w:t>
      </w:r>
      <w:r w:rsidR="000164DC">
        <w:rPr>
          <w:lang w:eastAsia="en-AU"/>
        </w:rPr>
        <w:t>ight to liberty and the security of person (section 18 HRA)</w:t>
      </w:r>
    </w:p>
    <w:p w:rsidR="000164DC" w:rsidRDefault="00926BEC" w:rsidP="000164DC">
      <w:pPr>
        <w:pStyle w:val="Heading6"/>
        <w:rPr>
          <w:lang w:eastAsia="en-AU"/>
        </w:rPr>
      </w:pPr>
      <w:r>
        <w:rPr>
          <w:lang w:eastAsia="en-AU"/>
        </w:rPr>
        <w:t>R</w:t>
      </w:r>
      <w:r w:rsidR="000164DC">
        <w:rPr>
          <w:lang w:eastAsia="en-AU"/>
        </w:rPr>
        <w:t>ight to a fair trial (section 21 HRA).</w:t>
      </w:r>
    </w:p>
    <w:p w:rsidR="000164DC" w:rsidRDefault="000164DC" w:rsidP="000164DC">
      <w:pPr>
        <w:pStyle w:val="Heading6"/>
        <w:rPr>
          <w:lang w:eastAsia="en-AU"/>
        </w:rPr>
      </w:pPr>
      <w:r>
        <w:rPr>
          <w:lang w:eastAsia="en-AU"/>
        </w:rPr>
        <w:t>Rights in criminal proceedings (section 22 of the HRA)</w:t>
      </w:r>
    </w:p>
    <w:p w:rsidR="000164DC" w:rsidRPr="00E83C75" w:rsidRDefault="000164DC" w:rsidP="000164DC">
      <w:pPr>
        <w:pStyle w:val="Bodycopy"/>
        <w:rPr>
          <w:b/>
          <w:bCs/>
          <w:i/>
        </w:rPr>
      </w:pPr>
      <w:r w:rsidRPr="00E83C75">
        <w:rPr>
          <w:b/>
          <w:bCs/>
          <w:i/>
        </w:rPr>
        <w:t>Do any provisions of the Bill inappropriately delegate legislative powers?</w:t>
      </w:r>
      <w:r>
        <w:rPr>
          <w:b/>
          <w:bCs/>
          <w:i/>
        </w:rPr>
        <w:t>—</w:t>
      </w:r>
      <w:r w:rsidRPr="00E83C75">
        <w:rPr>
          <w:b/>
          <w:i/>
          <w:lang w:val="en-US"/>
        </w:rPr>
        <w:t xml:space="preserve">Committee </w:t>
      </w:r>
      <w:r>
        <w:rPr>
          <w:b/>
          <w:i/>
          <w:lang w:val="en-US"/>
        </w:rPr>
        <w:t>Resolution of Appointment paragraph (10</w:t>
      </w:r>
      <w:proofErr w:type="gramStart"/>
      <w:r>
        <w:rPr>
          <w:b/>
          <w:i/>
          <w:lang w:val="en-US"/>
        </w:rPr>
        <w:t>)(</w:t>
      </w:r>
      <w:proofErr w:type="gramEnd"/>
      <w:r>
        <w:rPr>
          <w:b/>
          <w:i/>
          <w:lang w:val="en-US"/>
        </w:rPr>
        <w:t>a)(iv)</w:t>
      </w:r>
    </w:p>
    <w:p w:rsidR="000164DC" w:rsidRDefault="000164DC" w:rsidP="006B6670">
      <w:pPr>
        <w:spacing w:line="238" w:lineRule="auto"/>
        <w:rPr>
          <w:smallCaps/>
          <w:lang w:eastAsia="en-AU"/>
        </w:rPr>
      </w:pPr>
      <w:r w:rsidRPr="00235577">
        <w:rPr>
          <w:bCs/>
          <w:lang w:eastAsia="en-AU"/>
        </w:rPr>
        <w:t>In a letter sent to the Committee dated 16 March 2021,</w:t>
      </w:r>
      <w:r>
        <w:rPr>
          <w:b/>
          <w:bCs/>
          <w:lang w:eastAsia="en-AU"/>
        </w:rPr>
        <w:t xml:space="preserve"> </w:t>
      </w:r>
      <w:r w:rsidRPr="00387D40">
        <w:rPr>
          <w:bCs/>
          <w:lang w:eastAsia="en-AU"/>
        </w:rPr>
        <w:t>t</w:t>
      </w:r>
      <w:r w:rsidRPr="005A2D5A">
        <w:rPr>
          <w:lang w:eastAsia="en-AU"/>
        </w:rPr>
        <w:t xml:space="preserve">he Government has proposed amendments to the </w:t>
      </w:r>
      <w:r w:rsidRPr="00387D40">
        <w:rPr>
          <w:lang w:eastAsia="en-AU"/>
        </w:rPr>
        <w:t>Crimes Legislation Amendment Bill 2020</w:t>
      </w:r>
      <w:r>
        <w:rPr>
          <w:i/>
          <w:lang w:eastAsia="en-AU"/>
        </w:rPr>
        <w:t xml:space="preserve">. </w:t>
      </w:r>
      <w:r w:rsidRPr="005A2D5A">
        <w:rPr>
          <w:lang w:eastAsia="en-AU"/>
        </w:rPr>
        <w:t xml:space="preserve">The amendments will amend </w:t>
      </w:r>
      <w:r>
        <w:rPr>
          <w:lang w:eastAsia="en-AU"/>
        </w:rPr>
        <w:t xml:space="preserve">subsection 34(4) of </w:t>
      </w:r>
      <w:r w:rsidRPr="005A2D5A">
        <w:rPr>
          <w:lang w:eastAsia="en-AU"/>
        </w:rPr>
        <w:t xml:space="preserve">the </w:t>
      </w:r>
      <w:r>
        <w:rPr>
          <w:i/>
          <w:lang w:eastAsia="en-AU"/>
        </w:rPr>
        <w:t xml:space="preserve">Bail Act 1992 </w:t>
      </w:r>
      <w:r>
        <w:rPr>
          <w:lang w:eastAsia="en-AU"/>
        </w:rPr>
        <w:t xml:space="preserve">in relation to the notice requirements when a court is continuing bail on an adjournment or a postponement of a proceeding. Subsection 34(4) presently requires a court to </w:t>
      </w:r>
      <w:r w:rsidRPr="00FD17CD">
        <w:rPr>
          <w:lang w:eastAsia="en-AU"/>
        </w:rPr>
        <w:t>immediately</w:t>
      </w:r>
      <w:r>
        <w:rPr>
          <w:lang w:eastAsia="en-AU"/>
        </w:rPr>
        <w:t xml:space="preserve"> </w:t>
      </w:r>
      <w:r w:rsidRPr="00FD17CD">
        <w:rPr>
          <w:lang w:eastAsia="en-AU"/>
        </w:rPr>
        <w:t>give, or cause to be given, to the accused person a written notice</w:t>
      </w:r>
      <w:r>
        <w:rPr>
          <w:lang w:eastAsia="en-AU"/>
        </w:rPr>
        <w:t xml:space="preserve"> setting out various details, including the time to which the proceedings are adjourned or postponed or that the time will be provided in a notice given or sent to the accused person as prescribed by regulation. Section 4 of the </w:t>
      </w:r>
      <w:r w:rsidRPr="00A15B46">
        <w:rPr>
          <w:i/>
          <w:lang w:eastAsia="en-AU"/>
        </w:rPr>
        <w:t>Bail Regulation 1992</w:t>
      </w:r>
      <w:r>
        <w:rPr>
          <w:lang w:eastAsia="en-AU"/>
        </w:rPr>
        <w:t xml:space="preserve"> states that such a notice:</w:t>
      </w:r>
    </w:p>
    <w:p w:rsidR="000164DC" w:rsidRPr="00E0201F" w:rsidRDefault="000164DC" w:rsidP="006B6670">
      <w:pPr>
        <w:spacing w:line="238" w:lineRule="auto"/>
        <w:ind w:left="720"/>
      </w:pPr>
      <w:proofErr w:type="gramStart"/>
      <w:r w:rsidRPr="00A15B46">
        <w:t>must</w:t>
      </w:r>
      <w:proofErr w:type="gramEnd"/>
      <w:r w:rsidRPr="00A15B46">
        <w:t xml:space="preserve"> be given or sent to the accused person by giving the notice to him or her or by leaving the notice at his or her last-known or usual place of residence or business with a person who is apparently resident or employed at that place and apparently over 16 years old.</w:t>
      </w:r>
    </w:p>
    <w:p w:rsidR="000164DC" w:rsidRDefault="000164DC" w:rsidP="006B6670">
      <w:pPr>
        <w:spacing w:line="238" w:lineRule="auto"/>
        <w:rPr>
          <w:lang w:eastAsia="en-AU"/>
        </w:rPr>
      </w:pPr>
      <w:r>
        <w:rPr>
          <w:lang w:eastAsia="en-AU"/>
        </w:rPr>
        <w:t xml:space="preserve">The proposed amendment will amend subsection 34(4) of the Bail Act to replace the requirement that notice be provided immediately with the need to provide notice as soon as practicable after deciding to continue bail or, in providing an additional notice setting out the time for the resumption of proceedings, as soon as practicable once that time is determined. The notice must be given in the way prescribed by regulation. </w:t>
      </w:r>
    </w:p>
    <w:p w:rsidR="000164DC" w:rsidRDefault="000164DC" w:rsidP="006B6670">
      <w:pPr>
        <w:spacing w:line="238" w:lineRule="auto"/>
        <w:rPr>
          <w:lang w:eastAsia="en-AU"/>
        </w:rPr>
      </w:pPr>
      <w:r>
        <w:rPr>
          <w:lang w:eastAsia="en-AU"/>
        </w:rPr>
        <w:t xml:space="preserve">The granting of Bail represents an undertaking by the accused to appear before the court in the future. A failure to comply with that undertaking is an offence under subsection 49(1) of the Bail Act, which enables the issuing of a warrant to arrest the person and bring them before the court. An offence under subsection 49(1) is subject to the defence of having a reasonable excuse. Under section 33 of the Bail Act, where the undertaking to appear has been given in relation to proceedings which can deferred to a later time, the court can continue the bail already granted whether or not the person is present in court. Where an accused is unable to appear in person due to illness or other sufficient cause the court may still order the person be remanded to appear at a future time and the undertaking to appear continued to every time at which the proceeding is deferred (subsection 33(7)). The provision of notice therefore represents an essential element of the operation of the bail provisions, enabling an individual to learn of the changed content of their undertaking to appear, and the time at which they are to appear so as to avoid the commission of an offence and potentially </w:t>
      </w:r>
      <w:r w:rsidR="00F96D30">
        <w:rPr>
          <w:lang w:eastAsia="en-AU"/>
        </w:rPr>
        <w:t xml:space="preserve">be </w:t>
      </w:r>
      <w:r>
        <w:rPr>
          <w:lang w:eastAsia="en-AU"/>
        </w:rPr>
        <w:t xml:space="preserve">subject to imprisonment. </w:t>
      </w:r>
    </w:p>
    <w:p w:rsidR="000164DC" w:rsidRDefault="000164DC" w:rsidP="006B6670">
      <w:pPr>
        <w:spacing w:line="238" w:lineRule="auto"/>
        <w:rPr>
          <w:lang w:eastAsia="en-AU"/>
        </w:rPr>
      </w:pPr>
      <w:r>
        <w:rPr>
          <w:lang w:eastAsia="en-AU"/>
        </w:rPr>
        <w:t xml:space="preserve">As the granting and continuance of bail relates to the condition on which accused are able to secure their liberty until such time as their guilt can be adjudged and sentencing imposed, and imposes the risk of further imprisonment, the proposed amendments potentially limit the right to liberty and the security of person protected by section 18 of the HRA. By amending the circumstances in which court orders may take effect in the absence of adequate notice the amendments may also limit the right to a fair trial protected by section 21 of the HRA. Rights in criminal proceedings protected by section 22 of the HRA, including the right to be tried in person, may also be limited. </w:t>
      </w:r>
    </w:p>
    <w:p w:rsidR="000164DC" w:rsidRDefault="000164DC" w:rsidP="006B6670">
      <w:pPr>
        <w:spacing w:line="238" w:lineRule="auto"/>
        <w:rPr>
          <w:lang w:eastAsia="en-AU"/>
        </w:rPr>
      </w:pPr>
      <w:r>
        <w:rPr>
          <w:lang w:eastAsia="en-AU"/>
        </w:rPr>
        <w:t xml:space="preserve">The Committee was not provided with an explanatory statement identifying potential limitations of rights protected under the HRA and why any such limitations should be considered reasonable under the framework in section 28 of the HRA. In providing the proposed amendments to the Committee, the Attorney General indicated that relevant explanatory statements were still being finalised. However, the Attorney General did provide some information on the background and operation of the proposed amendments. </w:t>
      </w:r>
    </w:p>
    <w:p w:rsidR="000164DC" w:rsidRDefault="000164DC" w:rsidP="006B6670">
      <w:pPr>
        <w:spacing w:line="238" w:lineRule="auto"/>
        <w:rPr>
          <w:lang w:eastAsia="en-AU"/>
        </w:rPr>
      </w:pPr>
      <w:r>
        <w:rPr>
          <w:lang w:eastAsia="en-AU"/>
        </w:rPr>
        <w:t xml:space="preserve">The Attorney-General indicated that the amendments follow consideration of the relevant provisions in light of a decision of the Chief Magistrate in </w:t>
      </w:r>
      <w:r w:rsidRPr="00AE1019">
        <w:rPr>
          <w:i/>
          <w:lang w:eastAsia="en-AU"/>
        </w:rPr>
        <w:t xml:space="preserve">Elder v </w:t>
      </w:r>
      <w:proofErr w:type="spellStart"/>
      <w:r w:rsidRPr="00AE1019">
        <w:rPr>
          <w:i/>
          <w:lang w:eastAsia="en-AU"/>
        </w:rPr>
        <w:t>Metyang</w:t>
      </w:r>
      <w:proofErr w:type="spellEnd"/>
      <w:r>
        <w:rPr>
          <w:lang w:eastAsia="en-AU"/>
        </w:rPr>
        <w:t xml:space="preserve"> [2020] ACTMC 24. That case is claimed to highlight the potential inconsistency between the need to ‘immediately’ serve notices to continue bail personally and the established practice of the Law Courts Registry to post notices in circumstances including where they are absent due to illness or accident. The case also highlighted that the methods of service available for such notices are unduly limited and do not reflect contemporary methods of communication.</w:t>
      </w:r>
    </w:p>
    <w:p w:rsidR="000164DC" w:rsidRDefault="000164DC" w:rsidP="006B6670">
      <w:pPr>
        <w:spacing w:line="238" w:lineRule="auto"/>
        <w:rPr>
          <w:lang w:eastAsia="en-AU"/>
        </w:rPr>
      </w:pPr>
      <w:r>
        <w:rPr>
          <w:lang w:eastAsia="en-AU"/>
        </w:rPr>
        <w:t xml:space="preserve">It was therefore anticipated that amendments will be made to section 4 of the Regulations to provide certainty on the service requirements for notices to continue bail, and to provide more flexibility in the use of contemporary methods of service. No details of those proposed amendments to the Regulations </w:t>
      </w:r>
      <w:r w:rsidR="00B75EEA">
        <w:rPr>
          <w:lang w:eastAsia="en-AU"/>
        </w:rPr>
        <w:t>were provided to the Committee.</w:t>
      </w:r>
    </w:p>
    <w:p w:rsidR="000164DC" w:rsidRDefault="000164DC" w:rsidP="006B6670">
      <w:pPr>
        <w:spacing w:line="238" w:lineRule="auto"/>
        <w:rPr>
          <w:lang w:eastAsia="en-AU"/>
        </w:rPr>
      </w:pPr>
      <w:r>
        <w:rPr>
          <w:lang w:eastAsia="en-AU"/>
        </w:rPr>
        <w:t>The Attorney General also reflected that section 30 of the HRA requires laws to be interpreted in a way that is compatible with human rights, affecting the choice of any service method for giving notice. The defence of reasonable excuse for failing to comply with an undertaking to appear may also raise non-receipt of a bail continuation notice. The Committee also notes that a court in making orders in relation to bail is acting in an administrative capacity and hence must act consistently with human rights under the HRA.</w:t>
      </w:r>
      <w:r>
        <w:rPr>
          <w:rStyle w:val="FootnoteReference"/>
          <w:lang w:eastAsia="en-AU"/>
        </w:rPr>
        <w:footnoteReference w:id="4"/>
      </w:r>
    </w:p>
    <w:p w:rsidR="000164DC" w:rsidRDefault="000164DC" w:rsidP="006B6670">
      <w:pPr>
        <w:spacing w:line="238" w:lineRule="auto"/>
        <w:rPr>
          <w:lang w:eastAsia="en-AU"/>
        </w:rPr>
      </w:pPr>
      <w:r>
        <w:rPr>
          <w:lang w:eastAsia="en-AU"/>
        </w:rPr>
        <w:t xml:space="preserve">In the absence of an explanatory statement the Committee is concerned that the proposed amendments may not be compatible with the HRA. In the Committee’s view, the decision in </w:t>
      </w:r>
      <w:r w:rsidRPr="00AE1019">
        <w:rPr>
          <w:i/>
          <w:lang w:eastAsia="en-AU"/>
        </w:rPr>
        <w:t xml:space="preserve">Elder v </w:t>
      </w:r>
      <w:proofErr w:type="spellStart"/>
      <w:r w:rsidRPr="00AE1019">
        <w:rPr>
          <w:i/>
          <w:lang w:eastAsia="en-AU"/>
        </w:rPr>
        <w:t>Metyang</w:t>
      </w:r>
      <w:proofErr w:type="spellEnd"/>
      <w:r>
        <w:rPr>
          <w:lang w:eastAsia="en-AU"/>
        </w:rPr>
        <w:t xml:space="preserve"> was based on the requirement in subsection 34(4) and section 4 of the Regulations to provide notice in person. Her Honour did not consider that a requirement to immediately give, or cause to be given, notice was inconsistent with the ability of the Court to continue bail in circumstances where an accused was not in attendance in the court provided by subsection 33(7) of the Bail Act. Her Honour also did not consider the role, if any, which human rights concerns may have played </w:t>
      </w:r>
      <w:r w:rsidR="00B75EEA">
        <w:rPr>
          <w:lang w:eastAsia="en-AU"/>
        </w:rPr>
        <w:t>in interpreting the provisions.</w:t>
      </w:r>
    </w:p>
    <w:p w:rsidR="000164DC" w:rsidRDefault="000164DC" w:rsidP="006B6670">
      <w:pPr>
        <w:spacing w:line="238" w:lineRule="auto"/>
        <w:rPr>
          <w:lang w:eastAsia="en-AU"/>
        </w:rPr>
      </w:pPr>
      <w:r>
        <w:rPr>
          <w:lang w:eastAsia="en-AU"/>
        </w:rPr>
        <w:t>The Committee is concerned that any dilution of the current requirement to provide notice in person may give rise to significant human rights concerns. The proposed amendments leave the method of providing notice to the Regulations with no explicit restrictions. Reliance on section 30 of the HRA will only increase the uncertainty over whether any Regulations will comply with the requirements of the Bail Act, and whether any decision on the method of service will in turn be consistent with the Regulations. The Committee recognises that elements of the method of service may involve technical details suitable for inclusion in regulations, and that any regulations will be subject to scrutiny by the Committee and the Assembly. However, in the Committee’s view, the significant human rights concerns raised by the potential amendments make it appropriate for explicit restrictions on possible methods of service to be included in amendments to the Bail Act.</w:t>
      </w:r>
    </w:p>
    <w:p w:rsidR="000164DC" w:rsidRDefault="000164DC" w:rsidP="006B6670">
      <w:pPr>
        <w:pStyle w:val="Bodycopy"/>
        <w:widowControl/>
        <w:spacing w:line="238" w:lineRule="auto"/>
        <w:rPr>
          <w:b/>
        </w:rPr>
      </w:pPr>
      <w:r w:rsidRPr="00E83C75">
        <w:rPr>
          <w:b/>
        </w:rPr>
        <w:t>The Committee draws th</w:t>
      </w:r>
      <w:r>
        <w:rPr>
          <w:b/>
        </w:rPr>
        <w:t>is</w:t>
      </w:r>
      <w:r w:rsidRPr="00E83C75">
        <w:rPr>
          <w:b/>
        </w:rPr>
        <w:t xml:space="preserve"> matter to the attention of the Assembly, and asks the </w:t>
      </w:r>
      <w:r>
        <w:rPr>
          <w:b/>
        </w:rPr>
        <w:t>Minister</w:t>
      </w:r>
      <w:r w:rsidRPr="00E83C75">
        <w:rPr>
          <w:b/>
        </w:rPr>
        <w:t xml:space="preserve"> to respond.</w:t>
      </w:r>
    </w:p>
    <w:p w:rsidR="008024FC" w:rsidRPr="00104A8B" w:rsidRDefault="008024FC" w:rsidP="0037018E">
      <w:pPr>
        <w:pStyle w:val="Heading2"/>
        <w:rPr>
          <w:rFonts w:asciiTheme="minorHAnsi" w:eastAsia="Calibri" w:hAnsiTheme="minorHAnsi"/>
          <w:lang w:eastAsia="en-AU"/>
        </w:rPr>
      </w:pPr>
      <w:bookmarkStart w:id="511" w:name="_Toc67055533"/>
      <w:r>
        <w:rPr>
          <w:rFonts w:asciiTheme="minorHAnsi" w:eastAsia="Calibri" w:hAnsiTheme="minorHAnsi"/>
          <w:lang w:eastAsia="en-AU"/>
        </w:rPr>
        <w:t>Subordinate Legislation</w:t>
      </w:r>
      <w:bookmarkEnd w:id="511"/>
    </w:p>
    <w:p w:rsidR="003443EB" w:rsidRPr="00103E7B" w:rsidRDefault="003379D7" w:rsidP="00103E7B">
      <w:pPr>
        <w:pStyle w:val="Heading3"/>
      </w:pPr>
      <w:bookmarkStart w:id="512" w:name="_Toc67055534"/>
      <w:r w:rsidRPr="00103E7B">
        <w:t>Disallowable Instruments</w:t>
      </w:r>
      <w:r w:rsidR="003443EB" w:rsidRPr="00103E7B">
        <w:t>—No comment</w:t>
      </w:r>
      <w:bookmarkEnd w:id="512"/>
    </w:p>
    <w:p w:rsidR="003443EB" w:rsidRDefault="003443EB" w:rsidP="00C517A1">
      <w:pPr>
        <w:widowControl w:val="0"/>
        <w:tabs>
          <w:tab w:val="left" w:pos="1276"/>
        </w:tabs>
        <w:rPr>
          <w:rFonts w:ascii="Calibri" w:hAnsi="Calibri" w:cs="Calibri"/>
          <w:color w:val="000000"/>
        </w:rPr>
      </w:pPr>
      <w:r w:rsidRPr="00987942">
        <w:rPr>
          <w:rFonts w:ascii="Calibri" w:hAnsi="Calibri" w:cs="Calibri"/>
          <w:color w:val="000000"/>
        </w:rPr>
        <w:t xml:space="preserve">The Committee has examined the </w:t>
      </w:r>
      <w:r w:rsidR="008B48A2">
        <w:rPr>
          <w:rFonts w:ascii="Calibri" w:hAnsi="Calibri" w:cs="Calibri"/>
          <w:color w:val="000000"/>
        </w:rPr>
        <w:t>following disallowable instruments and offers no comment on them</w:t>
      </w:r>
      <w:r w:rsidRPr="00987942">
        <w:rPr>
          <w:rFonts w:ascii="Calibri" w:hAnsi="Calibri" w:cs="Calibri"/>
          <w:color w:val="000000"/>
        </w:rPr>
        <w:t>:</w:t>
      </w:r>
    </w:p>
    <w:p w:rsidR="003276E6" w:rsidRPr="00842199" w:rsidRDefault="003276E6" w:rsidP="003276E6">
      <w:pPr>
        <w:pStyle w:val="Bodycopy"/>
        <w:spacing w:after="0" w:line="280" w:lineRule="exact"/>
        <w:rPr>
          <w:b/>
        </w:rPr>
      </w:pPr>
      <w:r>
        <w:rPr>
          <w:b/>
        </w:rPr>
        <w:t>Disallowable Instrument</w:t>
      </w:r>
      <w:r w:rsidRPr="00451C85">
        <w:rPr>
          <w:b/>
        </w:rPr>
        <w:t xml:space="preserve"> </w:t>
      </w:r>
      <w:r>
        <w:rPr>
          <w:b/>
        </w:rPr>
        <w:t>DI2020-262</w:t>
      </w:r>
      <w:r w:rsidRPr="00451C85">
        <w:rPr>
          <w:b/>
        </w:rPr>
        <w:t xml:space="preserve"> being the </w:t>
      </w:r>
      <w:r>
        <w:rPr>
          <w:b/>
        </w:rPr>
        <w:t xml:space="preserve">Territory Records (Advisory Council) Appointment 2020 (No 2) made under section 44 of the </w:t>
      </w:r>
      <w:r>
        <w:rPr>
          <w:i/>
        </w:rPr>
        <w:t>Territory Records Act 2002</w:t>
      </w:r>
      <w:r w:rsidRPr="00236BDD">
        <w:rPr>
          <w:b/>
        </w:rPr>
        <w:t xml:space="preserve"> </w:t>
      </w:r>
      <w:r>
        <w:rPr>
          <w:b/>
        </w:rPr>
        <w:t>appoints a specified person as a member of the Territory Records Advisory Council, representing professional organisations interested in re</w:t>
      </w:r>
      <w:r w:rsidR="005B5029">
        <w:rPr>
          <w:b/>
        </w:rPr>
        <w:t>cords management and archives.</w:t>
      </w:r>
    </w:p>
    <w:p w:rsidR="003276E6" w:rsidRPr="00842199" w:rsidRDefault="003276E6" w:rsidP="003276E6">
      <w:pPr>
        <w:pStyle w:val="Bodycopy"/>
        <w:keepLines/>
        <w:spacing w:after="0" w:line="280" w:lineRule="exact"/>
        <w:rPr>
          <w:b/>
        </w:rPr>
      </w:pPr>
      <w:r>
        <w:rPr>
          <w:b/>
        </w:rPr>
        <w:t>Disallowable Instrument</w:t>
      </w:r>
      <w:r w:rsidRPr="00451C85">
        <w:rPr>
          <w:b/>
        </w:rPr>
        <w:t xml:space="preserve"> </w:t>
      </w:r>
      <w:r>
        <w:rPr>
          <w:b/>
        </w:rPr>
        <w:t>DI2020-263</w:t>
      </w:r>
      <w:r w:rsidRPr="00451C85">
        <w:rPr>
          <w:b/>
        </w:rPr>
        <w:t xml:space="preserve"> being the </w:t>
      </w:r>
      <w:r>
        <w:rPr>
          <w:b/>
        </w:rPr>
        <w:t xml:space="preserve">Territory Records (Advisory Council) Appointment 2020 (No 3) made under section 44 of the </w:t>
      </w:r>
      <w:r>
        <w:rPr>
          <w:i/>
        </w:rPr>
        <w:t>Territory Records Act 2002</w:t>
      </w:r>
      <w:r w:rsidRPr="00236BDD">
        <w:rPr>
          <w:b/>
        </w:rPr>
        <w:t xml:space="preserve"> </w:t>
      </w:r>
      <w:r>
        <w:rPr>
          <w:b/>
        </w:rPr>
        <w:t>appoints a specified person as a member of the Territory Records Advisory Council, representing organisations interested in public administration, gover</w:t>
      </w:r>
      <w:r w:rsidR="005B5029">
        <w:rPr>
          <w:b/>
        </w:rPr>
        <w:t>nance or public accountability.</w:t>
      </w:r>
    </w:p>
    <w:p w:rsidR="003276E6" w:rsidRPr="00842199" w:rsidRDefault="003276E6" w:rsidP="003276E6">
      <w:pPr>
        <w:pStyle w:val="Bodycopy"/>
        <w:spacing w:after="0" w:line="280" w:lineRule="exact"/>
        <w:rPr>
          <w:b/>
        </w:rPr>
      </w:pPr>
      <w:r>
        <w:rPr>
          <w:b/>
        </w:rPr>
        <w:t>Disallowable Instrument</w:t>
      </w:r>
      <w:r w:rsidRPr="00451C85">
        <w:rPr>
          <w:b/>
        </w:rPr>
        <w:t xml:space="preserve"> </w:t>
      </w:r>
      <w:r>
        <w:rPr>
          <w:b/>
        </w:rPr>
        <w:t>DI2020-264</w:t>
      </w:r>
      <w:r w:rsidRPr="00451C85">
        <w:rPr>
          <w:b/>
        </w:rPr>
        <w:t xml:space="preserve"> being the </w:t>
      </w:r>
      <w:r>
        <w:rPr>
          <w:b/>
        </w:rPr>
        <w:t xml:space="preserve">Territory Records (Advisory Council) Appointment 2020 (No 4) made under section 44 of the </w:t>
      </w:r>
      <w:r>
        <w:rPr>
          <w:i/>
        </w:rPr>
        <w:t>Territory Records Act 2002</w:t>
      </w:r>
      <w:r w:rsidRPr="00236BDD">
        <w:rPr>
          <w:b/>
        </w:rPr>
        <w:t xml:space="preserve"> </w:t>
      </w:r>
      <w:r>
        <w:rPr>
          <w:b/>
        </w:rPr>
        <w:t>appoints a specified person as a member of the Territory Records Advisory Council, representing organisations interested in public administration, gover</w:t>
      </w:r>
      <w:r w:rsidR="005B5029">
        <w:rPr>
          <w:b/>
        </w:rPr>
        <w:t>nance or public accountability.</w:t>
      </w:r>
    </w:p>
    <w:p w:rsidR="003276E6" w:rsidRPr="00842199" w:rsidRDefault="003276E6" w:rsidP="003276E6">
      <w:pPr>
        <w:pStyle w:val="Bodycopy"/>
        <w:spacing w:after="0" w:line="280" w:lineRule="exact"/>
        <w:rPr>
          <w:b/>
        </w:rPr>
      </w:pPr>
      <w:r>
        <w:rPr>
          <w:b/>
        </w:rPr>
        <w:t>Disallowable Instrument</w:t>
      </w:r>
      <w:r w:rsidRPr="00451C85">
        <w:rPr>
          <w:b/>
        </w:rPr>
        <w:t xml:space="preserve"> </w:t>
      </w:r>
      <w:r>
        <w:rPr>
          <w:b/>
        </w:rPr>
        <w:t>DI2020-265</w:t>
      </w:r>
      <w:r w:rsidRPr="00451C85">
        <w:rPr>
          <w:b/>
        </w:rPr>
        <w:t xml:space="preserve"> being the </w:t>
      </w:r>
      <w:r>
        <w:rPr>
          <w:b/>
        </w:rPr>
        <w:t xml:space="preserve">Territory Records (Advisory Council) Appointment 2020 (No 5) made under section 44 of the </w:t>
      </w:r>
      <w:r>
        <w:rPr>
          <w:i/>
        </w:rPr>
        <w:t>Territory Records Act 2002</w:t>
      </w:r>
      <w:r w:rsidRPr="00236BDD">
        <w:rPr>
          <w:b/>
        </w:rPr>
        <w:t xml:space="preserve"> </w:t>
      </w:r>
      <w:r>
        <w:rPr>
          <w:b/>
        </w:rPr>
        <w:t>appoints a specified person as chairperson of the Terr</w:t>
      </w:r>
      <w:r w:rsidR="005B5029">
        <w:rPr>
          <w:b/>
        </w:rPr>
        <w:t>itory Records Advisory Council.</w:t>
      </w:r>
    </w:p>
    <w:p w:rsidR="003276E6" w:rsidRPr="00842199" w:rsidRDefault="003276E6" w:rsidP="003276E6">
      <w:pPr>
        <w:pStyle w:val="Bodycopy"/>
        <w:spacing w:after="0" w:line="280" w:lineRule="exact"/>
        <w:rPr>
          <w:b/>
        </w:rPr>
      </w:pPr>
      <w:r>
        <w:rPr>
          <w:b/>
        </w:rPr>
        <w:t>Disallowable Instrument</w:t>
      </w:r>
      <w:r w:rsidRPr="00451C85">
        <w:rPr>
          <w:b/>
        </w:rPr>
        <w:t xml:space="preserve"> </w:t>
      </w:r>
      <w:r>
        <w:rPr>
          <w:b/>
        </w:rPr>
        <w:t>DI2020-266</w:t>
      </w:r>
      <w:r w:rsidRPr="00451C85">
        <w:rPr>
          <w:b/>
        </w:rPr>
        <w:t xml:space="preserve"> being the </w:t>
      </w:r>
      <w:r>
        <w:rPr>
          <w:b/>
        </w:rPr>
        <w:t xml:space="preserve">Territory Records (Advisory Council) Appointment 2020 (No 6) made under section 44 of the </w:t>
      </w:r>
      <w:r>
        <w:rPr>
          <w:i/>
        </w:rPr>
        <w:t>Territory Records Act 2002</w:t>
      </w:r>
      <w:r w:rsidRPr="00236BDD">
        <w:rPr>
          <w:b/>
        </w:rPr>
        <w:t xml:space="preserve"> </w:t>
      </w:r>
      <w:r>
        <w:rPr>
          <w:b/>
        </w:rPr>
        <w:t>appoints a specified person as deputy chairperson of the Terr</w:t>
      </w:r>
      <w:r w:rsidR="005B5029">
        <w:rPr>
          <w:b/>
        </w:rPr>
        <w:t>itory Records Advisory Council.</w:t>
      </w:r>
    </w:p>
    <w:p w:rsidR="003276E6" w:rsidRPr="00842199" w:rsidRDefault="003276E6" w:rsidP="003276E6">
      <w:pPr>
        <w:pStyle w:val="Bodycopy"/>
        <w:spacing w:after="0" w:line="280" w:lineRule="exact"/>
        <w:rPr>
          <w:b/>
        </w:rPr>
      </w:pPr>
      <w:r>
        <w:rPr>
          <w:b/>
        </w:rPr>
        <w:t>Disallowable Instrument</w:t>
      </w:r>
      <w:r w:rsidRPr="00451C85">
        <w:rPr>
          <w:b/>
        </w:rPr>
        <w:t xml:space="preserve"> </w:t>
      </w:r>
      <w:r>
        <w:rPr>
          <w:b/>
        </w:rPr>
        <w:t>DI2020-290</w:t>
      </w:r>
      <w:r w:rsidRPr="00451C85">
        <w:rPr>
          <w:b/>
        </w:rPr>
        <w:t xml:space="preserve"> being the </w:t>
      </w:r>
      <w:r>
        <w:rPr>
          <w:b/>
        </w:rPr>
        <w:t xml:space="preserve">Medicines, Poisons and Therapeutic Goods (Nurse and Midwife Immunisers) Direction 2020 (No 1) made under section 353 of the </w:t>
      </w:r>
      <w:r>
        <w:rPr>
          <w:i/>
        </w:rPr>
        <w:t>Medicines, Poisons and Therapeutic Goods Regulation 2008</w:t>
      </w:r>
      <w:r w:rsidRPr="00236BDD">
        <w:rPr>
          <w:b/>
        </w:rPr>
        <w:t xml:space="preserve"> </w:t>
      </w:r>
      <w:r>
        <w:rPr>
          <w:b/>
        </w:rPr>
        <w:t>authorises a nurse or midwife to administer a vaccine without a supply authority if the nurse or midwife administers the vaccine in accordance with the ACT Registered Nurse and</w:t>
      </w:r>
      <w:r w:rsidR="005B5029">
        <w:rPr>
          <w:b/>
        </w:rPr>
        <w:t xml:space="preserve"> Midwife Vaccination Standards.</w:t>
      </w:r>
    </w:p>
    <w:p w:rsidR="003276E6" w:rsidRPr="00842199" w:rsidRDefault="003276E6" w:rsidP="003276E6">
      <w:pPr>
        <w:pStyle w:val="Bodycopy"/>
        <w:spacing w:after="0" w:line="280" w:lineRule="exact"/>
        <w:rPr>
          <w:b/>
        </w:rPr>
      </w:pPr>
      <w:r>
        <w:rPr>
          <w:b/>
        </w:rPr>
        <w:t>Disallowable Instrument</w:t>
      </w:r>
      <w:r w:rsidRPr="00451C85">
        <w:rPr>
          <w:b/>
        </w:rPr>
        <w:t xml:space="preserve"> </w:t>
      </w:r>
      <w:r>
        <w:rPr>
          <w:b/>
        </w:rPr>
        <w:t>DI2020-291</w:t>
      </w:r>
      <w:r w:rsidRPr="00451C85">
        <w:rPr>
          <w:b/>
        </w:rPr>
        <w:t xml:space="preserve"> being the </w:t>
      </w:r>
      <w:r>
        <w:rPr>
          <w:b/>
        </w:rPr>
        <w:t xml:space="preserve">Pest Plants and Animals (Pest Plant) Declaration 2020 made under section 7 of the </w:t>
      </w:r>
      <w:r>
        <w:rPr>
          <w:i/>
        </w:rPr>
        <w:t>Pest Plants and Animals Act 2005</w:t>
      </w:r>
      <w:r w:rsidRPr="00236BDD">
        <w:rPr>
          <w:b/>
        </w:rPr>
        <w:t xml:space="preserve"> </w:t>
      </w:r>
      <w:r>
        <w:rPr>
          <w:b/>
        </w:rPr>
        <w:t>declares a specified plant</w:t>
      </w:r>
      <w:r w:rsidR="005B5029">
        <w:rPr>
          <w:b/>
        </w:rPr>
        <w:t xml:space="preserve"> to be a pest plant in the ACT.</w:t>
      </w:r>
    </w:p>
    <w:p w:rsidR="003276E6" w:rsidRPr="00842199" w:rsidRDefault="003276E6" w:rsidP="003276E6">
      <w:pPr>
        <w:pStyle w:val="Bodycopy"/>
        <w:keepLines/>
        <w:spacing w:after="0" w:line="280" w:lineRule="exact"/>
        <w:rPr>
          <w:b/>
        </w:rPr>
      </w:pPr>
      <w:r>
        <w:rPr>
          <w:b/>
        </w:rPr>
        <w:t>Disallowable Instrument</w:t>
      </w:r>
      <w:r w:rsidRPr="00451C85">
        <w:rPr>
          <w:b/>
        </w:rPr>
        <w:t xml:space="preserve"> </w:t>
      </w:r>
      <w:r>
        <w:rPr>
          <w:b/>
        </w:rPr>
        <w:t>DI2020-293</w:t>
      </w:r>
      <w:r w:rsidRPr="00451C85">
        <w:rPr>
          <w:b/>
        </w:rPr>
        <w:t xml:space="preserve"> being the </w:t>
      </w:r>
      <w:r>
        <w:rPr>
          <w:b/>
        </w:rPr>
        <w:t xml:space="preserve">Motor Accident Injuries (Premiums) Guidelines 2020 (No 1) made under section 487 of the </w:t>
      </w:r>
      <w:r>
        <w:rPr>
          <w:i/>
        </w:rPr>
        <w:t>Motor Accident Injuries Act 2019</w:t>
      </w:r>
      <w:r w:rsidRPr="00236BDD">
        <w:rPr>
          <w:b/>
        </w:rPr>
        <w:t xml:space="preserve"> </w:t>
      </w:r>
      <w:r>
        <w:rPr>
          <w:b/>
        </w:rPr>
        <w:t>revokes DI2019-245 and makes t</w:t>
      </w:r>
      <w:r w:rsidR="005B5029">
        <w:rPr>
          <w:b/>
        </w:rPr>
        <w:t>he MAI Premium Guidelines 2020.</w:t>
      </w:r>
    </w:p>
    <w:p w:rsidR="003276E6" w:rsidRDefault="003276E6" w:rsidP="00DC4BD5">
      <w:pPr>
        <w:pStyle w:val="Bodycopy"/>
        <w:keepLines/>
        <w:spacing w:after="0" w:line="280" w:lineRule="exact"/>
        <w:rPr>
          <w:b/>
        </w:rPr>
      </w:pPr>
      <w:r w:rsidRPr="00646E6B">
        <w:rPr>
          <w:b/>
        </w:rPr>
        <w:t xml:space="preserve">Disallowable </w:t>
      </w:r>
      <w:r>
        <w:rPr>
          <w:b/>
        </w:rPr>
        <w:t>I</w:t>
      </w:r>
      <w:r w:rsidRPr="00646E6B">
        <w:rPr>
          <w:b/>
        </w:rPr>
        <w:t>nstrument</w:t>
      </w:r>
      <w:r>
        <w:rPr>
          <w:b/>
        </w:rPr>
        <w:t xml:space="preserve"> DI2020-294</w:t>
      </w:r>
      <w:r w:rsidRPr="00451C85">
        <w:rPr>
          <w:b/>
        </w:rPr>
        <w:t xml:space="preserve"> being the </w:t>
      </w:r>
      <w:r>
        <w:rPr>
          <w:b/>
        </w:rPr>
        <w:t xml:space="preserve">Road Transport (Driver Licensing) Instructor Code of Practice 2020 (No 1) made under section 118 of the </w:t>
      </w:r>
      <w:r>
        <w:rPr>
          <w:i/>
        </w:rPr>
        <w:t xml:space="preserve">Road Transport (Driver Licensing) Regulation 2000 </w:t>
      </w:r>
      <w:r>
        <w:rPr>
          <w:b/>
        </w:rPr>
        <w:t>revokes DI2016-237 and approves a Code of Practice for driving instructors undertaking driver assess</w:t>
      </w:r>
      <w:r w:rsidR="005B5029">
        <w:rPr>
          <w:b/>
        </w:rPr>
        <w:t>ment and/or driver instruction.</w:t>
      </w:r>
    </w:p>
    <w:p w:rsidR="00052319" w:rsidRPr="00103E7B" w:rsidRDefault="003379D7" w:rsidP="00052319">
      <w:pPr>
        <w:pStyle w:val="Heading3"/>
        <w:rPr>
          <w:rFonts w:eastAsia="Calibri"/>
          <w:lang w:eastAsia="en-AU"/>
        </w:rPr>
      </w:pPr>
      <w:bookmarkStart w:id="513" w:name="_Toc67055535"/>
      <w:bookmarkStart w:id="514" w:name="_Hlk504463130"/>
      <w:bookmarkEnd w:id="504"/>
      <w:bookmarkEnd w:id="505"/>
      <w:r w:rsidRPr="00103E7B">
        <w:rPr>
          <w:rFonts w:eastAsia="Calibri"/>
          <w:lang w:eastAsia="en-AU"/>
        </w:rPr>
        <w:t>Disallowable Instrument</w:t>
      </w:r>
      <w:r w:rsidR="00BA3E19" w:rsidRPr="00103E7B">
        <w:rPr>
          <w:rFonts w:eastAsia="Calibri"/>
          <w:lang w:eastAsia="en-AU"/>
        </w:rPr>
        <w:t>s</w:t>
      </w:r>
      <w:r w:rsidR="00052319" w:rsidRPr="00103E7B">
        <w:rPr>
          <w:rFonts w:eastAsia="Calibri"/>
          <w:lang w:eastAsia="en-AU"/>
        </w:rPr>
        <w:t>—Comment</w:t>
      </w:r>
      <w:bookmarkEnd w:id="513"/>
    </w:p>
    <w:p w:rsidR="00052319" w:rsidRDefault="00052319" w:rsidP="003379D7">
      <w:pPr>
        <w:rPr>
          <w:spacing w:val="-2"/>
        </w:rPr>
      </w:pPr>
      <w:r w:rsidRPr="003C60E7">
        <w:rPr>
          <w:spacing w:val="-2"/>
        </w:rPr>
        <w:t>The Committee has examined the fo</w:t>
      </w:r>
      <w:r w:rsidR="003379D7" w:rsidRPr="003C60E7">
        <w:rPr>
          <w:spacing w:val="-2"/>
        </w:rPr>
        <w:t>llowing disallowable instrument</w:t>
      </w:r>
      <w:r w:rsidR="00BA3E19">
        <w:rPr>
          <w:spacing w:val="-2"/>
        </w:rPr>
        <w:t>s</w:t>
      </w:r>
      <w:r w:rsidRPr="003C60E7">
        <w:rPr>
          <w:spacing w:val="-2"/>
        </w:rPr>
        <w:t xml:space="preserve"> and offers these comments on </w:t>
      </w:r>
      <w:r w:rsidR="00BA3E19">
        <w:rPr>
          <w:spacing w:val="-2"/>
        </w:rPr>
        <w:t>them</w:t>
      </w:r>
      <w:r w:rsidRPr="003C60E7">
        <w:rPr>
          <w:spacing w:val="-2"/>
        </w:rPr>
        <w:t>:</w:t>
      </w:r>
    </w:p>
    <w:p w:rsidR="00594988" w:rsidRPr="00BC09E3" w:rsidRDefault="00594988" w:rsidP="00594988">
      <w:pPr>
        <w:widowControl w:val="0"/>
        <w:tabs>
          <w:tab w:val="left" w:pos="1276"/>
        </w:tabs>
        <w:spacing w:before="120" w:after="120"/>
        <w:rPr>
          <w:rFonts w:ascii="Calibri" w:hAnsi="Calibri" w:cs="Calibri"/>
          <w:color w:val="000000"/>
        </w:rPr>
      </w:pPr>
      <w:r>
        <w:rPr>
          <w:rFonts w:ascii="Calibri" w:hAnsi="Calibri" w:cs="Calibri"/>
          <w:i/>
          <w:iCs/>
          <w:color w:val="000000"/>
        </w:rPr>
        <w:t>Human rights issues</w:t>
      </w:r>
    </w:p>
    <w:p w:rsidR="00594988" w:rsidRDefault="00594988" w:rsidP="00594988">
      <w:pPr>
        <w:pStyle w:val="Bodycopy"/>
        <w:spacing w:before="120" w:after="120" w:line="240" w:lineRule="auto"/>
        <w:rPr>
          <w:b/>
        </w:rPr>
      </w:pPr>
      <w:r>
        <w:rPr>
          <w:b/>
        </w:rPr>
        <w:t>Disallowable Instrument</w:t>
      </w:r>
      <w:r w:rsidRPr="00451C85">
        <w:rPr>
          <w:b/>
        </w:rPr>
        <w:t xml:space="preserve"> </w:t>
      </w:r>
      <w:r>
        <w:rPr>
          <w:b/>
        </w:rPr>
        <w:t>DI2020-287</w:t>
      </w:r>
      <w:r w:rsidRPr="00451C85">
        <w:rPr>
          <w:b/>
        </w:rPr>
        <w:t xml:space="preserve"> being the </w:t>
      </w:r>
      <w:r>
        <w:rPr>
          <w:b/>
        </w:rPr>
        <w:t>Litter (Amenity Impact) Code of Practice 2020 (No</w:t>
      </w:r>
      <w:r w:rsidR="006259CB">
        <w:rPr>
          <w:b/>
        </w:rPr>
        <w:t> </w:t>
      </w:r>
      <w:r>
        <w:rPr>
          <w:b/>
        </w:rPr>
        <w:t xml:space="preserve">1) made under section 24ZA of the </w:t>
      </w:r>
      <w:r>
        <w:rPr>
          <w:i/>
        </w:rPr>
        <w:t>Litter Act 2004</w:t>
      </w:r>
      <w:r w:rsidRPr="00236BDD">
        <w:rPr>
          <w:b/>
        </w:rPr>
        <w:t xml:space="preserve"> </w:t>
      </w:r>
      <w:r>
        <w:rPr>
          <w:b/>
        </w:rPr>
        <w:t>makes a Code of Practice which sets out guidelines for dealing with amenity impacts caused by hoar</w:t>
      </w:r>
      <w:r w:rsidR="005B5029">
        <w:rPr>
          <w:b/>
        </w:rPr>
        <w:t>ding on residential properties.</w:t>
      </w:r>
    </w:p>
    <w:p w:rsidR="00594988" w:rsidRDefault="00594988" w:rsidP="00594988">
      <w:pPr>
        <w:pStyle w:val="Bodycopy"/>
        <w:spacing w:before="120" w:after="120" w:line="240" w:lineRule="auto"/>
        <w:rPr>
          <w:bCs/>
        </w:rPr>
      </w:pPr>
      <w:r w:rsidRPr="00BC09E3">
        <w:rPr>
          <w:bCs/>
        </w:rPr>
        <w:t xml:space="preserve">This </w:t>
      </w:r>
      <w:r>
        <w:rPr>
          <w:bCs/>
        </w:rPr>
        <w:t xml:space="preserve">instrument, made under section 24ZA of the </w:t>
      </w:r>
      <w:r>
        <w:rPr>
          <w:bCs/>
          <w:i/>
          <w:iCs/>
        </w:rPr>
        <w:t>Litter Act 2004</w:t>
      </w:r>
      <w:r>
        <w:rPr>
          <w:bCs/>
        </w:rPr>
        <w:t>, makes a Code of Practice that deals, specifically, with “amenity impacts caused by hoarding” at an “open private place (property)</w:t>
      </w:r>
      <w:r w:rsidR="00F55B3D">
        <w:rPr>
          <w:bCs/>
        </w:rPr>
        <w:t>”</w:t>
      </w:r>
      <w:r>
        <w:rPr>
          <w:bCs/>
        </w:rPr>
        <w:t>.  The introduction to the Code explains:</w:t>
      </w:r>
    </w:p>
    <w:p w:rsidR="00594988" w:rsidRPr="00817F3B" w:rsidRDefault="00594988" w:rsidP="00594988">
      <w:pPr>
        <w:spacing w:after="120" w:line="259" w:lineRule="auto"/>
        <w:ind w:left="720"/>
        <w:rPr>
          <w:rFonts w:ascii="Calibri" w:eastAsia="Calibri" w:hAnsi="Calibri"/>
        </w:rPr>
      </w:pPr>
      <w:r w:rsidRPr="00817F3B">
        <w:rPr>
          <w:rFonts w:ascii="Calibri" w:eastAsia="Calibri" w:hAnsi="Calibri"/>
        </w:rPr>
        <w:t>The objects of the Litter Act include to protect and enhance the amenity of the ACT, including the wellbeing of its people. This recognises that the build-up of litter on a property can have a significant impact on both the people residing at the property and those living at adjoining properties.</w:t>
      </w:r>
    </w:p>
    <w:p w:rsidR="00594988" w:rsidRDefault="00594988" w:rsidP="00594988">
      <w:pPr>
        <w:pStyle w:val="Bodycopy"/>
        <w:spacing w:before="120" w:after="120" w:line="240" w:lineRule="auto"/>
        <w:rPr>
          <w:bCs/>
        </w:rPr>
      </w:pPr>
      <w:r>
        <w:rPr>
          <w:bCs/>
        </w:rPr>
        <w:t xml:space="preserve">The Code contains the following references to the human rights implications of the Code and to the </w:t>
      </w:r>
      <w:r w:rsidRPr="00817F3B">
        <w:rPr>
          <w:bCs/>
          <w:i/>
          <w:iCs/>
        </w:rPr>
        <w:t>Human Rights Act 200</w:t>
      </w:r>
      <w:r>
        <w:rPr>
          <w:bCs/>
          <w:i/>
          <w:iCs/>
        </w:rPr>
        <w:t>4</w:t>
      </w:r>
      <w:r>
        <w:rPr>
          <w:bCs/>
        </w:rPr>
        <w:t>:</w:t>
      </w:r>
    </w:p>
    <w:p w:rsidR="00594988" w:rsidRDefault="00594988" w:rsidP="00594988">
      <w:pPr>
        <w:spacing w:after="120" w:line="259" w:lineRule="auto"/>
        <w:ind w:left="720"/>
        <w:rPr>
          <w:rFonts w:ascii="Calibri" w:eastAsia="Calibri" w:hAnsi="Calibri"/>
        </w:rPr>
      </w:pPr>
      <w:r w:rsidRPr="00817F3B">
        <w:rPr>
          <w:rFonts w:ascii="Calibri" w:eastAsia="Calibri" w:hAnsi="Calibri"/>
        </w:rPr>
        <w:t xml:space="preserve">This Code provides a flexible pathway of social and regulatory approaches to ensure that cases of amenity impact are managed in the least restrictive way in accordance with the </w:t>
      </w:r>
      <w:r w:rsidRPr="00817F3B">
        <w:rPr>
          <w:rFonts w:ascii="Calibri" w:eastAsia="Calibri" w:hAnsi="Calibri"/>
          <w:i/>
          <w:iCs/>
        </w:rPr>
        <w:t>Human Rights Act 2004</w:t>
      </w:r>
      <w:r w:rsidRPr="00817F3B">
        <w:rPr>
          <w:rFonts w:ascii="Calibri" w:eastAsia="Calibri" w:hAnsi="Calibri"/>
        </w:rPr>
        <w:t xml:space="preserve">. </w:t>
      </w:r>
    </w:p>
    <w:p w:rsidR="00594988" w:rsidRDefault="00594988" w:rsidP="00594988">
      <w:pPr>
        <w:spacing w:after="120" w:line="259" w:lineRule="auto"/>
        <w:ind w:left="720"/>
        <w:rPr>
          <w:rFonts w:ascii="Calibri" w:eastAsia="Calibri" w:hAnsi="Calibri"/>
        </w:rPr>
      </w:pPr>
      <w:r>
        <w:rPr>
          <w:rFonts w:ascii="Calibri" w:eastAsia="Calibri" w:hAnsi="Calibri"/>
        </w:rPr>
        <w:t>…….</w:t>
      </w:r>
    </w:p>
    <w:p w:rsidR="00594988" w:rsidRDefault="00594988" w:rsidP="00594988">
      <w:pPr>
        <w:spacing w:after="120" w:line="259" w:lineRule="auto"/>
        <w:ind w:left="720"/>
        <w:rPr>
          <w:rFonts w:ascii="Calibri" w:eastAsia="Calibri" w:hAnsi="Calibri"/>
        </w:rPr>
      </w:pPr>
      <w:r w:rsidRPr="00817F3B">
        <w:rPr>
          <w:rFonts w:ascii="Calibri" w:eastAsia="Calibri" w:hAnsi="Calibri"/>
        </w:rPr>
        <w:t xml:space="preserve">This Code is made under section 24ZA of the Litter Act and provides general guidance to the Director-General of TCCS or a delegate (DG or delegate) in relation to the management of amenity impact circumstances, caused by hoarding, in a manner that recognises all </w:t>
      </w:r>
      <w:r w:rsidR="0091147B" w:rsidRPr="00817F3B">
        <w:rPr>
          <w:rFonts w:ascii="Calibri" w:eastAsia="Calibri" w:hAnsi="Calibri"/>
        </w:rPr>
        <w:t>parties’</w:t>
      </w:r>
      <w:r w:rsidRPr="00817F3B">
        <w:rPr>
          <w:rFonts w:ascii="Calibri" w:eastAsia="Calibri" w:hAnsi="Calibri"/>
        </w:rPr>
        <w:t xml:space="preserve"> fundamental human rights. </w:t>
      </w:r>
    </w:p>
    <w:p w:rsidR="00594988" w:rsidRDefault="00594988" w:rsidP="00594988">
      <w:pPr>
        <w:spacing w:after="120" w:line="259" w:lineRule="auto"/>
        <w:ind w:left="720"/>
        <w:rPr>
          <w:rFonts w:ascii="Calibri" w:eastAsia="Calibri" w:hAnsi="Calibri"/>
        </w:rPr>
      </w:pPr>
      <w:r>
        <w:rPr>
          <w:rFonts w:ascii="Calibri" w:eastAsia="Calibri" w:hAnsi="Calibri"/>
        </w:rPr>
        <w:t>…….</w:t>
      </w:r>
    </w:p>
    <w:p w:rsidR="00594988" w:rsidRPr="00817F3B" w:rsidRDefault="00594988" w:rsidP="00594988">
      <w:pPr>
        <w:keepNext/>
        <w:keepLines/>
        <w:spacing w:before="240" w:line="259" w:lineRule="auto"/>
        <w:ind w:left="720"/>
        <w:outlineLvl w:val="0"/>
        <w:rPr>
          <w:rFonts w:ascii="Calibri" w:hAnsi="Calibri"/>
          <w:color w:val="000000" w:themeColor="text1"/>
          <w:szCs w:val="32"/>
        </w:rPr>
      </w:pPr>
      <w:bookmarkStart w:id="515" w:name="_Toc45802589"/>
      <w:r w:rsidRPr="00817F3B">
        <w:rPr>
          <w:rFonts w:ascii="Calibri" w:hAnsi="Calibri"/>
          <w:color w:val="000000" w:themeColor="text1"/>
          <w:szCs w:val="32"/>
        </w:rPr>
        <w:t>3 List of Key Principles</w:t>
      </w:r>
      <w:bookmarkEnd w:id="515"/>
    </w:p>
    <w:p w:rsidR="00594988" w:rsidRPr="00817F3B" w:rsidRDefault="00594988" w:rsidP="00594988">
      <w:pPr>
        <w:spacing w:after="120" w:line="259" w:lineRule="auto"/>
        <w:ind w:left="720"/>
        <w:rPr>
          <w:rFonts w:ascii="Calibri" w:eastAsia="Calibri" w:hAnsi="Calibri"/>
          <w:color w:val="000000" w:themeColor="text1"/>
        </w:rPr>
      </w:pPr>
      <w:r w:rsidRPr="00817F3B">
        <w:rPr>
          <w:rFonts w:ascii="Calibri" w:eastAsia="Calibri" w:hAnsi="Calibri"/>
          <w:color w:val="000000" w:themeColor="text1"/>
        </w:rPr>
        <w:t>When managing cases of amenity impact, the following principles must be taken into account:</w:t>
      </w:r>
    </w:p>
    <w:p w:rsidR="00594988" w:rsidRPr="00817F3B" w:rsidRDefault="00594988" w:rsidP="00594988">
      <w:pPr>
        <w:numPr>
          <w:ilvl w:val="0"/>
          <w:numId w:val="36"/>
        </w:numPr>
        <w:shd w:val="clear" w:color="auto" w:fill="FFFFFF"/>
        <w:spacing w:before="0" w:after="160" w:line="259" w:lineRule="auto"/>
        <w:ind w:left="1440"/>
        <w:contextualSpacing/>
        <w:rPr>
          <w:rFonts w:ascii="Calibri" w:eastAsia="Calibri" w:hAnsi="Calibri"/>
          <w:color w:val="000000" w:themeColor="text1"/>
        </w:rPr>
      </w:pPr>
      <w:r w:rsidRPr="00817F3B">
        <w:rPr>
          <w:rFonts w:ascii="Calibri" w:eastAsia="Calibri" w:hAnsi="Calibri"/>
          <w:color w:val="000000" w:themeColor="text1"/>
        </w:rPr>
        <w:t>a person with a mental disorder or mental illness has the same rights and responsibilities as other members of the community and is to be supported to exercise those rights and responsibilities without discrimination;</w:t>
      </w:r>
    </w:p>
    <w:p w:rsidR="00594988" w:rsidRPr="00817F3B" w:rsidRDefault="00594988" w:rsidP="00594988">
      <w:pPr>
        <w:numPr>
          <w:ilvl w:val="0"/>
          <w:numId w:val="36"/>
        </w:numPr>
        <w:shd w:val="clear" w:color="auto" w:fill="FFFFFF"/>
        <w:spacing w:before="0" w:after="160" w:line="259" w:lineRule="auto"/>
        <w:ind w:left="1440"/>
        <w:contextualSpacing/>
        <w:rPr>
          <w:rFonts w:ascii="Calibri" w:eastAsia="Calibri" w:hAnsi="Calibri"/>
          <w:color w:val="000000" w:themeColor="text1"/>
        </w:rPr>
      </w:pPr>
      <w:r w:rsidRPr="00817F3B">
        <w:rPr>
          <w:rFonts w:ascii="Calibri" w:eastAsia="Calibri" w:hAnsi="Calibri"/>
          <w:color w:val="000000" w:themeColor="text1"/>
        </w:rPr>
        <w:t>a person with a mental disorder or mental illness has the right to be assumed to have decision making capacity, unless it is established by a professional that the person does not have decision making capacity;</w:t>
      </w:r>
    </w:p>
    <w:p w:rsidR="00594988" w:rsidRPr="00817F3B" w:rsidRDefault="00594988" w:rsidP="00594988">
      <w:pPr>
        <w:numPr>
          <w:ilvl w:val="0"/>
          <w:numId w:val="36"/>
        </w:numPr>
        <w:shd w:val="clear" w:color="auto" w:fill="FFFFFF"/>
        <w:spacing w:before="0" w:after="160" w:line="259" w:lineRule="auto"/>
        <w:ind w:left="1440"/>
        <w:contextualSpacing/>
        <w:rPr>
          <w:rFonts w:ascii="Calibri" w:eastAsia="Calibri" w:hAnsi="Calibri"/>
          <w:color w:val="000000" w:themeColor="text1"/>
        </w:rPr>
      </w:pPr>
      <w:r w:rsidRPr="00817F3B">
        <w:rPr>
          <w:rFonts w:ascii="Calibri" w:eastAsia="Calibri" w:hAnsi="Calibri"/>
          <w:color w:val="000000" w:themeColor="text1"/>
        </w:rPr>
        <w:t>a person’s will should be considered when determining the best course of action;</w:t>
      </w:r>
    </w:p>
    <w:p w:rsidR="00594988" w:rsidRPr="00817F3B" w:rsidRDefault="00594988" w:rsidP="00594988">
      <w:pPr>
        <w:numPr>
          <w:ilvl w:val="0"/>
          <w:numId w:val="36"/>
        </w:numPr>
        <w:shd w:val="clear" w:color="auto" w:fill="FFFFFF"/>
        <w:spacing w:before="0" w:after="160" w:line="259" w:lineRule="auto"/>
        <w:ind w:left="1440"/>
        <w:contextualSpacing/>
        <w:rPr>
          <w:rFonts w:ascii="Calibri" w:eastAsia="Calibri" w:hAnsi="Calibri"/>
          <w:color w:val="000000" w:themeColor="text1"/>
        </w:rPr>
      </w:pPr>
      <w:r w:rsidRPr="00817F3B">
        <w:rPr>
          <w:rFonts w:ascii="Calibri" w:eastAsia="Calibri" w:hAnsi="Calibri"/>
          <w:color w:val="000000" w:themeColor="text1"/>
        </w:rPr>
        <w:t>the human rights of individuals are respected, and cases of amenity impact are treated in the least restrictive way; and</w:t>
      </w:r>
    </w:p>
    <w:p w:rsidR="00594988" w:rsidRPr="00817F3B" w:rsidRDefault="00594988" w:rsidP="005A33C7">
      <w:pPr>
        <w:numPr>
          <w:ilvl w:val="0"/>
          <w:numId w:val="36"/>
        </w:numPr>
        <w:shd w:val="clear" w:color="auto" w:fill="FFFFFF"/>
        <w:spacing w:before="480" w:after="120" w:line="259" w:lineRule="auto"/>
        <w:ind w:left="1440"/>
        <w:contextualSpacing/>
        <w:rPr>
          <w:rFonts w:ascii="Calibri" w:eastAsia="Calibri" w:hAnsi="Calibri"/>
          <w:color w:val="000000" w:themeColor="text1"/>
        </w:rPr>
      </w:pPr>
      <w:proofErr w:type="gramStart"/>
      <w:r w:rsidRPr="00817F3B">
        <w:rPr>
          <w:rFonts w:ascii="Calibri" w:eastAsia="Calibri" w:hAnsi="Calibri"/>
          <w:color w:val="000000" w:themeColor="text1"/>
        </w:rPr>
        <w:t>amenity</w:t>
      </w:r>
      <w:proofErr w:type="gramEnd"/>
      <w:r w:rsidRPr="00817F3B">
        <w:rPr>
          <w:rFonts w:ascii="Calibri" w:eastAsia="Calibri" w:hAnsi="Calibri"/>
          <w:color w:val="000000" w:themeColor="text1"/>
        </w:rPr>
        <w:t xml:space="preserve"> impact caused by the build-up of significant amounts of litter on a property can have an impact on the mental health and wellbeing of neighbours.</w:t>
      </w:r>
    </w:p>
    <w:p w:rsidR="00594988" w:rsidRDefault="00594988" w:rsidP="00594988">
      <w:pPr>
        <w:spacing w:after="120" w:line="259" w:lineRule="auto"/>
        <w:rPr>
          <w:rFonts w:ascii="Calibri" w:eastAsia="Calibri" w:hAnsi="Calibri"/>
        </w:rPr>
      </w:pPr>
      <w:r>
        <w:rPr>
          <w:rFonts w:ascii="Calibri" w:eastAsia="Calibri" w:hAnsi="Calibri"/>
        </w:rPr>
        <w:t xml:space="preserve">Appendix A to the Code also refers to the </w:t>
      </w:r>
      <w:r w:rsidRPr="0008375C">
        <w:rPr>
          <w:rFonts w:ascii="Calibri" w:eastAsia="Calibri" w:hAnsi="Calibri"/>
        </w:rPr>
        <w:t>Human Rights Act</w:t>
      </w:r>
      <w:r>
        <w:rPr>
          <w:rFonts w:ascii="Calibri" w:eastAsia="Calibri" w:hAnsi="Calibri"/>
        </w:rPr>
        <w:t>, in a list of “Legislation Relating to Hoarding”.</w:t>
      </w:r>
    </w:p>
    <w:p w:rsidR="00594988" w:rsidRDefault="00594988" w:rsidP="00594988">
      <w:pPr>
        <w:spacing w:after="120" w:line="259" w:lineRule="auto"/>
        <w:rPr>
          <w:rFonts w:ascii="Calibri" w:eastAsia="Calibri" w:hAnsi="Calibri"/>
        </w:rPr>
      </w:pPr>
      <w:r>
        <w:rPr>
          <w:rFonts w:ascii="Calibri" w:eastAsia="Calibri" w:hAnsi="Calibri"/>
        </w:rPr>
        <w:t xml:space="preserve">The Committee notes that, despite the evident relevance of the </w:t>
      </w:r>
      <w:r w:rsidRPr="0008375C">
        <w:rPr>
          <w:rFonts w:ascii="Calibri" w:eastAsia="Calibri" w:hAnsi="Calibri"/>
        </w:rPr>
        <w:t>Human Rights Act</w:t>
      </w:r>
      <w:r>
        <w:rPr>
          <w:rFonts w:ascii="Calibri" w:eastAsia="Calibri" w:hAnsi="Calibri"/>
        </w:rPr>
        <w:t xml:space="preserve"> to the Code, the explanatory statement for the instrument does not substantivel</w:t>
      </w:r>
      <w:r w:rsidR="00721383">
        <w:rPr>
          <w:rFonts w:ascii="Calibri" w:eastAsia="Calibri" w:hAnsi="Calibri"/>
        </w:rPr>
        <w:t xml:space="preserve">y address human rights issues. </w:t>
      </w:r>
      <w:r>
        <w:rPr>
          <w:rFonts w:ascii="Calibri" w:eastAsia="Calibri" w:hAnsi="Calibri"/>
        </w:rPr>
        <w:t>The only reference to “human rights” is in the following paragraph of the explanatory statement:</w:t>
      </w:r>
    </w:p>
    <w:p w:rsidR="00594988" w:rsidRPr="003C39D8" w:rsidRDefault="00594988" w:rsidP="00594988">
      <w:pPr>
        <w:spacing w:after="120"/>
        <w:ind w:left="720"/>
        <w:rPr>
          <w:rFonts w:cstheme="minorHAnsi"/>
        </w:rPr>
      </w:pPr>
      <w:r w:rsidRPr="003C39D8">
        <w:rPr>
          <w:rFonts w:cstheme="minorHAnsi"/>
        </w:rPr>
        <w:t>This instrument provides guidance concerning the procedure that the Director-General and authorised persons under the Act must follow when investigating and regulating an amenity impact. The guidance provided in the code is flexible to allow each case of amenity impact to be managed in an appropriate manner. The code ensures that regulatory action is not taken in isolation and that consultation with other government agencies or social services occurs. It also ensures that the human rights of all parties involved are respected and that when regulatory action is taken, it only occurs when other attempts to remove the amenity impact have failed.</w:t>
      </w:r>
    </w:p>
    <w:p w:rsidR="00594988" w:rsidRDefault="00594988" w:rsidP="00594988">
      <w:pPr>
        <w:spacing w:after="120" w:line="259" w:lineRule="auto"/>
        <w:rPr>
          <w:rFonts w:ascii="Calibri" w:eastAsia="Calibri" w:hAnsi="Calibri"/>
        </w:rPr>
      </w:pPr>
      <w:r>
        <w:rPr>
          <w:rFonts w:ascii="Calibri" w:eastAsia="Calibri" w:hAnsi="Calibri"/>
        </w:rPr>
        <w:t xml:space="preserve">While the Committee acknowledges that under section 38 of the </w:t>
      </w:r>
      <w:r w:rsidRPr="0008375C">
        <w:rPr>
          <w:rFonts w:ascii="Calibri" w:eastAsia="Calibri" w:hAnsi="Calibri"/>
        </w:rPr>
        <w:t>Human Rights Act</w:t>
      </w:r>
      <w:r>
        <w:rPr>
          <w:rFonts w:ascii="Calibri" w:eastAsia="Calibri" w:hAnsi="Calibri"/>
        </w:rPr>
        <w:t>, the Committee only has express jurisdiction in relation to “</w:t>
      </w:r>
      <w:r w:rsidRPr="003C39D8">
        <w:rPr>
          <w:rFonts w:ascii="Calibri" w:eastAsia="Calibri" w:hAnsi="Calibri"/>
        </w:rPr>
        <w:t>human rights issues raised by bills presented to the Assembly</w:t>
      </w:r>
      <w:r>
        <w:rPr>
          <w:rFonts w:ascii="Calibri" w:eastAsia="Calibri" w:hAnsi="Calibri"/>
        </w:rPr>
        <w:t>”, the Committee also notes that, in recent years, despite this limitation, explanatory statements for subordinate legislation increasingly (and expressly) address human rights issues arising</w:t>
      </w:r>
      <w:r w:rsidR="00721383">
        <w:rPr>
          <w:rFonts w:ascii="Calibri" w:eastAsia="Calibri" w:hAnsi="Calibri"/>
        </w:rPr>
        <w:t xml:space="preserve"> from subordinate legislation. </w:t>
      </w:r>
      <w:r>
        <w:rPr>
          <w:rFonts w:ascii="Calibri" w:eastAsia="Calibri" w:hAnsi="Calibri"/>
        </w:rPr>
        <w:t>The Committee has welcomed this development, which has assisted the Committee in its scrutiny of subordinate legislation, including by reference to the Committee’s consideration as to whether subordinate legislation “unduly trespasses on rights previously established by law”, for principle (10)(c)(ii) of the Committee’s terms of reference.</w:t>
      </w:r>
    </w:p>
    <w:p w:rsidR="00594988" w:rsidRDefault="00594988" w:rsidP="00594988">
      <w:pPr>
        <w:spacing w:after="120" w:line="259" w:lineRule="auto"/>
        <w:rPr>
          <w:rFonts w:ascii="Calibri" w:eastAsia="Calibri" w:hAnsi="Calibri"/>
        </w:rPr>
      </w:pPr>
      <w:r>
        <w:rPr>
          <w:rFonts w:ascii="Calibri" w:eastAsia="Calibri" w:hAnsi="Calibri"/>
        </w:rPr>
        <w:t xml:space="preserve">Given the clear indication that this instrument engages (unspecified) human rights, the Committee considers that (despite the absence of any express </w:t>
      </w:r>
      <w:r w:rsidRPr="0008375C">
        <w:rPr>
          <w:rFonts w:ascii="Calibri" w:eastAsia="Calibri" w:hAnsi="Calibri"/>
        </w:rPr>
        <w:t>Human Rights Act</w:t>
      </w:r>
      <w:r>
        <w:rPr>
          <w:rFonts w:ascii="Calibri" w:eastAsia="Calibri" w:hAnsi="Calibri"/>
        </w:rPr>
        <w:t xml:space="preserve"> jurisdiction, for the Committee, in this instance) the explanatory statement for this instrument ought to have substantively addressed the human rights issues engaged by the Code.</w:t>
      </w:r>
    </w:p>
    <w:p w:rsidR="00594988" w:rsidRDefault="00594988" w:rsidP="00594988">
      <w:pPr>
        <w:widowControl w:val="0"/>
        <w:tabs>
          <w:tab w:val="left" w:pos="1276"/>
        </w:tabs>
        <w:spacing w:before="120" w:after="120" w:line="300" w:lineRule="exact"/>
        <w:rPr>
          <w:rFonts w:ascii="Calibri" w:eastAsia="Calibri" w:hAnsi="Calibri"/>
        </w:rPr>
      </w:pPr>
      <w:r>
        <w:rPr>
          <w:rFonts w:ascii="Calibri" w:hAnsi="Calibri" w:cs="Calibri"/>
          <w:b/>
          <w:bCs/>
        </w:rPr>
        <w:t>The Committee draws the attention of the Legislative Assembly to this instrument, under principle (10</w:t>
      </w:r>
      <w:proofErr w:type="gramStart"/>
      <w:r>
        <w:rPr>
          <w:rFonts w:ascii="Calibri" w:hAnsi="Calibri" w:cs="Calibri"/>
          <w:b/>
          <w:bCs/>
        </w:rPr>
        <w:t>)(</w:t>
      </w:r>
      <w:proofErr w:type="gramEnd"/>
      <w:r>
        <w:rPr>
          <w:rFonts w:ascii="Calibri" w:hAnsi="Calibri" w:cs="Calibri"/>
          <w:b/>
          <w:bCs/>
        </w:rPr>
        <w:t>c)(ii) of the Committee’s terms of reference, on the basis that the instrument may</w:t>
      </w:r>
      <w:r w:rsidRPr="00633381">
        <w:rPr>
          <w:rFonts w:ascii="Calibri" w:hAnsi="Calibri" w:cs="Calibri"/>
          <w:b/>
          <w:bCs/>
        </w:rPr>
        <w:t xml:space="preserve"> </w:t>
      </w:r>
      <w:r w:rsidR="0091147B">
        <w:rPr>
          <w:rFonts w:ascii="Calibri" w:eastAsia="Calibri" w:hAnsi="Calibri"/>
          <w:b/>
          <w:bCs/>
        </w:rPr>
        <w:t>unduly trespass</w:t>
      </w:r>
      <w:r w:rsidRPr="00633381">
        <w:rPr>
          <w:rFonts w:ascii="Calibri" w:eastAsia="Calibri" w:hAnsi="Calibri"/>
          <w:b/>
          <w:bCs/>
        </w:rPr>
        <w:t xml:space="preserve"> on rights previously established by law</w:t>
      </w:r>
      <w:r>
        <w:rPr>
          <w:rFonts w:ascii="Calibri" w:eastAsia="Calibri" w:hAnsi="Calibri"/>
        </w:rPr>
        <w:t>.</w:t>
      </w:r>
    </w:p>
    <w:p w:rsidR="00594988" w:rsidRDefault="00594988" w:rsidP="00594988">
      <w:pPr>
        <w:widowControl w:val="0"/>
        <w:tabs>
          <w:tab w:val="left" w:pos="1276"/>
        </w:tabs>
        <w:spacing w:before="120" w:after="120" w:line="300" w:lineRule="exact"/>
        <w:rPr>
          <w:rFonts w:ascii="Calibri" w:hAnsi="Calibri" w:cs="Calibri"/>
          <w:b/>
          <w:bCs/>
        </w:rPr>
      </w:pPr>
      <w:r w:rsidRPr="00633381">
        <w:rPr>
          <w:rFonts w:ascii="Calibri" w:eastAsia="Calibri" w:hAnsi="Calibri"/>
          <w:b/>
          <w:bCs/>
        </w:rPr>
        <w:t>The Committee also draws the attention of the Legislative Assembly to this instrument, under principle (10</w:t>
      </w:r>
      <w:proofErr w:type="gramStart"/>
      <w:r w:rsidRPr="00633381">
        <w:rPr>
          <w:rFonts w:ascii="Calibri" w:eastAsia="Calibri" w:hAnsi="Calibri"/>
          <w:b/>
          <w:bCs/>
        </w:rPr>
        <w:t>)(</w:t>
      </w:r>
      <w:proofErr w:type="gramEnd"/>
      <w:r w:rsidRPr="00633381">
        <w:rPr>
          <w:rFonts w:ascii="Calibri" w:eastAsia="Calibri" w:hAnsi="Calibri"/>
          <w:b/>
          <w:bCs/>
        </w:rPr>
        <w:t>d) of the Committee’s terms of reference</w:t>
      </w:r>
      <w:r w:rsidRPr="00633381">
        <w:rPr>
          <w:rFonts w:ascii="Calibri" w:hAnsi="Calibri" w:cs="Calibri"/>
          <w:b/>
          <w:bCs/>
        </w:rPr>
        <w:t>, on the basis that the explanatory statement for the instrument</w:t>
      </w:r>
      <w:r>
        <w:rPr>
          <w:rFonts w:ascii="Calibri" w:hAnsi="Calibri" w:cs="Calibri"/>
          <w:b/>
          <w:bCs/>
        </w:rPr>
        <w:t xml:space="preserve"> does not </w:t>
      </w:r>
      <w:r w:rsidRPr="009100C7">
        <w:rPr>
          <w:rFonts w:ascii="Calibri" w:hAnsi="Calibri" w:cs="Calibri"/>
          <w:b/>
          <w:bCs/>
        </w:rPr>
        <w:t>meet the technical or stylistic standards expected by the Committee</w:t>
      </w:r>
      <w:r>
        <w:rPr>
          <w:rFonts w:ascii="Calibri" w:hAnsi="Calibri" w:cs="Calibri"/>
          <w:b/>
          <w:bCs/>
        </w:rPr>
        <w:t>.</w:t>
      </w:r>
    </w:p>
    <w:p w:rsidR="00594988" w:rsidRPr="009100C7" w:rsidRDefault="00594988" w:rsidP="00594988">
      <w:pPr>
        <w:widowControl w:val="0"/>
        <w:tabs>
          <w:tab w:val="left" w:pos="1276"/>
        </w:tabs>
        <w:spacing w:before="120" w:after="120" w:line="300" w:lineRule="exact"/>
        <w:rPr>
          <w:rFonts w:ascii="Calibri" w:hAnsi="Calibri" w:cs="Calibri"/>
          <w:b/>
          <w:bCs/>
        </w:rPr>
      </w:pPr>
      <w:r>
        <w:rPr>
          <w:rFonts w:ascii="Calibri" w:hAnsi="Calibri" w:cs="Calibri"/>
          <w:b/>
          <w:bCs/>
        </w:rPr>
        <w:t>This comment requires a response from the Minister.</w:t>
      </w:r>
    </w:p>
    <w:p w:rsidR="00594988" w:rsidRDefault="00594988" w:rsidP="00594988">
      <w:pPr>
        <w:pStyle w:val="Bodycopy"/>
        <w:spacing w:before="120" w:after="120" w:line="240" w:lineRule="auto"/>
        <w:rPr>
          <w:bCs/>
          <w:i/>
          <w:iCs/>
        </w:rPr>
      </w:pPr>
      <w:r>
        <w:rPr>
          <w:bCs/>
          <w:i/>
          <w:iCs/>
        </w:rPr>
        <w:t>Human rights issues</w:t>
      </w:r>
    </w:p>
    <w:p w:rsidR="00594988" w:rsidRPr="00842199" w:rsidRDefault="00594988" w:rsidP="00594988">
      <w:pPr>
        <w:pStyle w:val="Bodycopy"/>
        <w:spacing w:before="120" w:after="120" w:line="240" w:lineRule="auto"/>
        <w:rPr>
          <w:b/>
        </w:rPr>
      </w:pPr>
      <w:r>
        <w:rPr>
          <w:b/>
        </w:rPr>
        <w:t>Disallowable Instrument</w:t>
      </w:r>
      <w:r w:rsidRPr="00451C85">
        <w:rPr>
          <w:b/>
        </w:rPr>
        <w:t xml:space="preserve"> </w:t>
      </w:r>
      <w:r>
        <w:rPr>
          <w:b/>
        </w:rPr>
        <w:t>DI2020-288</w:t>
      </w:r>
      <w:r w:rsidRPr="00451C85">
        <w:rPr>
          <w:b/>
        </w:rPr>
        <w:t xml:space="preserve"> being the </w:t>
      </w:r>
      <w:r>
        <w:rPr>
          <w:b/>
        </w:rPr>
        <w:t xml:space="preserve">Public Place Names (Taylor) Determination 2020 (No 4) made under section 3 of the </w:t>
      </w:r>
      <w:r>
        <w:rPr>
          <w:i/>
        </w:rPr>
        <w:t>Public Place Names Act 1989</w:t>
      </w:r>
      <w:r w:rsidRPr="00236BDD">
        <w:rPr>
          <w:b/>
        </w:rPr>
        <w:t xml:space="preserve"> </w:t>
      </w:r>
      <w:r>
        <w:rPr>
          <w:b/>
        </w:rPr>
        <w:t>determines the names of seven r</w:t>
      </w:r>
      <w:r w:rsidR="005A33C7">
        <w:rPr>
          <w:b/>
        </w:rPr>
        <w:t>oads in the Division of Taylor.</w:t>
      </w:r>
    </w:p>
    <w:p w:rsidR="00594988" w:rsidRPr="00842199" w:rsidRDefault="00594988" w:rsidP="005A33C7">
      <w:pPr>
        <w:pStyle w:val="Bodycopy"/>
        <w:keepLines/>
        <w:spacing w:before="120" w:after="120" w:line="240" w:lineRule="auto"/>
        <w:rPr>
          <w:b/>
        </w:rPr>
      </w:pPr>
      <w:r>
        <w:rPr>
          <w:b/>
        </w:rPr>
        <w:t>Disallowable Instrument</w:t>
      </w:r>
      <w:r w:rsidRPr="00451C85">
        <w:rPr>
          <w:b/>
        </w:rPr>
        <w:t xml:space="preserve"> </w:t>
      </w:r>
      <w:r>
        <w:rPr>
          <w:b/>
        </w:rPr>
        <w:t>DI2020-289</w:t>
      </w:r>
      <w:r w:rsidRPr="00451C85">
        <w:rPr>
          <w:b/>
        </w:rPr>
        <w:t xml:space="preserve"> being the </w:t>
      </w:r>
      <w:r>
        <w:rPr>
          <w:b/>
        </w:rPr>
        <w:t xml:space="preserve">Public Place Names (Taylor) Determination 2020 (No 5) made under section 3 of the </w:t>
      </w:r>
      <w:r>
        <w:rPr>
          <w:i/>
        </w:rPr>
        <w:t>Public Place Names Act 1989</w:t>
      </w:r>
      <w:r w:rsidRPr="00236BDD">
        <w:rPr>
          <w:b/>
        </w:rPr>
        <w:t xml:space="preserve"> </w:t>
      </w:r>
      <w:r>
        <w:rPr>
          <w:b/>
        </w:rPr>
        <w:t xml:space="preserve">determines the name of a </w:t>
      </w:r>
      <w:r w:rsidR="005A33C7">
        <w:rPr>
          <w:b/>
        </w:rPr>
        <w:t>park in the Division of Taylor.</w:t>
      </w:r>
    </w:p>
    <w:p w:rsidR="00594988" w:rsidRPr="00842199" w:rsidRDefault="00594988" w:rsidP="00FA62F0">
      <w:pPr>
        <w:pStyle w:val="Bodycopy"/>
        <w:keepLines/>
        <w:spacing w:before="120" w:after="120" w:line="240" w:lineRule="auto"/>
        <w:rPr>
          <w:b/>
        </w:rPr>
      </w:pPr>
      <w:r>
        <w:rPr>
          <w:b/>
        </w:rPr>
        <w:t>Disallowable Instrument</w:t>
      </w:r>
      <w:r w:rsidRPr="00451C85">
        <w:rPr>
          <w:b/>
        </w:rPr>
        <w:t xml:space="preserve"> </w:t>
      </w:r>
      <w:r>
        <w:rPr>
          <w:b/>
        </w:rPr>
        <w:t>DI2020-292</w:t>
      </w:r>
      <w:r w:rsidRPr="00451C85">
        <w:rPr>
          <w:b/>
        </w:rPr>
        <w:t xml:space="preserve"> being the </w:t>
      </w:r>
      <w:r>
        <w:rPr>
          <w:b/>
        </w:rPr>
        <w:t>Public Place Names (</w:t>
      </w:r>
      <w:proofErr w:type="spellStart"/>
      <w:r>
        <w:rPr>
          <w:b/>
        </w:rPr>
        <w:t>Strathnairn</w:t>
      </w:r>
      <w:proofErr w:type="spellEnd"/>
      <w:r>
        <w:rPr>
          <w:b/>
        </w:rPr>
        <w:t xml:space="preserve">) Determination 2020 (No 3) made under section 3 of the </w:t>
      </w:r>
      <w:r>
        <w:rPr>
          <w:i/>
        </w:rPr>
        <w:t>Public Place Names Act 1989</w:t>
      </w:r>
      <w:r w:rsidRPr="00236BDD">
        <w:rPr>
          <w:b/>
        </w:rPr>
        <w:t xml:space="preserve"> </w:t>
      </w:r>
      <w:r>
        <w:rPr>
          <w:b/>
        </w:rPr>
        <w:t xml:space="preserve">determines the name of a park </w:t>
      </w:r>
      <w:r w:rsidR="005A33C7">
        <w:rPr>
          <w:b/>
        </w:rPr>
        <w:t xml:space="preserve">in the Division of </w:t>
      </w:r>
      <w:proofErr w:type="spellStart"/>
      <w:r w:rsidR="005A33C7">
        <w:rPr>
          <w:b/>
        </w:rPr>
        <w:t>Strathnairn</w:t>
      </w:r>
      <w:proofErr w:type="spellEnd"/>
      <w:r w:rsidR="005A33C7">
        <w:rPr>
          <w:b/>
        </w:rPr>
        <w:t>.</w:t>
      </w:r>
    </w:p>
    <w:p w:rsidR="00594988" w:rsidRDefault="00594988" w:rsidP="00594988">
      <w:pPr>
        <w:pStyle w:val="Bodycopy"/>
        <w:spacing w:before="120" w:after="120" w:line="240" w:lineRule="auto"/>
        <w:rPr>
          <w:bCs/>
        </w:rPr>
      </w:pPr>
      <w:r>
        <w:rPr>
          <w:bCs/>
        </w:rPr>
        <w:t xml:space="preserve">Each of the instruments mentioned above determines place names, under </w:t>
      </w:r>
      <w:r w:rsidRPr="009763E3">
        <w:rPr>
          <w:bCs/>
        </w:rPr>
        <w:t xml:space="preserve">section 3 of the </w:t>
      </w:r>
      <w:r w:rsidRPr="009763E3">
        <w:rPr>
          <w:bCs/>
          <w:i/>
          <w:iCs/>
        </w:rPr>
        <w:t>Public Place Names Act 1989</w:t>
      </w:r>
      <w:r w:rsidR="00721383">
        <w:rPr>
          <w:bCs/>
        </w:rPr>
        <w:t xml:space="preserve">. </w:t>
      </w:r>
      <w:r>
        <w:rPr>
          <w:bCs/>
        </w:rPr>
        <w:t>The Committee notes that the explanatory statement for each of the instruments disc</w:t>
      </w:r>
      <w:r w:rsidR="00721383">
        <w:rPr>
          <w:bCs/>
        </w:rPr>
        <w:t xml:space="preserve">usses the human rights issues. </w:t>
      </w:r>
      <w:r>
        <w:rPr>
          <w:bCs/>
        </w:rPr>
        <w:t>For example, the explanatory statement for the first instrument mentioned above states:</w:t>
      </w:r>
    </w:p>
    <w:p w:rsidR="00594988" w:rsidRPr="009763E3" w:rsidRDefault="00594988" w:rsidP="00594988">
      <w:pPr>
        <w:keepNext/>
        <w:spacing w:before="120" w:after="120"/>
        <w:ind w:left="720"/>
        <w:rPr>
          <w:rFonts w:cstheme="minorHAnsi"/>
          <w:i/>
          <w:iCs/>
        </w:rPr>
      </w:pPr>
      <w:r w:rsidRPr="009763E3">
        <w:rPr>
          <w:rFonts w:cstheme="minorHAnsi"/>
          <w:u w:val="single"/>
        </w:rPr>
        <w:t>Human Rights</w:t>
      </w:r>
    </w:p>
    <w:p w:rsidR="00594988" w:rsidRPr="009763E3" w:rsidRDefault="00594988" w:rsidP="00594988">
      <w:pPr>
        <w:spacing w:before="120" w:after="120"/>
        <w:ind w:left="720"/>
        <w:rPr>
          <w:rFonts w:cstheme="minorHAnsi"/>
        </w:rPr>
      </w:pPr>
      <w:r w:rsidRPr="009763E3">
        <w:rPr>
          <w:rFonts w:cstheme="minorHAnsi"/>
        </w:rPr>
        <w:t xml:space="preserve">Section 12 of the </w:t>
      </w:r>
      <w:r w:rsidRPr="009763E3">
        <w:rPr>
          <w:rFonts w:cstheme="minorHAnsi"/>
          <w:i/>
        </w:rPr>
        <w:t>Human Rights Act 2004</w:t>
      </w:r>
      <w:r w:rsidRPr="009763E3">
        <w:rPr>
          <w:rFonts w:cstheme="minorHAnsi"/>
        </w:rPr>
        <w:t xml:space="preserve"> creates a right to privacy and reputation. </w:t>
      </w:r>
    </w:p>
    <w:p w:rsidR="00594988" w:rsidRPr="009763E3" w:rsidRDefault="00594988" w:rsidP="00594988">
      <w:pPr>
        <w:spacing w:before="120" w:after="120"/>
        <w:ind w:left="720"/>
        <w:rPr>
          <w:rFonts w:cstheme="minorHAnsi"/>
        </w:rPr>
      </w:pPr>
      <w:r w:rsidRPr="009763E3">
        <w:rPr>
          <w:rFonts w:cstheme="minorHAnsi"/>
        </w:rPr>
        <w:t>Conceivably, the naming of a place has the potential to infringe the right to privacy and reputation of a person after whom a place is named. In this case the process through which places are named ensures that this right is not infringed and that only appropriate information is included in a determination. This process includes the consultation described above. Additionally, in relation to places named after people, only the names of deceased persons are determined.</w:t>
      </w:r>
    </w:p>
    <w:p w:rsidR="00594988" w:rsidRDefault="00594988" w:rsidP="00594988">
      <w:pPr>
        <w:pStyle w:val="Bodycopy"/>
        <w:spacing w:before="120" w:after="120" w:line="240" w:lineRule="auto"/>
        <w:rPr>
          <w:bCs/>
        </w:rPr>
      </w:pPr>
      <w:r>
        <w:rPr>
          <w:bCs/>
        </w:rPr>
        <w:t>Similar statements appear in the explanatory statements for the second and third instruments mentioned above.</w:t>
      </w:r>
    </w:p>
    <w:p w:rsidR="00594988" w:rsidRDefault="00594988" w:rsidP="00594988">
      <w:pPr>
        <w:pStyle w:val="Paper"/>
        <w:spacing w:before="120" w:line="280" w:lineRule="exact"/>
        <w:rPr>
          <w:rFonts w:ascii="Calibri" w:hAnsi="Calibri" w:cs="Calibri"/>
          <w:b/>
          <w:bCs/>
          <w:sz w:val="22"/>
          <w:szCs w:val="22"/>
          <w:lang w:eastAsia="en-AU"/>
        </w:rPr>
      </w:pPr>
      <w:r w:rsidRPr="00E95E87">
        <w:rPr>
          <w:rFonts w:ascii="Calibri" w:hAnsi="Calibri" w:cs="Calibri"/>
          <w:b/>
          <w:bCs/>
          <w:sz w:val="22"/>
          <w:szCs w:val="22"/>
          <w:lang w:eastAsia="en-AU"/>
        </w:rPr>
        <w:t>The Committee draws the attention of the Legislative Assembly to the discussion of human rights issues in the explanatory statement</w:t>
      </w:r>
      <w:r>
        <w:rPr>
          <w:rFonts w:ascii="Calibri" w:hAnsi="Calibri" w:cs="Calibri"/>
          <w:b/>
          <w:bCs/>
          <w:sz w:val="22"/>
          <w:szCs w:val="22"/>
          <w:lang w:eastAsia="en-AU"/>
        </w:rPr>
        <w:t>s</w:t>
      </w:r>
      <w:r w:rsidRPr="00E95E87">
        <w:rPr>
          <w:rFonts w:ascii="Calibri" w:hAnsi="Calibri" w:cs="Calibri"/>
          <w:b/>
          <w:bCs/>
          <w:sz w:val="22"/>
          <w:szCs w:val="22"/>
          <w:lang w:eastAsia="en-AU"/>
        </w:rPr>
        <w:t xml:space="preserve"> for th</w:t>
      </w:r>
      <w:r>
        <w:rPr>
          <w:rFonts w:ascii="Calibri" w:hAnsi="Calibri" w:cs="Calibri"/>
          <w:b/>
          <w:bCs/>
          <w:sz w:val="22"/>
          <w:szCs w:val="22"/>
          <w:lang w:eastAsia="en-AU"/>
        </w:rPr>
        <w:t>ese</w:t>
      </w:r>
      <w:r w:rsidRPr="00E95E87">
        <w:rPr>
          <w:rFonts w:ascii="Calibri" w:hAnsi="Calibri" w:cs="Calibri"/>
          <w:b/>
          <w:bCs/>
          <w:sz w:val="22"/>
          <w:szCs w:val="22"/>
          <w:lang w:eastAsia="en-AU"/>
        </w:rPr>
        <w:t xml:space="preserve"> instrument</w:t>
      </w:r>
      <w:r>
        <w:rPr>
          <w:rFonts w:ascii="Calibri" w:hAnsi="Calibri" w:cs="Calibri"/>
          <w:b/>
          <w:bCs/>
          <w:sz w:val="22"/>
          <w:szCs w:val="22"/>
          <w:lang w:eastAsia="en-AU"/>
        </w:rPr>
        <w:t>s</w:t>
      </w:r>
      <w:r w:rsidRPr="00E95E87">
        <w:rPr>
          <w:rFonts w:ascii="Calibri" w:hAnsi="Calibri" w:cs="Calibri"/>
          <w:b/>
          <w:bCs/>
          <w:sz w:val="22"/>
          <w:szCs w:val="22"/>
          <w:lang w:eastAsia="en-AU"/>
        </w:rPr>
        <w:t>.</w:t>
      </w:r>
    </w:p>
    <w:p w:rsidR="00594988" w:rsidRDefault="00594988" w:rsidP="00594988">
      <w:pPr>
        <w:pStyle w:val="Paper"/>
        <w:spacing w:before="12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594988" w:rsidRDefault="00594988" w:rsidP="00594988">
      <w:pPr>
        <w:widowControl w:val="0"/>
        <w:tabs>
          <w:tab w:val="left" w:pos="1276"/>
        </w:tabs>
        <w:spacing w:before="120" w:after="120"/>
        <w:rPr>
          <w:rFonts w:ascii="Calibri" w:hAnsi="Calibri" w:cs="Calibri"/>
          <w:i/>
          <w:iCs/>
          <w:color w:val="000000"/>
        </w:rPr>
      </w:pPr>
      <w:r>
        <w:rPr>
          <w:rFonts w:ascii="Calibri" w:hAnsi="Calibri" w:cs="Calibri"/>
          <w:i/>
          <w:iCs/>
          <w:color w:val="000000"/>
        </w:rPr>
        <w:t>COVID-19-related instruments / Retrospectivity / Human rights issues</w:t>
      </w:r>
    </w:p>
    <w:p w:rsidR="00594988" w:rsidRDefault="00594988" w:rsidP="00594988">
      <w:pPr>
        <w:pStyle w:val="Bodycopy"/>
        <w:spacing w:before="120" w:after="120" w:line="240" w:lineRule="auto"/>
        <w:rPr>
          <w:b/>
        </w:rPr>
      </w:pPr>
      <w:r>
        <w:rPr>
          <w:b/>
        </w:rPr>
        <w:t>Disallowable Instrument</w:t>
      </w:r>
      <w:r w:rsidRPr="00451C85">
        <w:rPr>
          <w:b/>
        </w:rPr>
        <w:t xml:space="preserve"> </w:t>
      </w:r>
      <w:r>
        <w:rPr>
          <w:b/>
        </w:rPr>
        <w:t>DI2021-10</w:t>
      </w:r>
      <w:r w:rsidRPr="00451C85">
        <w:rPr>
          <w:b/>
        </w:rPr>
        <w:t xml:space="preserve"> being the </w:t>
      </w:r>
      <w:r>
        <w:rPr>
          <w:b/>
        </w:rPr>
        <w:t xml:space="preserve">Taxation Administration (Payroll Tax—Businesses Not Permitted to Operate) COVID-19 Exemption Scheme Determination 2021 made under section 137E of the </w:t>
      </w:r>
      <w:r>
        <w:rPr>
          <w:i/>
        </w:rPr>
        <w:t>Taxation Administration Act 1999</w:t>
      </w:r>
      <w:r w:rsidRPr="00236BDD">
        <w:rPr>
          <w:b/>
        </w:rPr>
        <w:t xml:space="preserve"> </w:t>
      </w:r>
      <w:r>
        <w:rPr>
          <w:b/>
        </w:rPr>
        <w:t xml:space="preserve">determines a scheme to exempt from the requirement to pay payroll tax by eligible employers whose businesses are not permitted to operate due to ACT Government restrictions during a specified period. </w:t>
      </w:r>
    </w:p>
    <w:p w:rsidR="00594988" w:rsidRPr="00842199" w:rsidRDefault="00594988" w:rsidP="00594988">
      <w:pPr>
        <w:pStyle w:val="Bodycopy"/>
        <w:spacing w:before="120" w:after="120" w:line="240" w:lineRule="auto"/>
        <w:rPr>
          <w:b/>
        </w:rPr>
      </w:pPr>
      <w:r>
        <w:rPr>
          <w:b/>
        </w:rPr>
        <w:t>Disallowable Instrument</w:t>
      </w:r>
      <w:r w:rsidRPr="00451C85">
        <w:rPr>
          <w:b/>
        </w:rPr>
        <w:t xml:space="preserve"> </w:t>
      </w:r>
      <w:r>
        <w:rPr>
          <w:b/>
        </w:rPr>
        <w:t>DI2021-11</w:t>
      </w:r>
      <w:r w:rsidRPr="00451C85">
        <w:rPr>
          <w:b/>
        </w:rPr>
        <w:t xml:space="preserve"> being the </w:t>
      </w:r>
      <w:r>
        <w:rPr>
          <w:b/>
        </w:rPr>
        <w:t xml:space="preserve">Taxation Administration (Payroll Tax) COVID-19 Exemption Scheme Determination 2021 made under section 137E of the </w:t>
      </w:r>
      <w:r>
        <w:rPr>
          <w:i/>
        </w:rPr>
        <w:t>Taxation Administration Act 1999</w:t>
      </w:r>
      <w:r w:rsidRPr="00236BDD">
        <w:rPr>
          <w:b/>
        </w:rPr>
        <w:t xml:space="preserve"> </w:t>
      </w:r>
      <w:r>
        <w:rPr>
          <w:b/>
        </w:rPr>
        <w:t xml:space="preserve">revokes DI2020-276 and extends a scheme to exempt payroll tax on wages paid or payable to eligible apprentices or trainees. </w:t>
      </w:r>
    </w:p>
    <w:p w:rsidR="00594988" w:rsidRDefault="00594988" w:rsidP="00594988">
      <w:pPr>
        <w:pStyle w:val="Bodycopy"/>
        <w:spacing w:before="120" w:after="120" w:line="240" w:lineRule="auto"/>
        <w:rPr>
          <w:bCs/>
        </w:rPr>
      </w:pPr>
      <w:r>
        <w:rPr>
          <w:bCs/>
        </w:rPr>
        <w:t xml:space="preserve">The instruments mentioned above are made under section 137E of the </w:t>
      </w:r>
      <w:r>
        <w:rPr>
          <w:bCs/>
          <w:i/>
          <w:iCs/>
        </w:rPr>
        <w:t>Taxation Administration Act 1999</w:t>
      </w:r>
      <w:r w:rsidR="006962AF">
        <w:rPr>
          <w:bCs/>
        </w:rPr>
        <w:t xml:space="preserve">, which allows the Minister to </w:t>
      </w:r>
      <w:r w:rsidRPr="00B84C6C">
        <w:rPr>
          <w:bCs/>
        </w:rPr>
        <w:t>determine a scheme to exempt a person who is required to pay tax under a tax law from the requirement to pay the tax</w:t>
      </w:r>
      <w:r>
        <w:rPr>
          <w:bCs/>
        </w:rPr>
        <w:t>, referred to as “</w:t>
      </w:r>
      <w:r w:rsidRPr="00B84C6C">
        <w:rPr>
          <w:bCs/>
        </w:rPr>
        <w:t>a COVID-19 exemption scheme</w:t>
      </w:r>
      <w:r w:rsidR="00721383">
        <w:rPr>
          <w:bCs/>
        </w:rPr>
        <w:t xml:space="preserve">”. </w:t>
      </w:r>
      <w:r>
        <w:rPr>
          <w:bCs/>
        </w:rPr>
        <w:t>The effect of the first instrument is to extend to 30 June 2021 the operation of a previous exemption of eligible employers from the requirement to pay payroll tax.</w:t>
      </w:r>
    </w:p>
    <w:p w:rsidR="00594988" w:rsidRDefault="00594988" w:rsidP="00594988">
      <w:pPr>
        <w:pStyle w:val="Bodycopy"/>
        <w:spacing w:before="120" w:after="120" w:line="240" w:lineRule="auto"/>
        <w:rPr>
          <w:bCs/>
        </w:rPr>
      </w:pPr>
      <w:r>
        <w:rPr>
          <w:bCs/>
        </w:rPr>
        <w:t>Section 2 of the instrument provides that it is taken to have commenced on 1 December 2020.  Given that the instrument was made on 12 January 2021 and notified on the ACT Legislation Register on 20 January 2021, this means that the instrume</w:t>
      </w:r>
      <w:r w:rsidR="00721383">
        <w:rPr>
          <w:bCs/>
        </w:rPr>
        <w:t xml:space="preserve">nt has a retrospective effect. </w:t>
      </w:r>
      <w:r>
        <w:rPr>
          <w:bCs/>
        </w:rPr>
        <w:t>The Committee notes, with approval, that the explanatory statement for the instrument addresses the retrospectivity issue:</w:t>
      </w:r>
    </w:p>
    <w:p w:rsidR="00594988" w:rsidRDefault="00594988" w:rsidP="007755DC">
      <w:pPr>
        <w:keepNext/>
        <w:spacing w:before="120" w:after="120"/>
        <w:ind w:left="720"/>
        <w:rPr>
          <w:rFonts w:cstheme="minorHAnsi"/>
          <w:b/>
          <w:bCs/>
        </w:rPr>
      </w:pPr>
      <w:bookmarkStart w:id="516" w:name="_Hlk44595111"/>
      <w:r w:rsidRPr="00B70246">
        <w:rPr>
          <w:rFonts w:cstheme="minorHAnsi"/>
          <w:b/>
          <w:bCs/>
        </w:rPr>
        <w:t>Retrospectivity</w:t>
      </w:r>
    </w:p>
    <w:p w:rsidR="00594988" w:rsidRPr="00B70246" w:rsidRDefault="00594988" w:rsidP="00594988">
      <w:pPr>
        <w:spacing w:before="120" w:after="120"/>
        <w:ind w:left="720"/>
        <w:rPr>
          <w:rFonts w:cstheme="minorHAnsi"/>
          <w:i/>
        </w:rPr>
      </w:pPr>
      <w:r w:rsidRPr="00B70246">
        <w:rPr>
          <w:rFonts w:cstheme="minorHAnsi"/>
        </w:rPr>
        <w:t xml:space="preserve">This instrument commences retrospectively on 1 December 2020 to ensure application to wages paid during December 2020 and follow from the operation of </w:t>
      </w:r>
      <w:r w:rsidRPr="00B70246">
        <w:rPr>
          <w:rFonts w:cstheme="minorHAnsi"/>
          <w:i/>
          <w:iCs/>
        </w:rPr>
        <w:t>Taxation Administration (Payroll Tax—Businesses Not Permitted to Operate) COVID-19 Exemption Scheme Determination 2020</w:t>
      </w:r>
      <w:r w:rsidRPr="00B70246">
        <w:rPr>
          <w:rFonts w:cstheme="minorHAnsi"/>
        </w:rPr>
        <w:t>, DI2020</w:t>
      </w:r>
      <w:r w:rsidRPr="00B70246">
        <w:rPr>
          <w:rFonts w:cstheme="minorHAnsi"/>
        </w:rPr>
        <w:noBreakHyphen/>
        <w:t>279</w:t>
      </w:r>
      <w:r w:rsidRPr="00B70246">
        <w:rPr>
          <w:rFonts w:cstheme="minorHAnsi"/>
          <w:i/>
        </w:rPr>
        <w:t>.</w:t>
      </w:r>
    </w:p>
    <w:p w:rsidR="00594988" w:rsidRPr="00B70246" w:rsidRDefault="00594988" w:rsidP="00594988">
      <w:pPr>
        <w:keepNext/>
        <w:spacing w:before="120" w:after="120"/>
        <w:ind w:left="720"/>
        <w:rPr>
          <w:rFonts w:cstheme="minorHAnsi"/>
          <w:b/>
        </w:rPr>
      </w:pPr>
      <w:r w:rsidRPr="00B70246">
        <w:rPr>
          <w:rFonts w:cstheme="minorHAnsi"/>
        </w:rPr>
        <w:t xml:space="preserve">Section 76(1) of the </w:t>
      </w:r>
      <w:r w:rsidRPr="00B70246">
        <w:rPr>
          <w:rFonts w:cstheme="minorHAnsi"/>
          <w:i/>
          <w:iCs/>
        </w:rPr>
        <w:t>Legislation Act 2001</w:t>
      </w:r>
      <w:r w:rsidRPr="00B70246">
        <w:rPr>
          <w:rFonts w:cstheme="minorHAnsi"/>
        </w:rPr>
        <w:t xml:space="preserve"> provides that a statutory instrument may commence retrospectively provided it is non-prejudicial, that it does not operate to the disadvantage of a person by adversely affecting the person’s rights or imposing liabilities on the person. This instrument provides a concession on the payroll tax payable for businesses affected by COVID-19 restrictions and supports economic recovery. It promotes a purpose which will be of overall benefit to the ACT community.</w:t>
      </w:r>
      <w:bookmarkEnd w:id="516"/>
    </w:p>
    <w:p w:rsidR="00594988" w:rsidRDefault="00594988" w:rsidP="00594988">
      <w:pPr>
        <w:pStyle w:val="Bodycopy"/>
        <w:spacing w:before="120" w:after="120" w:line="240" w:lineRule="auto"/>
        <w:rPr>
          <w:bCs/>
        </w:rPr>
      </w:pPr>
      <w:r>
        <w:rPr>
          <w:bCs/>
        </w:rPr>
        <w:t>The Committee also notes that the explanatory statement for the instrument also addresses human rights issues:</w:t>
      </w:r>
    </w:p>
    <w:p w:rsidR="00594988" w:rsidRPr="00B70246" w:rsidRDefault="00594988" w:rsidP="00594988">
      <w:pPr>
        <w:keepNext/>
        <w:spacing w:before="120" w:after="120"/>
        <w:ind w:left="720"/>
        <w:rPr>
          <w:rFonts w:cstheme="minorHAnsi"/>
          <w:b/>
        </w:rPr>
      </w:pPr>
      <w:r w:rsidRPr="00B70246">
        <w:rPr>
          <w:rFonts w:cstheme="minorHAnsi"/>
          <w:b/>
        </w:rPr>
        <w:t>Human Rights Act 2004</w:t>
      </w:r>
    </w:p>
    <w:p w:rsidR="00594988" w:rsidRPr="00B70246" w:rsidRDefault="00594988" w:rsidP="00594988">
      <w:pPr>
        <w:spacing w:before="120" w:after="120"/>
        <w:ind w:left="720"/>
        <w:rPr>
          <w:rFonts w:cstheme="minorHAnsi"/>
        </w:rPr>
      </w:pPr>
      <w:r w:rsidRPr="00B70246">
        <w:rPr>
          <w:rFonts w:cstheme="minorHAnsi"/>
        </w:rPr>
        <w:t xml:space="preserve">This instrument provides an exemption to payroll tax and does not limit, and is consistent with, human rights. By providing exemption to wages paid or payable by eligible employers, it promotes the right to work (section 27B of the </w:t>
      </w:r>
      <w:r w:rsidRPr="00B70246">
        <w:rPr>
          <w:rFonts w:cstheme="minorHAnsi"/>
          <w:i/>
          <w:iCs/>
        </w:rPr>
        <w:t>Human Rights Act 2004</w:t>
      </w:r>
      <w:r w:rsidRPr="00B70246">
        <w:rPr>
          <w:rFonts w:cstheme="minorHAnsi"/>
        </w:rPr>
        <w:t>) by supporting jobs for those in ACT community affected by the COVID-19 pandemic.</w:t>
      </w:r>
    </w:p>
    <w:p w:rsidR="00594988" w:rsidRPr="00B70246" w:rsidRDefault="00594988" w:rsidP="00594988">
      <w:pPr>
        <w:spacing w:before="120" w:after="120"/>
        <w:ind w:left="720"/>
        <w:rPr>
          <w:rFonts w:cstheme="minorHAnsi"/>
        </w:rPr>
      </w:pPr>
      <w:r w:rsidRPr="00B70246">
        <w:rPr>
          <w:rFonts w:cstheme="minorHAnsi"/>
        </w:rPr>
        <w:t xml:space="preserve">In accordance with the legislation, the Determination includes a statement about whether the scheme is consistent with human rights. </w:t>
      </w:r>
    </w:p>
    <w:p w:rsidR="00594988" w:rsidRPr="00B70246" w:rsidRDefault="00594988" w:rsidP="00594988">
      <w:pPr>
        <w:spacing w:before="120" w:after="120"/>
        <w:ind w:left="720"/>
        <w:rPr>
          <w:rFonts w:cstheme="minorHAnsi"/>
        </w:rPr>
      </w:pPr>
      <w:r w:rsidRPr="00B70246">
        <w:rPr>
          <w:rFonts w:cstheme="minorHAnsi"/>
        </w:rPr>
        <w:t>The ACT Human Rights Commission has been consulted on the Determination.</w:t>
      </w:r>
    </w:p>
    <w:p w:rsidR="00594988" w:rsidRDefault="00594988" w:rsidP="00594988">
      <w:pPr>
        <w:pStyle w:val="Bodycopy"/>
        <w:spacing w:before="120" w:after="120" w:line="240" w:lineRule="auto"/>
        <w:rPr>
          <w:rFonts w:asciiTheme="minorHAnsi" w:hAnsiTheme="minorHAnsi" w:cstheme="minorHAnsi"/>
          <w:bCs/>
          <w:szCs w:val="22"/>
        </w:rPr>
      </w:pPr>
      <w:r>
        <w:rPr>
          <w:rFonts w:asciiTheme="minorHAnsi" w:hAnsiTheme="minorHAnsi" w:cstheme="minorHAnsi"/>
          <w:bCs/>
          <w:szCs w:val="22"/>
        </w:rPr>
        <w:t>The Committee notes that, in addition, section 7 of the instrument itself provides:</w:t>
      </w:r>
    </w:p>
    <w:p w:rsidR="00594988" w:rsidRDefault="00594988" w:rsidP="00594988">
      <w:pPr>
        <w:keepNext/>
        <w:spacing w:before="120" w:after="120"/>
        <w:ind w:left="1440" w:hanging="720"/>
        <w:rPr>
          <w:rFonts w:cstheme="minorHAnsi"/>
          <w:b/>
          <w:bCs/>
        </w:rPr>
      </w:pPr>
      <w:r w:rsidRPr="00B70246">
        <w:rPr>
          <w:rFonts w:cstheme="minorHAnsi"/>
          <w:b/>
          <w:bCs/>
        </w:rPr>
        <w:t>7</w:t>
      </w:r>
      <w:r w:rsidRPr="00B70246">
        <w:rPr>
          <w:rFonts w:cstheme="minorHAnsi"/>
          <w:b/>
          <w:bCs/>
        </w:rPr>
        <w:tab/>
        <w:t>Human Rights Act 2004</w:t>
      </w:r>
    </w:p>
    <w:p w:rsidR="00594988" w:rsidRPr="00B70246" w:rsidRDefault="00594988" w:rsidP="00594988">
      <w:pPr>
        <w:spacing w:before="120" w:after="120"/>
        <w:ind w:left="1440"/>
        <w:rPr>
          <w:rFonts w:cstheme="minorHAnsi"/>
        </w:rPr>
      </w:pPr>
      <w:r w:rsidRPr="00B70246">
        <w:rPr>
          <w:rFonts w:cstheme="minorHAnsi"/>
        </w:rPr>
        <w:t>In my opinion, as the Minister, this instrument is consistent with human rights. This instrument is non</w:t>
      </w:r>
      <w:r w:rsidRPr="00B70246">
        <w:rPr>
          <w:rFonts w:cstheme="minorHAnsi"/>
        </w:rPr>
        <w:noBreakHyphen/>
        <w:t>prejudicial because it does not limit existing rights.</w:t>
      </w:r>
    </w:p>
    <w:p w:rsidR="00594988" w:rsidRDefault="00594988" w:rsidP="00594988">
      <w:pPr>
        <w:pStyle w:val="Paper"/>
        <w:spacing w:before="120" w:line="280" w:lineRule="exact"/>
        <w:rPr>
          <w:rFonts w:ascii="Calibri" w:hAnsi="Calibri" w:cs="Calibri"/>
          <w:sz w:val="22"/>
          <w:szCs w:val="22"/>
          <w:lang w:eastAsia="en-AU"/>
        </w:rPr>
      </w:pPr>
      <w:r w:rsidRPr="004C6ED0">
        <w:rPr>
          <w:rFonts w:ascii="Calibri" w:hAnsi="Calibri" w:cs="Calibri"/>
          <w:sz w:val="22"/>
          <w:szCs w:val="22"/>
          <w:lang w:eastAsia="en-AU"/>
        </w:rPr>
        <w:t>The second instrument mentioned above, similarly, extend</w:t>
      </w:r>
      <w:r>
        <w:rPr>
          <w:rFonts w:ascii="Calibri" w:hAnsi="Calibri" w:cs="Calibri"/>
          <w:sz w:val="22"/>
          <w:szCs w:val="22"/>
          <w:lang w:eastAsia="en-AU"/>
        </w:rPr>
        <w:t>s</w:t>
      </w:r>
      <w:r w:rsidRPr="004C6ED0">
        <w:rPr>
          <w:rFonts w:ascii="Calibri" w:hAnsi="Calibri" w:cs="Calibri"/>
          <w:sz w:val="22"/>
          <w:szCs w:val="22"/>
          <w:lang w:eastAsia="en-AU"/>
        </w:rPr>
        <w:t xml:space="preserve"> to 30 June 2021 the operation of a previous exemption of eligible employers from the requirement to pay payroll tax</w:t>
      </w:r>
      <w:r>
        <w:rPr>
          <w:rFonts w:ascii="Calibri" w:hAnsi="Calibri" w:cs="Calibri"/>
          <w:sz w:val="22"/>
          <w:szCs w:val="22"/>
          <w:lang w:eastAsia="en-AU"/>
        </w:rPr>
        <w:t xml:space="preserve"> in relation to eli</w:t>
      </w:r>
      <w:r w:rsidR="00721383">
        <w:rPr>
          <w:rFonts w:ascii="Calibri" w:hAnsi="Calibri" w:cs="Calibri"/>
          <w:sz w:val="22"/>
          <w:szCs w:val="22"/>
          <w:lang w:eastAsia="en-AU"/>
        </w:rPr>
        <w:t>gible apprentices and trainees.</w:t>
      </w:r>
      <w:r>
        <w:rPr>
          <w:rFonts w:ascii="Calibri" w:hAnsi="Calibri" w:cs="Calibri"/>
          <w:sz w:val="22"/>
          <w:szCs w:val="22"/>
          <w:lang w:eastAsia="en-AU"/>
        </w:rPr>
        <w:t xml:space="preserve"> However, it is not given retrospective effect.  Instead, section 2 of the instrument provides that it commences from the day after notification on the ACT Legislation Register – 20 January 2021.</w:t>
      </w:r>
    </w:p>
    <w:p w:rsidR="00594988" w:rsidRDefault="00594988" w:rsidP="00594988">
      <w:pPr>
        <w:pStyle w:val="Paper"/>
        <w:spacing w:before="120" w:line="280" w:lineRule="exact"/>
        <w:rPr>
          <w:rFonts w:ascii="Calibri" w:hAnsi="Calibri" w:cs="Calibri"/>
          <w:sz w:val="22"/>
          <w:szCs w:val="22"/>
          <w:lang w:eastAsia="en-AU"/>
        </w:rPr>
      </w:pPr>
      <w:r>
        <w:rPr>
          <w:rFonts w:ascii="Calibri" w:hAnsi="Calibri" w:cs="Calibri"/>
          <w:sz w:val="22"/>
          <w:szCs w:val="22"/>
          <w:lang w:eastAsia="en-AU"/>
        </w:rPr>
        <w:t xml:space="preserve">The Committee notes that, despite the lack of any express retrospective effect, the definition of </w:t>
      </w:r>
      <w:r>
        <w:rPr>
          <w:rFonts w:ascii="Calibri" w:hAnsi="Calibri" w:cs="Calibri"/>
          <w:b/>
          <w:bCs/>
          <w:i/>
          <w:iCs/>
          <w:sz w:val="22"/>
          <w:szCs w:val="22"/>
          <w:lang w:eastAsia="en-AU"/>
        </w:rPr>
        <w:t>eligible employee</w:t>
      </w:r>
      <w:r>
        <w:rPr>
          <w:rFonts w:ascii="Calibri" w:hAnsi="Calibri" w:cs="Calibri"/>
          <w:sz w:val="22"/>
          <w:szCs w:val="22"/>
          <w:lang w:eastAsia="en-AU"/>
        </w:rPr>
        <w:t>, in section 3 of the instrument,</w:t>
      </w:r>
      <w:r>
        <w:rPr>
          <w:rFonts w:ascii="Calibri" w:hAnsi="Calibri" w:cs="Calibri"/>
          <w:b/>
          <w:bCs/>
          <w:i/>
          <w:iCs/>
          <w:sz w:val="22"/>
          <w:szCs w:val="22"/>
          <w:lang w:eastAsia="en-AU"/>
        </w:rPr>
        <w:t xml:space="preserve"> </w:t>
      </w:r>
      <w:r>
        <w:rPr>
          <w:rFonts w:ascii="Calibri" w:hAnsi="Calibri" w:cs="Calibri"/>
          <w:sz w:val="22"/>
          <w:szCs w:val="22"/>
          <w:lang w:eastAsia="en-AU"/>
        </w:rPr>
        <w:t>and the substantive determination, in section 4, indicate that the determination is intended to operate from 1 Augus</w:t>
      </w:r>
      <w:r w:rsidR="00721383">
        <w:rPr>
          <w:rFonts w:ascii="Calibri" w:hAnsi="Calibri" w:cs="Calibri"/>
          <w:sz w:val="22"/>
          <w:szCs w:val="22"/>
          <w:lang w:eastAsia="en-AU"/>
        </w:rPr>
        <w:t>t 2020.</w:t>
      </w:r>
      <w:r>
        <w:rPr>
          <w:rFonts w:ascii="Calibri" w:hAnsi="Calibri" w:cs="Calibri"/>
          <w:sz w:val="22"/>
          <w:szCs w:val="22"/>
          <w:lang w:eastAsia="en-AU"/>
        </w:rPr>
        <w:t xml:space="preserve"> The explanatory statement also states:</w:t>
      </w:r>
    </w:p>
    <w:p w:rsidR="00594988" w:rsidRPr="00536E2F" w:rsidRDefault="00594988" w:rsidP="00594988">
      <w:pPr>
        <w:keepNext/>
        <w:ind w:left="720"/>
        <w:rPr>
          <w:rFonts w:cstheme="minorHAnsi"/>
        </w:rPr>
      </w:pPr>
      <w:r w:rsidRPr="00536E2F">
        <w:rPr>
          <w:rFonts w:cstheme="minorHAnsi"/>
        </w:rPr>
        <w:t>The exemption applies to wages paid or payable to eligible employees for the period 1 August 2020 to 30 June 2021.</w:t>
      </w:r>
    </w:p>
    <w:p w:rsidR="00594988" w:rsidRDefault="00594988" w:rsidP="00594988">
      <w:pPr>
        <w:pStyle w:val="Paper"/>
        <w:spacing w:before="120" w:line="280" w:lineRule="exact"/>
        <w:rPr>
          <w:rFonts w:ascii="Calibri" w:hAnsi="Calibri" w:cs="Calibri"/>
          <w:sz w:val="22"/>
          <w:szCs w:val="22"/>
          <w:lang w:eastAsia="en-AU"/>
        </w:rPr>
      </w:pPr>
      <w:r>
        <w:rPr>
          <w:rFonts w:ascii="Calibri" w:hAnsi="Calibri" w:cs="Calibri"/>
          <w:sz w:val="22"/>
          <w:szCs w:val="22"/>
          <w:lang w:eastAsia="en-AU"/>
        </w:rPr>
        <w:t xml:space="preserve">This being so, it is not clear why the first instrument mentioned above is given a retrospective effect and the second instrument is </w:t>
      </w:r>
      <w:r w:rsidRPr="00536E2F">
        <w:rPr>
          <w:rFonts w:ascii="Calibri" w:hAnsi="Calibri" w:cs="Calibri"/>
          <w:sz w:val="22"/>
          <w:szCs w:val="22"/>
          <w:u w:val="single"/>
          <w:lang w:eastAsia="en-AU"/>
        </w:rPr>
        <w:t>not</w:t>
      </w:r>
      <w:r>
        <w:rPr>
          <w:rFonts w:ascii="Calibri" w:hAnsi="Calibri" w:cs="Calibri"/>
          <w:sz w:val="22"/>
          <w:szCs w:val="22"/>
          <w:lang w:eastAsia="en-AU"/>
        </w:rPr>
        <w:t xml:space="preserve">. </w:t>
      </w:r>
    </w:p>
    <w:p w:rsidR="00594988" w:rsidRDefault="00594988" w:rsidP="00594988">
      <w:pPr>
        <w:pStyle w:val="Paper"/>
        <w:spacing w:before="120" w:line="280" w:lineRule="exact"/>
        <w:rPr>
          <w:rFonts w:ascii="Calibri" w:hAnsi="Calibri" w:cs="Calibri"/>
          <w:b/>
          <w:bCs/>
          <w:sz w:val="22"/>
          <w:szCs w:val="22"/>
          <w:lang w:eastAsia="en-AU"/>
        </w:rPr>
      </w:pPr>
      <w:r>
        <w:rPr>
          <w:rFonts w:ascii="Calibri" w:hAnsi="Calibri" w:cs="Calibri"/>
          <w:b/>
          <w:bCs/>
          <w:sz w:val="22"/>
          <w:szCs w:val="22"/>
          <w:lang w:eastAsia="en-AU"/>
        </w:rPr>
        <w:t>The Committee seeks the Minister’s assistance on the issue of why it is not necessary for the second instrument mentioned above to be expressly given a retrospective commencement.</w:t>
      </w:r>
    </w:p>
    <w:p w:rsidR="00594988" w:rsidRDefault="00594988" w:rsidP="00594988">
      <w:pPr>
        <w:pStyle w:val="Paper"/>
        <w:spacing w:before="120" w:line="280" w:lineRule="exact"/>
        <w:rPr>
          <w:rFonts w:ascii="Calibri" w:hAnsi="Calibri" w:cs="Calibri"/>
          <w:b/>
          <w:bCs/>
          <w:sz w:val="22"/>
          <w:szCs w:val="22"/>
          <w:lang w:eastAsia="en-AU"/>
        </w:rPr>
      </w:pPr>
      <w:r>
        <w:rPr>
          <w:rFonts w:ascii="Calibri" w:hAnsi="Calibri" w:cs="Calibri"/>
          <w:b/>
          <w:bCs/>
          <w:sz w:val="22"/>
          <w:szCs w:val="22"/>
          <w:lang w:eastAsia="en-AU"/>
        </w:rPr>
        <w:t>This comment requires a response from the Minister.</w:t>
      </w:r>
    </w:p>
    <w:p w:rsidR="00594988" w:rsidRDefault="00594988" w:rsidP="00594988">
      <w:pPr>
        <w:pStyle w:val="Paper"/>
        <w:spacing w:before="120" w:line="280" w:lineRule="exact"/>
        <w:rPr>
          <w:rFonts w:ascii="Calibri" w:hAnsi="Calibri" w:cs="Calibri"/>
          <w:sz w:val="22"/>
          <w:szCs w:val="22"/>
          <w:lang w:eastAsia="en-AU"/>
        </w:rPr>
      </w:pPr>
      <w:r>
        <w:rPr>
          <w:rFonts w:ascii="Calibri" w:hAnsi="Calibri" w:cs="Calibri"/>
          <w:sz w:val="22"/>
          <w:szCs w:val="22"/>
          <w:lang w:eastAsia="en-AU"/>
        </w:rPr>
        <w:t>The commencement issue aside, the Committee notes that the explanatory statement for the second instrument mentioned above addresses human rights issues and that section 7 of the instrument itself is in similar terms to section 7 of the first instrument.</w:t>
      </w:r>
    </w:p>
    <w:p w:rsidR="00594988" w:rsidRDefault="00594988" w:rsidP="00594988">
      <w:pPr>
        <w:pStyle w:val="Paper"/>
        <w:spacing w:before="120" w:line="280" w:lineRule="exact"/>
        <w:rPr>
          <w:rFonts w:ascii="Calibri" w:hAnsi="Calibri" w:cs="Calibri"/>
          <w:b/>
          <w:bCs/>
          <w:sz w:val="22"/>
          <w:szCs w:val="22"/>
          <w:lang w:eastAsia="en-AU"/>
        </w:rPr>
      </w:pPr>
      <w:r w:rsidRPr="00E95E87">
        <w:rPr>
          <w:rFonts w:ascii="Calibri" w:hAnsi="Calibri" w:cs="Calibri"/>
          <w:b/>
          <w:bCs/>
          <w:sz w:val="22"/>
          <w:szCs w:val="22"/>
          <w:lang w:eastAsia="en-AU"/>
        </w:rPr>
        <w:t>The Committee draws the attention of the Legislative Assembly to the discussion of human rights issues in the explanatory statement</w:t>
      </w:r>
      <w:r>
        <w:rPr>
          <w:rFonts w:ascii="Calibri" w:hAnsi="Calibri" w:cs="Calibri"/>
          <w:b/>
          <w:bCs/>
          <w:sz w:val="22"/>
          <w:szCs w:val="22"/>
          <w:lang w:eastAsia="en-AU"/>
        </w:rPr>
        <w:t>s</w:t>
      </w:r>
      <w:r w:rsidRPr="00E95E87">
        <w:rPr>
          <w:rFonts w:ascii="Calibri" w:hAnsi="Calibri" w:cs="Calibri"/>
          <w:b/>
          <w:bCs/>
          <w:sz w:val="22"/>
          <w:szCs w:val="22"/>
          <w:lang w:eastAsia="en-AU"/>
        </w:rPr>
        <w:t xml:space="preserve"> for th</w:t>
      </w:r>
      <w:r>
        <w:rPr>
          <w:rFonts w:ascii="Calibri" w:hAnsi="Calibri" w:cs="Calibri"/>
          <w:b/>
          <w:bCs/>
          <w:sz w:val="22"/>
          <w:szCs w:val="22"/>
          <w:lang w:eastAsia="en-AU"/>
        </w:rPr>
        <w:t>ese</w:t>
      </w:r>
      <w:r w:rsidRPr="00E95E87">
        <w:rPr>
          <w:rFonts w:ascii="Calibri" w:hAnsi="Calibri" w:cs="Calibri"/>
          <w:b/>
          <w:bCs/>
          <w:sz w:val="22"/>
          <w:szCs w:val="22"/>
          <w:lang w:eastAsia="en-AU"/>
        </w:rPr>
        <w:t xml:space="preserve"> instrument</w:t>
      </w:r>
      <w:r>
        <w:rPr>
          <w:rFonts w:ascii="Calibri" w:hAnsi="Calibri" w:cs="Calibri"/>
          <w:b/>
          <w:bCs/>
          <w:sz w:val="22"/>
          <w:szCs w:val="22"/>
          <w:lang w:eastAsia="en-AU"/>
        </w:rPr>
        <w:t>s and to the statement in section 7 of each instrument</w:t>
      </w:r>
      <w:r w:rsidRPr="00E95E87">
        <w:rPr>
          <w:rFonts w:ascii="Calibri" w:hAnsi="Calibri" w:cs="Calibri"/>
          <w:b/>
          <w:bCs/>
          <w:sz w:val="22"/>
          <w:szCs w:val="22"/>
          <w:lang w:eastAsia="en-AU"/>
        </w:rPr>
        <w:t>.</w:t>
      </w:r>
    </w:p>
    <w:p w:rsidR="00594988" w:rsidRDefault="00594988" w:rsidP="00594988">
      <w:pPr>
        <w:pStyle w:val="Paper"/>
        <w:spacing w:before="120" w:line="280" w:lineRule="exact"/>
        <w:rPr>
          <w:rFonts w:ascii="Calibri" w:hAnsi="Calibri" w:cs="Calibri"/>
          <w:b/>
          <w:bCs/>
          <w:sz w:val="22"/>
          <w:szCs w:val="22"/>
          <w:lang w:eastAsia="en-AU"/>
        </w:rPr>
      </w:pPr>
      <w:r w:rsidRPr="00A66BED">
        <w:rPr>
          <w:rFonts w:ascii="Calibri" w:hAnsi="Calibri" w:cs="Calibri"/>
          <w:b/>
          <w:bCs/>
          <w:sz w:val="22"/>
          <w:szCs w:val="22"/>
          <w:lang w:eastAsia="en-AU"/>
        </w:rPr>
        <w:t>Th</w:t>
      </w:r>
      <w:r>
        <w:rPr>
          <w:rFonts w:ascii="Calibri" w:hAnsi="Calibri" w:cs="Calibri"/>
          <w:b/>
          <w:bCs/>
          <w:sz w:val="22"/>
          <w:szCs w:val="22"/>
          <w:lang w:eastAsia="en-AU"/>
        </w:rPr>
        <w:t>e</w:t>
      </w:r>
      <w:r w:rsidRPr="00A66BED">
        <w:rPr>
          <w:rFonts w:ascii="Calibri" w:hAnsi="Calibri" w:cs="Calibri"/>
          <w:b/>
          <w:bCs/>
          <w:sz w:val="22"/>
          <w:szCs w:val="22"/>
          <w:lang w:eastAsia="en-AU"/>
        </w:rPr>
        <w:t xml:space="preserve"> comment </w:t>
      </w:r>
      <w:r>
        <w:rPr>
          <w:rFonts w:ascii="Calibri" w:hAnsi="Calibri" w:cs="Calibri"/>
          <w:b/>
          <w:bCs/>
          <w:sz w:val="22"/>
          <w:szCs w:val="22"/>
          <w:lang w:eastAsia="en-AU"/>
        </w:rPr>
        <w:t xml:space="preserve">immediately above </w:t>
      </w:r>
      <w:r w:rsidRPr="00A66BED">
        <w:rPr>
          <w:rFonts w:ascii="Calibri" w:hAnsi="Calibri" w:cs="Calibri"/>
          <w:b/>
          <w:bCs/>
          <w:sz w:val="22"/>
          <w:szCs w:val="22"/>
          <w:lang w:eastAsia="en-AU"/>
        </w:rPr>
        <w:t>does not require a response from the Minister.</w:t>
      </w:r>
    </w:p>
    <w:p w:rsidR="00F753CA" w:rsidRDefault="00F753CA" w:rsidP="0050636F">
      <w:pPr>
        <w:pStyle w:val="Heading2"/>
        <w:keepNext w:val="0"/>
        <w:rPr>
          <w:rFonts w:eastAsia="Calibri"/>
          <w:lang w:eastAsia="en-AU"/>
        </w:rPr>
      </w:pPr>
      <w:bookmarkStart w:id="517" w:name="_Toc67055536"/>
      <w:bookmarkEnd w:id="514"/>
      <w:r>
        <w:rPr>
          <w:rFonts w:eastAsia="Calibri"/>
          <w:lang w:eastAsia="en-AU"/>
        </w:rPr>
        <w:t>Responses</w:t>
      </w:r>
      <w:bookmarkEnd w:id="517"/>
    </w:p>
    <w:p w:rsidR="00D9488E" w:rsidRPr="00D9488E" w:rsidRDefault="00D9488E" w:rsidP="00D9488E">
      <w:pPr>
        <w:pStyle w:val="Heading3"/>
        <w:rPr>
          <w:lang w:eastAsia="en-AU"/>
        </w:rPr>
      </w:pPr>
      <w:bookmarkStart w:id="518" w:name="_Toc44074226"/>
      <w:bookmarkStart w:id="519" w:name="_Toc44323943"/>
      <w:bookmarkStart w:id="520" w:name="_Toc67055537"/>
      <w:r>
        <w:rPr>
          <w:lang w:eastAsia="en-AU"/>
        </w:rPr>
        <w:t>Government responses</w:t>
      </w:r>
      <w:bookmarkEnd w:id="518"/>
      <w:bookmarkEnd w:id="519"/>
      <w:bookmarkEnd w:id="520"/>
    </w:p>
    <w:bookmarkEnd w:id="506"/>
    <w:bookmarkEnd w:id="507"/>
    <w:p w:rsidR="00F65983" w:rsidRDefault="00F65983" w:rsidP="00097985">
      <w:pPr>
        <w:rPr>
          <w:rFonts w:ascii="Calibri" w:eastAsia="Calibri" w:hAnsi="Calibri" w:cs="Times New Roman"/>
        </w:rPr>
      </w:pPr>
      <w:r w:rsidRPr="00F65983">
        <w:rPr>
          <w:rFonts w:ascii="Calibri" w:eastAsia="Calibri" w:hAnsi="Calibri" w:cs="Times New Roman"/>
        </w:rPr>
        <w:t xml:space="preserve">The Committee has received </w:t>
      </w:r>
      <w:r w:rsidR="003379D7">
        <w:rPr>
          <w:rFonts w:ascii="Calibri" w:eastAsia="Calibri" w:hAnsi="Calibri" w:cs="Times New Roman"/>
        </w:rPr>
        <w:t>response</w:t>
      </w:r>
      <w:r w:rsidR="00C13B2C">
        <w:rPr>
          <w:rFonts w:ascii="Calibri" w:eastAsia="Calibri" w:hAnsi="Calibri" w:cs="Times New Roman"/>
        </w:rPr>
        <w:t>s</w:t>
      </w:r>
      <w:r w:rsidRPr="00F65983">
        <w:rPr>
          <w:rFonts w:ascii="Calibri" w:eastAsia="Calibri" w:hAnsi="Calibri" w:cs="Times New Roman"/>
        </w:rPr>
        <w:t xml:space="preserve"> from:</w:t>
      </w:r>
    </w:p>
    <w:p w:rsidR="00317722" w:rsidRPr="00317722" w:rsidRDefault="00317722" w:rsidP="00317722">
      <w:pPr>
        <w:pStyle w:val="ListParagraph"/>
        <w:numPr>
          <w:ilvl w:val="0"/>
          <w:numId w:val="37"/>
        </w:numPr>
        <w:rPr>
          <w:rFonts w:ascii="Calibri" w:eastAsia="Calibri" w:hAnsi="Calibri" w:cs="Times New Roman"/>
        </w:rPr>
      </w:pPr>
      <w:r>
        <w:rPr>
          <w:rFonts w:ascii="Calibri" w:eastAsia="Calibri" w:hAnsi="Calibri" w:cs="Times New Roman"/>
        </w:rPr>
        <w:t>The Minister for Transport and City Services, in relation to comments made in Scrutiny Report 1 concerning the Plastic Reduction Bill 2020.</w:t>
      </w:r>
    </w:p>
    <w:p w:rsidR="00317722" w:rsidRDefault="000C727C" w:rsidP="00317722">
      <w:pPr>
        <w:widowControl w:val="0"/>
        <w:spacing w:before="200" w:after="200" w:line="260" w:lineRule="exact"/>
        <w:ind w:left="360"/>
        <w:rPr>
          <w:rFonts w:ascii="Calibri" w:eastAsia="Calibri" w:hAnsi="Calibri" w:cs="Times New Roman"/>
          <w:b/>
          <w:lang w:eastAsia="en-AU"/>
        </w:rPr>
      </w:pPr>
      <w:hyperlink r:id="rId24" w:history="1">
        <w:r w:rsidR="00317722">
          <w:rPr>
            <w:rStyle w:val="Hyperlink"/>
            <w:rFonts w:ascii="Calibri" w:eastAsia="Calibri" w:hAnsi="Calibri" w:cs="Times New Roman"/>
            <w:b/>
            <w:lang w:eastAsia="en-AU"/>
          </w:rPr>
          <w:t>This</w:t>
        </w:r>
        <w:r w:rsidR="00317722" w:rsidRPr="00126C48">
          <w:rPr>
            <w:rStyle w:val="Hyperlink"/>
            <w:rFonts w:ascii="Calibri" w:eastAsia="Calibri" w:hAnsi="Calibri" w:cs="Times New Roman"/>
            <w:b/>
            <w:lang w:eastAsia="en-AU"/>
          </w:rPr>
          <w:t xml:space="preserve"> response</w:t>
        </w:r>
      </w:hyperlink>
      <w:bookmarkStart w:id="521" w:name="_GoBack"/>
      <w:bookmarkEnd w:id="521"/>
      <w:r w:rsidR="00317722" w:rsidRPr="00367B9B">
        <w:rPr>
          <w:rFonts w:ascii="Calibri" w:eastAsia="Calibri" w:hAnsi="Calibri" w:cs="Times New Roman"/>
          <w:b/>
          <w:i/>
          <w:vertAlign w:val="superscript"/>
          <w:lang w:eastAsia="en-AU"/>
        </w:rPr>
        <w:footnoteReference w:id="5"/>
      </w:r>
      <w:r w:rsidR="00317722" w:rsidRPr="00367B9B">
        <w:rPr>
          <w:rFonts w:ascii="Calibri" w:eastAsia="Calibri" w:hAnsi="Calibri" w:cs="Times New Roman"/>
          <w:b/>
          <w:i/>
          <w:lang w:eastAsia="en-AU"/>
        </w:rPr>
        <w:t xml:space="preserve"> </w:t>
      </w:r>
      <w:r w:rsidR="00317722" w:rsidRPr="00031636">
        <w:rPr>
          <w:rFonts w:ascii="Calibri" w:eastAsia="Calibri" w:hAnsi="Calibri" w:cs="Times New Roman"/>
          <w:b/>
          <w:lang w:eastAsia="en-AU"/>
        </w:rPr>
        <w:t>can be viewed online.</w:t>
      </w:r>
    </w:p>
    <w:p w:rsidR="0055742A" w:rsidRDefault="0055742A" w:rsidP="0055742A">
      <w:pPr>
        <w:pStyle w:val="ListParagraph"/>
        <w:numPr>
          <w:ilvl w:val="0"/>
          <w:numId w:val="13"/>
        </w:numPr>
      </w:pPr>
      <w:r>
        <w:t>Minister for Skills,</w:t>
      </w:r>
      <w:r w:rsidR="00E661E7">
        <w:t xml:space="preserve"> dated 1 March 2021,</w:t>
      </w:r>
      <w:r>
        <w:t xml:space="preserve"> in relation to comments made in Scrutiny Report 1 concerning Disallowable Instrument DI2020-241</w:t>
      </w:r>
      <w:r w:rsidRPr="007D3EEE">
        <w:t>—</w:t>
      </w:r>
      <w:r w:rsidRPr="0055742A">
        <w:t>Canberra Institute of Technology (CIT Board Member) Appointment 2020 (No 4)</w:t>
      </w:r>
      <w:r>
        <w:t>.</w:t>
      </w:r>
    </w:p>
    <w:p w:rsidR="00475484" w:rsidRDefault="00475484" w:rsidP="00475484">
      <w:pPr>
        <w:pStyle w:val="ListParagraph"/>
        <w:ind w:left="360"/>
      </w:pPr>
    </w:p>
    <w:p w:rsidR="00912C8B" w:rsidRDefault="00CC491E" w:rsidP="00912C8B">
      <w:pPr>
        <w:pStyle w:val="ListParagraph"/>
        <w:numPr>
          <w:ilvl w:val="0"/>
          <w:numId w:val="13"/>
        </w:numPr>
      </w:pPr>
      <w:r>
        <w:t xml:space="preserve">The Treasurer, </w:t>
      </w:r>
      <w:r w:rsidR="006A3EEB">
        <w:t xml:space="preserve">dated 23 February 2021, </w:t>
      </w:r>
      <w:r>
        <w:t>in relation to comments made in Scrutiny Report 1 concerning Disallowable Instrument DI2020-273—Financial Management (Territory Auth</w:t>
      </w:r>
      <w:r w:rsidR="00912C8B">
        <w:t>orities) Guidelines 2020 (No 2)</w:t>
      </w:r>
      <w:r>
        <w:t>.</w:t>
      </w:r>
      <w:r w:rsidR="00912C8B">
        <w:br/>
      </w:r>
    </w:p>
    <w:p w:rsidR="00192DA0" w:rsidRPr="00192DA0" w:rsidRDefault="00192DA0" w:rsidP="00192DA0">
      <w:pPr>
        <w:pStyle w:val="ListParagraph"/>
        <w:numPr>
          <w:ilvl w:val="0"/>
          <w:numId w:val="13"/>
        </w:numPr>
      </w:pPr>
      <w:r>
        <w:t>The Minister for the Environment,</w:t>
      </w:r>
      <w:r w:rsidR="006A3EEB">
        <w:t xml:space="preserve"> dated 15 February 2021,</w:t>
      </w:r>
      <w:r>
        <w:t xml:space="preserve"> in relation to comments made in Scrutiny Report 1 concerning </w:t>
      </w:r>
      <w:r w:rsidRPr="00192DA0">
        <w:t>Dis</w:t>
      </w:r>
      <w:r>
        <w:t>allowable Instrument DI2020-284—</w:t>
      </w:r>
      <w:r w:rsidRPr="00192DA0">
        <w:t>Commissioner for Sustainability and the Environment Appointment 2020 (No 3)</w:t>
      </w:r>
      <w:r>
        <w:t xml:space="preserve"> (received via email 17 February 2021).</w:t>
      </w:r>
    </w:p>
    <w:p w:rsidR="00B83F62" w:rsidRDefault="000C727C" w:rsidP="00546EA3">
      <w:pPr>
        <w:widowControl w:val="0"/>
        <w:spacing w:before="200" w:after="200" w:line="260" w:lineRule="exact"/>
        <w:ind w:left="360"/>
        <w:rPr>
          <w:rFonts w:ascii="Calibri" w:eastAsia="Calibri" w:hAnsi="Calibri" w:cs="Times New Roman"/>
          <w:b/>
          <w:lang w:eastAsia="en-AU"/>
        </w:rPr>
      </w:pPr>
      <w:hyperlink r:id="rId25" w:history="1">
        <w:r w:rsidR="00546EA3" w:rsidRPr="00126C48">
          <w:rPr>
            <w:rStyle w:val="Hyperlink"/>
            <w:rFonts w:ascii="Calibri" w:eastAsia="Calibri" w:hAnsi="Calibri" w:cs="Times New Roman"/>
            <w:b/>
            <w:lang w:eastAsia="en-AU"/>
          </w:rPr>
          <w:t>These</w:t>
        </w:r>
        <w:r w:rsidR="00B83F62" w:rsidRPr="00126C48">
          <w:rPr>
            <w:rStyle w:val="Hyperlink"/>
            <w:rFonts w:ascii="Calibri" w:eastAsia="Calibri" w:hAnsi="Calibri" w:cs="Times New Roman"/>
            <w:b/>
            <w:lang w:eastAsia="en-AU"/>
          </w:rPr>
          <w:t xml:space="preserve"> response</w:t>
        </w:r>
        <w:r w:rsidR="00546EA3" w:rsidRPr="00126C48">
          <w:rPr>
            <w:rStyle w:val="Hyperlink"/>
            <w:rFonts w:ascii="Calibri" w:eastAsia="Calibri" w:hAnsi="Calibri" w:cs="Times New Roman"/>
            <w:b/>
            <w:lang w:eastAsia="en-AU"/>
          </w:rPr>
          <w:t>s</w:t>
        </w:r>
      </w:hyperlink>
      <w:r w:rsidR="00B83F62" w:rsidRPr="00367B9B">
        <w:rPr>
          <w:rFonts w:ascii="Calibri" w:eastAsia="Calibri" w:hAnsi="Calibri" w:cs="Times New Roman"/>
          <w:b/>
          <w:i/>
          <w:vertAlign w:val="superscript"/>
          <w:lang w:eastAsia="en-AU"/>
        </w:rPr>
        <w:footnoteReference w:id="6"/>
      </w:r>
      <w:r w:rsidR="00B83F62" w:rsidRPr="00367B9B">
        <w:rPr>
          <w:rFonts w:ascii="Calibri" w:eastAsia="Calibri" w:hAnsi="Calibri" w:cs="Times New Roman"/>
          <w:b/>
          <w:i/>
          <w:lang w:eastAsia="en-AU"/>
        </w:rPr>
        <w:t xml:space="preserve"> </w:t>
      </w:r>
      <w:r w:rsidR="00B83F62" w:rsidRPr="00031636">
        <w:rPr>
          <w:rFonts w:ascii="Calibri" w:eastAsia="Calibri" w:hAnsi="Calibri" w:cs="Times New Roman"/>
          <w:b/>
          <w:lang w:eastAsia="en-AU"/>
        </w:rPr>
        <w:t>can be viewed online.</w:t>
      </w:r>
    </w:p>
    <w:bookmarkEnd w:id="508"/>
    <w:bookmarkEnd w:id="509"/>
    <w:p w:rsidR="00C13B2C" w:rsidRDefault="00C13B2C" w:rsidP="00C13B2C">
      <w:pPr>
        <w:pStyle w:val="Paper"/>
        <w:keepLines/>
        <w:spacing w:before="220" w:after="220" w:line="280" w:lineRule="exact"/>
        <w:rPr>
          <w:rFonts w:ascii="Calibri" w:hAnsi="Calibri"/>
          <w:bCs/>
          <w:sz w:val="22"/>
          <w:szCs w:val="22"/>
        </w:rPr>
      </w:pPr>
      <w:r>
        <w:rPr>
          <w:rFonts w:ascii="Calibri" w:hAnsi="Calibri"/>
          <w:bCs/>
          <w:sz w:val="22"/>
          <w:szCs w:val="22"/>
        </w:rPr>
        <w:t xml:space="preserve">The </w:t>
      </w:r>
      <w:r w:rsidRPr="006F0E50">
        <w:rPr>
          <w:rFonts w:ascii="Calibri" w:hAnsi="Calibri"/>
          <w:bCs/>
          <w:sz w:val="22"/>
          <w:szCs w:val="22"/>
        </w:rPr>
        <w:t xml:space="preserve">Committee wishes to thank the </w:t>
      </w:r>
      <w:r w:rsidR="00280D11" w:rsidRPr="006F0E50">
        <w:rPr>
          <w:rFonts w:ascii="Calibri" w:hAnsi="Calibri"/>
          <w:bCs/>
          <w:sz w:val="22"/>
          <w:szCs w:val="22"/>
        </w:rPr>
        <w:t xml:space="preserve">Minister for </w:t>
      </w:r>
      <w:r w:rsidR="006F0E50" w:rsidRPr="006F0E50">
        <w:rPr>
          <w:rFonts w:ascii="Calibri" w:hAnsi="Calibri"/>
          <w:bCs/>
          <w:sz w:val="22"/>
          <w:szCs w:val="22"/>
        </w:rPr>
        <w:t>Skills, the Treasurer, and the Minister for the Environment</w:t>
      </w:r>
      <w:r w:rsidR="00280D11" w:rsidRPr="006F0E50">
        <w:rPr>
          <w:rFonts w:ascii="Calibri" w:hAnsi="Calibri"/>
          <w:bCs/>
          <w:sz w:val="22"/>
          <w:szCs w:val="22"/>
        </w:rPr>
        <w:t xml:space="preserve"> for their</w:t>
      </w:r>
      <w:r w:rsidRPr="006F0E50">
        <w:rPr>
          <w:rFonts w:ascii="Calibri" w:hAnsi="Calibri"/>
          <w:bCs/>
          <w:sz w:val="22"/>
          <w:szCs w:val="22"/>
        </w:rPr>
        <w:t xml:space="preserve"> helpful responses.</w:t>
      </w:r>
    </w:p>
    <w:p w:rsidR="004F019A" w:rsidRPr="00104A8B" w:rsidRDefault="00A34509" w:rsidP="008C7B9E">
      <w:pPr>
        <w:spacing w:before="720" w:after="0"/>
      </w:pPr>
      <w:r>
        <w:t>Jeremy Hanson</w:t>
      </w:r>
      <w:r w:rsidR="004F019A" w:rsidRPr="00104A8B">
        <w:t xml:space="preserve"> MLA</w:t>
      </w:r>
    </w:p>
    <w:p w:rsidR="00393D9F" w:rsidRDefault="004F019A" w:rsidP="00D50DEA">
      <w:pPr>
        <w:spacing w:before="0"/>
      </w:pPr>
      <w:r w:rsidRPr="00104A8B">
        <w:t>Chair</w:t>
      </w:r>
    </w:p>
    <w:p w:rsidR="00302510" w:rsidRDefault="005A33C7" w:rsidP="006F663E">
      <w:pPr>
        <w:spacing w:before="0"/>
      </w:pPr>
      <w:r w:rsidRPr="00FD1813">
        <w:t>2</w:t>
      </w:r>
      <w:r w:rsidR="00FD1813" w:rsidRPr="00FD1813">
        <w:t>4</w:t>
      </w:r>
      <w:r w:rsidRPr="00FD1813">
        <w:t xml:space="preserve"> MARCH</w:t>
      </w:r>
      <w:r w:rsidR="006F388D" w:rsidRPr="00FD1813">
        <w:t xml:space="preserve"> </w:t>
      </w:r>
      <w:r w:rsidR="006F663E" w:rsidRPr="00FD1813">
        <w:t>202</w:t>
      </w:r>
      <w:r w:rsidR="0028421E">
        <w:t>1</w:t>
      </w:r>
    </w:p>
    <w:sectPr w:rsidR="00302510" w:rsidSect="00613AE1">
      <w:headerReference w:type="even" r:id="rId26"/>
      <w:headerReference w:type="default" r:id="rId27"/>
      <w:footerReference w:type="even" r:id="rId28"/>
      <w:footerReference w:type="default" r:id="rId29"/>
      <w:head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51F" w:rsidRDefault="0099751F" w:rsidP="000B0846">
      <w:pPr>
        <w:spacing w:after="0" w:line="240" w:lineRule="auto"/>
      </w:pPr>
      <w:r>
        <w:separator/>
      </w:r>
    </w:p>
  </w:endnote>
  <w:endnote w:type="continuationSeparator" w:id="0">
    <w:p w:rsidR="0099751F" w:rsidRDefault="0099751F" w:rsidP="000B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Footer"/>
    </w:pPr>
  </w:p>
  <w:p w:rsidR="0099751F" w:rsidRDefault="009975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2C2" w:rsidRDefault="008572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2C2" w:rsidRDefault="008572C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1"/>
      <w:docPartObj>
        <w:docPartGallery w:val="Page Numbers (Bottom of Page)"/>
        <w:docPartUnique/>
      </w:docPartObj>
    </w:sdtPr>
    <w:sdtEndPr>
      <w:rPr>
        <w:noProof/>
      </w:rPr>
    </w:sdtEndPr>
    <w:sdtContent>
      <w:p w:rsidR="0099751F" w:rsidRDefault="0099751F">
        <w:pPr>
          <w:pStyle w:val="Footer"/>
        </w:pPr>
        <w:r>
          <w:rPr>
            <w:noProof/>
          </w:rPr>
          <w:fldChar w:fldCharType="begin"/>
        </w:r>
        <w:r>
          <w:rPr>
            <w:noProof/>
          </w:rPr>
          <w:instrText xml:space="preserve"> PAGE   \* MERGEFORMAT </w:instrText>
        </w:r>
        <w:r>
          <w:rPr>
            <w:noProof/>
          </w:rPr>
          <w:fldChar w:fldCharType="separate"/>
        </w:r>
        <w:r w:rsidR="0037284B">
          <w:rPr>
            <w:noProof/>
          </w:rPr>
          <w:t>ii</w:t>
        </w:r>
        <w:r>
          <w:rPr>
            <w:noProof/>
          </w:rPr>
          <w:fldChar w:fldCharType="end"/>
        </w:r>
      </w:p>
    </w:sdtContent>
  </w:sdt>
  <w:p w:rsidR="0099751F" w:rsidRDefault="0099751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2"/>
      <w:docPartObj>
        <w:docPartGallery w:val="Page Numbers (Bottom of Page)"/>
        <w:docPartUnique/>
      </w:docPartObj>
    </w:sdtPr>
    <w:sdtEndPr>
      <w:rPr>
        <w:noProof/>
      </w:rPr>
    </w:sdtEndPr>
    <w:sdtContent>
      <w:p w:rsidR="0099751F" w:rsidRDefault="0099751F">
        <w:pPr>
          <w:pStyle w:val="Footer"/>
          <w:jc w:val="right"/>
        </w:pPr>
        <w:r>
          <w:rPr>
            <w:noProof/>
          </w:rPr>
          <w:fldChar w:fldCharType="begin"/>
        </w:r>
        <w:r>
          <w:rPr>
            <w:noProof/>
          </w:rPr>
          <w:instrText xml:space="preserve"> PAGE   \* MERGEFORMAT </w:instrText>
        </w:r>
        <w:r>
          <w:rPr>
            <w:noProof/>
          </w:rPr>
          <w:fldChar w:fldCharType="separate"/>
        </w:r>
        <w:r w:rsidR="000C727C">
          <w:rPr>
            <w:noProof/>
          </w:rPr>
          <w:t>iii</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EE534B" w:rsidRDefault="0099751F">
    <w:pPr>
      <w:pStyle w:val="Footer"/>
      <w:rPr>
        <w:sz w:val="18"/>
        <w:szCs w:val="18"/>
      </w:rPr>
    </w:pPr>
    <w:r>
      <w:rPr>
        <w:noProof/>
      </w:rPr>
      <w:fldChar w:fldCharType="begin"/>
    </w:r>
    <w:r>
      <w:rPr>
        <w:noProof/>
      </w:rPr>
      <w:instrText xml:space="preserve"> PAGE   \* MERGEFORMAT </w:instrText>
    </w:r>
    <w:r>
      <w:rPr>
        <w:noProof/>
      </w:rPr>
      <w:fldChar w:fldCharType="separate"/>
    </w:r>
    <w:r w:rsidR="000C727C">
      <w:rPr>
        <w:noProof/>
      </w:rPr>
      <w:t>12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172407"/>
      <w:docPartObj>
        <w:docPartGallery w:val="Page Numbers (Bottom of Page)"/>
        <w:docPartUnique/>
      </w:docPartObj>
    </w:sdtPr>
    <w:sdtEndPr>
      <w:rPr>
        <w:noProof/>
      </w:rPr>
    </w:sdtEndPr>
    <w:sdtContent>
      <w:p w:rsidR="0099751F" w:rsidRPr="00EE534B" w:rsidRDefault="0099751F">
        <w:pPr>
          <w:pStyle w:val="Footer"/>
          <w:jc w:val="right"/>
          <w:rPr>
            <w:sz w:val="18"/>
            <w:szCs w:val="18"/>
          </w:rPr>
        </w:pPr>
        <w:r>
          <w:rPr>
            <w:noProof/>
          </w:rPr>
          <w:fldChar w:fldCharType="begin"/>
        </w:r>
        <w:r>
          <w:rPr>
            <w:noProof/>
          </w:rPr>
          <w:instrText xml:space="preserve"> PAGE   \* MERGEFORMAT </w:instrText>
        </w:r>
        <w:r>
          <w:rPr>
            <w:noProof/>
          </w:rPr>
          <w:fldChar w:fldCharType="separate"/>
        </w:r>
        <w:r w:rsidR="000C727C">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51F" w:rsidRDefault="0099751F" w:rsidP="00685D6D">
      <w:pPr>
        <w:spacing w:before="80" w:after="0" w:line="240" w:lineRule="auto"/>
      </w:pPr>
      <w:r>
        <w:separator/>
      </w:r>
    </w:p>
  </w:footnote>
  <w:footnote w:type="continuationSeparator" w:id="0">
    <w:p w:rsidR="0099751F" w:rsidRDefault="0099751F" w:rsidP="000B0846">
      <w:pPr>
        <w:spacing w:after="0" w:line="240" w:lineRule="auto"/>
      </w:pPr>
      <w:r>
        <w:continuationSeparator/>
      </w:r>
    </w:p>
  </w:footnote>
  <w:footnote w:id="1">
    <w:p w:rsidR="00C2676D" w:rsidRPr="00E523DD" w:rsidRDefault="00C2676D" w:rsidP="00C2676D">
      <w:pPr>
        <w:rPr>
          <w:sz w:val="20"/>
          <w:szCs w:val="20"/>
        </w:rPr>
      </w:pPr>
      <w:r w:rsidRPr="00D66F68">
        <w:rPr>
          <w:rStyle w:val="FootnoteReference"/>
          <w:sz w:val="20"/>
          <w:szCs w:val="20"/>
        </w:rPr>
        <w:footnoteRef/>
      </w:r>
      <w:r w:rsidRPr="00D66F68">
        <w:rPr>
          <w:sz w:val="20"/>
          <w:szCs w:val="20"/>
        </w:rPr>
        <w:t xml:space="preserve"> Currently</w:t>
      </w:r>
      <w:r>
        <w:t xml:space="preserve"> </w:t>
      </w:r>
      <w:r w:rsidRPr="00E523DD">
        <w:rPr>
          <w:sz w:val="20"/>
          <w:szCs w:val="20"/>
        </w:rPr>
        <w:t xml:space="preserve">the value of a penalty unit for an offence is $160 for an individual and $810 for a corporation (see </w:t>
      </w:r>
      <w:r w:rsidRPr="00E523DD">
        <w:rPr>
          <w:i/>
          <w:sz w:val="20"/>
          <w:szCs w:val="20"/>
        </w:rPr>
        <w:t>Legislation Act 2001</w:t>
      </w:r>
      <w:r>
        <w:rPr>
          <w:sz w:val="20"/>
          <w:szCs w:val="20"/>
        </w:rPr>
        <w:t>, s 133).</w:t>
      </w:r>
    </w:p>
  </w:footnote>
  <w:footnote w:id="2">
    <w:p w:rsidR="00C2676D" w:rsidRDefault="00C2676D" w:rsidP="00C2676D">
      <w:pPr>
        <w:pStyle w:val="FootnoteText"/>
      </w:pPr>
      <w:r>
        <w:rPr>
          <w:rStyle w:val="FootnoteReference"/>
        </w:rPr>
        <w:footnoteRef/>
      </w:r>
      <w:r>
        <w:t xml:space="preserve"> See Schedule 1 of the </w:t>
      </w:r>
      <w:hyperlink r:id="rId1" w:history="1">
        <w:r w:rsidRPr="00AA30DC">
          <w:rPr>
            <w:rStyle w:val="Hyperlink"/>
          </w:rPr>
          <w:t>Criminal Code Regulation 2005</w:t>
        </w:r>
      </w:hyperlink>
      <w:r>
        <w:t xml:space="preserve">, as incorporation by the </w:t>
      </w:r>
      <w:hyperlink r:id="rId2" w:history="1">
        <w:r w:rsidRPr="00AA30DC">
          <w:rPr>
            <w:rStyle w:val="Hyperlink"/>
          </w:rPr>
          <w:t>Drugs of Dependence Regulation 2009</w:t>
        </w:r>
      </w:hyperlink>
      <w:r>
        <w:t xml:space="preserve">, </w:t>
      </w:r>
      <w:proofErr w:type="spellStart"/>
      <w:r>
        <w:t>ss</w:t>
      </w:r>
      <w:proofErr w:type="spellEnd"/>
      <w:r>
        <w:t xml:space="preserve"> 4 and 5.</w:t>
      </w:r>
    </w:p>
  </w:footnote>
  <w:footnote w:id="3">
    <w:p w:rsidR="00C2676D" w:rsidRDefault="00C2676D" w:rsidP="00C2676D">
      <w:pPr>
        <w:pStyle w:val="FootnoteText"/>
      </w:pPr>
      <w:r>
        <w:rPr>
          <w:rStyle w:val="FootnoteReference"/>
        </w:rPr>
        <w:footnoteRef/>
      </w:r>
      <w:r>
        <w:t xml:space="preserve"> Available on the Committee’s website at </w:t>
      </w:r>
      <w:hyperlink r:id="rId3" w:anchor="tab1665319-5id" w:history="1">
        <w:r>
          <w:rPr>
            <w:rStyle w:val="Hyperlink"/>
          </w:rPr>
          <w:t>https://www.parliament.act.gov.au/parliamentary-business/in-committees/committees/JCS_Scrutiny#tab1665319-5id</w:t>
        </w:r>
      </w:hyperlink>
    </w:p>
  </w:footnote>
  <w:footnote w:id="4">
    <w:p w:rsidR="000164DC" w:rsidRDefault="000164DC" w:rsidP="000164DC">
      <w:pPr>
        <w:pStyle w:val="FootnoteText"/>
      </w:pPr>
      <w:r>
        <w:rPr>
          <w:rStyle w:val="FootnoteReference"/>
        </w:rPr>
        <w:footnoteRef/>
      </w:r>
      <w:r>
        <w:t xml:space="preserve"> See sections 40 and 40B; </w:t>
      </w:r>
      <w:r w:rsidRPr="0022780C">
        <w:rPr>
          <w:i/>
        </w:rPr>
        <w:t>Brown v Australian Capital Territory</w:t>
      </w:r>
      <w:r w:rsidRPr="0022780C">
        <w:t xml:space="preserve"> [2020] ACTSC 70</w:t>
      </w:r>
      <w:r>
        <w:t xml:space="preserve"> at [79].</w:t>
      </w:r>
    </w:p>
  </w:footnote>
  <w:footnote w:id="5">
    <w:p w:rsidR="00317722" w:rsidRPr="00435E76" w:rsidRDefault="00317722" w:rsidP="00317722">
      <w:pPr>
        <w:pStyle w:val="FootnoteText"/>
        <w:spacing w:before="0"/>
        <w:rPr>
          <w:sz w:val="19"/>
          <w:szCs w:val="19"/>
        </w:rPr>
      </w:pPr>
      <w:r w:rsidRPr="00435E76">
        <w:rPr>
          <w:rStyle w:val="FootnoteReference"/>
          <w:sz w:val="19"/>
          <w:szCs w:val="19"/>
        </w:rPr>
        <w:footnoteRef/>
      </w:r>
      <w:r w:rsidRPr="00435E76">
        <w:rPr>
          <w:sz w:val="19"/>
          <w:szCs w:val="19"/>
        </w:rPr>
        <w:t xml:space="preserve"> </w:t>
      </w:r>
      <w:r w:rsidRPr="00BC39FC">
        <w:rPr>
          <w:sz w:val="19"/>
          <w:szCs w:val="19"/>
          <w:lang w:eastAsia="en-AU"/>
        </w:rPr>
        <w:t>https://www.parliament.act.gov.au/in-committees/standing-committees-current-assembly/standing-committee-on-justice-and-community-safety-legislative-scrutiny-role/response-to-comments-on-</w:t>
      </w:r>
      <w:r w:rsidR="00D66F68">
        <w:rPr>
          <w:sz w:val="19"/>
          <w:szCs w:val="19"/>
          <w:lang w:eastAsia="en-AU"/>
        </w:rPr>
        <w:t>bills</w:t>
      </w:r>
      <w:r w:rsidRPr="00435E76">
        <w:rPr>
          <w:sz w:val="19"/>
          <w:szCs w:val="19"/>
          <w:lang w:eastAsia="en-AU"/>
        </w:rPr>
        <w:t>.</w:t>
      </w:r>
    </w:p>
  </w:footnote>
  <w:footnote w:id="6">
    <w:p w:rsidR="0099751F" w:rsidRPr="00435E76" w:rsidRDefault="0099751F" w:rsidP="00B83F62">
      <w:pPr>
        <w:pStyle w:val="FootnoteText"/>
        <w:spacing w:before="0"/>
        <w:rPr>
          <w:sz w:val="19"/>
          <w:szCs w:val="19"/>
        </w:rPr>
      </w:pPr>
      <w:r w:rsidRPr="00435E76">
        <w:rPr>
          <w:rStyle w:val="FootnoteReference"/>
          <w:sz w:val="19"/>
          <w:szCs w:val="19"/>
        </w:rPr>
        <w:footnoteRef/>
      </w:r>
      <w:r w:rsidRPr="00435E76">
        <w:rPr>
          <w:sz w:val="19"/>
          <w:szCs w:val="19"/>
        </w:rPr>
        <w:t xml:space="preserve"> </w:t>
      </w:r>
      <w:r w:rsidRPr="00BC39FC">
        <w:rPr>
          <w:sz w:val="19"/>
          <w:szCs w:val="19"/>
          <w:lang w:eastAsia="en-AU"/>
        </w:rPr>
        <w:t>https://www.parliament.act.gov.au/in-committees/standing-committees-current-assembly/standing-committee-on-justice-and-community-safety-legislative-scrutiny-role/response-to-comments-on-subordinate-legislation</w:t>
      </w:r>
      <w:r w:rsidRPr="00435E76">
        <w:rPr>
          <w:sz w:val="19"/>
          <w:szCs w:val="19"/>
          <w:lang w:eastAsia="en-A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3B6A7E" w:rsidRDefault="0099751F" w:rsidP="00FC2EEA">
    <w:pPr>
      <w:pStyle w:val="Header"/>
      <w:pBdr>
        <w:bottom w:val="single" w:sz="4" w:space="1" w:color="auto"/>
      </w:pBdr>
    </w:pPr>
    <w:r w:rsidRPr="009D788E">
      <w:rPr>
        <w:smallCaps/>
      </w:rPr>
      <w:t>Standing Committee on Justice and Community Safety (Legislative Scrutiny Role)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1B0650" w:rsidRDefault="0099751F" w:rsidP="00F52AA6">
    <w:pPr>
      <w:pStyle w:val="Header"/>
      <w:pBdr>
        <w:bottom w:val="single" w:sz="4" w:space="1" w:color="auto"/>
      </w:pBdr>
      <w:tabs>
        <w:tab w:val="left" w:pos="6216"/>
      </w:tabs>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0C727C">
      <w:rPr>
        <w:smallCaps/>
        <w:noProof/>
      </w:rPr>
      <w:t>Scrutiny Report 2</w:t>
    </w:r>
    <w:r>
      <w:rPr>
        <w:smallCaps/>
        <w:noProof/>
      </w:rPr>
      <w:fldChar w:fldCharType="end"/>
    </w:r>
  </w:p>
  <w:p w:rsidR="0099751F" w:rsidRDefault="0099751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0C72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3327" o:spid="_x0000_s2088" type="#_x0000_t136" style="position:absolute;margin-left:0;margin-top:0;width:520.6pt;height:115.65pt;rotation:315;z-index:-251638784;mso-position-horizontal:center;mso-position-horizontal-relative:margin;mso-position-vertical:center;mso-position-vertical-relative:margin" o:allowincell="f" fillcolor="silver" stroked="f">
          <v:fill opacity=".5"/>
          <v:textpath style="font-family:&quot;Arial Rounded MT Bold&quot;;font-size:1pt" string="D R A F 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0C72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3318" o:spid="_x0000_s2079" type="#_x0000_t136" style="position:absolute;margin-left:0;margin-top:0;width:520.6pt;height:115.65pt;rotation:315;z-index:-251657216;mso-position-horizontal:center;mso-position-horizontal-relative:margin;mso-position-vertical:center;mso-position-vertical-relative:margin" o:allowincell="f" fillcolor="silver" stroked="f">
          <v:fill opacity=".5"/>
          <v:textpath style="font-family:&quot;Arial Rounded MT Bold&quot;;font-size:1pt" string="D R A F 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9D788E" w:rsidRDefault="0099751F" w:rsidP="00911558">
    <w:pPr>
      <w:pStyle w:val="Header"/>
      <w:pBdr>
        <w:bottom w:val="single" w:sz="4" w:space="1" w:color="auto"/>
      </w:pBdr>
      <w:rPr>
        <w:smallCaps/>
      </w:rPr>
    </w:pPr>
    <w:r w:rsidRPr="009D788E">
      <w:rPr>
        <w:smallCaps/>
      </w:rPr>
      <w:t>Standing Committee on Justice and Community Safety (Legislative Scrutiny Role)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1B0650" w:rsidRDefault="0099751F" w:rsidP="00911558">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0C727C">
      <w:rPr>
        <w:smallCaps/>
        <w:noProof/>
      </w:rPr>
      <w:t>Scrutiny Report 2</w:t>
    </w:r>
    <w:r>
      <w:rPr>
        <w:smallCaps/>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0C72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3321" o:spid="_x0000_s2082" type="#_x0000_t136" style="position:absolute;margin-left:0;margin-top:0;width:520.6pt;height:115.65pt;rotation:315;z-index:-251651072;mso-position-horizontal:center;mso-position-horizontal-relative:margin;mso-position-vertical:center;mso-position-vertical-relative:margin" o:allowincell="f" fillcolor="silver" stroked="f">
          <v:fill opacity=".5"/>
          <v:textpath style="font-family:&quot;Arial Rounded MT Bold&quot;;font-size:1pt" string="D R A F 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3B6A7E" w:rsidRDefault="000C727C" w:rsidP="003B6A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3325" o:spid="_x0000_s2086" type="#_x0000_t136" style="position:absolute;margin-left:0;margin-top:0;width:520.6pt;height:115.65pt;rotation:315;z-index:-251642880;mso-position-horizontal:center;mso-position-horizontal-relative:margin;mso-position-vertical:center;mso-position-vertical-relative:margin" o:allowincell="f" fillcolor="silver" stroked="f">
          <v:fill opacity=".5"/>
          <v:textpath style="font-family:&quot;Arial Rounded MT Bold&quot;;font-size:1pt" string="D R A F 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1B0650" w:rsidRDefault="000C727C" w:rsidP="007F580D">
    <w:pPr>
      <w:pStyle w:val="Header"/>
      <w:pBdr>
        <w:bottom w:val="single" w:sz="4" w:space="1" w:color="auto"/>
      </w:pBdr>
      <w:jc w:val="right"/>
      <w:rPr>
        <w:smallCap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3326" o:spid="_x0000_s2087" type="#_x0000_t136" style="position:absolute;left:0;text-align:left;margin-left:0;margin-top:0;width:520.6pt;height:115.65pt;rotation:315;z-index:-251640832;mso-position-horizontal:center;mso-position-horizontal-relative:margin;mso-position-vertical:center;mso-position-vertical-relative:margin" o:allowincell="f" fillcolor="silver" stroked="f">
          <v:fill opacity=".5"/>
          <v:textpath style="font-family:&quot;Arial Rounded MT Bold&quot;;font-size:1pt" string="D R A F T"/>
          <w10:wrap anchorx="margin" anchory="margin"/>
        </v:shape>
      </w:pict>
    </w:r>
    <w:r w:rsidR="0099751F">
      <w:rPr>
        <w:smallCaps/>
        <w:noProof/>
      </w:rPr>
      <w:fldChar w:fldCharType="begin"/>
    </w:r>
    <w:r w:rsidR="0099751F">
      <w:rPr>
        <w:smallCaps/>
        <w:noProof/>
      </w:rPr>
      <w:instrText xml:space="preserve"> STYLEREF  "Heading 1"  \* MERGEFORMAT </w:instrText>
    </w:r>
    <w:r w:rsidR="0099751F">
      <w:rPr>
        <w:smallCaps/>
        <w:noProof/>
      </w:rPr>
      <w:fldChar w:fldCharType="separate"/>
    </w:r>
    <w:r w:rsidR="00010090">
      <w:rPr>
        <w:smallCaps/>
        <w:noProof/>
      </w:rPr>
      <w:t>Scrutiny Report 45</w:t>
    </w:r>
    <w:r w:rsidR="0099751F">
      <w:rPr>
        <w:smallCaps/>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0C72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3324" o:spid="_x0000_s2085" type="#_x0000_t136" style="position:absolute;margin-left:0;margin-top:0;width:520.6pt;height:115.65pt;rotation:315;z-index:-251644928;mso-position-horizontal:center;mso-position-horizontal-relative:margin;mso-position-vertical:center;mso-position-vertical-relative:margin" o:allowincell="f" fillcolor="silver" stroked="f">
          <v:fill opacity=".5"/>
          <v:textpath style="font-family:&quot;Arial Rounded MT Bold&quot;;font-size:1pt" string="D R A F 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4B87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01201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31475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3292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26E9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56F4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22F4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26A5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C6D3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3479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A002A"/>
    <w:multiLevelType w:val="multilevel"/>
    <w:tmpl w:val="F6DE2780"/>
    <w:lvl w:ilvl="0">
      <w:start w:val="1"/>
      <w:numFmt w:val="decimal"/>
      <w:lvlText w:val="%1"/>
      <w:lvlJc w:val="left"/>
      <w:pPr>
        <w:ind w:left="432" w:hanging="432"/>
      </w:pPr>
      <w:rPr>
        <w:rFonts w:cs="Times New Roman"/>
      </w:rPr>
    </w:lvl>
    <w:lvl w:ilvl="1">
      <w:start w:val="1"/>
      <w:numFmt w:val="decimal"/>
      <w:pStyle w:val="Recommendationbodycopynumbered"/>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07771A35"/>
    <w:multiLevelType w:val="multilevel"/>
    <w:tmpl w:val="BCFCBA68"/>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0F64209D"/>
    <w:multiLevelType w:val="hybridMultilevel"/>
    <w:tmpl w:val="73BC5DF0"/>
    <w:lvl w:ilvl="0" w:tplc="4642DB54">
      <w:start w:val="1"/>
      <w:numFmt w:val="bullet"/>
      <w:lvlText w:val=""/>
      <w:lvlJc w:val="left"/>
      <w:pPr>
        <w:ind w:left="360" w:hanging="360"/>
      </w:pPr>
      <w:rPr>
        <w:rFonts w:ascii="Symbol" w:hAnsi="Symbol" w:hint="default"/>
        <w:color w:val="auto"/>
      </w:rPr>
    </w:lvl>
    <w:lvl w:ilvl="1" w:tplc="B2BC848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B955C9"/>
    <w:multiLevelType w:val="hybridMultilevel"/>
    <w:tmpl w:val="7FE26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F97BE6"/>
    <w:multiLevelType w:val="hybridMultilevel"/>
    <w:tmpl w:val="093805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C2E4544"/>
    <w:multiLevelType w:val="hybridMultilevel"/>
    <w:tmpl w:val="A4CE200E"/>
    <w:lvl w:ilvl="0" w:tplc="437E8904">
      <w:start w:val="1"/>
      <w:numFmt w:val="lowerLetter"/>
      <w:pStyle w:val="Bodycopybulletlevel1alpha"/>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526D8E"/>
    <w:multiLevelType w:val="hybridMultilevel"/>
    <w:tmpl w:val="D1786A2A"/>
    <w:lvl w:ilvl="0" w:tplc="4D449FE6">
      <w:start w:val="1"/>
      <w:numFmt w:val="decimal"/>
      <w:pStyle w:val="Bodycopynumbered2"/>
      <w:lvlText w:val="%1."/>
      <w:lvlJc w:val="left"/>
      <w:pPr>
        <w:ind w:left="720" w:hanging="360"/>
      </w:pPr>
      <w:rPr>
        <w:rFonts w:cs="Times New Roman"/>
      </w:rPr>
    </w:lvl>
    <w:lvl w:ilvl="1" w:tplc="04DA9EF8" w:tentative="1">
      <w:start w:val="1"/>
      <w:numFmt w:val="lowerLetter"/>
      <w:lvlText w:val="%2."/>
      <w:lvlJc w:val="left"/>
      <w:pPr>
        <w:ind w:left="1440" w:hanging="360"/>
      </w:pPr>
      <w:rPr>
        <w:rFonts w:cs="Times New Roman"/>
      </w:rPr>
    </w:lvl>
    <w:lvl w:ilvl="2" w:tplc="3FBC87FA" w:tentative="1">
      <w:start w:val="1"/>
      <w:numFmt w:val="lowerRoman"/>
      <w:lvlText w:val="%3."/>
      <w:lvlJc w:val="right"/>
      <w:pPr>
        <w:ind w:left="2160" w:hanging="180"/>
      </w:pPr>
      <w:rPr>
        <w:rFonts w:cs="Times New Roman"/>
      </w:rPr>
    </w:lvl>
    <w:lvl w:ilvl="3" w:tplc="0FD47DB4" w:tentative="1">
      <w:start w:val="1"/>
      <w:numFmt w:val="decimal"/>
      <w:lvlText w:val="%4."/>
      <w:lvlJc w:val="left"/>
      <w:pPr>
        <w:ind w:left="2880" w:hanging="360"/>
      </w:pPr>
      <w:rPr>
        <w:rFonts w:cs="Times New Roman"/>
      </w:rPr>
    </w:lvl>
    <w:lvl w:ilvl="4" w:tplc="0AA266A4" w:tentative="1">
      <w:start w:val="1"/>
      <w:numFmt w:val="lowerLetter"/>
      <w:lvlText w:val="%5."/>
      <w:lvlJc w:val="left"/>
      <w:pPr>
        <w:ind w:left="3600" w:hanging="360"/>
      </w:pPr>
      <w:rPr>
        <w:rFonts w:cs="Times New Roman"/>
      </w:rPr>
    </w:lvl>
    <w:lvl w:ilvl="5" w:tplc="2ACEA468" w:tentative="1">
      <w:start w:val="1"/>
      <w:numFmt w:val="lowerRoman"/>
      <w:lvlText w:val="%6."/>
      <w:lvlJc w:val="right"/>
      <w:pPr>
        <w:ind w:left="4320" w:hanging="180"/>
      </w:pPr>
      <w:rPr>
        <w:rFonts w:cs="Times New Roman"/>
      </w:rPr>
    </w:lvl>
    <w:lvl w:ilvl="6" w:tplc="A54E173C" w:tentative="1">
      <w:start w:val="1"/>
      <w:numFmt w:val="decimal"/>
      <w:lvlText w:val="%7."/>
      <w:lvlJc w:val="left"/>
      <w:pPr>
        <w:ind w:left="5040" w:hanging="360"/>
      </w:pPr>
      <w:rPr>
        <w:rFonts w:cs="Times New Roman"/>
      </w:rPr>
    </w:lvl>
    <w:lvl w:ilvl="7" w:tplc="AA62F5B2" w:tentative="1">
      <w:start w:val="1"/>
      <w:numFmt w:val="lowerLetter"/>
      <w:lvlText w:val="%8."/>
      <w:lvlJc w:val="left"/>
      <w:pPr>
        <w:ind w:left="5760" w:hanging="360"/>
      </w:pPr>
      <w:rPr>
        <w:rFonts w:cs="Times New Roman"/>
      </w:rPr>
    </w:lvl>
    <w:lvl w:ilvl="8" w:tplc="77F694E0" w:tentative="1">
      <w:start w:val="1"/>
      <w:numFmt w:val="lowerRoman"/>
      <w:lvlText w:val="%9."/>
      <w:lvlJc w:val="right"/>
      <w:pPr>
        <w:ind w:left="6480" w:hanging="180"/>
      </w:pPr>
      <w:rPr>
        <w:rFonts w:cs="Times New Roman"/>
      </w:rPr>
    </w:lvl>
  </w:abstractNum>
  <w:abstractNum w:abstractNumId="18" w15:restartNumberingAfterBreak="0">
    <w:nsid w:val="267A5E70"/>
    <w:multiLevelType w:val="multilevel"/>
    <w:tmpl w:val="E342FCF2"/>
    <w:styleLink w:val="Style3"/>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29F675F9"/>
    <w:multiLevelType w:val="hybridMultilevel"/>
    <w:tmpl w:val="A2C60C32"/>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F400A1"/>
    <w:multiLevelType w:val="hybridMultilevel"/>
    <w:tmpl w:val="E4F084DE"/>
    <w:lvl w:ilvl="0" w:tplc="BC7A0D9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2F35431E"/>
    <w:multiLevelType w:val="hybridMultilevel"/>
    <w:tmpl w:val="7E4CB7A8"/>
    <w:lvl w:ilvl="0" w:tplc="7AF0D8D0">
      <w:start w:val="1"/>
      <w:numFmt w:val="bullet"/>
      <w:pStyle w:val="Bodycopybulletlevel2"/>
      <w:lvlText w:val="o"/>
      <w:lvlJc w:val="left"/>
      <w:pPr>
        <w:ind w:left="703" w:hanging="360"/>
      </w:pPr>
      <w:rPr>
        <w:rFonts w:ascii="Courier New" w:hAnsi="Courier New" w:hint="default"/>
      </w:rPr>
    </w:lvl>
    <w:lvl w:ilvl="1" w:tplc="466E58A0">
      <w:start w:val="1"/>
      <w:numFmt w:val="lowerLetter"/>
      <w:pStyle w:val="Bulletlistalpha"/>
      <w:lvlText w:val="%2."/>
      <w:lvlJc w:val="left"/>
      <w:pPr>
        <w:ind w:left="1423" w:hanging="360"/>
      </w:pPr>
      <w:rPr>
        <w:rFonts w:cs="Times New Roman"/>
      </w:rPr>
    </w:lvl>
    <w:lvl w:ilvl="2" w:tplc="0C09001B" w:tentative="1">
      <w:start w:val="1"/>
      <w:numFmt w:val="lowerRoman"/>
      <w:lvlText w:val="%3."/>
      <w:lvlJc w:val="right"/>
      <w:pPr>
        <w:ind w:left="2143" w:hanging="180"/>
      </w:pPr>
      <w:rPr>
        <w:rFonts w:cs="Times New Roman"/>
      </w:rPr>
    </w:lvl>
    <w:lvl w:ilvl="3" w:tplc="0C09000F" w:tentative="1">
      <w:start w:val="1"/>
      <w:numFmt w:val="decimal"/>
      <w:lvlText w:val="%4."/>
      <w:lvlJc w:val="left"/>
      <w:pPr>
        <w:ind w:left="2863" w:hanging="360"/>
      </w:pPr>
      <w:rPr>
        <w:rFonts w:cs="Times New Roman"/>
      </w:rPr>
    </w:lvl>
    <w:lvl w:ilvl="4" w:tplc="0C090019" w:tentative="1">
      <w:start w:val="1"/>
      <w:numFmt w:val="lowerLetter"/>
      <w:lvlText w:val="%5."/>
      <w:lvlJc w:val="left"/>
      <w:pPr>
        <w:ind w:left="3583" w:hanging="360"/>
      </w:pPr>
      <w:rPr>
        <w:rFonts w:cs="Times New Roman"/>
      </w:rPr>
    </w:lvl>
    <w:lvl w:ilvl="5" w:tplc="0C09001B" w:tentative="1">
      <w:start w:val="1"/>
      <w:numFmt w:val="lowerRoman"/>
      <w:lvlText w:val="%6."/>
      <w:lvlJc w:val="right"/>
      <w:pPr>
        <w:ind w:left="4303" w:hanging="180"/>
      </w:pPr>
      <w:rPr>
        <w:rFonts w:cs="Times New Roman"/>
      </w:rPr>
    </w:lvl>
    <w:lvl w:ilvl="6" w:tplc="0C09000F" w:tentative="1">
      <w:start w:val="1"/>
      <w:numFmt w:val="decimal"/>
      <w:lvlText w:val="%7."/>
      <w:lvlJc w:val="left"/>
      <w:pPr>
        <w:ind w:left="5023" w:hanging="360"/>
      </w:pPr>
      <w:rPr>
        <w:rFonts w:cs="Times New Roman"/>
      </w:rPr>
    </w:lvl>
    <w:lvl w:ilvl="7" w:tplc="0C090019" w:tentative="1">
      <w:start w:val="1"/>
      <w:numFmt w:val="lowerLetter"/>
      <w:lvlText w:val="%8."/>
      <w:lvlJc w:val="left"/>
      <w:pPr>
        <w:ind w:left="5743" w:hanging="360"/>
      </w:pPr>
      <w:rPr>
        <w:rFonts w:cs="Times New Roman"/>
      </w:rPr>
    </w:lvl>
    <w:lvl w:ilvl="8" w:tplc="0C09001B" w:tentative="1">
      <w:start w:val="1"/>
      <w:numFmt w:val="lowerRoman"/>
      <w:lvlText w:val="%9."/>
      <w:lvlJc w:val="right"/>
      <w:pPr>
        <w:ind w:left="6463" w:hanging="180"/>
      </w:pPr>
      <w:rPr>
        <w:rFonts w:cs="Times New Roman"/>
      </w:rPr>
    </w:lvl>
  </w:abstractNum>
  <w:abstractNum w:abstractNumId="22" w15:restartNumberingAfterBreak="0">
    <w:nsid w:val="46310560"/>
    <w:multiLevelType w:val="hybridMultilevel"/>
    <w:tmpl w:val="D3864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6009D0"/>
    <w:multiLevelType w:val="hybridMultilevel"/>
    <w:tmpl w:val="B5146AF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AC5E80"/>
    <w:multiLevelType w:val="hybridMultilevel"/>
    <w:tmpl w:val="412CC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947158"/>
    <w:multiLevelType w:val="hybridMultilevel"/>
    <w:tmpl w:val="6EF64A6C"/>
    <w:lvl w:ilvl="0" w:tplc="B2BC8480">
      <w:start w:val="1"/>
      <w:numFmt w:val="bullet"/>
      <w:lvlText w:val="­"/>
      <w:lvlJc w:val="left"/>
      <w:pPr>
        <w:ind w:left="1710" w:hanging="360"/>
      </w:pPr>
      <w:rPr>
        <w:rFonts w:ascii="Courier New" w:hAnsi="Courier New" w:hint="default"/>
      </w:rPr>
    </w:lvl>
    <w:lvl w:ilvl="1" w:tplc="87AC79EC">
      <w:numFmt w:val="bullet"/>
      <w:lvlText w:val="•"/>
      <w:lvlJc w:val="left"/>
      <w:pPr>
        <w:ind w:left="1800" w:hanging="360"/>
      </w:pPr>
      <w:rPr>
        <w:rFonts w:ascii="Calibri" w:eastAsiaTheme="minorHAnsi" w:hAnsi="Calibri" w:cstheme="minorBidi" w:hint="default"/>
        <w:b w:val="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2D615F3"/>
    <w:multiLevelType w:val="multilevel"/>
    <w:tmpl w:val="487C0F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60B2F25"/>
    <w:multiLevelType w:val="hybridMultilevel"/>
    <w:tmpl w:val="D52C7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711BA8"/>
    <w:multiLevelType w:val="multilevel"/>
    <w:tmpl w:val="C142AD88"/>
    <w:name w:val="Leg Quote"/>
    <w:lvl w:ilvl="0">
      <w:start w:val="1"/>
      <w:numFmt w:val="decimal"/>
      <w:lvlText w:val="(%1)"/>
      <w:lvlJc w:val="left"/>
      <w:pPr>
        <w:tabs>
          <w:tab w:val="num" w:pos="851"/>
        </w:tabs>
        <w:ind w:left="454" w:firstLine="397"/>
      </w:pPr>
      <w:rPr>
        <w:rFonts w:hint="default"/>
      </w:rPr>
    </w:lvl>
    <w:lvl w:ilvl="1">
      <w:start w:val="1"/>
      <w:numFmt w:val="lowerLetter"/>
      <w:lvlText w:val="(%2)"/>
      <w:lvlJc w:val="left"/>
      <w:pPr>
        <w:tabs>
          <w:tab w:val="num" w:pos="1418"/>
        </w:tabs>
        <w:ind w:left="1021" w:firstLine="397"/>
      </w:pPr>
      <w:rPr>
        <w:rFonts w:hint="default"/>
      </w:rPr>
    </w:lvl>
    <w:lvl w:ilvl="2">
      <w:start w:val="1"/>
      <w:numFmt w:val="lowerRoman"/>
      <w:lvlText w:val="%3)"/>
      <w:lvlJc w:val="left"/>
      <w:pPr>
        <w:tabs>
          <w:tab w:val="num" w:pos="1985"/>
        </w:tabs>
        <w:ind w:left="1588" w:firstLine="397"/>
      </w:pPr>
      <w:rPr>
        <w:rFonts w:hint="default"/>
      </w:rPr>
    </w:lvl>
    <w:lvl w:ilvl="3">
      <w:start w:val="1"/>
      <w:numFmt w:val="decimal"/>
      <w:lvlText w:val="(%4)"/>
      <w:lvlJc w:val="left"/>
      <w:pPr>
        <w:tabs>
          <w:tab w:val="num" w:pos="2552"/>
        </w:tabs>
        <w:ind w:left="2155" w:firstLine="397"/>
      </w:pPr>
      <w:rPr>
        <w:rFonts w:hint="default"/>
      </w:rPr>
    </w:lvl>
    <w:lvl w:ilvl="4">
      <w:start w:val="1"/>
      <w:numFmt w:val="lowerLetter"/>
      <w:lvlText w:val="(%5)"/>
      <w:lvlJc w:val="left"/>
      <w:pPr>
        <w:tabs>
          <w:tab w:val="num" w:pos="3119"/>
        </w:tabs>
        <w:ind w:left="2722" w:firstLine="397"/>
      </w:pPr>
      <w:rPr>
        <w:rFonts w:hint="default"/>
      </w:rPr>
    </w:lvl>
    <w:lvl w:ilvl="5">
      <w:start w:val="1"/>
      <w:numFmt w:val="lowerRoman"/>
      <w:lvlText w:val="(%6)"/>
      <w:lvlJc w:val="left"/>
      <w:pPr>
        <w:tabs>
          <w:tab w:val="num" w:pos="3686"/>
        </w:tabs>
        <w:ind w:left="3289" w:firstLine="397"/>
      </w:pPr>
      <w:rPr>
        <w:rFonts w:hint="default"/>
      </w:rPr>
    </w:lvl>
    <w:lvl w:ilvl="6">
      <w:start w:val="1"/>
      <w:numFmt w:val="decimal"/>
      <w:lvlText w:val="%7."/>
      <w:lvlJc w:val="left"/>
      <w:pPr>
        <w:tabs>
          <w:tab w:val="num" w:pos="4253"/>
        </w:tabs>
        <w:ind w:left="3856" w:firstLine="397"/>
      </w:pPr>
      <w:rPr>
        <w:rFonts w:hint="default"/>
      </w:rPr>
    </w:lvl>
    <w:lvl w:ilvl="7">
      <w:start w:val="1"/>
      <w:numFmt w:val="lowerLetter"/>
      <w:lvlText w:val="%8."/>
      <w:lvlJc w:val="left"/>
      <w:pPr>
        <w:tabs>
          <w:tab w:val="num" w:pos="4820"/>
        </w:tabs>
        <w:ind w:left="4423" w:firstLine="397"/>
      </w:pPr>
      <w:rPr>
        <w:rFonts w:hint="default"/>
      </w:rPr>
    </w:lvl>
    <w:lvl w:ilvl="8">
      <w:start w:val="1"/>
      <w:numFmt w:val="lowerRoman"/>
      <w:lvlText w:val="%9."/>
      <w:lvlJc w:val="left"/>
      <w:pPr>
        <w:tabs>
          <w:tab w:val="num" w:pos="5387"/>
        </w:tabs>
        <w:ind w:left="4990" w:firstLine="397"/>
      </w:pPr>
      <w:rPr>
        <w:rFonts w:hint="default"/>
      </w:rPr>
    </w:lvl>
  </w:abstractNum>
  <w:abstractNum w:abstractNumId="29" w15:restartNumberingAfterBreak="0">
    <w:nsid w:val="628A24AB"/>
    <w:multiLevelType w:val="hybridMultilevel"/>
    <w:tmpl w:val="DD220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496197"/>
    <w:multiLevelType w:val="multilevel"/>
    <w:tmpl w:val="6F6A9636"/>
    <w:lvl w:ilvl="0">
      <w:start w:val="1"/>
      <w:numFmt w:val="lowerRoman"/>
      <w:pStyle w:val="Bulletlistroman"/>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15:restartNumberingAfterBreak="0">
    <w:nsid w:val="6AD1277B"/>
    <w:multiLevelType w:val="hybridMultilevel"/>
    <w:tmpl w:val="CA941E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E034034"/>
    <w:multiLevelType w:val="multilevel"/>
    <w:tmpl w:val="A5ECBD6A"/>
    <w:styleLink w:val="Style2"/>
    <w:lvl w:ilvl="0">
      <w:start w:val="1"/>
      <w:numFmt w:val="decimal"/>
      <w:lvlText w:val="%1.1"/>
      <w:lvlJc w:val="left"/>
      <w:pPr>
        <w:ind w:left="432" w:hanging="432"/>
      </w:pPr>
      <w:rPr>
        <w:rFonts w:cs="Times New Roman" w:hint="default"/>
      </w:rPr>
    </w:lvl>
    <w:lvl w:ilvl="1">
      <w:start w:val="1"/>
      <w:numFmt w:val="none"/>
      <w:lvlText w:val=""/>
      <w:lvlJc w:val="left"/>
      <w:pPr>
        <w:ind w:left="576" w:hanging="576"/>
      </w:pPr>
      <w:rPr>
        <w:rFonts w:cs="Times New Roman" w:hint="default"/>
      </w:rPr>
    </w:lvl>
    <w:lvl w:ilvl="2">
      <w:start w:val="1"/>
      <w:numFmt w:val="none"/>
      <w:lvlText w:val=""/>
      <w:lvlJc w:val="left"/>
      <w:pPr>
        <w:ind w:left="720" w:hanging="720"/>
      </w:pPr>
      <w:rPr>
        <w:rFonts w:cs="Times New Roman" w:hint="default"/>
      </w:rPr>
    </w:lvl>
    <w:lvl w:ilvl="3">
      <w:start w:val="1"/>
      <w:numFmt w:val="none"/>
      <w:lvlText w:val=""/>
      <w:lvlJc w:val="left"/>
      <w:pPr>
        <w:ind w:left="864" w:hanging="864"/>
      </w:pPr>
      <w:rPr>
        <w:rFonts w:cs="Times New Roman" w:hint="default"/>
      </w:rPr>
    </w:lvl>
    <w:lvl w:ilvl="4">
      <w:start w:val="1"/>
      <w:numFmt w:val="none"/>
      <w:lvlText w:val=""/>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1.%21"/>
      <w:lvlJc w:val="left"/>
      <w:pPr>
        <w:ind w:left="1296" w:hanging="1296"/>
      </w:pPr>
      <w:rPr>
        <w:rFonts w:cs="Times New Roman" w:hint="default"/>
      </w:rPr>
    </w:lvl>
    <w:lvl w:ilvl="7">
      <w:start w:val="1"/>
      <w:numFmt w:val="decimal"/>
      <w:lvlText w:val="%8%1.%21.1"/>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3" w15:restartNumberingAfterBreak="0">
    <w:nsid w:val="78715B8A"/>
    <w:multiLevelType w:val="hybridMultilevel"/>
    <w:tmpl w:val="0604392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FB1FD3"/>
    <w:multiLevelType w:val="hybridMultilevel"/>
    <w:tmpl w:val="3FAAE19A"/>
    <w:lvl w:ilvl="0" w:tplc="0C090001">
      <w:start w:val="1"/>
      <w:numFmt w:val="bullet"/>
      <w:lvlText w:val=""/>
      <w:lvlJc w:val="left"/>
      <w:pPr>
        <w:ind w:left="495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1314E2"/>
    <w:multiLevelType w:val="hybridMultilevel"/>
    <w:tmpl w:val="4D88D650"/>
    <w:lvl w:ilvl="0" w:tplc="3894EE82">
      <w:start w:val="1"/>
      <w:numFmt w:val="bullet"/>
      <w:pStyle w:val="Bulletlistlevel1"/>
      <w:lvlText w:val=""/>
      <w:lvlJc w:val="left"/>
      <w:pPr>
        <w:ind w:left="-414" w:hanging="360"/>
      </w:pPr>
      <w:rPr>
        <w:rFonts w:ascii="Symbol" w:hAnsi="Symbol" w:hint="default"/>
      </w:rPr>
    </w:lvl>
    <w:lvl w:ilvl="1" w:tplc="87D8F8F0" w:tentative="1">
      <w:start w:val="1"/>
      <w:numFmt w:val="lowerLetter"/>
      <w:lvlText w:val="%2."/>
      <w:lvlJc w:val="left"/>
      <w:pPr>
        <w:ind w:left="306" w:hanging="360"/>
      </w:pPr>
      <w:rPr>
        <w:rFonts w:cs="Times New Roman"/>
      </w:rPr>
    </w:lvl>
    <w:lvl w:ilvl="2" w:tplc="B1323CB8" w:tentative="1">
      <w:start w:val="1"/>
      <w:numFmt w:val="lowerRoman"/>
      <w:lvlText w:val="%3."/>
      <w:lvlJc w:val="right"/>
      <w:pPr>
        <w:ind w:left="1026" w:hanging="180"/>
      </w:pPr>
      <w:rPr>
        <w:rFonts w:cs="Times New Roman"/>
      </w:rPr>
    </w:lvl>
    <w:lvl w:ilvl="3" w:tplc="CAE0A252" w:tentative="1">
      <w:start w:val="1"/>
      <w:numFmt w:val="decimal"/>
      <w:lvlText w:val="%4."/>
      <w:lvlJc w:val="left"/>
      <w:pPr>
        <w:ind w:left="1746" w:hanging="360"/>
      </w:pPr>
      <w:rPr>
        <w:rFonts w:cs="Times New Roman"/>
      </w:rPr>
    </w:lvl>
    <w:lvl w:ilvl="4" w:tplc="A496904E" w:tentative="1">
      <w:start w:val="1"/>
      <w:numFmt w:val="lowerLetter"/>
      <w:lvlText w:val="%5."/>
      <w:lvlJc w:val="left"/>
      <w:pPr>
        <w:ind w:left="2466" w:hanging="360"/>
      </w:pPr>
      <w:rPr>
        <w:rFonts w:cs="Times New Roman"/>
      </w:rPr>
    </w:lvl>
    <w:lvl w:ilvl="5" w:tplc="867CAE32" w:tentative="1">
      <w:start w:val="1"/>
      <w:numFmt w:val="lowerRoman"/>
      <w:lvlText w:val="%6."/>
      <w:lvlJc w:val="right"/>
      <w:pPr>
        <w:ind w:left="3186" w:hanging="180"/>
      </w:pPr>
      <w:rPr>
        <w:rFonts w:cs="Times New Roman"/>
      </w:rPr>
    </w:lvl>
    <w:lvl w:ilvl="6" w:tplc="36B64AEE" w:tentative="1">
      <w:start w:val="1"/>
      <w:numFmt w:val="decimal"/>
      <w:lvlText w:val="%7."/>
      <w:lvlJc w:val="left"/>
      <w:pPr>
        <w:ind w:left="3906" w:hanging="360"/>
      </w:pPr>
      <w:rPr>
        <w:rFonts w:cs="Times New Roman"/>
      </w:rPr>
    </w:lvl>
    <w:lvl w:ilvl="7" w:tplc="EB0E0432" w:tentative="1">
      <w:start w:val="1"/>
      <w:numFmt w:val="lowerLetter"/>
      <w:lvlText w:val="%8."/>
      <w:lvlJc w:val="left"/>
      <w:pPr>
        <w:ind w:left="4626" w:hanging="360"/>
      </w:pPr>
      <w:rPr>
        <w:rFonts w:cs="Times New Roman"/>
      </w:rPr>
    </w:lvl>
    <w:lvl w:ilvl="8" w:tplc="4C4454F4" w:tentative="1">
      <w:start w:val="1"/>
      <w:numFmt w:val="lowerRoman"/>
      <w:lvlText w:val="%9."/>
      <w:lvlJc w:val="right"/>
      <w:pPr>
        <w:ind w:left="5346" w:hanging="180"/>
      </w:pPr>
      <w:rPr>
        <w:rFonts w:cs="Times New Roman"/>
      </w:rPr>
    </w:lvl>
  </w:abstractNum>
  <w:abstractNum w:abstractNumId="3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9"/>
  </w:num>
  <w:num w:numId="13">
    <w:abstractNumId w:val="12"/>
  </w:num>
  <w:num w:numId="14">
    <w:abstractNumId w:val="25"/>
  </w:num>
  <w:num w:numId="15">
    <w:abstractNumId w:val="35"/>
  </w:num>
  <w:num w:numId="16">
    <w:abstractNumId w:val="21"/>
  </w:num>
  <w:num w:numId="17">
    <w:abstractNumId w:val="11"/>
  </w:num>
  <w:num w:numId="18">
    <w:abstractNumId w:val="15"/>
  </w:num>
  <w:num w:numId="19">
    <w:abstractNumId w:val="32"/>
  </w:num>
  <w:num w:numId="20">
    <w:abstractNumId w:val="30"/>
  </w:num>
  <w:num w:numId="21">
    <w:abstractNumId w:val="17"/>
  </w:num>
  <w:num w:numId="22">
    <w:abstractNumId w:val="18"/>
  </w:num>
  <w:num w:numId="23">
    <w:abstractNumId w:val="10"/>
  </w:num>
  <w:num w:numId="24">
    <w:abstractNumId w:val="16"/>
  </w:num>
  <w:num w:numId="25">
    <w:abstractNumId w:val="36"/>
  </w:num>
  <w:num w:numId="26">
    <w:abstractNumId w:val="13"/>
  </w:num>
  <w:num w:numId="27">
    <w:abstractNumId w:val="23"/>
  </w:num>
  <w:num w:numId="28">
    <w:abstractNumId w:val="31"/>
  </w:num>
  <w:num w:numId="29">
    <w:abstractNumId w:val="22"/>
  </w:num>
  <w:num w:numId="30">
    <w:abstractNumId w:val="29"/>
  </w:num>
  <w:num w:numId="31">
    <w:abstractNumId w:val="24"/>
  </w:num>
  <w:num w:numId="32">
    <w:abstractNumId w:val="27"/>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34"/>
  </w:num>
  <w:num w:numId="36">
    <w:abstractNumId w:val="33"/>
  </w:num>
  <w:num w:numId="37">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46"/>
  <w:evenAndOddHeaders/>
  <w:characterSpacingControl w:val="doNotCompress"/>
  <w:hdrShapeDefaults>
    <o:shapedefaults v:ext="edit" spidmax="2089" style="mso-position-horizontal:center;mso-position-horizontal-relative:margin;mso-position-vertical:center;mso-position-vertical-relative:margin" o:allowincell="f" fillcolor="silver" stroke="f">
      <v:fill color="silver" opacity=".5"/>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46"/>
    <w:rsid w:val="000011FF"/>
    <w:rsid w:val="000016B7"/>
    <w:rsid w:val="00001839"/>
    <w:rsid w:val="00004BBA"/>
    <w:rsid w:val="00010090"/>
    <w:rsid w:val="00012062"/>
    <w:rsid w:val="00012567"/>
    <w:rsid w:val="00012C7C"/>
    <w:rsid w:val="00013BA7"/>
    <w:rsid w:val="00015B3E"/>
    <w:rsid w:val="000164DC"/>
    <w:rsid w:val="00016CCD"/>
    <w:rsid w:val="00016ECB"/>
    <w:rsid w:val="000171BE"/>
    <w:rsid w:val="0001725A"/>
    <w:rsid w:val="000223B2"/>
    <w:rsid w:val="00022A35"/>
    <w:rsid w:val="000233EA"/>
    <w:rsid w:val="000238D1"/>
    <w:rsid w:val="00024BDA"/>
    <w:rsid w:val="00025A33"/>
    <w:rsid w:val="00026D92"/>
    <w:rsid w:val="00030285"/>
    <w:rsid w:val="0003048A"/>
    <w:rsid w:val="00031176"/>
    <w:rsid w:val="00031636"/>
    <w:rsid w:val="00032058"/>
    <w:rsid w:val="00034823"/>
    <w:rsid w:val="00034ADC"/>
    <w:rsid w:val="00034CCA"/>
    <w:rsid w:val="00036A58"/>
    <w:rsid w:val="00037980"/>
    <w:rsid w:val="00037B25"/>
    <w:rsid w:val="00040028"/>
    <w:rsid w:val="000421E6"/>
    <w:rsid w:val="00042C45"/>
    <w:rsid w:val="00044012"/>
    <w:rsid w:val="00044194"/>
    <w:rsid w:val="0004551E"/>
    <w:rsid w:val="00045F75"/>
    <w:rsid w:val="00046204"/>
    <w:rsid w:val="00046DE2"/>
    <w:rsid w:val="0005204D"/>
    <w:rsid w:val="00052319"/>
    <w:rsid w:val="00052A23"/>
    <w:rsid w:val="00052F85"/>
    <w:rsid w:val="00053A61"/>
    <w:rsid w:val="00053DC1"/>
    <w:rsid w:val="00055077"/>
    <w:rsid w:val="00056859"/>
    <w:rsid w:val="00060E04"/>
    <w:rsid w:val="000618AD"/>
    <w:rsid w:val="00061AB9"/>
    <w:rsid w:val="00061B6D"/>
    <w:rsid w:val="00061D08"/>
    <w:rsid w:val="00062087"/>
    <w:rsid w:val="00064F19"/>
    <w:rsid w:val="00067FAE"/>
    <w:rsid w:val="0007009F"/>
    <w:rsid w:val="0007136A"/>
    <w:rsid w:val="00073340"/>
    <w:rsid w:val="0007461D"/>
    <w:rsid w:val="0007556D"/>
    <w:rsid w:val="0007683A"/>
    <w:rsid w:val="00077835"/>
    <w:rsid w:val="0008186E"/>
    <w:rsid w:val="000823F3"/>
    <w:rsid w:val="0008375C"/>
    <w:rsid w:val="000840B5"/>
    <w:rsid w:val="0008663E"/>
    <w:rsid w:val="00086C99"/>
    <w:rsid w:val="000874A9"/>
    <w:rsid w:val="0009152D"/>
    <w:rsid w:val="000915D1"/>
    <w:rsid w:val="00092119"/>
    <w:rsid w:val="000927C6"/>
    <w:rsid w:val="00093922"/>
    <w:rsid w:val="000941F6"/>
    <w:rsid w:val="00094472"/>
    <w:rsid w:val="00094D98"/>
    <w:rsid w:val="00095C7A"/>
    <w:rsid w:val="000967E6"/>
    <w:rsid w:val="000971E6"/>
    <w:rsid w:val="00097985"/>
    <w:rsid w:val="00097D7B"/>
    <w:rsid w:val="000A14A2"/>
    <w:rsid w:val="000A16C9"/>
    <w:rsid w:val="000A2214"/>
    <w:rsid w:val="000A33FE"/>
    <w:rsid w:val="000A5891"/>
    <w:rsid w:val="000A5E0A"/>
    <w:rsid w:val="000A6724"/>
    <w:rsid w:val="000A78C0"/>
    <w:rsid w:val="000B0846"/>
    <w:rsid w:val="000B0CDE"/>
    <w:rsid w:val="000B12AD"/>
    <w:rsid w:val="000B2688"/>
    <w:rsid w:val="000B4BFC"/>
    <w:rsid w:val="000B504D"/>
    <w:rsid w:val="000B510A"/>
    <w:rsid w:val="000B71DA"/>
    <w:rsid w:val="000C0208"/>
    <w:rsid w:val="000C0965"/>
    <w:rsid w:val="000C1130"/>
    <w:rsid w:val="000C12B1"/>
    <w:rsid w:val="000C12C3"/>
    <w:rsid w:val="000C2759"/>
    <w:rsid w:val="000C30A9"/>
    <w:rsid w:val="000C3653"/>
    <w:rsid w:val="000C49C9"/>
    <w:rsid w:val="000C5573"/>
    <w:rsid w:val="000C59EC"/>
    <w:rsid w:val="000C6DFF"/>
    <w:rsid w:val="000C6FA0"/>
    <w:rsid w:val="000C727C"/>
    <w:rsid w:val="000C7916"/>
    <w:rsid w:val="000D384D"/>
    <w:rsid w:val="000D387C"/>
    <w:rsid w:val="000D4F39"/>
    <w:rsid w:val="000D5EDC"/>
    <w:rsid w:val="000D68A2"/>
    <w:rsid w:val="000D6984"/>
    <w:rsid w:val="000D7541"/>
    <w:rsid w:val="000D7EBD"/>
    <w:rsid w:val="000E13B4"/>
    <w:rsid w:val="000E231B"/>
    <w:rsid w:val="000E2F92"/>
    <w:rsid w:val="000E440E"/>
    <w:rsid w:val="000E5A5A"/>
    <w:rsid w:val="000E66C0"/>
    <w:rsid w:val="000E79A3"/>
    <w:rsid w:val="000F0EFB"/>
    <w:rsid w:val="000F30A0"/>
    <w:rsid w:val="000F3D5D"/>
    <w:rsid w:val="000F6652"/>
    <w:rsid w:val="000F6785"/>
    <w:rsid w:val="00100B5B"/>
    <w:rsid w:val="001013B4"/>
    <w:rsid w:val="00101A1A"/>
    <w:rsid w:val="00103599"/>
    <w:rsid w:val="00103E7B"/>
    <w:rsid w:val="00104A8B"/>
    <w:rsid w:val="00104CBD"/>
    <w:rsid w:val="00105A3D"/>
    <w:rsid w:val="0010659A"/>
    <w:rsid w:val="001069C1"/>
    <w:rsid w:val="00106A85"/>
    <w:rsid w:val="00107EEA"/>
    <w:rsid w:val="001107D1"/>
    <w:rsid w:val="00112799"/>
    <w:rsid w:val="00115163"/>
    <w:rsid w:val="001154AD"/>
    <w:rsid w:val="00116A46"/>
    <w:rsid w:val="00116E9B"/>
    <w:rsid w:val="0011708B"/>
    <w:rsid w:val="001201A6"/>
    <w:rsid w:val="0012051D"/>
    <w:rsid w:val="00120F86"/>
    <w:rsid w:val="00121896"/>
    <w:rsid w:val="00123DBF"/>
    <w:rsid w:val="00125EA4"/>
    <w:rsid w:val="001266E9"/>
    <w:rsid w:val="00126C48"/>
    <w:rsid w:val="00126D9A"/>
    <w:rsid w:val="00127856"/>
    <w:rsid w:val="00131525"/>
    <w:rsid w:val="00132097"/>
    <w:rsid w:val="0013258C"/>
    <w:rsid w:val="00133077"/>
    <w:rsid w:val="00133A87"/>
    <w:rsid w:val="00133AB1"/>
    <w:rsid w:val="00134F41"/>
    <w:rsid w:val="001352E7"/>
    <w:rsid w:val="00137745"/>
    <w:rsid w:val="001409BD"/>
    <w:rsid w:val="001415F9"/>
    <w:rsid w:val="00144967"/>
    <w:rsid w:val="0014536B"/>
    <w:rsid w:val="00145B35"/>
    <w:rsid w:val="00145C9B"/>
    <w:rsid w:val="00147B04"/>
    <w:rsid w:val="00150083"/>
    <w:rsid w:val="001505EB"/>
    <w:rsid w:val="00151C3B"/>
    <w:rsid w:val="0015201D"/>
    <w:rsid w:val="001562EC"/>
    <w:rsid w:val="0016069D"/>
    <w:rsid w:val="001606A8"/>
    <w:rsid w:val="0016179B"/>
    <w:rsid w:val="00163101"/>
    <w:rsid w:val="00163A08"/>
    <w:rsid w:val="0016463A"/>
    <w:rsid w:val="00165699"/>
    <w:rsid w:val="00166E04"/>
    <w:rsid w:val="00167169"/>
    <w:rsid w:val="00167537"/>
    <w:rsid w:val="00167EE2"/>
    <w:rsid w:val="0017063D"/>
    <w:rsid w:val="00170F9C"/>
    <w:rsid w:val="001712BC"/>
    <w:rsid w:val="001722F9"/>
    <w:rsid w:val="0017558F"/>
    <w:rsid w:val="0017638E"/>
    <w:rsid w:val="001777EE"/>
    <w:rsid w:val="001779EA"/>
    <w:rsid w:val="00180581"/>
    <w:rsid w:val="00180D09"/>
    <w:rsid w:val="001820C5"/>
    <w:rsid w:val="001829FA"/>
    <w:rsid w:val="00182A2F"/>
    <w:rsid w:val="001839D6"/>
    <w:rsid w:val="00184A7B"/>
    <w:rsid w:val="00184C56"/>
    <w:rsid w:val="00184D61"/>
    <w:rsid w:val="0018598D"/>
    <w:rsid w:val="00187105"/>
    <w:rsid w:val="0019001E"/>
    <w:rsid w:val="0019100F"/>
    <w:rsid w:val="001917B3"/>
    <w:rsid w:val="001917DA"/>
    <w:rsid w:val="00192003"/>
    <w:rsid w:val="00192010"/>
    <w:rsid w:val="00192DA0"/>
    <w:rsid w:val="00195221"/>
    <w:rsid w:val="0019559B"/>
    <w:rsid w:val="00195B4C"/>
    <w:rsid w:val="00196028"/>
    <w:rsid w:val="001974F6"/>
    <w:rsid w:val="001A1A54"/>
    <w:rsid w:val="001A28BF"/>
    <w:rsid w:val="001A46D3"/>
    <w:rsid w:val="001A5269"/>
    <w:rsid w:val="001A5F09"/>
    <w:rsid w:val="001A6A02"/>
    <w:rsid w:val="001A78B6"/>
    <w:rsid w:val="001B0650"/>
    <w:rsid w:val="001B09FD"/>
    <w:rsid w:val="001B1173"/>
    <w:rsid w:val="001B207B"/>
    <w:rsid w:val="001B22F0"/>
    <w:rsid w:val="001B36FB"/>
    <w:rsid w:val="001B457B"/>
    <w:rsid w:val="001B4892"/>
    <w:rsid w:val="001B4930"/>
    <w:rsid w:val="001B5859"/>
    <w:rsid w:val="001B5C86"/>
    <w:rsid w:val="001B5E58"/>
    <w:rsid w:val="001B5EB3"/>
    <w:rsid w:val="001B5F08"/>
    <w:rsid w:val="001B73A1"/>
    <w:rsid w:val="001C11EA"/>
    <w:rsid w:val="001C2A48"/>
    <w:rsid w:val="001C3269"/>
    <w:rsid w:val="001C3601"/>
    <w:rsid w:val="001C5D82"/>
    <w:rsid w:val="001C6D5B"/>
    <w:rsid w:val="001C719C"/>
    <w:rsid w:val="001C7639"/>
    <w:rsid w:val="001C7818"/>
    <w:rsid w:val="001D00FF"/>
    <w:rsid w:val="001D2441"/>
    <w:rsid w:val="001D271A"/>
    <w:rsid w:val="001D2873"/>
    <w:rsid w:val="001D5DBF"/>
    <w:rsid w:val="001D60B6"/>
    <w:rsid w:val="001E0B71"/>
    <w:rsid w:val="001E197A"/>
    <w:rsid w:val="001E2F75"/>
    <w:rsid w:val="001E3462"/>
    <w:rsid w:val="001E3B56"/>
    <w:rsid w:val="001E3BA1"/>
    <w:rsid w:val="001E3ED8"/>
    <w:rsid w:val="001E533E"/>
    <w:rsid w:val="001E56FE"/>
    <w:rsid w:val="001E61F6"/>
    <w:rsid w:val="001E6B34"/>
    <w:rsid w:val="001E6B45"/>
    <w:rsid w:val="001F1058"/>
    <w:rsid w:val="001F1D6D"/>
    <w:rsid w:val="001F48AB"/>
    <w:rsid w:val="001F49B7"/>
    <w:rsid w:val="001F622E"/>
    <w:rsid w:val="00202660"/>
    <w:rsid w:val="00202BE1"/>
    <w:rsid w:val="002031BD"/>
    <w:rsid w:val="002032A0"/>
    <w:rsid w:val="002064D0"/>
    <w:rsid w:val="002076F3"/>
    <w:rsid w:val="002103BD"/>
    <w:rsid w:val="00210A63"/>
    <w:rsid w:val="00211156"/>
    <w:rsid w:val="0021195E"/>
    <w:rsid w:val="002128AF"/>
    <w:rsid w:val="00212F5E"/>
    <w:rsid w:val="0021614E"/>
    <w:rsid w:val="00216794"/>
    <w:rsid w:val="00220914"/>
    <w:rsid w:val="00221C9C"/>
    <w:rsid w:val="0022278A"/>
    <w:rsid w:val="002230E6"/>
    <w:rsid w:val="00224D59"/>
    <w:rsid w:val="002259AC"/>
    <w:rsid w:val="002264FA"/>
    <w:rsid w:val="00226A15"/>
    <w:rsid w:val="002270B3"/>
    <w:rsid w:val="00227281"/>
    <w:rsid w:val="0023358B"/>
    <w:rsid w:val="00233BF7"/>
    <w:rsid w:val="00235CF0"/>
    <w:rsid w:val="00235D37"/>
    <w:rsid w:val="002371DB"/>
    <w:rsid w:val="00237B6F"/>
    <w:rsid w:val="00240841"/>
    <w:rsid w:val="002412A4"/>
    <w:rsid w:val="00241F22"/>
    <w:rsid w:val="00243563"/>
    <w:rsid w:val="00243715"/>
    <w:rsid w:val="00243CBE"/>
    <w:rsid w:val="00243DCB"/>
    <w:rsid w:val="0024524F"/>
    <w:rsid w:val="002458C5"/>
    <w:rsid w:val="00245D9F"/>
    <w:rsid w:val="00247FE5"/>
    <w:rsid w:val="002502AF"/>
    <w:rsid w:val="00251AC7"/>
    <w:rsid w:val="00252497"/>
    <w:rsid w:val="00252BBC"/>
    <w:rsid w:val="00254B7A"/>
    <w:rsid w:val="00256D7D"/>
    <w:rsid w:val="00256FBC"/>
    <w:rsid w:val="00262C9C"/>
    <w:rsid w:val="00264222"/>
    <w:rsid w:val="002644BB"/>
    <w:rsid w:val="002649B5"/>
    <w:rsid w:val="002718FF"/>
    <w:rsid w:val="00271A5B"/>
    <w:rsid w:val="00275330"/>
    <w:rsid w:val="002753EE"/>
    <w:rsid w:val="00277735"/>
    <w:rsid w:val="002805F4"/>
    <w:rsid w:val="002806E8"/>
    <w:rsid w:val="00280D11"/>
    <w:rsid w:val="00283F5C"/>
    <w:rsid w:val="0028421E"/>
    <w:rsid w:val="00285ABC"/>
    <w:rsid w:val="00286673"/>
    <w:rsid w:val="00287FC6"/>
    <w:rsid w:val="00291D83"/>
    <w:rsid w:val="002973FA"/>
    <w:rsid w:val="00297673"/>
    <w:rsid w:val="002A0027"/>
    <w:rsid w:val="002A185D"/>
    <w:rsid w:val="002A24D0"/>
    <w:rsid w:val="002A257A"/>
    <w:rsid w:val="002A5344"/>
    <w:rsid w:val="002B1AC8"/>
    <w:rsid w:val="002B23FF"/>
    <w:rsid w:val="002B388D"/>
    <w:rsid w:val="002B4A3A"/>
    <w:rsid w:val="002B660A"/>
    <w:rsid w:val="002B7D81"/>
    <w:rsid w:val="002C1AB1"/>
    <w:rsid w:val="002C3AC7"/>
    <w:rsid w:val="002C3C37"/>
    <w:rsid w:val="002C3CF7"/>
    <w:rsid w:val="002C4E56"/>
    <w:rsid w:val="002C548A"/>
    <w:rsid w:val="002D0603"/>
    <w:rsid w:val="002D0702"/>
    <w:rsid w:val="002D0A83"/>
    <w:rsid w:val="002D1047"/>
    <w:rsid w:val="002D3B0A"/>
    <w:rsid w:val="002D485F"/>
    <w:rsid w:val="002D5907"/>
    <w:rsid w:val="002D7840"/>
    <w:rsid w:val="002E0324"/>
    <w:rsid w:val="002E2EB3"/>
    <w:rsid w:val="002E344A"/>
    <w:rsid w:val="002E3ED2"/>
    <w:rsid w:val="002E6EB6"/>
    <w:rsid w:val="002E726C"/>
    <w:rsid w:val="002F04E9"/>
    <w:rsid w:val="002F0D7F"/>
    <w:rsid w:val="002F1119"/>
    <w:rsid w:val="002F13B7"/>
    <w:rsid w:val="002F1D67"/>
    <w:rsid w:val="002F37BA"/>
    <w:rsid w:val="002F5386"/>
    <w:rsid w:val="00301635"/>
    <w:rsid w:val="00301F54"/>
    <w:rsid w:val="00302004"/>
    <w:rsid w:val="00302510"/>
    <w:rsid w:val="00302BD1"/>
    <w:rsid w:val="00302DF4"/>
    <w:rsid w:val="00303425"/>
    <w:rsid w:val="003042B1"/>
    <w:rsid w:val="003045B8"/>
    <w:rsid w:val="003045ED"/>
    <w:rsid w:val="00306B22"/>
    <w:rsid w:val="00307591"/>
    <w:rsid w:val="0031203B"/>
    <w:rsid w:val="003127FB"/>
    <w:rsid w:val="00314CF6"/>
    <w:rsid w:val="003155F0"/>
    <w:rsid w:val="0031570D"/>
    <w:rsid w:val="00316B2D"/>
    <w:rsid w:val="00317346"/>
    <w:rsid w:val="00317393"/>
    <w:rsid w:val="0031748B"/>
    <w:rsid w:val="00317722"/>
    <w:rsid w:val="00317E73"/>
    <w:rsid w:val="0032291C"/>
    <w:rsid w:val="00326327"/>
    <w:rsid w:val="003276E6"/>
    <w:rsid w:val="00330E92"/>
    <w:rsid w:val="00331026"/>
    <w:rsid w:val="00332D86"/>
    <w:rsid w:val="0033431C"/>
    <w:rsid w:val="003345DA"/>
    <w:rsid w:val="00336217"/>
    <w:rsid w:val="00336E84"/>
    <w:rsid w:val="003379D7"/>
    <w:rsid w:val="00337F40"/>
    <w:rsid w:val="00341320"/>
    <w:rsid w:val="003418C1"/>
    <w:rsid w:val="00341C98"/>
    <w:rsid w:val="003433AB"/>
    <w:rsid w:val="003443EB"/>
    <w:rsid w:val="00344677"/>
    <w:rsid w:val="003446DE"/>
    <w:rsid w:val="003458E5"/>
    <w:rsid w:val="00345A6D"/>
    <w:rsid w:val="003461FC"/>
    <w:rsid w:val="0034635E"/>
    <w:rsid w:val="00346CDE"/>
    <w:rsid w:val="00347618"/>
    <w:rsid w:val="00350475"/>
    <w:rsid w:val="00351015"/>
    <w:rsid w:val="00351A66"/>
    <w:rsid w:val="00351AD0"/>
    <w:rsid w:val="00352A23"/>
    <w:rsid w:val="00352BB3"/>
    <w:rsid w:val="003534F8"/>
    <w:rsid w:val="0035425D"/>
    <w:rsid w:val="00354B0F"/>
    <w:rsid w:val="00354DFF"/>
    <w:rsid w:val="00355DF5"/>
    <w:rsid w:val="003574E8"/>
    <w:rsid w:val="00357A4D"/>
    <w:rsid w:val="00361375"/>
    <w:rsid w:val="0036212E"/>
    <w:rsid w:val="00365970"/>
    <w:rsid w:val="003660F9"/>
    <w:rsid w:val="00367A7B"/>
    <w:rsid w:val="00367B9B"/>
    <w:rsid w:val="0037018E"/>
    <w:rsid w:val="003716A1"/>
    <w:rsid w:val="0037284B"/>
    <w:rsid w:val="00372D3F"/>
    <w:rsid w:val="00373BD9"/>
    <w:rsid w:val="00374A59"/>
    <w:rsid w:val="003752E9"/>
    <w:rsid w:val="0037551C"/>
    <w:rsid w:val="0037659F"/>
    <w:rsid w:val="003823E4"/>
    <w:rsid w:val="00382B8E"/>
    <w:rsid w:val="0038468B"/>
    <w:rsid w:val="00384D92"/>
    <w:rsid w:val="003853BC"/>
    <w:rsid w:val="00385C4E"/>
    <w:rsid w:val="00386C0A"/>
    <w:rsid w:val="00387610"/>
    <w:rsid w:val="0038795E"/>
    <w:rsid w:val="00387D40"/>
    <w:rsid w:val="00392C13"/>
    <w:rsid w:val="00393D9F"/>
    <w:rsid w:val="003941DF"/>
    <w:rsid w:val="00395762"/>
    <w:rsid w:val="003A1F37"/>
    <w:rsid w:val="003A23E6"/>
    <w:rsid w:val="003A4294"/>
    <w:rsid w:val="003A5E73"/>
    <w:rsid w:val="003A7F93"/>
    <w:rsid w:val="003B3549"/>
    <w:rsid w:val="003B6A7E"/>
    <w:rsid w:val="003B6ED7"/>
    <w:rsid w:val="003C1078"/>
    <w:rsid w:val="003C1C5D"/>
    <w:rsid w:val="003C4A44"/>
    <w:rsid w:val="003C5A05"/>
    <w:rsid w:val="003C60E7"/>
    <w:rsid w:val="003C71A8"/>
    <w:rsid w:val="003C73B2"/>
    <w:rsid w:val="003D000F"/>
    <w:rsid w:val="003D0731"/>
    <w:rsid w:val="003D1F10"/>
    <w:rsid w:val="003D2825"/>
    <w:rsid w:val="003D3A4E"/>
    <w:rsid w:val="003D495F"/>
    <w:rsid w:val="003D4E3B"/>
    <w:rsid w:val="003D5EAE"/>
    <w:rsid w:val="003D6C98"/>
    <w:rsid w:val="003E032C"/>
    <w:rsid w:val="003E19C9"/>
    <w:rsid w:val="003E2637"/>
    <w:rsid w:val="003E361F"/>
    <w:rsid w:val="003E4C0B"/>
    <w:rsid w:val="003E5311"/>
    <w:rsid w:val="003E5742"/>
    <w:rsid w:val="003E78F5"/>
    <w:rsid w:val="003E792C"/>
    <w:rsid w:val="003E7E8B"/>
    <w:rsid w:val="003F186C"/>
    <w:rsid w:val="003F27B3"/>
    <w:rsid w:val="003F2C48"/>
    <w:rsid w:val="003F2D4B"/>
    <w:rsid w:val="003F4177"/>
    <w:rsid w:val="003F44C3"/>
    <w:rsid w:val="003F5C36"/>
    <w:rsid w:val="003F5F5D"/>
    <w:rsid w:val="003F6DD6"/>
    <w:rsid w:val="004008C9"/>
    <w:rsid w:val="00405459"/>
    <w:rsid w:val="00405D16"/>
    <w:rsid w:val="0040642A"/>
    <w:rsid w:val="00406890"/>
    <w:rsid w:val="004106A9"/>
    <w:rsid w:val="00410B6A"/>
    <w:rsid w:val="0041216C"/>
    <w:rsid w:val="00412296"/>
    <w:rsid w:val="00412858"/>
    <w:rsid w:val="00414319"/>
    <w:rsid w:val="00415478"/>
    <w:rsid w:val="004154A3"/>
    <w:rsid w:val="00415EC5"/>
    <w:rsid w:val="004164EB"/>
    <w:rsid w:val="00416EB1"/>
    <w:rsid w:val="00417022"/>
    <w:rsid w:val="004170C2"/>
    <w:rsid w:val="0042361E"/>
    <w:rsid w:val="004238FA"/>
    <w:rsid w:val="00424D0D"/>
    <w:rsid w:val="00424FD2"/>
    <w:rsid w:val="0042643F"/>
    <w:rsid w:val="0043069F"/>
    <w:rsid w:val="00430D98"/>
    <w:rsid w:val="00431098"/>
    <w:rsid w:val="00432423"/>
    <w:rsid w:val="004330A9"/>
    <w:rsid w:val="00433489"/>
    <w:rsid w:val="00433C0F"/>
    <w:rsid w:val="00433C23"/>
    <w:rsid w:val="00434745"/>
    <w:rsid w:val="00435E76"/>
    <w:rsid w:val="00435EFE"/>
    <w:rsid w:val="00436402"/>
    <w:rsid w:val="00437F34"/>
    <w:rsid w:val="004416E8"/>
    <w:rsid w:val="00442440"/>
    <w:rsid w:val="00443DBC"/>
    <w:rsid w:val="004449E4"/>
    <w:rsid w:val="0044555E"/>
    <w:rsid w:val="00445EFF"/>
    <w:rsid w:val="0044629B"/>
    <w:rsid w:val="004462A3"/>
    <w:rsid w:val="00451132"/>
    <w:rsid w:val="00452F37"/>
    <w:rsid w:val="00454870"/>
    <w:rsid w:val="00454D04"/>
    <w:rsid w:val="00457A9B"/>
    <w:rsid w:val="004616E0"/>
    <w:rsid w:val="00461B48"/>
    <w:rsid w:val="004641A0"/>
    <w:rsid w:val="00464752"/>
    <w:rsid w:val="0046526A"/>
    <w:rsid w:val="00465663"/>
    <w:rsid w:val="00465C30"/>
    <w:rsid w:val="0046623E"/>
    <w:rsid w:val="0046775E"/>
    <w:rsid w:val="00470CB9"/>
    <w:rsid w:val="00471620"/>
    <w:rsid w:val="00473CCE"/>
    <w:rsid w:val="00473E22"/>
    <w:rsid w:val="00474136"/>
    <w:rsid w:val="00474EC6"/>
    <w:rsid w:val="004750FD"/>
    <w:rsid w:val="00475385"/>
    <w:rsid w:val="00475484"/>
    <w:rsid w:val="004758C1"/>
    <w:rsid w:val="00475A42"/>
    <w:rsid w:val="00475B8B"/>
    <w:rsid w:val="00477B48"/>
    <w:rsid w:val="00480E59"/>
    <w:rsid w:val="00481446"/>
    <w:rsid w:val="00481F91"/>
    <w:rsid w:val="00484A97"/>
    <w:rsid w:val="00486F69"/>
    <w:rsid w:val="00487421"/>
    <w:rsid w:val="00487FDA"/>
    <w:rsid w:val="004909C8"/>
    <w:rsid w:val="004916B3"/>
    <w:rsid w:val="0049262E"/>
    <w:rsid w:val="00492C1E"/>
    <w:rsid w:val="00492DDF"/>
    <w:rsid w:val="00492EFA"/>
    <w:rsid w:val="00496C40"/>
    <w:rsid w:val="00496F95"/>
    <w:rsid w:val="004975E9"/>
    <w:rsid w:val="00497A2F"/>
    <w:rsid w:val="004A069D"/>
    <w:rsid w:val="004A1224"/>
    <w:rsid w:val="004A21FF"/>
    <w:rsid w:val="004A2365"/>
    <w:rsid w:val="004A2390"/>
    <w:rsid w:val="004A284D"/>
    <w:rsid w:val="004A3FBA"/>
    <w:rsid w:val="004A47B6"/>
    <w:rsid w:val="004A4A2A"/>
    <w:rsid w:val="004A763D"/>
    <w:rsid w:val="004A7AAE"/>
    <w:rsid w:val="004A7DAA"/>
    <w:rsid w:val="004B065D"/>
    <w:rsid w:val="004B1072"/>
    <w:rsid w:val="004B1188"/>
    <w:rsid w:val="004B23EC"/>
    <w:rsid w:val="004B2546"/>
    <w:rsid w:val="004B428C"/>
    <w:rsid w:val="004B4505"/>
    <w:rsid w:val="004B546F"/>
    <w:rsid w:val="004B6287"/>
    <w:rsid w:val="004B6AD2"/>
    <w:rsid w:val="004B7735"/>
    <w:rsid w:val="004C08E9"/>
    <w:rsid w:val="004C0A90"/>
    <w:rsid w:val="004C0AA7"/>
    <w:rsid w:val="004C1D20"/>
    <w:rsid w:val="004C1F31"/>
    <w:rsid w:val="004C35FA"/>
    <w:rsid w:val="004C3CE8"/>
    <w:rsid w:val="004C6809"/>
    <w:rsid w:val="004C6F1E"/>
    <w:rsid w:val="004C7E95"/>
    <w:rsid w:val="004D2235"/>
    <w:rsid w:val="004D3094"/>
    <w:rsid w:val="004E42BA"/>
    <w:rsid w:val="004E4D9C"/>
    <w:rsid w:val="004E5CC4"/>
    <w:rsid w:val="004E5D8F"/>
    <w:rsid w:val="004E622E"/>
    <w:rsid w:val="004E69C7"/>
    <w:rsid w:val="004E7305"/>
    <w:rsid w:val="004E7C1D"/>
    <w:rsid w:val="004F019A"/>
    <w:rsid w:val="004F0366"/>
    <w:rsid w:val="004F4BD9"/>
    <w:rsid w:val="004F5121"/>
    <w:rsid w:val="004F67F8"/>
    <w:rsid w:val="004F6AC2"/>
    <w:rsid w:val="004F6D09"/>
    <w:rsid w:val="00500866"/>
    <w:rsid w:val="00500C4A"/>
    <w:rsid w:val="00501A3F"/>
    <w:rsid w:val="00501CD0"/>
    <w:rsid w:val="005024AF"/>
    <w:rsid w:val="005030F9"/>
    <w:rsid w:val="00503304"/>
    <w:rsid w:val="0050636F"/>
    <w:rsid w:val="005074A4"/>
    <w:rsid w:val="00510424"/>
    <w:rsid w:val="00511278"/>
    <w:rsid w:val="005114F8"/>
    <w:rsid w:val="0051400D"/>
    <w:rsid w:val="00516733"/>
    <w:rsid w:val="00517EFF"/>
    <w:rsid w:val="00520380"/>
    <w:rsid w:val="00520708"/>
    <w:rsid w:val="00521512"/>
    <w:rsid w:val="00521536"/>
    <w:rsid w:val="005228F6"/>
    <w:rsid w:val="00523335"/>
    <w:rsid w:val="00525A82"/>
    <w:rsid w:val="0052687F"/>
    <w:rsid w:val="005270C2"/>
    <w:rsid w:val="00527137"/>
    <w:rsid w:val="00527991"/>
    <w:rsid w:val="00530B7A"/>
    <w:rsid w:val="00534514"/>
    <w:rsid w:val="00535FA7"/>
    <w:rsid w:val="005427CD"/>
    <w:rsid w:val="00542D7C"/>
    <w:rsid w:val="005433B1"/>
    <w:rsid w:val="00543600"/>
    <w:rsid w:val="00543790"/>
    <w:rsid w:val="00543B59"/>
    <w:rsid w:val="0054459E"/>
    <w:rsid w:val="005445D9"/>
    <w:rsid w:val="00545F82"/>
    <w:rsid w:val="005468A2"/>
    <w:rsid w:val="00546EA3"/>
    <w:rsid w:val="005478A3"/>
    <w:rsid w:val="005508C6"/>
    <w:rsid w:val="00551BE9"/>
    <w:rsid w:val="005543D2"/>
    <w:rsid w:val="00556063"/>
    <w:rsid w:val="00557013"/>
    <w:rsid w:val="0055742A"/>
    <w:rsid w:val="00560B7B"/>
    <w:rsid w:val="00562622"/>
    <w:rsid w:val="00562E8A"/>
    <w:rsid w:val="005646D0"/>
    <w:rsid w:val="00570AD2"/>
    <w:rsid w:val="0057279F"/>
    <w:rsid w:val="00572B8C"/>
    <w:rsid w:val="00572C00"/>
    <w:rsid w:val="00573888"/>
    <w:rsid w:val="00573E0C"/>
    <w:rsid w:val="005744D7"/>
    <w:rsid w:val="005764C2"/>
    <w:rsid w:val="005771CD"/>
    <w:rsid w:val="005779EB"/>
    <w:rsid w:val="00577B54"/>
    <w:rsid w:val="005809FD"/>
    <w:rsid w:val="00581C79"/>
    <w:rsid w:val="005829CA"/>
    <w:rsid w:val="00583FA9"/>
    <w:rsid w:val="0058445F"/>
    <w:rsid w:val="00590AA6"/>
    <w:rsid w:val="00590E04"/>
    <w:rsid w:val="0059115E"/>
    <w:rsid w:val="00591276"/>
    <w:rsid w:val="005915CD"/>
    <w:rsid w:val="00591A9C"/>
    <w:rsid w:val="005921BF"/>
    <w:rsid w:val="0059274B"/>
    <w:rsid w:val="00594266"/>
    <w:rsid w:val="00594988"/>
    <w:rsid w:val="00594D43"/>
    <w:rsid w:val="00595C04"/>
    <w:rsid w:val="00596DE5"/>
    <w:rsid w:val="00597304"/>
    <w:rsid w:val="00597313"/>
    <w:rsid w:val="005A0384"/>
    <w:rsid w:val="005A086A"/>
    <w:rsid w:val="005A0F1D"/>
    <w:rsid w:val="005A1831"/>
    <w:rsid w:val="005A1C9B"/>
    <w:rsid w:val="005A33C7"/>
    <w:rsid w:val="005A4E01"/>
    <w:rsid w:val="005A7435"/>
    <w:rsid w:val="005A7BB6"/>
    <w:rsid w:val="005B1D8F"/>
    <w:rsid w:val="005B35FB"/>
    <w:rsid w:val="005B3763"/>
    <w:rsid w:val="005B41CA"/>
    <w:rsid w:val="005B5029"/>
    <w:rsid w:val="005B5F65"/>
    <w:rsid w:val="005B68B5"/>
    <w:rsid w:val="005B696F"/>
    <w:rsid w:val="005C01C0"/>
    <w:rsid w:val="005C0B5F"/>
    <w:rsid w:val="005C0F24"/>
    <w:rsid w:val="005C176D"/>
    <w:rsid w:val="005C505E"/>
    <w:rsid w:val="005C603D"/>
    <w:rsid w:val="005C7610"/>
    <w:rsid w:val="005D0355"/>
    <w:rsid w:val="005D1BC8"/>
    <w:rsid w:val="005D2B7B"/>
    <w:rsid w:val="005D4DEC"/>
    <w:rsid w:val="005D7839"/>
    <w:rsid w:val="005D79AF"/>
    <w:rsid w:val="005D7B3C"/>
    <w:rsid w:val="005E13B6"/>
    <w:rsid w:val="005E21F5"/>
    <w:rsid w:val="005E4A19"/>
    <w:rsid w:val="005E4CD6"/>
    <w:rsid w:val="005E56E4"/>
    <w:rsid w:val="005E7298"/>
    <w:rsid w:val="005F072C"/>
    <w:rsid w:val="005F1A7E"/>
    <w:rsid w:val="005F4FDA"/>
    <w:rsid w:val="005F5419"/>
    <w:rsid w:val="005F7540"/>
    <w:rsid w:val="00600252"/>
    <w:rsid w:val="00600A32"/>
    <w:rsid w:val="006013DE"/>
    <w:rsid w:val="006033DE"/>
    <w:rsid w:val="0060428D"/>
    <w:rsid w:val="00606BD8"/>
    <w:rsid w:val="006074ED"/>
    <w:rsid w:val="006101F3"/>
    <w:rsid w:val="00610A2C"/>
    <w:rsid w:val="0061161F"/>
    <w:rsid w:val="00611873"/>
    <w:rsid w:val="006137B1"/>
    <w:rsid w:val="00613AE1"/>
    <w:rsid w:val="0061540B"/>
    <w:rsid w:val="0061673E"/>
    <w:rsid w:val="006174C7"/>
    <w:rsid w:val="006175A7"/>
    <w:rsid w:val="00617F24"/>
    <w:rsid w:val="00621662"/>
    <w:rsid w:val="00622E2C"/>
    <w:rsid w:val="00624556"/>
    <w:rsid w:val="0062481B"/>
    <w:rsid w:val="006251C9"/>
    <w:rsid w:val="006259CB"/>
    <w:rsid w:val="006269A4"/>
    <w:rsid w:val="0062744D"/>
    <w:rsid w:val="00627499"/>
    <w:rsid w:val="00632981"/>
    <w:rsid w:val="00634118"/>
    <w:rsid w:val="00635EA7"/>
    <w:rsid w:val="00636785"/>
    <w:rsid w:val="00637FB3"/>
    <w:rsid w:val="006421C2"/>
    <w:rsid w:val="00642CEB"/>
    <w:rsid w:val="00643221"/>
    <w:rsid w:val="006449FA"/>
    <w:rsid w:val="006449FD"/>
    <w:rsid w:val="006454A7"/>
    <w:rsid w:val="0064567E"/>
    <w:rsid w:val="006465BB"/>
    <w:rsid w:val="00646941"/>
    <w:rsid w:val="00647F0C"/>
    <w:rsid w:val="00650133"/>
    <w:rsid w:val="00651F9D"/>
    <w:rsid w:val="006523B3"/>
    <w:rsid w:val="00652A64"/>
    <w:rsid w:val="00652F69"/>
    <w:rsid w:val="006543AB"/>
    <w:rsid w:val="00654E7E"/>
    <w:rsid w:val="006557E9"/>
    <w:rsid w:val="00656B71"/>
    <w:rsid w:val="00661F81"/>
    <w:rsid w:val="006631E8"/>
    <w:rsid w:val="00664473"/>
    <w:rsid w:val="006655D3"/>
    <w:rsid w:val="006665AB"/>
    <w:rsid w:val="00666CA6"/>
    <w:rsid w:val="00670CBD"/>
    <w:rsid w:val="0067133C"/>
    <w:rsid w:val="006721F0"/>
    <w:rsid w:val="0067249C"/>
    <w:rsid w:val="0067269D"/>
    <w:rsid w:val="00673E3D"/>
    <w:rsid w:val="00674502"/>
    <w:rsid w:val="00674B7E"/>
    <w:rsid w:val="006754C6"/>
    <w:rsid w:val="0067571E"/>
    <w:rsid w:val="0067686A"/>
    <w:rsid w:val="006825EA"/>
    <w:rsid w:val="00682746"/>
    <w:rsid w:val="006854B5"/>
    <w:rsid w:val="00685D6D"/>
    <w:rsid w:val="0068665B"/>
    <w:rsid w:val="00686ADD"/>
    <w:rsid w:val="0069017A"/>
    <w:rsid w:val="00691450"/>
    <w:rsid w:val="00692800"/>
    <w:rsid w:val="006962AF"/>
    <w:rsid w:val="006971C2"/>
    <w:rsid w:val="006A0DEF"/>
    <w:rsid w:val="006A19A4"/>
    <w:rsid w:val="006A2417"/>
    <w:rsid w:val="006A2C44"/>
    <w:rsid w:val="006A3EEB"/>
    <w:rsid w:val="006A5B02"/>
    <w:rsid w:val="006A5DD1"/>
    <w:rsid w:val="006A68B5"/>
    <w:rsid w:val="006A6C77"/>
    <w:rsid w:val="006A71F8"/>
    <w:rsid w:val="006B1DC1"/>
    <w:rsid w:val="006B24B6"/>
    <w:rsid w:val="006B3981"/>
    <w:rsid w:val="006B3BAF"/>
    <w:rsid w:val="006B4705"/>
    <w:rsid w:val="006B48A2"/>
    <w:rsid w:val="006B5DE4"/>
    <w:rsid w:val="006B6670"/>
    <w:rsid w:val="006B6B13"/>
    <w:rsid w:val="006C04DF"/>
    <w:rsid w:val="006C0537"/>
    <w:rsid w:val="006C06E1"/>
    <w:rsid w:val="006C0CBD"/>
    <w:rsid w:val="006C1D3D"/>
    <w:rsid w:val="006C1FAF"/>
    <w:rsid w:val="006C35A8"/>
    <w:rsid w:val="006C3EDA"/>
    <w:rsid w:val="006C533C"/>
    <w:rsid w:val="006C5ACB"/>
    <w:rsid w:val="006C742E"/>
    <w:rsid w:val="006D01F3"/>
    <w:rsid w:val="006D14D5"/>
    <w:rsid w:val="006D418E"/>
    <w:rsid w:val="006D712F"/>
    <w:rsid w:val="006E06EE"/>
    <w:rsid w:val="006E0EDD"/>
    <w:rsid w:val="006E1ABB"/>
    <w:rsid w:val="006E1BA7"/>
    <w:rsid w:val="006E1FE0"/>
    <w:rsid w:val="006E6910"/>
    <w:rsid w:val="006E7853"/>
    <w:rsid w:val="006F0DB1"/>
    <w:rsid w:val="006F0E50"/>
    <w:rsid w:val="006F1544"/>
    <w:rsid w:val="006F2384"/>
    <w:rsid w:val="006F388D"/>
    <w:rsid w:val="006F4484"/>
    <w:rsid w:val="006F4CFB"/>
    <w:rsid w:val="006F5358"/>
    <w:rsid w:val="006F53A8"/>
    <w:rsid w:val="006F663E"/>
    <w:rsid w:val="007000AB"/>
    <w:rsid w:val="00701E54"/>
    <w:rsid w:val="007047E4"/>
    <w:rsid w:val="00704C1C"/>
    <w:rsid w:val="00706014"/>
    <w:rsid w:val="007072D3"/>
    <w:rsid w:val="00710222"/>
    <w:rsid w:val="0071342C"/>
    <w:rsid w:val="00713E5C"/>
    <w:rsid w:val="0071432B"/>
    <w:rsid w:val="007165BE"/>
    <w:rsid w:val="00716798"/>
    <w:rsid w:val="00716F71"/>
    <w:rsid w:val="00717A2D"/>
    <w:rsid w:val="00717FD1"/>
    <w:rsid w:val="00720331"/>
    <w:rsid w:val="00720BDD"/>
    <w:rsid w:val="00721383"/>
    <w:rsid w:val="00722625"/>
    <w:rsid w:val="00722817"/>
    <w:rsid w:val="00724270"/>
    <w:rsid w:val="007250F5"/>
    <w:rsid w:val="007255CB"/>
    <w:rsid w:val="00725B48"/>
    <w:rsid w:val="00726072"/>
    <w:rsid w:val="00726733"/>
    <w:rsid w:val="007305D4"/>
    <w:rsid w:val="007308F1"/>
    <w:rsid w:val="00731542"/>
    <w:rsid w:val="007337C0"/>
    <w:rsid w:val="0073390D"/>
    <w:rsid w:val="007341A9"/>
    <w:rsid w:val="00735400"/>
    <w:rsid w:val="00735AE4"/>
    <w:rsid w:val="00735C41"/>
    <w:rsid w:val="007377EC"/>
    <w:rsid w:val="00737ACF"/>
    <w:rsid w:val="00737BD8"/>
    <w:rsid w:val="00741A91"/>
    <w:rsid w:val="00741F31"/>
    <w:rsid w:val="00742019"/>
    <w:rsid w:val="00742447"/>
    <w:rsid w:val="00744FCE"/>
    <w:rsid w:val="00745A30"/>
    <w:rsid w:val="00747B00"/>
    <w:rsid w:val="00747FAE"/>
    <w:rsid w:val="007506A2"/>
    <w:rsid w:val="00751327"/>
    <w:rsid w:val="0075192D"/>
    <w:rsid w:val="007519D4"/>
    <w:rsid w:val="00751B6C"/>
    <w:rsid w:val="00752521"/>
    <w:rsid w:val="00753923"/>
    <w:rsid w:val="00753D4D"/>
    <w:rsid w:val="00754F27"/>
    <w:rsid w:val="00755DED"/>
    <w:rsid w:val="00756A18"/>
    <w:rsid w:val="00756C20"/>
    <w:rsid w:val="00760BAB"/>
    <w:rsid w:val="00762179"/>
    <w:rsid w:val="00763A5E"/>
    <w:rsid w:val="00764041"/>
    <w:rsid w:val="0076535F"/>
    <w:rsid w:val="00766734"/>
    <w:rsid w:val="00767D36"/>
    <w:rsid w:val="00770C01"/>
    <w:rsid w:val="00770D34"/>
    <w:rsid w:val="007711B3"/>
    <w:rsid w:val="00771C62"/>
    <w:rsid w:val="00772529"/>
    <w:rsid w:val="007751E7"/>
    <w:rsid w:val="007753B8"/>
    <w:rsid w:val="007755DC"/>
    <w:rsid w:val="00777340"/>
    <w:rsid w:val="00780B47"/>
    <w:rsid w:val="0078174E"/>
    <w:rsid w:val="00781A65"/>
    <w:rsid w:val="007848D1"/>
    <w:rsid w:val="0078493D"/>
    <w:rsid w:val="00784A75"/>
    <w:rsid w:val="00784A91"/>
    <w:rsid w:val="007861B3"/>
    <w:rsid w:val="0078689A"/>
    <w:rsid w:val="0078717B"/>
    <w:rsid w:val="00787F30"/>
    <w:rsid w:val="00794D83"/>
    <w:rsid w:val="00797A2A"/>
    <w:rsid w:val="00797BE5"/>
    <w:rsid w:val="00797F2E"/>
    <w:rsid w:val="007A1799"/>
    <w:rsid w:val="007A4E51"/>
    <w:rsid w:val="007A4ED0"/>
    <w:rsid w:val="007A5009"/>
    <w:rsid w:val="007A6452"/>
    <w:rsid w:val="007A77AC"/>
    <w:rsid w:val="007A7E95"/>
    <w:rsid w:val="007B01C8"/>
    <w:rsid w:val="007B077A"/>
    <w:rsid w:val="007B0AE0"/>
    <w:rsid w:val="007B2889"/>
    <w:rsid w:val="007B2ACE"/>
    <w:rsid w:val="007B3429"/>
    <w:rsid w:val="007B54AC"/>
    <w:rsid w:val="007B6724"/>
    <w:rsid w:val="007C03E5"/>
    <w:rsid w:val="007C2849"/>
    <w:rsid w:val="007C3449"/>
    <w:rsid w:val="007C4EF8"/>
    <w:rsid w:val="007C4FE2"/>
    <w:rsid w:val="007C5602"/>
    <w:rsid w:val="007C5BE4"/>
    <w:rsid w:val="007C693A"/>
    <w:rsid w:val="007C6C59"/>
    <w:rsid w:val="007D0193"/>
    <w:rsid w:val="007D0FB4"/>
    <w:rsid w:val="007D2C2B"/>
    <w:rsid w:val="007D2F1F"/>
    <w:rsid w:val="007D3EEE"/>
    <w:rsid w:val="007D45A8"/>
    <w:rsid w:val="007D4E4E"/>
    <w:rsid w:val="007D551C"/>
    <w:rsid w:val="007D55EE"/>
    <w:rsid w:val="007D66AE"/>
    <w:rsid w:val="007D6C78"/>
    <w:rsid w:val="007D791B"/>
    <w:rsid w:val="007D791F"/>
    <w:rsid w:val="007E09DF"/>
    <w:rsid w:val="007E14F6"/>
    <w:rsid w:val="007E211A"/>
    <w:rsid w:val="007E2C3D"/>
    <w:rsid w:val="007E3057"/>
    <w:rsid w:val="007E46DC"/>
    <w:rsid w:val="007E6141"/>
    <w:rsid w:val="007E6667"/>
    <w:rsid w:val="007E6AE3"/>
    <w:rsid w:val="007E6BA0"/>
    <w:rsid w:val="007F1A96"/>
    <w:rsid w:val="007F28DF"/>
    <w:rsid w:val="007F4348"/>
    <w:rsid w:val="007F4A8B"/>
    <w:rsid w:val="007F580D"/>
    <w:rsid w:val="007F5B12"/>
    <w:rsid w:val="007F647F"/>
    <w:rsid w:val="007F6563"/>
    <w:rsid w:val="007F6E9B"/>
    <w:rsid w:val="0080041B"/>
    <w:rsid w:val="00801245"/>
    <w:rsid w:val="008024FC"/>
    <w:rsid w:val="008026F8"/>
    <w:rsid w:val="008113FF"/>
    <w:rsid w:val="00811A84"/>
    <w:rsid w:val="008125BE"/>
    <w:rsid w:val="00812643"/>
    <w:rsid w:val="00812F03"/>
    <w:rsid w:val="00814AE9"/>
    <w:rsid w:val="00816ABF"/>
    <w:rsid w:val="00816C23"/>
    <w:rsid w:val="00821ACB"/>
    <w:rsid w:val="0082451D"/>
    <w:rsid w:val="0082538D"/>
    <w:rsid w:val="008305AC"/>
    <w:rsid w:val="00830CE3"/>
    <w:rsid w:val="00831A03"/>
    <w:rsid w:val="00832E2B"/>
    <w:rsid w:val="00832EEB"/>
    <w:rsid w:val="00833A3B"/>
    <w:rsid w:val="0083497F"/>
    <w:rsid w:val="00835411"/>
    <w:rsid w:val="00836234"/>
    <w:rsid w:val="00836786"/>
    <w:rsid w:val="008375B2"/>
    <w:rsid w:val="00837B1B"/>
    <w:rsid w:val="00837CD3"/>
    <w:rsid w:val="008414CD"/>
    <w:rsid w:val="00841C69"/>
    <w:rsid w:val="00842084"/>
    <w:rsid w:val="008421FF"/>
    <w:rsid w:val="008435D8"/>
    <w:rsid w:val="00844113"/>
    <w:rsid w:val="008442BF"/>
    <w:rsid w:val="008443DA"/>
    <w:rsid w:val="00844FDA"/>
    <w:rsid w:val="008452D2"/>
    <w:rsid w:val="0084607D"/>
    <w:rsid w:val="00846E5E"/>
    <w:rsid w:val="00847247"/>
    <w:rsid w:val="00852612"/>
    <w:rsid w:val="008527F3"/>
    <w:rsid w:val="008571E3"/>
    <w:rsid w:val="008572C2"/>
    <w:rsid w:val="00862500"/>
    <w:rsid w:val="008626A9"/>
    <w:rsid w:val="00864242"/>
    <w:rsid w:val="008648CC"/>
    <w:rsid w:val="00867110"/>
    <w:rsid w:val="008672CF"/>
    <w:rsid w:val="0086795A"/>
    <w:rsid w:val="00867A54"/>
    <w:rsid w:val="00867B99"/>
    <w:rsid w:val="0087165E"/>
    <w:rsid w:val="008735AF"/>
    <w:rsid w:val="008751B8"/>
    <w:rsid w:val="00875BF5"/>
    <w:rsid w:val="00875FC6"/>
    <w:rsid w:val="00877BEB"/>
    <w:rsid w:val="008807F2"/>
    <w:rsid w:val="00882057"/>
    <w:rsid w:val="00886169"/>
    <w:rsid w:val="008901E4"/>
    <w:rsid w:val="008906CF"/>
    <w:rsid w:val="00891275"/>
    <w:rsid w:val="0089208A"/>
    <w:rsid w:val="00893ED2"/>
    <w:rsid w:val="00895774"/>
    <w:rsid w:val="0089670C"/>
    <w:rsid w:val="008A05FB"/>
    <w:rsid w:val="008A0AAA"/>
    <w:rsid w:val="008A143A"/>
    <w:rsid w:val="008A26C5"/>
    <w:rsid w:val="008A4205"/>
    <w:rsid w:val="008A4CD4"/>
    <w:rsid w:val="008A5A1C"/>
    <w:rsid w:val="008A68C9"/>
    <w:rsid w:val="008A6BDF"/>
    <w:rsid w:val="008A6C0E"/>
    <w:rsid w:val="008A6FB5"/>
    <w:rsid w:val="008B0287"/>
    <w:rsid w:val="008B0858"/>
    <w:rsid w:val="008B1000"/>
    <w:rsid w:val="008B1AB9"/>
    <w:rsid w:val="008B1F6C"/>
    <w:rsid w:val="008B27DB"/>
    <w:rsid w:val="008B3114"/>
    <w:rsid w:val="008B3F05"/>
    <w:rsid w:val="008B48A2"/>
    <w:rsid w:val="008B5709"/>
    <w:rsid w:val="008C164D"/>
    <w:rsid w:val="008C2E3F"/>
    <w:rsid w:val="008C2F43"/>
    <w:rsid w:val="008C5BA1"/>
    <w:rsid w:val="008C70D8"/>
    <w:rsid w:val="008C7B9E"/>
    <w:rsid w:val="008C7CF9"/>
    <w:rsid w:val="008D0B3B"/>
    <w:rsid w:val="008D102E"/>
    <w:rsid w:val="008D2461"/>
    <w:rsid w:val="008D3648"/>
    <w:rsid w:val="008D43AA"/>
    <w:rsid w:val="008D4B51"/>
    <w:rsid w:val="008D6215"/>
    <w:rsid w:val="008D6C97"/>
    <w:rsid w:val="008E1A38"/>
    <w:rsid w:val="008E1BBB"/>
    <w:rsid w:val="008E1F8D"/>
    <w:rsid w:val="008E5488"/>
    <w:rsid w:val="008E5707"/>
    <w:rsid w:val="008E6136"/>
    <w:rsid w:val="008E6202"/>
    <w:rsid w:val="008E77D1"/>
    <w:rsid w:val="008F0CBA"/>
    <w:rsid w:val="008F2E30"/>
    <w:rsid w:val="008F424B"/>
    <w:rsid w:val="008F4307"/>
    <w:rsid w:val="008F4A12"/>
    <w:rsid w:val="008F6F47"/>
    <w:rsid w:val="008F7008"/>
    <w:rsid w:val="009006A5"/>
    <w:rsid w:val="00901231"/>
    <w:rsid w:val="00901791"/>
    <w:rsid w:val="009026EC"/>
    <w:rsid w:val="009037FF"/>
    <w:rsid w:val="00904BA4"/>
    <w:rsid w:val="00904E84"/>
    <w:rsid w:val="00906CEB"/>
    <w:rsid w:val="00906E73"/>
    <w:rsid w:val="00907407"/>
    <w:rsid w:val="00907763"/>
    <w:rsid w:val="00907785"/>
    <w:rsid w:val="00910033"/>
    <w:rsid w:val="0091147B"/>
    <w:rsid w:val="00911558"/>
    <w:rsid w:val="00911D5F"/>
    <w:rsid w:val="00912C8B"/>
    <w:rsid w:val="009142E2"/>
    <w:rsid w:val="00915B62"/>
    <w:rsid w:val="00916524"/>
    <w:rsid w:val="00916A2C"/>
    <w:rsid w:val="009173D6"/>
    <w:rsid w:val="009173F2"/>
    <w:rsid w:val="009179F2"/>
    <w:rsid w:val="00920275"/>
    <w:rsid w:val="009202BD"/>
    <w:rsid w:val="00922B80"/>
    <w:rsid w:val="0092369C"/>
    <w:rsid w:val="00923BE6"/>
    <w:rsid w:val="00924690"/>
    <w:rsid w:val="00924A84"/>
    <w:rsid w:val="00924FD2"/>
    <w:rsid w:val="00925084"/>
    <w:rsid w:val="0092560D"/>
    <w:rsid w:val="009263A5"/>
    <w:rsid w:val="0092643A"/>
    <w:rsid w:val="009268DC"/>
    <w:rsid w:val="00926BEC"/>
    <w:rsid w:val="0092725D"/>
    <w:rsid w:val="009302F0"/>
    <w:rsid w:val="0093257E"/>
    <w:rsid w:val="0093399E"/>
    <w:rsid w:val="00935094"/>
    <w:rsid w:val="00935DBB"/>
    <w:rsid w:val="009361BB"/>
    <w:rsid w:val="009368E8"/>
    <w:rsid w:val="00936A8B"/>
    <w:rsid w:val="00936EC9"/>
    <w:rsid w:val="0094082D"/>
    <w:rsid w:val="00941D2C"/>
    <w:rsid w:val="00945159"/>
    <w:rsid w:val="00946037"/>
    <w:rsid w:val="00946C51"/>
    <w:rsid w:val="00950535"/>
    <w:rsid w:val="009517FB"/>
    <w:rsid w:val="009517FE"/>
    <w:rsid w:val="00951F21"/>
    <w:rsid w:val="0095448C"/>
    <w:rsid w:val="00955CD4"/>
    <w:rsid w:val="00956455"/>
    <w:rsid w:val="00960440"/>
    <w:rsid w:val="00960956"/>
    <w:rsid w:val="00960A45"/>
    <w:rsid w:val="009656E3"/>
    <w:rsid w:val="00965D0E"/>
    <w:rsid w:val="00965D6C"/>
    <w:rsid w:val="00965EEB"/>
    <w:rsid w:val="00965F38"/>
    <w:rsid w:val="0096634C"/>
    <w:rsid w:val="0096752A"/>
    <w:rsid w:val="00970499"/>
    <w:rsid w:val="009707DD"/>
    <w:rsid w:val="0097161A"/>
    <w:rsid w:val="00971F36"/>
    <w:rsid w:val="009741FD"/>
    <w:rsid w:val="0097476B"/>
    <w:rsid w:val="009764A4"/>
    <w:rsid w:val="00976E57"/>
    <w:rsid w:val="0097778C"/>
    <w:rsid w:val="009777C9"/>
    <w:rsid w:val="00977CC6"/>
    <w:rsid w:val="0098006B"/>
    <w:rsid w:val="00980667"/>
    <w:rsid w:val="00980D55"/>
    <w:rsid w:val="0098116B"/>
    <w:rsid w:val="009829A8"/>
    <w:rsid w:val="009830E8"/>
    <w:rsid w:val="0098476D"/>
    <w:rsid w:val="00984A1D"/>
    <w:rsid w:val="0098506E"/>
    <w:rsid w:val="00985112"/>
    <w:rsid w:val="00985FCF"/>
    <w:rsid w:val="009869C8"/>
    <w:rsid w:val="0098799C"/>
    <w:rsid w:val="009926EC"/>
    <w:rsid w:val="0099291C"/>
    <w:rsid w:val="00992CAF"/>
    <w:rsid w:val="0099315C"/>
    <w:rsid w:val="00993219"/>
    <w:rsid w:val="00994DC7"/>
    <w:rsid w:val="0099564D"/>
    <w:rsid w:val="0099751F"/>
    <w:rsid w:val="00997F73"/>
    <w:rsid w:val="009A1008"/>
    <w:rsid w:val="009A1595"/>
    <w:rsid w:val="009A15A7"/>
    <w:rsid w:val="009A1EC2"/>
    <w:rsid w:val="009A29D0"/>
    <w:rsid w:val="009A4262"/>
    <w:rsid w:val="009A594B"/>
    <w:rsid w:val="009A63C7"/>
    <w:rsid w:val="009A6CD4"/>
    <w:rsid w:val="009A713F"/>
    <w:rsid w:val="009B0D77"/>
    <w:rsid w:val="009B1FDD"/>
    <w:rsid w:val="009B2374"/>
    <w:rsid w:val="009B2F9D"/>
    <w:rsid w:val="009B364C"/>
    <w:rsid w:val="009B4153"/>
    <w:rsid w:val="009B4164"/>
    <w:rsid w:val="009B4974"/>
    <w:rsid w:val="009C0831"/>
    <w:rsid w:val="009C0D5C"/>
    <w:rsid w:val="009C1828"/>
    <w:rsid w:val="009C2F59"/>
    <w:rsid w:val="009C394B"/>
    <w:rsid w:val="009C3E2B"/>
    <w:rsid w:val="009C447C"/>
    <w:rsid w:val="009C4F5B"/>
    <w:rsid w:val="009C614E"/>
    <w:rsid w:val="009C72E4"/>
    <w:rsid w:val="009C7A35"/>
    <w:rsid w:val="009C7D1D"/>
    <w:rsid w:val="009D0568"/>
    <w:rsid w:val="009D13D0"/>
    <w:rsid w:val="009D187A"/>
    <w:rsid w:val="009D1961"/>
    <w:rsid w:val="009D208C"/>
    <w:rsid w:val="009D2815"/>
    <w:rsid w:val="009D47DF"/>
    <w:rsid w:val="009D4A4D"/>
    <w:rsid w:val="009D5133"/>
    <w:rsid w:val="009D788E"/>
    <w:rsid w:val="009D7BDF"/>
    <w:rsid w:val="009E0166"/>
    <w:rsid w:val="009E0B89"/>
    <w:rsid w:val="009E29B6"/>
    <w:rsid w:val="009E2CEE"/>
    <w:rsid w:val="009E2E18"/>
    <w:rsid w:val="009E30C7"/>
    <w:rsid w:val="009E4976"/>
    <w:rsid w:val="009E4BD7"/>
    <w:rsid w:val="009E5652"/>
    <w:rsid w:val="009E7BB7"/>
    <w:rsid w:val="009F1C02"/>
    <w:rsid w:val="009F1E46"/>
    <w:rsid w:val="009F2665"/>
    <w:rsid w:val="009F354F"/>
    <w:rsid w:val="009F3D5A"/>
    <w:rsid w:val="009F3FA5"/>
    <w:rsid w:val="009F46A2"/>
    <w:rsid w:val="009F5585"/>
    <w:rsid w:val="009F5805"/>
    <w:rsid w:val="009F74E8"/>
    <w:rsid w:val="009F760C"/>
    <w:rsid w:val="009F7F6E"/>
    <w:rsid w:val="00A003B9"/>
    <w:rsid w:val="00A00BF5"/>
    <w:rsid w:val="00A00C63"/>
    <w:rsid w:val="00A014F1"/>
    <w:rsid w:val="00A026EC"/>
    <w:rsid w:val="00A0477A"/>
    <w:rsid w:val="00A05589"/>
    <w:rsid w:val="00A0572F"/>
    <w:rsid w:val="00A06311"/>
    <w:rsid w:val="00A0668C"/>
    <w:rsid w:val="00A11221"/>
    <w:rsid w:val="00A11DBC"/>
    <w:rsid w:val="00A13722"/>
    <w:rsid w:val="00A13726"/>
    <w:rsid w:val="00A13BAA"/>
    <w:rsid w:val="00A13C21"/>
    <w:rsid w:val="00A143CF"/>
    <w:rsid w:val="00A145A4"/>
    <w:rsid w:val="00A15B63"/>
    <w:rsid w:val="00A16160"/>
    <w:rsid w:val="00A17F25"/>
    <w:rsid w:val="00A2180D"/>
    <w:rsid w:val="00A218A3"/>
    <w:rsid w:val="00A23C4D"/>
    <w:rsid w:val="00A245D7"/>
    <w:rsid w:val="00A26D36"/>
    <w:rsid w:val="00A27042"/>
    <w:rsid w:val="00A317FB"/>
    <w:rsid w:val="00A34509"/>
    <w:rsid w:val="00A419B4"/>
    <w:rsid w:val="00A42AF1"/>
    <w:rsid w:val="00A436B4"/>
    <w:rsid w:val="00A44D7A"/>
    <w:rsid w:val="00A469B6"/>
    <w:rsid w:val="00A474EC"/>
    <w:rsid w:val="00A5283F"/>
    <w:rsid w:val="00A52CAB"/>
    <w:rsid w:val="00A53170"/>
    <w:rsid w:val="00A55029"/>
    <w:rsid w:val="00A55672"/>
    <w:rsid w:val="00A56A70"/>
    <w:rsid w:val="00A5710F"/>
    <w:rsid w:val="00A57EC1"/>
    <w:rsid w:val="00A6048E"/>
    <w:rsid w:val="00A60A8C"/>
    <w:rsid w:val="00A60EEF"/>
    <w:rsid w:val="00A61304"/>
    <w:rsid w:val="00A61B8E"/>
    <w:rsid w:val="00A63970"/>
    <w:rsid w:val="00A64F4C"/>
    <w:rsid w:val="00A65079"/>
    <w:rsid w:val="00A66C81"/>
    <w:rsid w:val="00A676FA"/>
    <w:rsid w:val="00A7105C"/>
    <w:rsid w:val="00A7179A"/>
    <w:rsid w:val="00A73CC7"/>
    <w:rsid w:val="00A7562C"/>
    <w:rsid w:val="00A75A97"/>
    <w:rsid w:val="00A75B8B"/>
    <w:rsid w:val="00A76044"/>
    <w:rsid w:val="00A76225"/>
    <w:rsid w:val="00A76622"/>
    <w:rsid w:val="00A80DA1"/>
    <w:rsid w:val="00A833E0"/>
    <w:rsid w:val="00A83871"/>
    <w:rsid w:val="00A845CA"/>
    <w:rsid w:val="00A902E5"/>
    <w:rsid w:val="00A90B50"/>
    <w:rsid w:val="00A919BD"/>
    <w:rsid w:val="00A933DA"/>
    <w:rsid w:val="00A93BB6"/>
    <w:rsid w:val="00A95ED5"/>
    <w:rsid w:val="00A96888"/>
    <w:rsid w:val="00A96BAC"/>
    <w:rsid w:val="00A96EDB"/>
    <w:rsid w:val="00A97724"/>
    <w:rsid w:val="00A97952"/>
    <w:rsid w:val="00AA0175"/>
    <w:rsid w:val="00AA0780"/>
    <w:rsid w:val="00AA0952"/>
    <w:rsid w:val="00AA0A65"/>
    <w:rsid w:val="00AA1E14"/>
    <w:rsid w:val="00AA30DC"/>
    <w:rsid w:val="00AA3302"/>
    <w:rsid w:val="00AA37B2"/>
    <w:rsid w:val="00AA408C"/>
    <w:rsid w:val="00AA6429"/>
    <w:rsid w:val="00AA6977"/>
    <w:rsid w:val="00AA71BF"/>
    <w:rsid w:val="00AA73E2"/>
    <w:rsid w:val="00AB064C"/>
    <w:rsid w:val="00AB1C65"/>
    <w:rsid w:val="00AB1FFC"/>
    <w:rsid w:val="00AB2447"/>
    <w:rsid w:val="00AB3C5A"/>
    <w:rsid w:val="00AB5343"/>
    <w:rsid w:val="00AB75BA"/>
    <w:rsid w:val="00AC094E"/>
    <w:rsid w:val="00AC0B09"/>
    <w:rsid w:val="00AC0DDB"/>
    <w:rsid w:val="00AC0E5D"/>
    <w:rsid w:val="00AC2769"/>
    <w:rsid w:val="00AC3D8F"/>
    <w:rsid w:val="00AC44A8"/>
    <w:rsid w:val="00AC5051"/>
    <w:rsid w:val="00AC528A"/>
    <w:rsid w:val="00AC5D14"/>
    <w:rsid w:val="00AD2B6D"/>
    <w:rsid w:val="00AD4B04"/>
    <w:rsid w:val="00AD53EA"/>
    <w:rsid w:val="00AD66BE"/>
    <w:rsid w:val="00AD6A29"/>
    <w:rsid w:val="00AD6B54"/>
    <w:rsid w:val="00AE0D19"/>
    <w:rsid w:val="00AE4564"/>
    <w:rsid w:val="00AE47FB"/>
    <w:rsid w:val="00AE4D51"/>
    <w:rsid w:val="00AE616F"/>
    <w:rsid w:val="00AE636B"/>
    <w:rsid w:val="00AE70FD"/>
    <w:rsid w:val="00AE717C"/>
    <w:rsid w:val="00AE71CC"/>
    <w:rsid w:val="00AE7799"/>
    <w:rsid w:val="00AF1C2E"/>
    <w:rsid w:val="00AF2B41"/>
    <w:rsid w:val="00AF3AA1"/>
    <w:rsid w:val="00AF6181"/>
    <w:rsid w:val="00AF6CB6"/>
    <w:rsid w:val="00AF70DA"/>
    <w:rsid w:val="00AF7645"/>
    <w:rsid w:val="00B006AA"/>
    <w:rsid w:val="00B013C5"/>
    <w:rsid w:val="00B03427"/>
    <w:rsid w:val="00B04475"/>
    <w:rsid w:val="00B07FFA"/>
    <w:rsid w:val="00B10352"/>
    <w:rsid w:val="00B10FCC"/>
    <w:rsid w:val="00B110AF"/>
    <w:rsid w:val="00B12A1F"/>
    <w:rsid w:val="00B13710"/>
    <w:rsid w:val="00B13AB0"/>
    <w:rsid w:val="00B13D2F"/>
    <w:rsid w:val="00B142FB"/>
    <w:rsid w:val="00B15E18"/>
    <w:rsid w:val="00B161D2"/>
    <w:rsid w:val="00B17A2A"/>
    <w:rsid w:val="00B21950"/>
    <w:rsid w:val="00B2250F"/>
    <w:rsid w:val="00B22AAD"/>
    <w:rsid w:val="00B233D8"/>
    <w:rsid w:val="00B27573"/>
    <w:rsid w:val="00B27C91"/>
    <w:rsid w:val="00B27C9C"/>
    <w:rsid w:val="00B3018B"/>
    <w:rsid w:val="00B32CDA"/>
    <w:rsid w:val="00B32DDB"/>
    <w:rsid w:val="00B332E3"/>
    <w:rsid w:val="00B351D8"/>
    <w:rsid w:val="00B35270"/>
    <w:rsid w:val="00B352D9"/>
    <w:rsid w:val="00B358EB"/>
    <w:rsid w:val="00B35F08"/>
    <w:rsid w:val="00B37A4B"/>
    <w:rsid w:val="00B42165"/>
    <w:rsid w:val="00B42218"/>
    <w:rsid w:val="00B422D9"/>
    <w:rsid w:val="00B42B5A"/>
    <w:rsid w:val="00B44BC2"/>
    <w:rsid w:val="00B44F2D"/>
    <w:rsid w:val="00B45D0A"/>
    <w:rsid w:val="00B45EDA"/>
    <w:rsid w:val="00B47606"/>
    <w:rsid w:val="00B50558"/>
    <w:rsid w:val="00B52F29"/>
    <w:rsid w:val="00B533E0"/>
    <w:rsid w:val="00B54D6F"/>
    <w:rsid w:val="00B55615"/>
    <w:rsid w:val="00B57F12"/>
    <w:rsid w:val="00B60298"/>
    <w:rsid w:val="00B60319"/>
    <w:rsid w:val="00B6224C"/>
    <w:rsid w:val="00B62440"/>
    <w:rsid w:val="00B626BE"/>
    <w:rsid w:val="00B63371"/>
    <w:rsid w:val="00B638BB"/>
    <w:rsid w:val="00B63947"/>
    <w:rsid w:val="00B64E76"/>
    <w:rsid w:val="00B66A00"/>
    <w:rsid w:val="00B7139F"/>
    <w:rsid w:val="00B72C3B"/>
    <w:rsid w:val="00B730BA"/>
    <w:rsid w:val="00B74B98"/>
    <w:rsid w:val="00B75EEA"/>
    <w:rsid w:val="00B76B42"/>
    <w:rsid w:val="00B778CF"/>
    <w:rsid w:val="00B807A5"/>
    <w:rsid w:val="00B81375"/>
    <w:rsid w:val="00B81D54"/>
    <w:rsid w:val="00B835BB"/>
    <w:rsid w:val="00B83F62"/>
    <w:rsid w:val="00B845D3"/>
    <w:rsid w:val="00B85201"/>
    <w:rsid w:val="00B87479"/>
    <w:rsid w:val="00B87B69"/>
    <w:rsid w:val="00B87D53"/>
    <w:rsid w:val="00B93574"/>
    <w:rsid w:val="00B93A89"/>
    <w:rsid w:val="00B93B12"/>
    <w:rsid w:val="00B943D6"/>
    <w:rsid w:val="00B94FD5"/>
    <w:rsid w:val="00B9536B"/>
    <w:rsid w:val="00B95D7B"/>
    <w:rsid w:val="00B95EE7"/>
    <w:rsid w:val="00B96A0B"/>
    <w:rsid w:val="00BA01A6"/>
    <w:rsid w:val="00BA2049"/>
    <w:rsid w:val="00BA3E19"/>
    <w:rsid w:val="00BA474C"/>
    <w:rsid w:val="00BA50BE"/>
    <w:rsid w:val="00BA56D3"/>
    <w:rsid w:val="00BA606E"/>
    <w:rsid w:val="00BA64E2"/>
    <w:rsid w:val="00BA6A89"/>
    <w:rsid w:val="00BA6F63"/>
    <w:rsid w:val="00BA7131"/>
    <w:rsid w:val="00BA7FAC"/>
    <w:rsid w:val="00BB01DD"/>
    <w:rsid w:val="00BB03C4"/>
    <w:rsid w:val="00BB0FA9"/>
    <w:rsid w:val="00BB391A"/>
    <w:rsid w:val="00BB4F51"/>
    <w:rsid w:val="00BB721F"/>
    <w:rsid w:val="00BB7F3E"/>
    <w:rsid w:val="00BC0181"/>
    <w:rsid w:val="00BC1AE8"/>
    <w:rsid w:val="00BC1FB7"/>
    <w:rsid w:val="00BC23C8"/>
    <w:rsid w:val="00BC39FC"/>
    <w:rsid w:val="00BC3D5C"/>
    <w:rsid w:val="00BC4A46"/>
    <w:rsid w:val="00BC4EBB"/>
    <w:rsid w:val="00BC5771"/>
    <w:rsid w:val="00BC61A3"/>
    <w:rsid w:val="00BD02B5"/>
    <w:rsid w:val="00BD2FDE"/>
    <w:rsid w:val="00BD3539"/>
    <w:rsid w:val="00BD6D9C"/>
    <w:rsid w:val="00BD794E"/>
    <w:rsid w:val="00BE0701"/>
    <w:rsid w:val="00BE16D9"/>
    <w:rsid w:val="00BE27FD"/>
    <w:rsid w:val="00BE2C75"/>
    <w:rsid w:val="00BE46C6"/>
    <w:rsid w:val="00BE58F9"/>
    <w:rsid w:val="00BE5922"/>
    <w:rsid w:val="00BE5FEC"/>
    <w:rsid w:val="00BE6460"/>
    <w:rsid w:val="00BE654A"/>
    <w:rsid w:val="00BE7D92"/>
    <w:rsid w:val="00BE7E69"/>
    <w:rsid w:val="00BE7FE4"/>
    <w:rsid w:val="00BF0F66"/>
    <w:rsid w:val="00BF294C"/>
    <w:rsid w:val="00BF4FFC"/>
    <w:rsid w:val="00BF5027"/>
    <w:rsid w:val="00BF5D4C"/>
    <w:rsid w:val="00BF7039"/>
    <w:rsid w:val="00BF7460"/>
    <w:rsid w:val="00C0039D"/>
    <w:rsid w:val="00C00560"/>
    <w:rsid w:val="00C011D6"/>
    <w:rsid w:val="00C012BA"/>
    <w:rsid w:val="00C01433"/>
    <w:rsid w:val="00C01717"/>
    <w:rsid w:val="00C01C1C"/>
    <w:rsid w:val="00C01E83"/>
    <w:rsid w:val="00C02700"/>
    <w:rsid w:val="00C03EFF"/>
    <w:rsid w:val="00C05363"/>
    <w:rsid w:val="00C057A8"/>
    <w:rsid w:val="00C06197"/>
    <w:rsid w:val="00C0765A"/>
    <w:rsid w:val="00C10D21"/>
    <w:rsid w:val="00C11A22"/>
    <w:rsid w:val="00C11AAF"/>
    <w:rsid w:val="00C12B23"/>
    <w:rsid w:val="00C13B2C"/>
    <w:rsid w:val="00C13B3E"/>
    <w:rsid w:val="00C13B44"/>
    <w:rsid w:val="00C144C6"/>
    <w:rsid w:val="00C14637"/>
    <w:rsid w:val="00C1554E"/>
    <w:rsid w:val="00C20882"/>
    <w:rsid w:val="00C21368"/>
    <w:rsid w:val="00C22F31"/>
    <w:rsid w:val="00C23680"/>
    <w:rsid w:val="00C24E1B"/>
    <w:rsid w:val="00C2676D"/>
    <w:rsid w:val="00C26D19"/>
    <w:rsid w:val="00C271F5"/>
    <w:rsid w:val="00C308CB"/>
    <w:rsid w:val="00C3129D"/>
    <w:rsid w:val="00C31579"/>
    <w:rsid w:val="00C31602"/>
    <w:rsid w:val="00C31D8E"/>
    <w:rsid w:val="00C3273D"/>
    <w:rsid w:val="00C32D5D"/>
    <w:rsid w:val="00C33DD7"/>
    <w:rsid w:val="00C34DAE"/>
    <w:rsid w:val="00C350C8"/>
    <w:rsid w:val="00C3562F"/>
    <w:rsid w:val="00C35DAA"/>
    <w:rsid w:val="00C36418"/>
    <w:rsid w:val="00C36779"/>
    <w:rsid w:val="00C36B1A"/>
    <w:rsid w:val="00C40849"/>
    <w:rsid w:val="00C42A8F"/>
    <w:rsid w:val="00C43740"/>
    <w:rsid w:val="00C43853"/>
    <w:rsid w:val="00C45231"/>
    <w:rsid w:val="00C454BB"/>
    <w:rsid w:val="00C4601D"/>
    <w:rsid w:val="00C46C70"/>
    <w:rsid w:val="00C47AF0"/>
    <w:rsid w:val="00C50102"/>
    <w:rsid w:val="00C504F2"/>
    <w:rsid w:val="00C517A1"/>
    <w:rsid w:val="00C51D95"/>
    <w:rsid w:val="00C53197"/>
    <w:rsid w:val="00C56DC3"/>
    <w:rsid w:val="00C6027A"/>
    <w:rsid w:val="00C607C1"/>
    <w:rsid w:val="00C60DAD"/>
    <w:rsid w:val="00C60E86"/>
    <w:rsid w:val="00C619B5"/>
    <w:rsid w:val="00C62270"/>
    <w:rsid w:val="00C62498"/>
    <w:rsid w:val="00C63A3B"/>
    <w:rsid w:val="00C64BEE"/>
    <w:rsid w:val="00C65284"/>
    <w:rsid w:val="00C659AB"/>
    <w:rsid w:val="00C65D56"/>
    <w:rsid w:val="00C6628C"/>
    <w:rsid w:val="00C66462"/>
    <w:rsid w:val="00C67126"/>
    <w:rsid w:val="00C67A1F"/>
    <w:rsid w:val="00C67FFC"/>
    <w:rsid w:val="00C70013"/>
    <w:rsid w:val="00C70E5C"/>
    <w:rsid w:val="00C7382E"/>
    <w:rsid w:val="00C73F0D"/>
    <w:rsid w:val="00C75145"/>
    <w:rsid w:val="00C80D84"/>
    <w:rsid w:val="00C81AD6"/>
    <w:rsid w:val="00C8213C"/>
    <w:rsid w:val="00C8294E"/>
    <w:rsid w:val="00C845D6"/>
    <w:rsid w:val="00C86169"/>
    <w:rsid w:val="00C91B80"/>
    <w:rsid w:val="00C95BB9"/>
    <w:rsid w:val="00C95FEF"/>
    <w:rsid w:val="00C9619A"/>
    <w:rsid w:val="00C97D9A"/>
    <w:rsid w:val="00CA08ED"/>
    <w:rsid w:val="00CA1E99"/>
    <w:rsid w:val="00CA32D5"/>
    <w:rsid w:val="00CA440B"/>
    <w:rsid w:val="00CA4DF7"/>
    <w:rsid w:val="00CA58C5"/>
    <w:rsid w:val="00CA6C3E"/>
    <w:rsid w:val="00CA6E3E"/>
    <w:rsid w:val="00CA751D"/>
    <w:rsid w:val="00CB1860"/>
    <w:rsid w:val="00CB2AE5"/>
    <w:rsid w:val="00CB402F"/>
    <w:rsid w:val="00CB4546"/>
    <w:rsid w:val="00CB6294"/>
    <w:rsid w:val="00CB7A34"/>
    <w:rsid w:val="00CB7D01"/>
    <w:rsid w:val="00CB7F46"/>
    <w:rsid w:val="00CC0684"/>
    <w:rsid w:val="00CC2E7B"/>
    <w:rsid w:val="00CC491E"/>
    <w:rsid w:val="00CC53BF"/>
    <w:rsid w:val="00CC597E"/>
    <w:rsid w:val="00CC7911"/>
    <w:rsid w:val="00CD0715"/>
    <w:rsid w:val="00CD2FF0"/>
    <w:rsid w:val="00CD4398"/>
    <w:rsid w:val="00CD4E5E"/>
    <w:rsid w:val="00CD571E"/>
    <w:rsid w:val="00CD5AD5"/>
    <w:rsid w:val="00CD6C5C"/>
    <w:rsid w:val="00CE2180"/>
    <w:rsid w:val="00CE2533"/>
    <w:rsid w:val="00CE2685"/>
    <w:rsid w:val="00CE4FE2"/>
    <w:rsid w:val="00CE5469"/>
    <w:rsid w:val="00CE588C"/>
    <w:rsid w:val="00CE6B10"/>
    <w:rsid w:val="00CE6EEA"/>
    <w:rsid w:val="00CE7BEB"/>
    <w:rsid w:val="00CF0406"/>
    <w:rsid w:val="00CF2EBE"/>
    <w:rsid w:val="00CF3231"/>
    <w:rsid w:val="00CF37B2"/>
    <w:rsid w:val="00CF4857"/>
    <w:rsid w:val="00CF7B50"/>
    <w:rsid w:val="00CF7DEB"/>
    <w:rsid w:val="00D00142"/>
    <w:rsid w:val="00D009DD"/>
    <w:rsid w:val="00D016D1"/>
    <w:rsid w:val="00D02614"/>
    <w:rsid w:val="00D0288E"/>
    <w:rsid w:val="00D04046"/>
    <w:rsid w:val="00D04D26"/>
    <w:rsid w:val="00D04F3D"/>
    <w:rsid w:val="00D05BBA"/>
    <w:rsid w:val="00D06817"/>
    <w:rsid w:val="00D076A8"/>
    <w:rsid w:val="00D12A94"/>
    <w:rsid w:val="00D16121"/>
    <w:rsid w:val="00D1721B"/>
    <w:rsid w:val="00D20076"/>
    <w:rsid w:val="00D20610"/>
    <w:rsid w:val="00D20D02"/>
    <w:rsid w:val="00D20DDE"/>
    <w:rsid w:val="00D24B3D"/>
    <w:rsid w:val="00D25C7D"/>
    <w:rsid w:val="00D26341"/>
    <w:rsid w:val="00D27509"/>
    <w:rsid w:val="00D2760C"/>
    <w:rsid w:val="00D30021"/>
    <w:rsid w:val="00D306C2"/>
    <w:rsid w:val="00D3073F"/>
    <w:rsid w:val="00D32538"/>
    <w:rsid w:val="00D34158"/>
    <w:rsid w:val="00D3424E"/>
    <w:rsid w:val="00D35132"/>
    <w:rsid w:val="00D35D7D"/>
    <w:rsid w:val="00D35EE8"/>
    <w:rsid w:val="00D40022"/>
    <w:rsid w:val="00D40A3C"/>
    <w:rsid w:val="00D4210F"/>
    <w:rsid w:val="00D447D3"/>
    <w:rsid w:val="00D44D86"/>
    <w:rsid w:val="00D450FB"/>
    <w:rsid w:val="00D45B05"/>
    <w:rsid w:val="00D463C3"/>
    <w:rsid w:val="00D467FD"/>
    <w:rsid w:val="00D50DEA"/>
    <w:rsid w:val="00D5112A"/>
    <w:rsid w:val="00D52457"/>
    <w:rsid w:val="00D554A2"/>
    <w:rsid w:val="00D56A85"/>
    <w:rsid w:val="00D60AD4"/>
    <w:rsid w:val="00D624A6"/>
    <w:rsid w:val="00D627CD"/>
    <w:rsid w:val="00D63840"/>
    <w:rsid w:val="00D643EF"/>
    <w:rsid w:val="00D6508E"/>
    <w:rsid w:val="00D65BD2"/>
    <w:rsid w:val="00D65C31"/>
    <w:rsid w:val="00D66709"/>
    <w:rsid w:val="00D66F68"/>
    <w:rsid w:val="00D67B1A"/>
    <w:rsid w:val="00D71D83"/>
    <w:rsid w:val="00D71DE7"/>
    <w:rsid w:val="00D73312"/>
    <w:rsid w:val="00D7348B"/>
    <w:rsid w:val="00D73CD7"/>
    <w:rsid w:val="00D76B8E"/>
    <w:rsid w:val="00D76E48"/>
    <w:rsid w:val="00D77442"/>
    <w:rsid w:val="00D80857"/>
    <w:rsid w:val="00D81239"/>
    <w:rsid w:val="00D817F1"/>
    <w:rsid w:val="00D81B3B"/>
    <w:rsid w:val="00D81C0D"/>
    <w:rsid w:val="00D8489D"/>
    <w:rsid w:val="00D85697"/>
    <w:rsid w:val="00D862A9"/>
    <w:rsid w:val="00D86F68"/>
    <w:rsid w:val="00D90865"/>
    <w:rsid w:val="00D94356"/>
    <w:rsid w:val="00D9488E"/>
    <w:rsid w:val="00D94ABA"/>
    <w:rsid w:val="00D95483"/>
    <w:rsid w:val="00D95927"/>
    <w:rsid w:val="00D95A5D"/>
    <w:rsid w:val="00D97CF1"/>
    <w:rsid w:val="00D97DF4"/>
    <w:rsid w:val="00DA162C"/>
    <w:rsid w:val="00DA202E"/>
    <w:rsid w:val="00DA2505"/>
    <w:rsid w:val="00DA3B8A"/>
    <w:rsid w:val="00DA6061"/>
    <w:rsid w:val="00DA61E5"/>
    <w:rsid w:val="00DB2A3A"/>
    <w:rsid w:val="00DB2EB9"/>
    <w:rsid w:val="00DB3F35"/>
    <w:rsid w:val="00DB45B6"/>
    <w:rsid w:val="00DB62F1"/>
    <w:rsid w:val="00DB787C"/>
    <w:rsid w:val="00DB7E49"/>
    <w:rsid w:val="00DC0879"/>
    <w:rsid w:val="00DC173A"/>
    <w:rsid w:val="00DC1742"/>
    <w:rsid w:val="00DC1A00"/>
    <w:rsid w:val="00DC22B8"/>
    <w:rsid w:val="00DC38C2"/>
    <w:rsid w:val="00DC420C"/>
    <w:rsid w:val="00DC4394"/>
    <w:rsid w:val="00DC43BC"/>
    <w:rsid w:val="00DC4910"/>
    <w:rsid w:val="00DC4A69"/>
    <w:rsid w:val="00DC4A7D"/>
    <w:rsid w:val="00DC4B7C"/>
    <w:rsid w:val="00DC4BD5"/>
    <w:rsid w:val="00DC528C"/>
    <w:rsid w:val="00DC52C8"/>
    <w:rsid w:val="00DC71B1"/>
    <w:rsid w:val="00DD245B"/>
    <w:rsid w:val="00DD4D13"/>
    <w:rsid w:val="00DD7049"/>
    <w:rsid w:val="00DE229C"/>
    <w:rsid w:val="00DE23D8"/>
    <w:rsid w:val="00DE4EDB"/>
    <w:rsid w:val="00DE62A9"/>
    <w:rsid w:val="00DE78FD"/>
    <w:rsid w:val="00DE7F72"/>
    <w:rsid w:val="00DF0499"/>
    <w:rsid w:val="00DF23C5"/>
    <w:rsid w:val="00DF26E7"/>
    <w:rsid w:val="00DF2CC5"/>
    <w:rsid w:val="00DF3D7B"/>
    <w:rsid w:val="00DF4A03"/>
    <w:rsid w:val="00DF4BF9"/>
    <w:rsid w:val="00DF57DD"/>
    <w:rsid w:val="00DF5A23"/>
    <w:rsid w:val="00DF6A6F"/>
    <w:rsid w:val="00E01931"/>
    <w:rsid w:val="00E01E87"/>
    <w:rsid w:val="00E0201F"/>
    <w:rsid w:val="00E043ED"/>
    <w:rsid w:val="00E04E44"/>
    <w:rsid w:val="00E04EF7"/>
    <w:rsid w:val="00E05345"/>
    <w:rsid w:val="00E05372"/>
    <w:rsid w:val="00E05D4B"/>
    <w:rsid w:val="00E06146"/>
    <w:rsid w:val="00E06528"/>
    <w:rsid w:val="00E06823"/>
    <w:rsid w:val="00E06A60"/>
    <w:rsid w:val="00E06B8F"/>
    <w:rsid w:val="00E07317"/>
    <w:rsid w:val="00E075AA"/>
    <w:rsid w:val="00E0797D"/>
    <w:rsid w:val="00E11EC4"/>
    <w:rsid w:val="00E13074"/>
    <w:rsid w:val="00E13119"/>
    <w:rsid w:val="00E13397"/>
    <w:rsid w:val="00E14403"/>
    <w:rsid w:val="00E14ABF"/>
    <w:rsid w:val="00E14C16"/>
    <w:rsid w:val="00E162CE"/>
    <w:rsid w:val="00E16EA5"/>
    <w:rsid w:val="00E213EC"/>
    <w:rsid w:val="00E21679"/>
    <w:rsid w:val="00E2180E"/>
    <w:rsid w:val="00E22EB0"/>
    <w:rsid w:val="00E2301D"/>
    <w:rsid w:val="00E24A77"/>
    <w:rsid w:val="00E25B59"/>
    <w:rsid w:val="00E2748A"/>
    <w:rsid w:val="00E307DD"/>
    <w:rsid w:val="00E31AA8"/>
    <w:rsid w:val="00E31EFA"/>
    <w:rsid w:val="00E32319"/>
    <w:rsid w:val="00E3264B"/>
    <w:rsid w:val="00E32696"/>
    <w:rsid w:val="00E35C96"/>
    <w:rsid w:val="00E36686"/>
    <w:rsid w:val="00E37AE1"/>
    <w:rsid w:val="00E41D9C"/>
    <w:rsid w:val="00E44D66"/>
    <w:rsid w:val="00E46845"/>
    <w:rsid w:val="00E46D80"/>
    <w:rsid w:val="00E477C3"/>
    <w:rsid w:val="00E52CCD"/>
    <w:rsid w:val="00E53420"/>
    <w:rsid w:val="00E556A0"/>
    <w:rsid w:val="00E603AB"/>
    <w:rsid w:val="00E60F1E"/>
    <w:rsid w:val="00E614F4"/>
    <w:rsid w:val="00E61722"/>
    <w:rsid w:val="00E621AB"/>
    <w:rsid w:val="00E633D8"/>
    <w:rsid w:val="00E64170"/>
    <w:rsid w:val="00E6496A"/>
    <w:rsid w:val="00E661E7"/>
    <w:rsid w:val="00E6627C"/>
    <w:rsid w:val="00E66858"/>
    <w:rsid w:val="00E700A8"/>
    <w:rsid w:val="00E71100"/>
    <w:rsid w:val="00E74A59"/>
    <w:rsid w:val="00E75300"/>
    <w:rsid w:val="00E75EC4"/>
    <w:rsid w:val="00E76009"/>
    <w:rsid w:val="00E77FC9"/>
    <w:rsid w:val="00E8228B"/>
    <w:rsid w:val="00E8247B"/>
    <w:rsid w:val="00E845BB"/>
    <w:rsid w:val="00E84F73"/>
    <w:rsid w:val="00E85AAD"/>
    <w:rsid w:val="00E87196"/>
    <w:rsid w:val="00E90629"/>
    <w:rsid w:val="00E90E97"/>
    <w:rsid w:val="00E90FE6"/>
    <w:rsid w:val="00E91309"/>
    <w:rsid w:val="00E921AB"/>
    <w:rsid w:val="00E958E7"/>
    <w:rsid w:val="00E96A76"/>
    <w:rsid w:val="00EA03F3"/>
    <w:rsid w:val="00EA1227"/>
    <w:rsid w:val="00EA2570"/>
    <w:rsid w:val="00EA3133"/>
    <w:rsid w:val="00EA4487"/>
    <w:rsid w:val="00EA5B91"/>
    <w:rsid w:val="00EA5F4D"/>
    <w:rsid w:val="00EA609A"/>
    <w:rsid w:val="00EA6709"/>
    <w:rsid w:val="00EA78BD"/>
    <w:rsid w:val="00EB0375"/>
    <w:rsid w:val="00EB0872"/>
    <w:rsid w:val="00EB0CB8"/>
    <w:rsid w:val="00EB2070"/>
    <w:rsid w:val="00EB2CCF"/>
    <w:rsid w:val="00EB384D"/>
    <w:rsid w:val="00EB3A61"/>
    <w:rsid w:val="00EB3EC6"/>
    <w:rsid w:val="00EB3FEA"/>
    <w:rsid w:val="00EB4022"/>
    <w:rsid w:val="00EB462B"/>
    <w:rsid w:val="00EB4BD7"/>
    <w:rsid w:val="00EB5874"/>
    <w:rsid w:val="00EB62C5"/>
    <w:rsid w:val="00EC220B"/>
    <w:rsid w:val="00EC432A"/>
    <w:rsid w:val="00EC60BA"/>
    <w:rsid w:val="00EC6979"/>
    <w:rsid w:val="00EC7DB6"/>
    <w:rsid w:val="00ED0AAB"/>
    <w:rsid w:val="00ED0CC7"/>
    <w:rsid w:val="00ED1A75"/>
    <w:rsid w:val="00ED2B9C"/>
    <w:rsid w:val="00ED3041"/>
    <w:rsid w:val="00ED3594"/>
    <w:rsid w:val="00ED373B"/>
    <w:rsid w:val="00ED38F3"/>
    <w:rsid w:val="00ED4734"/>
    <w:rsid w:val="00ED7C96"/>
    <w:rsid w:val="00EE0900"/>
    <w:rsid w:val="00EE0DE0"/>
    <w:rsid w:val="00EE1E11"/>
    <w:rsid w:val="00EE2907"/>
    <w:rsid w:val="00EE37E5"/>
    <w:rsid w:val="00EE3B08"/>
    <w:rsid w:val="00EE534B"/>
    <w:rsid w:val="00EE53D1"/>
    <w:rsid w:val="00EE701F"/>
    <w:rsid w:val="00EE730C"/>
    <w:rsid w:val="00EE770E"/>
    <w:rsid w:val="00EE7D7F"/>
    <w:rsid w:val="00EE7EBD"/>
    <w:rsid w:val="00EF05D1"/>
    <w:rsid w:val="00EF119E"/>
    <w:rsid w:val="00EF2553"/>
    <w:rsid w:val="00EF3592"/>
    <w:rsid w:val="00EF655D"/>
    <w:rsid w:val="00EF6815"/>
    <w:rsid w:val="00EF6B87"/>
    <w:rsid w:val="00EF6E8E"/>
    <w:rsid w:val="00EF747E"/>
    <w:rsid w:val="00EF764F"/>
    <w:rsid w:val="00F039FC"/>
    <w:rsid w:val="00F04C20"/>
    <w:rsid w:val="00F04C92"/>
    <w:rsid w:val="00F0513E"/>
    <w:rsid w:val="00F051EE"/>
    <w:rsid w:val="00F05F6D"/>
    <w:rsid w:val="00F11962"/>
    <w:rsid w:val="00F12968"/>
    <w:rsid w:val="00F12FC0"/>
    <w:rsid w:val="00F13A5D"/>
    <w:rsid w:val="00F13A7E"/>
    <w:rsid w:val="00F143DA"/>
    <w:rsid w:val="00F1456D"/>
    <w:rsid w:val="00F179F9"/>
    <w:rsid w:val="00F204EB"/>
    <w:rsid w:val="00F20C70"/>
    <w:rsid w:val="00F21791"/>
    <w:rsid w:val="00F229B4"/>
    <w:rsid w:val="00F23CCD"/>
    <w:rsid w:val="00F24079"/>
    <w:rsid w:val="00F24646"/>
    <w:rsid w:val="00F259A5"/>
    <w:rsid w:val="00F27399"/>
    <w:rsid w:val="00F274F8"/>
    <w:rsid w:val="00F275ED"/>
    <w:rsid w:val="00F30563"/>
    <w:rsid w:val="00F3147D"/>
    <w:rsid w:val="00F31CD4"/>
    <w:rsid w:val="00F322E9"/>
    <w:rsid w:val="00F3319E"/>
    <w:rsid w:val="00F33F95"/>
    <w:rsid w:val="00F348CD"/>
    <w:rsid w:val="00F359CA"/>
    <w:rsid w:val="00F3660F"/>
    <w:rsid w:val="00F369D0"/>
    <w:rsid w:val="00F370D1"/>
    <w:rsid w:val="00F4231D"/>
    <w:rsid w:val="00F42923"/>
    <w:rsid w:val="00F43181"/>
    <w:rsid w:val="00F477BB"/>
    <w:rsid w:val="00F47E3F"/>
    <w:rsid w:val="00F51720"/>
    <w:rsid w:val="00F51BE0"/>
    <w:rsid w:val="00F520AA"/>
    <w:rsid w:val="00F52AA6"/>
    <w:rsid w:val="00F537CC"/>
    <w:rsid w:val="00F538BB"/>
    <w:rsid w:val="00F53DBD"/>
    <w:rsid w:val="00F5461D"/>
    <w:rsid w:val="00F554A1"/>
    <w:rsid w:val="00F55B3D"/>
    <w:rsid w:val="00F56071"/>
    <w:rsid w:val="00F57687"/>
    <w:rsid w:val="00F57B2F"/>
    <w:rsid w:val="00F6072C"/>
    <w:rsid w:val="00F612BD"/>
    <w:rsid w:val="00F6153A"/>
    <w:rsid w:val="00F63CBA"/>
    <w:rsid w:val="00F653F1"/>
    <w:rsid w:val="00F65983"/>
    <w:rsid w:val="00F674D2"/>
    <w:rsid w:val="00F67D21"/>
    <w:rsid w:val="00F70281"/>
    <w:rsid w:val="00F712D3"/>
    <w:rsid w:val="00F72119"/>
    <w:rsid w:val="00F7309A"/>
    <w:rsid w:val="00F735CA"/>
    <w:rsid w:val="00F73BFE"/>
    <w:rsid w:val="00F73DE4"/>
    <w:rsid w:val="00F744BE"/>
    <w:rsid w:val="00F74A55"/>
    <w:rsid w:val="00F753CA"/>
    <w:rsid w:val="00F7784E"/>
    <w:rsid w:val="00F77C6F"/>
    <w:rsid w:val="00F817BF"/>
    <w:rsid w:val="00F81836"/>
    <w:rsid w:val="00F81B4A"/>
    <w:rsid w:val="00F825FE"/>
    <w:rsid w:val="00F8329E"/>
    <w:rsid w:val="00F83FAF"/>
    <w:rsid w:val="00F84A9D"/>
    <w:rsid w:val="00F8674A"/>
    <w:rsid w:val="00F9013F"/>
    <w:rsid w:val="00F90469"/>
    <w:rsid w:val="00F9213C"/>
    <w:rsid w:val="00F92426"/>
    <w:rsid w:val="00F92AA0"/>
    <w:rsid w:val="00F95A50"/>
    <w:rsid w:val="00F96D30"/>
    <w:rsid w:val="00F971E0"/>
    <w:rsid w:val="00F9772E"/>
    <w:rsid w:val="00FA0437"/>
    <w:rsid w:val="00FA17AC"/>
    <w:rsid w:val="00FA1A74"/>
    <w:rsid w:val="00FA1D3B"/>
    <w:rsid w:val="00FA3229"/>
    <w:rsid w:val="00FA35ED"/>
    <w:rsid w:val="00FA3D87"/>
    <w:rsid w:val="00FA542A"/>
    <w:rsid w:val="00FA56B6"/>
    <w:rsid w:val="00FA62F0"/>
    <w:rsid w:val="00FA6395"/>
    <w:rsid w:val="00FA755A"/>
    <w:rsid w:val="00FA7F57"/>
    <w:rsid w:val="00FB1646"/>
    <w:rsid w:val="00FB4BEB"/>
    <w:rsid w:val="00FB4C42"/>
    <w:rsid w:val="00FB54CE"/>
    <w:rsid w:val="00FB5915"/>
    <w:rsid w:val="00FB6545"/>
    <w:rsid w:val="00FB6B23"/>
    <w:rsid w:val="00FC0510"/>
    <w:rsid w:val="00FC0706"/>
    <w:rsid w:val="00FC0D54"/>
    <w:rsid w:val="00FC1BF1"/>
    <w:rsid w:val="00FC2EEA"/>
    <w:rsid w:val="00FC46AA"/>
    <w:rsid w:val="00FC587B"/>
    <w:rsid w:val="00FC5C22"/>
    <w:rsid w:val="00FC7820"/>
    <w:rsid w:val="00FD17DA"/>
    <w:rsid w:val="00FD1813"/>
    <w:rsid w:val="00FD1B18"/>
    <w:rsid w:val="00FD233A"/>
    <w:rsid w:val="00FD2E87"/>
    <w:rsid w:val="00FD36B2"/>
    <w:rsid w:val="00FD4C53"/>
    <w:rsid w:val="00FD68FC"/>
    <w:rsid w:val="00FD6E06"/>
    <w:rsid w:val="00FD7B60"/>
    <w:rsid w:val="00FE0607"/>
    <w:rsid w:val="00FE0925"/>
    <w:rsid w:val="00FE0C4A"/>
    <w:rsid w:val="00FE104C"/>
    <w:rsid w:val="00FE1933"/>
    <w:rsid w:val="00FE1AD6"/>
    <w:rsid w:val="00FE1F76"/>
    <w:rsid w:val="00FE271B"/>
    <w:rsid w:val="00FE4BCB"/>
    <w:rsid w:val="00FE61EA"/>
    <w:rsid w:val="00FF0911"/>
    <w:rsid w:val="00FF1811"/>
    <w:rsid w:val="00FF28F8"/>
    <w:rsid w:val="00FF2947"/>
    <w:rsid w:val="00FF45A9"/>
    <w:rsid w:val="00FF6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89" style="mso-position-horizontal:center;mso-position-horizontal-relative:margin;mso-position-vertical:center;mso-position-vertical-relative:margin" o:allowincell="f" fillcolor="silver" stroke="f">
      <v:fill color="silver" opacity=".5"/>
      <v:stroke on="f"/>
    </o:shapedefaults>
    <o:shapelayout v:ext="edit">
      <o:idmap v:ext="edit" data="1"/>
    </o:shapelayout>
  </w:shapeDefaults>
  <w:decimalSymbol w:val="."/>
  <w:listSeparator w:val=","/>
  <w15:docId w15:val="{939BB826-6528-4AB3-B13F-860F39C9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CDA"/>
    <w:pPr>
      <w:spacing w:before="220" w:after="220" w:line="280" w:lineRule="exact"/>
    </w:pPr>
  </w:style>
  <w:style w:type="paragraph" w:styleId="Heading1">
    <w:name w:val="heading 1"/>
    <w:aliases w:val="numbered"/>
    <w:basedOn w:val="Normal"/>
    <w:next w:val="Normal"/>
    <w:link w:val="Heading1Char"/>
    <w:qFormat/>
    <w:rsid w:val="000B0846"/>
    <w:pPr>
      <w:keepNext/>
      <w:keepLines/>
      <w:spacing w:before="7600" w:after="480"/>
      <w:jc w:val="right"/>
      <w:outlineLvl w:val="0"/>
    </w:pPr>
    <w:rPr>
      <w:rFonts w:ascii="Arial Narrow" w:eastAsiaTheme="majorEastAsia" w:hAnsi="Arial Narrow" w:cstheme="majorBidi"/>
      <w:smallCaps/>
      <w:sz w:val="42"/>
      <w:szCs w:val="32"/>
    </w:rPr>
  </w:style>
  <w:style w:type="paragraph" w:styleId="Heading2">
    <w:name w:val="heading 2"/>
    <w:basedOn w:val="Normal"/>
    <w:next w:val="Normal"/>
    <w:link w:val="Heading2Char"/>
    <w:autoRedefine/>
    <w:unhideWhenUsed/>
    <w:qFormat/>
    <w:rsid w:val="00AC094E"/>
    <w:pPr>
      <w:keepNext/>
      <w:keepLines/>
      <w:spacing w:before="320" w:after="320" w:line="280" w:lineRule="atLeast"/>
      <w:outlineLvl w:val="1"/>
    </w:pPr>
    <w:rPr>
      <w:rFonts w:ascii="Arial Narrow" w:eastAsia="Times New Roman" w:hAnsi="Arial Narrow" w:cstheme="majorBidi"/>
      <w:smallCaps/>
      <w:kern w:val="32"/>
      <w:sz w:val="44"/>
      <w:szCs w:val="44"/>
    </w:rPr>
  </w:style>
  <w:style w:type="paragraph" w:styleId="Heading3">
    <w:name w:val="heading 3"/>
    <w:basedOn w:val="Normal"/>
    <w:next w:val="Normal"/>
    <w:link w:val="Heading3Char"/>
    <w:unhideWhenUsed/>
    <w:qFormat/>
    <w:rsid w:val="0021195E"/>
    <w:pPr>
      <w:keepNext/>
      <w:keepLines/>
      <w:spacing w:before="240" w:after="240"/>
      <w:outlineLvl w:val="2"/>
    </w:pPr>
    <w:rPr>
      <w:rFonts w:ascii="Arial Narrow" w:eastAsiaTheme="majorEastAsia" w:hAnsi="Arial Narrow" w:cstheme="majorBidi"/>
      <w:smallCaps/>
      <w:sz w:val="30"/>
      <w:szCs w:val="24"/>
    </w:rPr>
  </w:style>
  <w:style w:type="paragraph" w:styleId="Heading4">
    <w:name w:val="heading 4"/>
    <w:aliases w:val="Heading 4 numbered"/>
    <w:basedOn w:val="Normal"/>
    <w:next w:val="Normal"/>
    <w:link w:val="Heading4Char"/>
    <w:uiPriority w:val="9"/>
    <w:unhideWhenUsed/>
    <w:qFormat/>
    <w:rsid w:val="000C30A9"/>
    <w:pPr>
      <w:keepNext/>
      <w:keepLines/>
      <w:spacing w:before="240" w:after="240"/>
      <w:outlineLvl w:val="3"/>
    </w:pPr>
    <w:rPr>
      <w:rFonts w:ascii="Arial Narrow" w:eastAsiaTheme="majorEastAsia" w:hAnsi="Arial Narrow" w:cstheme="majorBidi"/>
      <w:b/>
      <w:iCs/>
      <w:smallCaps/>
      <w:sz w:val="26"/>
    </w:rPr>
  </w:style>
  <w:style w:type="paragraph" w:styleId="Heading5">
    <w:name w:val="heading 5"/>
    <w:basedOn w:val="Heading6"/>
    <w:next w:val="Normal"/>
    <w:link w:val="Heading5Char"/>
    <w:uiPriority w:val="9"/>
    <w:unhideWhenUsed/>
    <w:qFormat/>
    <w:rsid w:val="00FA3D87"/>
    <w:pPr>
      <w:keepLines w:val="0"/>
      <w:outlineLvl w:val="4"/>
    </w:pPr>
    <w:rPr>
      <w:rFonts w:ascii="Arial Narrow" w:eastAsia="Calibri" w:hAnsi="Arial Narrow"/>
      <w:i w:val="0"/>
      <w:iCs w:val="0"/>
      <w:smallCaps/>
      <w:szCs w:val="24"/>
      <w:lang w:eastAsia="en-AU"/>
    </w:rPr>
  </w:style>
  <w:style w:type="paragraph" w:styleId="Heading6">
    <w:name w:val="heading 6"/>
    <w:basedOn w:val="Heading7"/>
    <w:next w:val="Normal"/>
    <w:link w:val="Heading6Char"/>
    <w:uiPriority w:val="9"/>
    <w:unhideWhenUsed/>
    <w:qFormat/>
    <w:rsid w:val="005C7610"/>
    <w:pPr>
      <w:spacing w:before="220" w:after="220"/>
      <w:outlineLvl w:val="5"/>
    </w:pPr>
    <w:rPr>
      <w:rFonts w:ascii="Calibri" w:hAnsi="Calibri"/>
      <w:i/>
      <w:smallCaps w:val="0"/>
    </w:rPr>
  </w:style>
  <w:style w:type="paragraph" w:styleId="Heading7">
    <w:name w:val="heading 7"/>
    <w:basedOn w:val="Normal"/>
    <w:next w:val="Normal"/>
    <w:link w:val="Heading7Char"/>
    <w:unhideWhenUsed/>
    <w:qFormat/>
    <w:rsid w:val="00B27573"/>
    <w:pPr>
      <w:keepNext/>
      <w:keepLines/>
      <w:spacing w:before="240" w:after="240"/>
      <w:outlineLvl w:val="6"/>
    </w:pPr>
    <w:rPr>
      <w:rFonts w:eastAsiaTheme="majorEastAsia" w:cstheme="majorBidi"/>
      <w:iCs/>
      <w:smallCaps/>
    </w:rPr>
  </w:style>
  <w:style w:type="paragraph" w:styleId="Heading8">
    <w:name w:val="heading 8"/>
    <w:basedOn w:val="Normal"/>
    <w:next w:val="Normal"/>
    <w:link w:val="Heading8Char"/>
    <w:uiPriority w:val="9"/>
    <w:unhideWhenUsed/>
    <w:qFormat/>
    <w:rsid w:val="00713E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13E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846"/>
  </w:style>
  <w:style w:type="paragraph" w:styleId="Footer">
    <w:name w:val="footer"/>
    <w:basedOn w:val="Normal"/>
    <w:link w:val="FooterChar"/>
    <w:uiPriority w:val="99"/>
    <w:unhideWhenUsed/>
    <w:rsid w:val="000B0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846"/>
  </w:style>
  <w:style w:type="character" w:customStyle="1" w:styleId="Heading1Char">
    <w:name w:val="Heading 1 Char"/>
    <w:aliases w:val="numbered Char"/>
    <w:basedOn w:val="DefaultParagraphFont"/>
    <w:link w:val="Heading1"/>
    <w:rsid w:val="000B0846"/>
    <w:rPr>
      <w:rFonts w:ascii="Arial Narrow" w:eastAsiaTheme="majorEastAsia" w:hAnsi="Arial Narrow" w:cstheme="majorBidi"/>
      <w:smallCaps/>
      <w:sz w:val="42"/>
      <w:szCs w:val="32"/>
    </w:rPr>
  </w:style>
  <w:style w:type="character" w:customStyle="1" w:styleId="Heading2Char">
    <w:name w:val="Heading 2 Char"/>
    <w:basedOn w:val="DefaultParagraphFont"/>
    <w:link w:val="Heading2"/>
    <w:rsid w:val="00AC094E"/>
    <w:rPr>
      <w:rFonts w:ascii="Arial Narrow" w:eastAsia="Times New Roman" w:hAnsi="Arial Narrow" w:cstheme="majorBidi"/>
      <w:smallCaps/>
      <w:kern w:val="32"/>
      <w:sz w:val="44"/>
      <w:szCs w:val="44"/>
    </w:rPr>
  </w:style>
  <w:style w:type="character" w:customStyle="1" w:styleId="Heading3Char">
    <w:name w:val="Heading 3 Char"/>
    <w:basedOn w:val="DefaultParagraphFont"/>
    <w:link w:val="Heading3"/>
    <w:rsid w:val="0021195E"/>
    <w:rPr>
      <w:rFonts w:ascii="Arial Narrow" w:eastAsiaTheme="majorEastAsia" w:hAnsi="Arial Narrow" w:cstheme="majorBidi"/>
      <w:smallCaps/>
      <w:sz w:val="30"/>
      <w:szCs w:val="24"/>
    </w:rPr>
  </w:style>
  <w:style w:type="paragraph" w:styleId="ListParagraph">
    <w:name w:val="List Paragraph"/>
    <w:basedOn w:val="Normal"/>
    <w:uiPriority w:val="34"/>
    <w:qFormat/>
    <w:rsid w:val="00F6072C"/>
    <w:pPr>
      <w:ind w:left="720"/>
      <w:contextualSpacing/>
    </w:pPr>
  </w:style>
  <w:style w:type="paragraph" w:styleId="BalloonText">
    <w:name w:val="Balloon Text"/>
    <w:basedOn w:val="Normal"/>
    <w:link w:val="BalloonTextChar"/>
    <w:semiHidden/>
    <w:unhideWhenUsed/>
    <w:rsid w:val="00713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13E5C"/>
    <w:rPr>
      <w:rFonts w:ascii="Segoe UI" w:hAnsi="Segoe UI" w:cs="Segoe UI"/>
      <w:sz w:val="18"/>
      <w:szCs w:val="18"/>
    </w:rPr>
  </w:style>
  <w:style w:type="paragraph" w:styleId="Bibliography">
    <w:name w:val="Bibliography"/>
    <w:basedOn w:val="Normal"/>
    <w:next w:val="Normal"/>
    <w:uiPriority w:val="37"/>
    <w:semiHidden/>
    <w:unhideWhenUsed/>
    <w:rsid w:val="00713E5C"/>
  </w:style>
  <w:style w:type="paragraph" w:styleId="BlockText">
    <w:name w:val="Block Text"/>
    <w:basedOn w:val="Normal"/>
    <w:uiPriority w:val="99"/>
    <w:semiHidden/>
    <w:unhideWhenUsed/>
    <w:rsid w:val="00713E5C"/>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BodyText">
    <w:name w:val="Body Text"/>
    <w:basedOn w:val="Normal"/>
    <w:link w:val="BodyTextChar"/>
    <w:unhideWhenUsed/>
    <w:rsid w:val="00713E5C"/>
    <w:pPr>
      <w:spacing w:after="120"/>
    </w:pPr>
  </w:style>
  <w:style w:type="character" w:customStyle="1" w:styleId="BodyTextChar">
    <w:name w:val="Body Text Char"/>
    <w:basedOn w:val="DefaultParagraphFont"/>
    <w:link w:val="BodyText"/>
    <w:rsid w:val="00713E5C"/>
  </w:style>
  <w:style w:type="paragraph" w:styleId="BodyText2">
    <w:name w:val="Body Text 2"/>
    <w:basedOn w:val="Normal"/>
    <w:link w:val="BodyText2Char"/>
    <w:uiPriority w:val="99"/>
    <w:semiHidden/>
    <w:unhideWhenUsed/>
    <w:rsid w:val="00713E5C"/>
    <w:pPr>
      <w:spacing w:after="120" w:line="480" w:lineRule="auto"/>
    </w:pPr>
  </w:style>
  <w:style w:type="character" w:customStyle="1" w:styleId="BodyText2Char">
    <w:name w:val="Body Text 2 Char"/>
    <w:basedOn w:val="DefaultParagraphFont"/>
    <w:link w:val="BodyText2"/>
    <w:uiPriority w:val="99"/>
    <w:semiHidden/>
    <w:rsid w:val="00713E5C"/>
  </w:style>
  <w:style w:type="paragraph" w:styleId="BodyText3">
    <w:name w:val="Body Text 3"/>
    <w:basedOn w:val="Normal"/>
    <w:link w:val="BodyText3Char"/>
    <w:uiPriority w:val="99"/>
    <w:semiHidden/>
    <w:unhideWhenUsed/>
    <w:rsid w:val="00713E5C"/>
    <w:pPr>
      <w:spacing w:after="120"/>
    </w:pPr>
    <w:rPr>
      <w:sz w:val="16"/>
      <w:szCs w:val="16"/>
    </w:rPr>
  </w:style>
  <w:style w:type="character" w:customStyle="1" w:styleId="BodyText3Char">
    <w:name w:val="Body Text 3 Char"/>
    <w:basedOn w:val="DefaultParagraphFont"/>
    <w:link w:val="BodyText3"/>
    <w:uiPriority w:val="99"/>
    <w:semiHidden/>
    <w:rsid w:val="00713E5C"/>
    <w:rPr>
      <w:sz w:val="16"/>
      <w:szCs w:val="16"/>
    </w:rPr>
  </w:style>
  <w:style w:type="paragraph" w:styleId="BodyTextFirstIndent">
    <w:name w:val="Body Text First Indent"/>
    <w:basedOn w:val="BodyText"/>
    <w:link w:val="BodyTextFirstIndentChar"/>
    <w:uiPriority w:val="99"/>
    <w:semiHidden/>
    <w:unhideWhenUsed/>
    <w:rsid w:val="00713E5C"/>
    <w:pPr>
      <w:spacing w:after="160"/>
      <w:ind w:firstLine="360"/>
    </w:pPr>
  </w:style>
  <w:style w:type="character" w:customStyle="1" w:styleId="BodyTextFirstIndentChar">
    <w:name w:val="Body Text First Indent Char"/>
    <w:basedOn w:val="BodyTextChar"/>
    <w:link w:val="BodyTextFirstIndent"/>
    <w:uiPriority w:val="99"/>
    <w:semiHidden/>
    <w:rsid w:val="00713E5C"/>
  </w:style>
  <w:style w:type="paragraph" w:styleId="BodyTextIndent">
    <w:name w:val="Body Text Indent"/>
    <w:basedOn w:val="Normal"/>
    <w:link w:val="BodyTextIndentChar"/>
    <w:unhideWhenUsed/>
    <w:rsid w:val="00713E5C"/>
    <w:pPr>
      <w:spacing w:after="120"/>
      <w:ind w:left="283"/>
    </w:pPr>
  </w:style>
  <w:style w:type="character" w:customStyle="1" w:styleId="BodyTextIndentChar">
    <w:name w:val="Body Text Indent Char"/>
    <w:basedOn w:val="DefaultParagraphFont"/>
    <w:link w:val="BodyTextIndent"/>
    <w:rsid w:val="00713E5C"/>
  </w:style>
  <w:style w:type="paragraph" w:styleId="BodyTextFirstIndent2">
    <w:name w:val="Body Text First Indent 2"/>
    <w:basedOn w:val="BodyTextIndent"/>
    <w:link w:val="BodyTextFirstIndent2Char"/>
    <w:uiPriority w:val="99"/>
    <w:semiHidden/>
    <w:unhideWhenUsed/>
    <w:rsid w:val="00713E5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13E5C"/>
  </w:style>
  <w:style w:type="paragraph" w:styleId="BodyTextIndent2">
    <w:name w:val="Body Text Indent 2"/>
    <w:basedOn w:val="Normal"/>
    <w:link w:val="BodyTextIndent2Char"/>
    <w:uiPriority w:val="99"/>
    <w:semiHidden/>
    <w:unhideWhenUsed/>
    <w:rsid w:val="00713E5C"/>
    <w:pPr>
      <w:spacing w:after="120" w:line="480" w:lineRule="auto"/>
      <w:ind w:left="283"/>
    </w:pPr>
  </w:style>
  <w:style w:type="character" w:customStyle="1" w:styleId="BodyTextIndent2Char">
    <w:name w:val="Body Text Indent 2 Char"/>
    <w:basedOn w:val="DefaultParagraphFont"/>
    <w:link w:val="BodyTextIndent2"/>
    <w:uiPriority w:val="99"/>
    <w:semiHidden/>
    <w:rsid w:val="00713E5C"/>
  </w:style>
  <w:style w:type="paragraph" w:styleId="BodyTextIndent3">
    <w:name w:val="Body Text Indent 3"/>
    <w:basedOn w:val="Normal"/>
    <w:link w:val="BodyTextIndent3Char"/>
    <w:uiPriority w:val="99"/>
    <w:semiHidden/>
    <w:unhideWhenUsed/>
    <w:rsid w:val="00713E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13E5C"/>
    <w:rPr>
      <w:sz w:val="16"/>
      <w:szCs w:val="16"/>
    </w:rPr>
  </w:style>
  <w:style w:type="paragraph" w:styleId="Caption">
    <w:name w:val="caption"/>
    <w:basedOn w:val="Normal"/>
    <w:next w:val="Normal"/>
    <w:unhideWhenUsed/>
    <w:qFormat/>
    <w:rsid w:val="00713E5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13E5C"/>
    <w:pPr>
      <w:spacing w:after="0" w:line="240" w:lineRule="auto"/>
      <w:ind w:left="4252"/>
    </w:pPr>
  </w:style>
  <w:style w:type="character" w:customStyle="1" w:styleId="ClosingChar">
    <w:name w:val="Closing Char"/>
    <w:basedOn w:val="DefaultParagraphFont"/>
    <w:link w:val="Closing"/>
    <w:uiPriority w:val="99"/>
    <w:semiHidden/>
    <w:rsid w:val="00713E5C"/>
  </w:style>
  <w:style w:type="paragraph" w:styleId="CommentText">
    <w:name w:val="annotation text"/>
    <w:basedOn w:val="Normal"/>
    <w:link w:val="CommentTextChar"/>
    <w:unhideWhenUsed/>
    <w:rsid w:val="00713E5C"/>
    <w:pPr>
      <w:spacing w:line="240" w:lineRule="auto"/>
    </w:pPr>
    <w:rPr>
      <w:sz w:val="20"/>
      <w:szCs w:val="20"/>
    </w:rPr>
  </w:style>
  <w:style w:type="character" w:customStyle="1" w:styleId="CommentTextChar">
    <w:name w:val="Comment Text Char"/>
    <w:basedOn w:val="DefaultParagraphFont"/>
    <w:link w:val="CommentText"/>
    <w:rsid w:val="00713E5C"/>
    <w:rPr>
      <w:sz w:val="20"/>
      <w:szCs w:val="20"/>
    </w:rPr>
  </w:style>
  <w:style w:type="paragraph" w:styleId="CommentSubject">
    <w:name w:val="annotation subject"/>
    <w:basedOn w:val="CommentText"/>
    <w:next w:val="CommentText"/>
    <w:link w:val="CommentSubjectChar"/>
    <w:unhideWhenUsed/>
    <w:rsid w:val="00713E5C"/>
    <w:rPr>
      <w:b/>
      <w:bCs/>
    </w:rPr>
  </w:style>
  <w:style w:type="character" w:customStyle="1" w:styleId="CommentSubjectChar">
    <w:name w:val="Comment Subject Char"/>
    <w:basedOn w:val="CommentTextChar"/>
    <w:link w:val="CommentSubject"/>
    <w:rsid w:val="00713E5C"/>
    <w:rPr>
      <w:b/>
      <w:bCs/>
      <w:sz w:val="20"/>
      <w:szCs w:val="20"/>
    </w:rPr>
  </w:style>
  <w:style w:type="paragraph" w:styleId="Date">
    <w:name w:val="Date"/>
    <w:basedOn w:val="Normal"/>
    <w:next w:val="Normal"/>
    <w:link w:val="DateChar"/>
    <w:uiPriority w:val="99"/>
    <w:semiHidden/>
    <w:unhideWhenUsed/>
    <w:rsid w:val="00713E5C"/>
  </w:style>
  <w:style w:type="character" w:customStyle="1" w:styleId="DateChar">
    <w:name w:val="Date Char"/>
    <w:basedOn w:val="DefaultParagraphFont"/>
    <w:link w:val="Date"/>
    <w:uiPriority w:val="99"/>
    <w:semiHidden/>
    <w:rsid w:val="00713E5C"/>
  </w:style>
  <w:style w:type="paragraph" w:styleId="DocumentMap">
    <w:name w:val="Document Map"/>
    <w:basedOn w:val="Normal"/>
    <w:link w:val="DocumentMapChar"/>
    <w:uiPriority w:val="99"/>
    <w:semiHidden/>
    <w:unhideWhenUsed/>
    <w:rsid w:val="00713E5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13E5C"/>
    <w:rPr>
      <w:rFonts w:ascii="Segoe UI" w:hAnsi="Segoe UI" w:cs="Segoe UI"/>
      <w:sz w:val="16"/>
      <w:szCs w:val="16"/>
    </w:rPr>
  </w:style>
  <w:style w:type="paragraph" w:styleId="E-mailSignature">
    <w:name w:val="E-mail Signature"/>
    <w:basedOn w:val="Normal"/>
    <w:link w:val="E-mailSignatureChar"/>
    <w:uiPriority w:val="99"/>
    <w:semiHidden/>
    <w:unhideWhenUsed/>
    <w:rsid w:val="00713E5C"/>
    <w:pPr>
      <w:spacing w:after="0" w:line="240" w:lineRule="auto"/>
    </w:pPr>
  </w:style>
  <w:style w:type="character" w:customStyle="1" w:styleId="E-mailSignatureChar">
    <w:name w:val="E-mail Signature Char"/>
    <w:basedOn w:val="DefaultParagraphFont"/>
    <w:link w:val="E-mailSignature"/>
    <w:uiPriority w:val="99"/>
    <w:semiHidden/>
    <w:rsid w:val="00713E5C"/>
  </w:style>
  <w:style w:type="paragraph" w:styleId="EndnoteText">
    <w:name w:val="endnote text"/>
    <w:basedOn w:val="Normal"/>
    <w:link w:val="EndnoteTextChar"/>
    <w:unhideWhenUsed/>
    <w:rsid w:val="00713E5C"/>
    <w:pPr>
      <w:spacing w:after="0" w:line="240" w:lineRule="auto"/>
    </w:pPr>
    <w:rPr>
      <w:sz w:val="20"/>
      <w:szCs w:val="20"/>
    </w:rPr>
  </w:style>
  <w:style w:type="character" w:customStyle="1" w:styleId="EndnoteTextChar">
    <w:name w:val="Endnote Text Char"/>
    <w:basedOn w:val="DefaultParagraphFont"/>
    <w:link w:val="EndnoteText"/>
    <w:rsid w:val="00713E5C"/>
    <w:rPr>
      <w:sz w:val="20"/>
      <w:szCs w:val="20"/>
    </w:rPr>
  </w:style>
  <w:style w:type="paragraph" w:styleId="EnvelopeAddress">
    <w:name w:val="envelope address"/>
    <w:basedOn w:val="Normal"/>
    <w:uiPriority w:val="99"/>
    <w:semiHidden/>
    <w:unhideWhenUsed/>
    <w:rsid w:val="00713E5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13E5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rsid w:val="00B32CDA"/>
    <w:pPr>
      <w:spacing w:after="0" w:line="240" w:lineRule="auto"/>
      <w:ind w:left="115" w:hanging="115"/>
    </w:pPr>
    <w:rPr>
      <w:sz w:val="20"/>
      <w:szCs w:val="20"/>
    </w:rPr>
  </w:style>
  <w:style w:type="character" w:customStyle="1" w:styleId="FootnoteTextChar">
    <w:name w:val="Footnote Text Char"/>
    <w:basedOn w:val="DefaultParagraphFont"/>
    <w:link w:val="FootnoteText"/>
    <w:uiPriority w:val="99"/>
    <w:rsid w:val="00B32CDA"/>
    <w:rPr>
      <w:sz w:val="20"/>
      <w:szCs w:val="20"/>
    </w:rPr>
  </w:style>
  <w:style w:type="character" w:customStyle="1" w:styleId="Heading4Char">
    <w:name w:val="Heading 4 Char"/>
    <w:aliases w:val="Heading 4 numbered Char"/>
    <w:basedOn w:val="DefaultParagraphFont"/>
    <w:link w:val="Heading4"/>
    <w:uiPriority w:val="9"/>
    <w:rsid w:val="000C30A9"/>
    <w:rPr>
      <w:rFonts w:ascii="Arial Narrow" w:eastAsiaTheme="majorEastAsia" w:hAnsi="Arial Narrow" w:cstheme="majorBidi"/>
      <w:b/>
      <w:iCs/>
      <w:smallCaps/>
      <w:sz w:val="26"/>
    </w:rPr>
  </w:style>
  <w:style w:type="character" w:customStyle="1" w:styleId="Heading5Char">
    <w:name w:val="Heading 5 Char"/>
    <w:basedOn w:val="DefaultParagraphFont"/>
    <w:link w:val="Heading5"/>
    <w:uiPriority w:val="9"/>
    <w:rsid w:val="00FA3D87"/>
    <w:rPr>
      <w:rFonts w:ascii="Arial Narrow" w:eastAsia="Calibri" w:hAnsi="Arial Narrow" w:cstheme="majorBidi"/>
      <w:smallCaps/>
      <w:szCs w:val="24"/>
      <w:lang w:eastAsia="en-AU"/>
    </w:rPr>
  </w:style>
  <w:style w:type="character" w:customStyle="1" w:styleId="Heading6Char">
    <w:name w:val="Heading 6 Char"/>
    <w:basedOn w:val="DefaultParagraphFont"/>
    <w:link w:val="Heading6"/>
    <w:uiPriority w:val="9"/>
    <w:rsid w:val="005C7610"/>
    <w:rPr>
      <w:rFonts w:ascii="Calibri" w:eastAsiaTheme="majorEastAsia" w:hAnsi="Calibri" w:cstheme="majorBidi"/>
      <w:i/>
      <w:iCs/>
    </w:rPr>
  </w:style>
  <w:style w:type="character" w:customStyle="1" w:styleId="Heading7Char">
    <w:name w:val="Heading 7 Char"/>
    <w:basedOn w:val="DefaultParagraphFont"/>
    <w:link w:val="Heading7"/>
    <w:rsid w:val="00B27573"/>
    <w:rPr>
      <w:rFonts w:eastAsiaTheme="majorEastAsia" w:cstheme="majorBidi"/>
      <w:iCs/>
      <w:smallCaps/>
    </w:rPr>
  </w:style>
  <w:style w:type="character" w:customStyle="1" w:styleId="Heading8Char">
    <w:name w:val="Heading 8 Char"/>
    <w:basedOn w:val="DefaultParagraphFont"/>
    <w:link w:val="Heading8"/>
    <w:semiHidden/>
    <w:rsid w:val="00713E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13E5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13E5C"/>
    <w:pPr>
      <w:spacing w:after="0" w:line="240" w:lineRule="auto"/>
    </w:pPr>
    <w:rPr>
      <w:i/>
      <w:iCs/>
    </w:rPr>
  </w:style>
  <w:style w:type="character" w:customStyle="1" w:styleId="HTMLAddressChar">
    <w:name w:val="HTML Address Char"/>
    <w:basedOn w:val="DefaultParagraphFont"/>
    <w:link w:val="HTMLAddress"/>
    <w:uiPriority w:val="99"/>
    <w:semiHidden/>
    <w:rsid w:val="00713E5C"/>
    <w:rPr>
      <w:i/>
      <w:iCs/>
    </w:rPr>
  </w:style>
  <w:style w:type="paragraph" w:styleId="HTMLPreformatted">
    <w:name w:val="HTML Preformatted"/>
    <w:basedOn w:val="Normal"/>
    <w:link w:val="HTMLPreformattedChar"/>
    <w:uiPriority w:val="99"/>
    <w:semiHidden/>
    <w:unhideWhenUsed/>
    <w:rsid w:val="00713E5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13E5C"/>
    <w:rPr>
      <w:rFonts w:ascii="Consolas" w:hAnsi="Consolas" w:cs="Consolas"/>
      <w:sz w:val="20"/>
      <w:szCs w:val="20"/>
    </w:rPr>
  </w:style>
  <w:style w:type="paragraph" w:styleId="Index1">
    <w:name w:val="index 1"/>
    <w:basedOn w:val="Normal"/>
    <w:next w:val="Normal"/>
    <w:autoRedefine/>
    <w:uiPriority w:val="99"/>
    <w:semiHidden/>
    <w:unhideWhenUsed/>
    <w:rsid w:val="00713E5C"/>
    <w:pPr>
      <w:spacing w:after="0" w:line="240" w:lineRule="auto"/>
      <w:ind w:left="220" w:hanging="220"/>
    </w:pPr>
  </w:style>
  <w:style w:type="paragraph" w:styleId="Index2">
    <w:name w:val="index 2"/>
    <w:basedOn w:val="Normal"/>
    <w:next w:val="Normal"/>
    <w:autoRedefine/>
    <w:uiPriority w:val="99"/>
    <w:semiHidden/>
    <w:unhideWhenUsed/>
    <w:rsid w:val="00713E5C"/>
    <w:pPr>
      <w:spacing w:after="0" w:line="240" w:lineRule="auto"/>
      <w:ind w:left="440" w:hanging="220"/>
    </w:pPr>
  </w:style>
  <w:style w:type="paragraph" w:styleId="Index3">
    <w:name w:val="index 3"/>
    <w:basedOn w:val="Normal"/>
    <w:next w:val="Normal"/>
    <w:autoRedefine/>
    <w:uiPriority w:val="99"/>
    <w:semiHidden/>
    <w:unhideWhenUsed/>
    <w:rsid w:val="00713E5C"/>
    <w:pPr>
      <w:spacing w:after="0" w:line="240" w:lineRule="auto"/>
      <w:ind w:left="660" w:hanging="220"/>
    </w:pPr>
  </w:style>
  <w:style w:type="paragraph" w:styleId="Index4">
    <w:name w:val="index 4"/>
    <w:basedOn w:val="Normal"/>
    <w:next w:val="Normal"/>
    <w:autoRedefine/>
    <w:uiPriority w:val="99"/>
    <w:semiHidden/>
    <w:unhideWhenUsed/>
    <w:rsid w:val="00713E5C"/>
    <w:pPr>
      <w:spacing w:after="0" w:line="240" w:lineRule="auto"/>
      <w:ind w:left="880" w:hanging="220"/>
    </w:pPr>
  </w:style>
  <w:style w:type="paragraph" w:styleId="Index5">
    <w:name w:val="index 5"/>
    <w:basedOn w:val="Normal"/>
    <w:next w:val="Normal"/>
    <w:autoRedefine/>
    <w:uiPriority w:val="99"/>
    <w:semiHidden/>
    <w:unhideWhenUsed/>
    <w:rsid w:val="00713E5C"/>
    <w:pPr>
      <w:spacing w:after="0" w:line="240" w:lineRule="auto"/>
      <w:ind w:left="1100" w:hanging="220"/>
    </w:pPr>
  </w:style>
  <w:style w:type="paragraph" w:styleId="Index6">
    <w:name w:val="index 6"/>
    <w:basedOn w:val="Normal"/>
    <w:next w:val="Normal"/>
    <w:autoRedefine/>
    <w:uiPriority w:val="99"/>
    <w:semiHidden/>
    <w:unhideWhenUsed/>
    <w:rsid w:val="00713E5C"/>
    <w:pPr>
      <w:spacing w:after="0" w:line="240" w:lineRule="auto"/>
      <w:ind w:left="1320" w:hanging="220"/>
    </w:pPr>
  </w:style>
  <w:style w:type="paragraph" w:styleId="Index7">
    <w:name w:val="index 7"/>
    <w:basedOn w:val="Normal"/>
    <w:next w:val="Normal"/>
    <w:autoRedefine/>
    <w:uiPriority w:val="99"/>
    <w:semiHidden/>
    <w:unhideWhenUsed/>
    <w:rsid w:val="00713E5C"/>
    <w:pPr>
      <w:spacing w:after="0" w:line="240" w:lineRule="auto"/>
      <w:ind w:left="1540" w:hanging="220"/>
    </w:pPr>
  </w:style>
  <w:style w:type="paragraph" w:styleId="Index8">
    <w:name w:val="index 8"/>
    <w:basedOn w:val="Normal"/>
    <w:next w:val="Normal"/>
    <w:autoRedefine/>
    <w:uiPriority w:val="99"/>
    <w:semiHidden/>
    <w:unhideWhenUsed/>
    <w:rsid w:val="00713E5C"/>
    <w:pPr>
      <w:spacing w:after="0" w:line="240" w:lineRule="auto"/>
      <w:ind w:left="1760" w:hanging="220"/>
    </w:pPr>
  </w:style>
  <w:style w:type="paragraph" w:styleId="Index9">
    <w:name w:val="index 9"/>
    <w:basedOn w:val="Normal"/>
    <w:next w:val="Normal"/>
    <w:autoRedefine/>
    <w:uiPriority w:val="99"/>
    <w:semiHidden/>
    <w:unhideWhenUsed/>
    <w:rsid w:val="00713E5C"/>
    <w:pPr>
      <w:spacing w:after="0" w:line="240" w:lineRule="auto"/>
      <w:ind w:left="1980" w:hanging="220"/>
    </w:pPr>
  </w:style>
  <w:style w:type="paragraph" w:styleId="IndexHeading">
    <w:name w:val="index heading"/>
    <w:basedOn w:val="Normal"/>
    <w:next w:val="Index1"/>
    <w:uiPriority w:val="99"/>
    <w:semiHidden/>
    <w:unhideWhenUsed/>
    <w:rsid w:val="00713E5C"/>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13E5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13E5C"/>
    <w:rPr>
      <w:i/>
      <w:iCs/>
      <w:color w:val="5B9BD5" w:themeColor="accent1"/>
    </w:rPr>
  </w:style>
  <w:style w:type="paragraph" w:styleId="List">
    <w:name w:val="List"/>
    <w:basedOn w:val="Normal"/>
    <w:uiPriority w:val="99"/>
    <w:semiHidden/>
    <w:unhideWhenUsed/>
    <w:rsid w:val="00713E5C"/>
    <w:pPr>
      <w:ind w:left="283" w:hanging="283"/>
      <w:contextualSpacing/>
    </w:pPr>
  </w:style>
  <w:style w:type="paragraph" w:styleId="List2">
    <w:name w:val="List 2"/>
    <w:basedOn w:val="Normal"/>
    <w:uiPriority w:val="99"/>
    <w:semiHidden/>
    <w:unhideWhenUsed/>
    <w:rsid w:val="00713E5C"/>
    <w:pPr>
      <w:ind w:left="566" w:hanging="283"/>
      <w:contextualSpacing/>
    </w:pPr>
  </w:style>
  <w:style w:type="paragraph" w:styleId="List3">
    <w:name w:val="List 3"/>
    <w:basedOn w:val="Normal"/>
    <w:uiPriority w:val="99"/>
    <w:semiHidden/>
    <w:unhideWhenUsed/>
    <w:rsid w:val="00713E5C"/>
    <w:pPr>
      <w:ind w:left="849" w:hanging="283"/>
      <w:contextualSpacing/>
    </w:pPr>
  </w:style>
  <w:style w:type="paragraph" w:styleId="List4">
    <w:name w:val="List 4"/>
    <w:basedOn w:val="Normal"/>
    <w:uiPriority w:val="99"/>
    <w:semiHidden/>
    <w:unhideWhenUsed/>
    <w:rsid w:val="00713E5C"/>
    <w:pPr>
      <w:ind w:left="1132" w:hanging="283"/>
      <w:contextualSpacing/>
    </w:pPr>
  </w:style>
  <w:style w:type="paragraph" w:styleId="List5">
    <w:name w:val="List 5"/>
    <w:basedOn w:val="Normal"/>
    <w:uiPriority w:val="99"/>
    <w:semiHidden/>
    <w:unhideWhenUsed/>
    <w:rsid w:val="00713E5C"/>
    <w:pPr>
      <w:ind w:left="1415" w:hanging="283"/>
      <w:contextualSpacing/>
    </w:pPr>
  </w:style>
  <w:style w:type="paragraph" w:styleId="ListBullet">
    <w:name w:val="List Bullet"/>
    <w:basedOn w:val="Normal"/>
    <w:uiPriority w:val="99"/>
    <w:semiHidden/>
    <w:unhideWhenUsed/>
    <w:rsid w:val="00713E5C"/>
    <w:pPr>
      <w:numPr>
        <w:numId w:val="1"/>
      </w:numPr>
      <w:contextualSpacing/>
    </w:pPr>
  </w:style>
  <w:style w:type="paragraph" w:styleId="ListBullet2">
    <w:name w:val="List Bullet 2"/>
    <w:basedOn w:val="Normal"/>
    <w:uiPriority w:val="99"/>
    <w:semiHidden/>
    <w:unhideWhenUsed/>
    <w:rsid w:val="00713E5C"/>
    <w:pPr>
      <w:numPr>
        <w:numId w:val="2"/>
      </w:numPr>
      <w:contextualSpacing/>
    </w:pPr>
  </w:style>
  <w:style w:type="paragraph" w:styleId="ListBullet3">
    <w:name w:val="List Bullet 3"/>
    <w:basedOn w:val="Normal"/>
    <w:uiPriority w:val="99"/>
    <w:semiHidden/>
    <w:unhideWhenUsed/>
    <w:rsid w:val="00713E5C"/>
    <w:pPr>
      <w:numPr>
        <w:numId w:val="3"/>
      </w:numPr>
      <w:contextualSpacing/>
    </w:pPr>
  </w:style>
  <w:style w:type="paragraph" w:styleId="ListBullet4">
    <w:name w:val="List Bullet 4"/>
    <w:basedOn w:val="Normal"/>
    <w:uiPriority w:val="99"/>
    <w:semiHidden/>
    <w:unhideWhenUsed/>
    <w:rsid w:val="00713E5C"/>
    <w:pPr>
      <w:numPr>
        <w:numId w:val="4"/>
      </w:numPr>
      <w:contextualSpacing/>
    </w:pPr>
  </w:style>
  <w:style w:type="paragraph" w:styleId="ListBullet5">
    <w:name w:val="List Bullet 5"/>
    <w:basedOn w:val="Normal"/>
    <w:uiPriority w:val="99"/>
    <w:semiHidden/>
    <w:unhideWhenUsed/>
    <w:rsid w:val="00713E5C"/>
    <w:pPr>
      <w:numPr>
        <w:numId w:val="5"/>
      </w:numPr>
      <w:contextualSpacing/>
    </w:pPr>
  </w:style>
  <w:style w:type="paragraph" w:styleId="ListContinue">
    <w:name w:val="List Continue"/>
    <w:basedOn w:val="Normal"/>
    <w:uiPriority w:val="99"/>
    <w:semiHidden/>
    <w:unhideWhenUsed/>
    <w:rsid w:val="00713E5C"/>
    <w:pPr>
      <w:spacing w:after="120"/>
      <w:ind w:left="283"/>
      <w:contextualSpacing/>
    </w:pPr>
  </w:style>
  <w:style w:type="paragraph" w:styleId="ListContinue2">
    <w:name w:val="List Continue 2"/>
    <w:basedOn w:val="Normal"/>
    <w:uiPriority w:val="99"/>
    <w:semiHidden/>
    <w:unhideWhenUsed/>
    <w:rsid w:val="00713E5C"/>
    <w:pPr>
      <w:spacing w:after="120"/>
      <w:ind w:left="566"/>
      <w:contextualSpacing/>
    </w:pPr>
  </w:style>
  <w:style w:type="paragraph" w:styleId="ListContinue3">
    <w:name w:val="List Continue 3"/>
    <w:basedOn w:val="Normal"/>
    <w:uiPriority w:val="99"/>
    <w:semiHidden/>
    <w:unhideWhenUsed/>
    <w:rsid w:val="00713E5C"/>
    <w:pPr>
      <w:spacing w:after="120"/>
      <w:ind w:left="849"/>
      <w:contextualSpacing/>
    </w:pPr>
  </w:style>
  <w:style w:type="paragraph" w:styleId="ListContinue4">
    <w:name w:val="List Continue 4"/>
    <w:basedOn w:val="Normal"/>
    <w:uiPriority w:val="99"/>
    <w:semiHidden/>
    <w:unhideWhenUsed/>
    <w:rsid w:val="00713E5C"/>
    <w:pPr>
      <w:spacing w:after="120"/>
      <w:ind w:left="1132"/>
      <w:contextualSpacing/>
    </w:pPr>
  </w:style>
  <w:style w:type="paragraph" w:styleId="ListContinue5">
    <w:name w:val="List Continue 5"/>
    <w:basedOn w:val="Normal"/>
    <w:uiPriority w:val="99"/>
    <w:semiHidden/>
    <w:unhideWhenUsed/>
    <w:rsid w:val="00713E5C"/>
    <w:pPr>
      <w:spacing w:after="120"/>
      <w:ind w:left="1415"/>
      <w:contextualSpacing/>
    </w:pPr>
  </w:style>
  <w:style w:type="paragraph" w:styleId="ListNumber">
    <w:name w:val="List Number"/>
    <w:basedOn w:val="Normal"/>
    <w:uiPriority w:val="99"/>
    <w:semiHidden/>
    <w:unhideWhenUsed/>
    <w:rsid w:val="00713E5C"/>
    <w:pPr>
      <w:numPr>
        <w:numId w:val="6"/>
      </w:numPr>
      <w:contextualSpacing/>
    </w:pPr>
  </w:style>
  <w:style w:type="paragraph" w:styleId="ListNumber2">
    <w:name w:val="List Number 2"/>
    <w:basedOn w:val="Normal"/>
    <w:uiPriority w:val="99"/>
    <w:unhideWhenUsed/>
    <w:rsid w:val="00713E5C"/>
    <w:pPr>
      <w:numPr>
        <w:numId w:val="7"/>
      </w:numPr>
      <w:contextualSpacing/>
    </w:pPr>
  </w:style>
  <w:style w:type="paragraph" w:styleId="ListNumber3">
    <w:name w:val="List Number 3"/>
    <w:basedOn w:val="Normal"/>
    <w:uiPriority w:val="99"/>
    <w:semiHidden/>
    <w:unhideWhenUsed/>
    <w:rsid w:val="00713E5C"/>
    <w:pPr>
      <w:numPr>
        <w:numId w:val="8"/>
      </w:numPr>
      <w:contextualSpacing/>
    </w:pPr>
  </w:style>
  <w:style w:type="paragraph" w:styleId="ListNumber4">
    <w:name w:val="List Number 4"/>
    <w:basedOn w:val="Normal"/>
    <w:uiPriority w:val="99"/>
    <w:semiHidden/>
    <w:unhideWhenUsed/>
    <w:rsid w:val="00713E5C"/>
    <w:pPr>
      <w:numPr>
        <w:numId w:val="9"/>
      </w:numPr>
      <w:contextualSpacing/>
    </w:pPr>
  </w:style>
  <w:style w:type="paragraph" w:styleId="ListNumber5">
    <w:name w:val="List Number 5"/>
    <w:basedOn w:val="Normal"/>
    <w:uiPriority w:val="99"/>
    <w:semiHidden/>
    <w:unhideWhenUsed/>
    <w:rsid w:val="00713E5C"/>
    <w:pPr>
      <w:numPr>
        <w:numId w:val="10"/>
      </w:numPr>
      <w:contextualSpacing/>
    </w:pPr>
  </w:style>
  <w:style w:type="paragraph" w:styleId="MacroText">
    <w:name w:val="macro"/>
    <w:link w:val="MacroTextChar"/>
    <w:uiPriority w:val="99"/>
    <w:semiHidden/>
    <w:unhideWhenUsed/>
    <w:rsid w:val="00713E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713E5C"/>
    <w:rPr>
      <w:rFonts w:ascii="Consolas" w:hAnsi="Consolas" w:cs="Consolas"/>
      <w:sz w:val="20"/>
      <w:szCs w:val="20"/>
    </w:rPr>
  </w:style>
  <w:style w:type="paragraph" w:styleId="MessageHeader">
    <w:name w:val="Message Header"/>
    <w:basedOn w:val="Normal"/>
    <w:link w:val="MessageHeaderChar"/>
    <w:uiPriority w:val="99"/>
    <w:semiHidden/>
    <w:unhideWhenUsed/>
    <w:rsid w:val="00713E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13E5C"/>
    <w:rPr>
      <w:rFonts w:asciiTheme="majorHAnsi" w:eastAsiaTheme="majorEastAsia" w:hAnsiTheme="majorHAnsi" w:cstheme="majorBidi"/>
      <w:sz w:val="24"/>
      <w:szCs w:val="24"/>
      <w:shd w:val="pct20" w:color="auto" w:fill="auto"/>
    </w:rPr>
  </w:style>
  <w:style w:type="paragraph" w:styleId="NoSpacing">
    <w:name w:val="No Spacing"/>
    <w:uiPriority w:val="1"/>
    <w:qFormat/>
    <w:rsid w:val="00713E5C"/>
    <w:pPr>
      <w:spacing w:after="0" w:line="240" w:lineRule="auto"/>
    </w:pPr>
  </w:style>
  <w:style w:type="paragraph" w:styleId="NormalWeb">
    <w:name w:val="Normal (Web)"/>
    <w:basedOn w:val="Normal"/>
    <w:uiPriority w:val="99"/>
    <w:unhideWhenUsed/>
    <w:rsid w:val="00713E5C"/>
    <w:rPr>
      <w:rFonts w:ascii="Times New Roman" w:hAnsi="Times New Roman" w:cs="Times New Roman"/>
      <w:sz w:val="24"/>
      <w:szCs w:val="24"/>
    </w:rPr>
  </w:style>
  <w:style w:type="paragraph" w:styleId="NormalIndent">
    <w:name w:val="Normal Indent"/>
    <w:basedOn w:val="Normal"/>
    <w:uiPriority w:val="99"/>
    <w:semiHidden/>
    <w:unhideWhenUsed/>
    <w:rsid w:val="00713E5C"/>
    <w:pPr>
      <w:ind w:left="720"/>
    </w:pPr>
  </w:style>
  <w:style w:type="paragraph" w:styleId="NoteHeading">
    <w:name w:val="Note Heading"/>
    <w:basedOn w:val="Normal"/>
    <w:next w:val="Normal"/>
    <w:link w:val="NoteHeadingChar"/>
    <w:uiPriority w:val="99"/>
    <w:semiHidden/>
    <w:unhideWhenUsed/>
    <w:rsid w:val="00713E5C"/>
    <w:pPr>
      <w:spacing w:after="0" w:line="240" w:lineRule="auto"/>
    </w:pPr>
  </w:style>
  <w:style w:type="character" w:customStyle="1" w:styleId="NoteHeadingChar">
    <w:name w:val="Note Heading Char"/>
    <w:basedOn w:val="DefaultParagraphFont"/>
    <w:link w:val="NoteHeading"/>
    <w:uiPriority w:val="99"/>
    <w:semiHidden/>
    <w:rsid w:val="00713E5C"/>
  </w:style>
  <w:style w:type="paragraph" w:styleId="PlainText">
    <w:name w:val="Plain Text"/>
    <w:basedOn w:val="Normal"/>
    <w:link w:val="PlainTextChar"/>
    <w:uiPriority w:val="99"/>
    <w:semiHidden/>
    <w:unhideWhenUsed/>
    <w:rsid w:val="00713E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13E5C"/>
    <w:rPr>
      <w:rFonts w:ascii="Consolas" w:hAnsi="Consolas" w:cs="Consolas"/>
      <w:sz w:val="21"/>
      <w:szCs w:val="21"/>
    </w:rPr>
  </w:style>
  <w:style w:type="paragraph" w:styleId="Quote">
    <w:name w:val="Quote"/>
    <w:basedOn w:val="Normal"/>
    <w:next w:val="Normal"/>
    <w:link w:val="QuoteChar"/>
    <w:uiPriority w:val="29"/>
    <w:qFormat/>
    <w:rsid w:val="00ED4734"/>
    <w:pPr>
      <w:ind w:left="709"/>
    </w:pPr>
  </w:style>
  <w:style w:type="character" w:customStyle="1" w:styleId="QuoteChar">
    <w:name w:val="Quote Char"/>
    <w:basedOn w:val="DefaultParagraphFont"/>
    <w:link w:val="Quote"/>
    <w:uiPriority w:val="29"/>
    <w:rsid w:val="00ED4734"/>
  </w:style>
  <w:style w:type="paragraph" w:styleId="Salutation">
    <w:name w:val="Salutation"/>
    <w:basedOn w:val="Normal"/>
    <w:next w:val="Normal"/>
    <w:link w:val="SalutationChar"/>
    <w:uiPriority w:val="99"/>
    <w:semiHidden/>
    <w:unhideWhenUsed/>
    <w:rsid w:val="00713E5C"/>
  </w:style>
  <w:style w:type="character" w:customStyle="1" w:styleId="SalutationChar">
    <w:name w:val="Salutation Char"/>
    <w:basedOn w:val="DefaultParagraphFont"/>
    <w:link w:val="Salutation"/>
    <w:uiPriority w:val="99"/>
    <w:semiHidden/>
    <w:rsid w:val="00713E5C"/>
  </w:style>
  <w:style w:type="paragraph" w:styleId="Signature">
    <w:name w:val="Signature"/>
    <w:basedOn w:val="Normal"/>
    <w:link w:val="SignatureChar"/>
    <w:uiPriority w:val="99"/>
    <w:semiHidden/>
    <w:unhideWhenUsed/>
    <w:rsid w:val="00713E5C"/>
    <w:pPr>
      <w:spacing w:after="0" w:line="240" w:lineRule="auto"/>
      <w:ind w:left="4252"/>
    </w:pPr>
  </w:style>
  <w:style w:type="character" w:customStyle="1" w:styleId="SignatureChar">
    <w:name w:val="Signature Char"/>
    <w:basedOn w:val="DefaultParagraphFont"/>
    <w:link w:val="Signature"/>
    <w:uiPriority w:val="99"/>
    <w:semiHidden/>
    <w:rsid w:val="00713E5C"/>
  </w:style>
  <w:style w:type="paragraph" w:styleId="Subtitle">
    <w:name w:val="Subtitle"/>
    <w:basedOn w:val="Normal"/>
    <w:next w:val="Normal"/>
    <w:link w:val="SubtitleChar"/>
    <w:uiPriority w:val="11"/>
    <w:rsid w:val="00713E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3E5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13E5C"/>
    <w:pPr>
      <w:spacing w:after="0"/>
      <w:ind w:left="220" w:hanging="220"/>
    </w:pPr>
  </w:style>
  <w:style w:type="paragraph" w:styleId="TableofFigures">
    <w:name w:val="table of figures"/>
    <w:basedOn w:val="Normal"/>
    <w:next w:val="Normal"/>
    <w:uiPriority w:val="99"/>
    <w:semiHidden/>
    <w:unhideWhenUsed/>
    <w:rsid w:val="00713E5C"/>
    <w:pPr>
      <w:spacing w:after="0"/>
    </w:pPr>
  </w:style>
  <w:style w:type="paragraph" w:styleId="Title">
    <w:name w:val="Title"/>
    <w:basedOn w:val="Normal"/>
    <w:next w:val="Normal"/>
    <w:link w:val="TitleChar"/>
    <w:uiPriority w:val="10"/>
    <w:rsid w:val="00713E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E5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13E5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A0668C"/>
    <w:pPr>
      <w:keepNext/>
      <w:tabs>
        <w:tab w:val="right" w:leader="dot" w:pos="9061"/>
      </w:tabs>
      <w:spacing w:before="240" w:after="40" w:line="312" w:lineRule="auto"/>
      <w:ind w:left="288" w:hanging="288"/>
    </w:pPr>
    <w:rPr>
      <w:rFonts w:ascii="Calibri" w:eastAsia="Times New Roman" w:hAnsi="Calibri" w:cs="Times New Roman"/>
      <w:bCs/>
      <w:smallCaps/>
      <w:noProof/>
      <w:spacing w:val="40"/>
      <w:sz w:val="28"/>
      <w:szCs w:val="28"/>
    </w:rPr>
  </w:style>
  <w:style w:type="paragraph" w:styleId="TOC2">
    <w:name w:val="toc 2"/>
    <w:basedOn w:val="Normal"/>
    <w:next w:val="Normal"/>
    <w:autoRedefine/>
    <w:uiPriority w:val="39"/>
    <w:unhideWhenUsed/>
    <w:rsid w:val="00EB384D"/>
    <w:pPr>
      <w:tabs>
        <w:tab w:val="right" w:leader="dot" w:pos="9061"/>
      </w:tabs>
      <w:spacing w:before="120" w:after="0" w:line="240" w:lineRule="auto"/>
      <w:ind w:left="850" w:hanging="562"/>
    </w:pPr>
    <w:rPr>
      <w:rFonts w:ascii="Calibri" w:eastAsia="Times New Roman" w:hAnsi="Calibri" w:cs="Times New Roman"/>
      <w:b/>
      <w:sz w:val="24"/>
      <w:szCs w:val="24"/>
    </w:rPr>
  </w:style>
  <w:style w:type="paragraph" w:styleId="TOC3">
    <w:name w:val="toc 3"/>
    <w:basedOn w:val="Normal"/>
    <w:next w:val="Normal"/>
    <w:autoRedefine/>
    <w:uiPriority w:val="39"/>
    <w:unhideWhenUsed/>
    <w:rsid w:val="007D6C78"/>
    <w:pPr>
      <w:tabs>
        <w:tab w:val="right" w:leader="dot" w:pos="9016"/>
      </w:tabs>
      <w:spacing w:before="120" w:after="120" w:line="240" w:lineRule="auto"/>
      <w:ind w:left="692"/>
    </w:pPr>
    <w:rPr>
      <w:rFonts w:eastAsia="Times New Roman"/>
      <w:b/>
      <w:smallCaps/>
      <w:noProof/>
    </w:rPr>
  </w:style>
  <w:style w:type="paragraph" w:styleId="TOC4">
    <w:name w:val="toc 4"/>
    <w:basedOn w:val="Normal"/>
    <w:next w:val="Normal"/>
    <w:autoRedefine/>
    <w:unhideWhenUsed/>
    <w:rsid w:val="0097778C"/>
    <w:pPr>
      <w:tabs>
        <w:tab w:val="right" w:leader="dot" w:pos="9016"/>
      </w:tabs>
      <w:spacing w:beforeLines="100" w:afterLines="100" w:line="240" w:lineRule="auto"/>
      <w:ind w:left="658"/>
    </w:pPr>
    <w:rPr>
      <w:rFonts w:ascii="Arial Narrow" w:hAnsi="Arial Narrow"/>
      <w:b/>
      <w:noProof/>
      <w:sz w:val="24"/>
    </w:rPr>
  </w:style>
  <w:style w:type="paragraph" w:styleId="TOC5">
    <w:name w:val="toc 5"/>
    <w:basedOn w:val="Normal"/>
    <w:next w:val="Normal"/>
    <w:autoRedefine/>
    <w:uiPriority w:val="39"/>
    <w:semiHidden/>
    <w:unhideWhenUsed/>
    <w:rsid w:val="00713E5C"/>
    <w:pPr>
      <w:spacing w:after="100"/>
      <w:ind w:left="880"/>
    </w:pPr>
  </w:style>
  <w:style w:type="paragraph" w:styleId="TOC6">
    <w:name w:val="toc 6"/>
    <w:basedOn w:val="Normal"/>
    <w:next w:val="Normal"/>
    <w:autoRedefine/>
    <w:uiPriority w:val="39"/>
    <w:semiHidden/>
    <w:unhideWhenUsed/>
    <w:rsid w:val="00713E5C"/>
    <w:pPr>
      <w:spacing w:after="100"/>
      <w:ind w:left="1100"/>
    </w:pPr>
  </w:style>
  <w:style w:type="paragraph" w:styleId="TOC7">
    <w:name w:val="toc 7"/>
    <w:basedOn w:val="Normal"/>
    <w:next w:val="Normal"/>
    <w:autoRedefine/>
    <w:uiPriority w:val="39"/>
    <w:semiHidden/>
    <w:unhideWhenUsed/>
    <w:rsid w:val="00713E5C"/>
    <w:pPr>
      <w:spacing w:after="100"/>
      <w:ind w:left="1320"/>
    </w:pPr>
  </w:style>
  <w:style w:type="paragraph" w:styleId="TOC8">
    <w:name w:val="toc 8"/>
    <w:basedOn w:val="Normal"/>
    <w:next w:val="Normal"/>
    <w:autoRedefine/>
    <w:uiPriority w:val="39"/>
    <w:semiHidden/>
    <w:unhideWhenUsed/>
    <w:rsid w:val="00713E5C"/>
    <w:pPr>
      <w:spacing w:after="100"/>
      <w:ind w:left="1540"/>
    </w:pPr>
  </w:style>
  <w:style w:type="paragraph" w:styleId="TOC9">
    <w:name w:val="toc 9"/>
    <w:basedOn w:val="Normal"/>
    <w:next w:val="Normal"/>
    <w:autoRedefine/>
    <w:uiPriority w:val="39"/>
    <w:semiHidden/>
    <w:unhideWhenUsed/>
    <w:rsid w:val="00713E5C"/>
    <w:pPr>
      <w:spacing w:after="100"/>
      <w:ind w:left="1760"/>
    </w:pPr>
  </w:style>
  <w:style w:type="paragraph" w:styleId="TOCHeading">
    <w:name w:val="TOC Heading"/>
    <w:basedOn w:val="Heading1"/>
    <w:next w:val="Normal"/>
    <w:unhideWhenUsed/>
    <w:qFormat/>
    <w:rsid w:val="00116E9B"/>
    <w:pPr>
      <w:spacing w:before="240" w:after="240"/>
      <w:jc w:val="left"/>
      <w:outlineLvl w:val="9"/>
    </w:pPr>
    <w:rPr>
      <w:smallCaps w:val="0"/>
      <w:sz w:val="30"/>
    </w:rPr>
  </w:style>
  <w:style w:type="character" w:styleId="Hyperlink">
    <w:name w:val="Hyperlink"/>
    <w:basedOn w:val="DefaultParagraphFont"/>
    <w:uiPriority w:val="99"/>
    <w:unhideWhenUsed/>
    <w:rsid w:val="00AD53EA"/>
    <w:rPr>
      <w:color w:val="0000FF"/>
    </w:rPr>
  </w:style>
  <w:style w:type="character" w:styleId="FootnoteReference">
    <w:name w:val="footnote reference"/>
    <w:aliases w:val="Footnote number,Footnotes refss"/>
    <w:basedOn w:val="DefaultParagraphFont"/>
    <w:uiPriority w:val="99"/>
    <w:unhideWhenUsed/>
    <w:rsid w:val="006013DE"/>
    <w:rPr>
      <w:vertAlign w:val="superscript"/>
    </w:rPr>
  </w:style>
  <w:style w:type="character" w:styleId="Strong">
    <w:name w:val="Strong"/>
    <w:basedOn w:val="DefaultParagraphFont"/>
    <w:uiPriority w:val="22"/>
    <w:qFormat/>
    <w:rsid w:val="00034ADC"/>
    <w:rPr>
      <w:b/>
      <w:bCs/>
    </w:rPr>
  </w:style>
  <w:style w:type="paragraph" w:customStyle="1" w:styleId="Bodycopy">
    <w:name w:val="Body copy"/>
    <w:qFormat/>
    <w:rsid w:val="00133AB1"/>
    <w:pPr>
      <w:widowControl w:val="0"/>
      <w:tabs>
        <w:tab w:val="left" w:pos="1276"/>
      </w:tabs>
      <w:spacing w:before="240" w:after="240" w:line="300" w:lineRule="exact"/>
    </w:pPr>
    <w:rPr>
      <w:rFonts w:ascii="Calibri" w:eastAsia="Calibri" w:hAnsi="Calibri" w:cs="Calibri"/>
      <w:color w:val="000000"/>
      <w:szCs w:val="20"/>
      <w:lang w:eastAsia="en-AU"/>
    </w:rPr>
  </w:style>
  <w:style w:type="character" w:styleId="FollowedHyperlink">
    <w:name w:val="FollowedHyperlink"/>
    <w:basedOn w:val="DefaultParagraphFont"/>
    <w:unhideWhenUsed/>
    <w:rsid w:val="00670CBD"/>
    <w:rPr>
      <w:color w:val="954F72" w:themeColor="followedHyperlink"/>
      <w:u w:val="single"/>
    </w:rPr>
  </w:style>
  <w:style w:type="paragraph" w:customStyle="1" w:styleId="Amain">
    <w:name w:val="A main"/>
    <w:basedOn w:val="Normal"/>
    <w:link w:val="AmainChar"/>
    <w:rsid w:val="00833A3B"/>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rPr>
  </w:style>
  <w:style w:type="paragraph" w:customStyle="1" w:styleId="Apara">
    <w:name w:val="A para"/>
    <w:basedOn w:val="Normal"/>
    <w:link w:val="AparaChar"/>
    <w:rsid w:val="00833A3B"/>
    <w:pPr>
      <w:tabs>
        <w:tab w:val="right" w:pos="1400"/>
        <w:tab w:val="left" w:pos="1600"/>
      </w:tabs>
      <w:spacing w:before="140" w:after="0" w:line="240" w:lineRule="auto"/>
      <w:ind w:left="1600" w:hanging="1600"/>
      <w:jc w:val="both"/>
      <w:outlineLvl w:val="6"/>
    </w:pPr>
    <w:rPr>
      <w:rFonts w:ascii="Times New Roman" w:eastAsia="Times New Roman" w:hAnsi="Times New Roman" w:cs="Times New Roman"/>
      <w:sz w:val="24"/>
      <w:szCs w:val="20"/>
    </w:rPr>
  </w:style>
  <w:style w:type="paragraph" w:customStyle="1" w:styleId="Asubpara">
    <w:name w:val="A subpara"/>
    <w:basedOn w:val="Normal"/>
    <w:rsid w:val="00833A3B"/>
    <w:pPr>
      <w:tabs>
        <w:tab w:val="right" w:pos="1900"/>
        <w:tab w:val="left" w:pos="2100"/>
      </w:tabs>
      <w:spacing w:before="140" w:after="0" w:line="240" w:lineRule="auto"/>
      <w:ind w:left="2100" w:hanging="2100"/>
      <w:jc w:val="both"/>
      <w:outlineLvl w:val="7"/>
    </w:pPr>
    <w:rPr>
      <w:rFonts w:ascii="Times New Roman" w:eastAsia="Times New Roman" w:hAnsi="Times New Roman" w:cs="Times New Roman"/>
      <w:sz w:val="24"/>
      <w:szCs w:val="20"/>
    </w:rPr>
  </w:style>
  <w:style w:type="character" w:customStyle="1" w:styleId="charItals">
    <w:name w:val="charItals"/>
    <w:basedOn w:val="DefaultParagraphFont"/>
    <w:rsid w:val="00833A3B"/>
    <w:rPr>
      <w:rFonts w:cs="Times New Roman"/>
      <w:i/>
    </w:rPr>
  </w:style>
  <w:style w:type="paragraph" w:customStyle="1" w:styleId="aNotepar">
    <w:name w:val="aNotepar"/>
    <w:basedOn w:val="Normal"/>
    <w:next w:val="Normal"/>
    <w:rsid w:val="00833A3B"/>
    <w:pPr>
      <w:spacing w:before="140" w:after="0" w:line="240" w:lineRule="auto"/>
      <w:ind w:left="2400" w:hanging="800"/>
      <w:jc w:val="both"/>
    </w:pPr>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833A3B"/>
    <w:rPr>
      <w:rFonts w:cs="Times New Roman"/>
      <w:color w:val="0563C1" w:themeColor="hyperlink"/>
      <w:u w:val="none"/>
    </w:rPr>
  </w:style>
  <w:style w:type="paragraph" w:customStyle="1" w:styleId="Amainreturn">
    <w:name w:val="A main return"/>
    <w:basedOn w:val="Normal"/>
    <w:link w:val="AmainreturnChar"/>
    <w:rsid w:val="00BC1FB7"/>
    <w:pPr>
      <w:spacing w:before="140" w:after="0" w:line="240" w:lineRule="auto"/>
      <w:ind w:left="1100"/>
      <w:jc w:val="both"/>
    </w:pPr>
    <w:rPr>
      <w:rFonts w:ascii="Times New Roman" w:eastAsia="Times New Roman" w:hAnsi="Times New Roman" w:cs="Times New Roman"/>
      <w:sz w:val="24"/>
      <w:szCs w:val="20"/>
    </w:rPr>
  </w:style>
  <w:style w:type="paragraph" w:customStyle="1" w:styleId="aNote">
    <w:name w:val="aNote"/>
    <w:basedOn w:val="Normal"/>
    <w:link w:val="aNoteChar"/>
    <w:rsid w:val="00BC1FB7"/>
    <w:pPr>
      <w:spacing w:before="140" w:after="0" w:line="240" w:lineRule="auto"/>
      <w:ind w:left="1900" w:hanging="800"/>
      <w:jc w:val="both"/>
    </w:pPr>
    <w:rPr>
      <w:rFonts w:ascii="Times New Roman" w:eastAsia="Times New Roman" w:hAnsi="Times New Roman" w:cs="Times New Roman"/>
      <w:sz w:val="20"/>
      <w:szCs w:val="20"/>
    </w:rPr>
  </w:style>
  <w:style w:type="paragraph" w:customStyle="1" w:styleId="IH5Sec">
    <w:name w:val="I H5 Sec"/>
    <w:basedOn w:val="Normal"/>
    <w:next w:val="Normal"/>
    <w:rsid w:val="00BC1FB7"/>
    <w:pPr>
      <w:keepNext/>
      <w:tabs>
        <w:tab w:val="left" w:pos="1100"/>
      </w:tabs>
      <w:spacing w:before="240" w:after="0" w:line="240" w:lineRule="auto"/>
      <w:ind w:left="1100" w:hanging="1100"/>
    </w:pPr>
    <w:rPr>
      <w:rFonts w:ascii="Arial" w:eastAsia="Times New Roman" w:hAnsi="Arial" w:cs="Times New Roman"/>
      <w:b/>
      <w:sz w:val="24"/>
      <w:szCs w:val="20"/>
    </w:rPr>
  </w:style>
  <w:style w:type="paragraph" w:customStyle="1" w:styleId="Ipara">
    <w:name w:val="I para"/>
    <w:basedOn w:val="Apara"/>
    <w:rsid w:val="00BC1FB7"/>
    <w:pPr>
      <w:outlineLvl w:val="9"/>
    </w:pPr>
  </w:style>
  <w:style w:type="paragraph" w:customStyle="1" w:styleId="PenaltyPara">
    <w:name w:val="PenaltyPara"/>
    <w:basedOn w:val="Normal"/>
    <w:rsid w:val="00BC1FB7"/>
    <w:pPr>
      <w:tabs>
        <w:tab w:val="left" w:pos="0"/>
        <w:tab w:val="right" w:pos="1360"/>
      </w:tabs>
      <w:spacing w:before="60" w:after="0" w:line="240" w:lineRule="auto"/>
      <w:ind w:left="1600" w:hanging="1600"/>
      <w:jc w:val="both"/>
    </w:pPr>
    <w:rPr>
      <w:rFonts w:ascii="Times New Roman" w:eastAsia="Times New Roman" w:hAnsi="Times New Roman" w:cs="Times New Roman"/>
      <w:sz w:val="24"/>
      <w:szCs w:val="20"/>
    </w:rPr>
  </w:style>
  <w:style w:type="paragraph" w:customStyle="1" w:styleId="Penalty">
    <w:name w:val="Penalty"/>
    <w:basedOn w:val="Amainreturn"/>
    <w:rsid w:val="00BC1FB7"/>
  </w:style>
  <w:style w:type="character" w:customStyle="1" w:styleId="aNoteChar">
    <w:name w:val="aNote Char"/>
    <w:basedOn w:val="DefaultParagraphFont"/>
    <w:link w:val="aNote"/>
    <w:locked/>
    <w:rsid w:val="00BC1FB7"/>
    <w:rPr>
      <w:rFonts w:ascii="Times New Roman" w:eastAsia="Times New Roman" w:hAnsi="Times New Roman" w:cs="Times New Roman"/>
      <w:sz w:val="20"/>
      <w:szCs w:val="20"/>
    </w:rPr>
  </w:style>
  <w:style w:type="character" w:customStyle="1" w:styleId="AmainreturnChar">
    <w:name w:val="A main return Char"/>
    <w:basedOn w:val="DefaultParagraphFont"/>
    <w:link w:val="Amainreturn"/>
    <w:locked/>
    <w:rsid w:val="00BC1FB7"/>
    <w:rPr>
      <w:rFonts w:ascii="Times New Roman" w:eastAsia="Times New Roman" w:hAnsi="Times New Roman" w:cs="Times New Roman"/>
      <w:sz w:val="24"/>
      <w:szCs w:val="20"/>
    </w:rPr>
  </w:style>
  <w:style w:type="paragraph" w:customStyle="1" w:styleId="Headiong5">
    <w:name w:val="Headiong 5"/>
    <w:basedOn w:val="Normal"/>
    <w:rsid w:val="007F6E9B"/>
    <w:pPr>
      <w:keepNext/>
      <w:keepLines/>
      <w:outlineLvl w:val="4"/>
    </w:pPr>
    <w:rPr>
      <w:rFonts w:ascii="Arial Narrow" w:eastAsia="Times New Roman" w:hAnsi="Arial Narrow" w:cs="Times New Roman"/>
      <w:iCs/>
      <w:smallCaps/>
      <w:szCs w:val="24"/>
    </w:rPr>
  </w:style>
  <w:style w:type="paragraph" w:customStyle="1" w:styleId="Paper">
    <w:name w:val="Paper"/>
    <w:rsid w:val="00434745"/>
    <w:pPr>
      <w:spacing w:after="120" w:line="240" w:lineRule="auto"/>
    </w:pPr>
    <w:rPr>
      <w:rFonts w:ascii="Times New Roman" w:eastAsia="Times New Roman" w:hAnsi="Times New Roman" w:cs="Times New Roman"/>
      <w:sz w:val="24"/>
      <w:szCs w:val="20"/>
    </w:rPr>
  </w:style>
  <w:style w:type="paragraph" w:customStyle="1" w:styleId="Hyper">
    <w:name w:val="Hyper"/>
    <w:basedOn w:val="Normal"/>
    <w:rsid w:val="0093399E"/>
    <w:pPr>
      <w:spacing w:line="280" w:lineRule="atLeast"/>
    </w:pPr>
    <w:rPr>
      <w:rFonts w:ascii="Calibri" w:eastAsia="Times New Roman" w:hAnsi="Calibri" w:cs="Calibri"/>
      <w:color w:val="1F3864" w:themeColor="accent5" w:themeShade="80"/>
    </w:rPr>
  </w:style>
  <w:style w:type="paragraph" w:customStyle="1" w:styleId="Bodycopynumbered">
    <w:name w:val="Body copy numbered"/>
    <w:rsid w:val="00196028"/>
    <w:pPr>
      <w:keepNext/>
      <w:widowControl w:val="0"/>
      <w:spacing w:before="240" w:after="100" w:line="300" w:lineRule="exact"/>
      <w:ind w:left="567" w:hanging="567"/>
      <w:outlineLvl w:val="1"/>
    </w:pPr>
    <w:rPr>
      <w:rFonts w:ascii="Calibri" w:eastAsia="Calibri" w:hAnsi="Calibri" w:cs="Arial"/>
      <w:bCs/>
      <w:kern w:val="32"/>
      <w:szCs w:val="20"/>
    </w:rPr>
  </w:style>
  <w:style w:type="paragraph" w:customStyle="1" w:styleId="Body">
    <w:name w:val="Body"/>
    <w:basedOn w:val="Paper"/>
    <w:rsid w:val="00BB4F51"/>
    <w:rPr>
      <w:rFonts w:ascii="Calibri" w:hAnsi="Calibri" w:cs="Calibri"/>
      <w:b/>
    </w:rPr>
  </w:style>
  <w:style w:type="paragraph" w:customStyle="1" w:styleId="headingparagraph">
    <w:name w:val="headingparagraph"/>
    <w:basedOn w:val="Normal"/>
    <w:rsid w:val="00B422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name">
    <w:name w:val="headingname"/>
    <w:basedOn w:val="DefaultParagraphFont"/>
    <w:rsid w:val="00B422D9"/>
  </w:style>
  <w:style w:type="character" w:customStyle="1" w:styleId="listnumber0">
    <w:name w:val="listnumber"/>
    <w:basedOn w:val="DefaultParagraphFont"/>
    <w:rsid w:val="00B422D9"/>
  </w:style>
  <w:style w:type="character" w:customStyle="1" w:styleId="CharSectNo">
    <w:name w:val="CharSectNo"/>
    <w:rsid w:val="00B76B42"/>
    <w:rPr>
      <w:rFonts w:cs="Times New Roman"/>
    </w:rPr>
  </w:style>
  <w:style w:type="paragraph" w:customStyle="1" w:styleId="Schclauseheading">
    <w:name w:val="Sch clause heading"/>
    <w:basedOn w:val="Normal"/>
    <w:next w:val="Normal"/>
    <w:rsid w:val="00B76B42"/>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paragraph" w:customStyle="1" w:styleId="AH5Sec">
    <w:name w:val="A H5 Sec"/>
    <w:basedOn w:val="Normal"/>
    <w:next w:val="Amain"/>
    <w:link w:val="AH5SecChar"/>
    <w:rsid w:val="004B2546"/>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character" w:customStyle="1" w:styleId="charBoldItals">
    <w:name w:val="charBoldItals"/>
    <w:basedOn w:val="DefaultParagraphFont"/>
    <w:rsid w:val="004B2546"/>
    <w:rPr>
      <w:b/>
      <w:i/>
    </w:rPr>
  </w:style>
  <w:style w:type="character" w:customStyle="1" w:styleId="AH5SecChar">
    <w:name w:val="A H5 Sec Char"/>
    <w:basedOn w:val="DefaultParagraphFont"/>
    <w:link w:val="AH5Sec"/>
    <w:locked/>
    <w:rsid w:val="004B2546"/>
    <w:rPr>
      <w:rFonts w:ascii="Arial" w:eastAsia="Times New Roman" w:hAnsi="Arial" w:cs="Times New Roman"/>
      <w:b/>
      <w:sz w:val="24"/>
      <w:szCs w:val="20"/>
    </w:rPr>
  </w:style>
  <w:style w:type="paragraph" w:customStyle="1" w:styleId="PaperTitle">
    <w:name w:val="PaperTitle"/>
    <w:basedOn w:val="Normal"/>
    <w:rsid w:val="003446DE"/>
    <w:pPr>
      <w:tabs>
        <w:tab w:val="left" w:leader="dot" w:pos="6379"/>
      </w:tabs>
      <w:spacing w:before="0" w:after="0" w:line="240" w:lineRule="auto"/>
      <w:ind w:left="284" w:hanging="284"/>
    </w:pPr>
    <w:rPr>
      <w:rFonts w:ascii="Times New (W1)" w:eastAsia="Times New Roman" w:hAnsi="Times New (W1)" w:cs="Times New Roman"/>
      <w:sz w:val="20"/>
      <w:szCs w:val="20"/>
      <w:lang w:eastAsia="en-AU"/>
    </w:rPr>
  </w:style>
  <w:style w:type="paragraph" w:customStyle="1" w:styleId="aDef">
    <w:name w:val="aDef"/>
    <w:basedOn w:val="Normal"/>
    <w:link w:val="aDefChar"/>
    <w:rsid w:val="009B1FDD"/>
    <w:pPr>
      <w:spacing w:before="140" w:after="0" w:line="240" w:lineRule="auto"/>
      <w:ind w:left="1100"/>
      <w:jc w:val="both"/>
    </w:pPr>
    <w:rPr>
      <w:rFonts w:ascii="Times New Roman" w:eastAsia="Times New Roman" w:hAnsi="Times New Roman" w:cs="Times New Roman"/>
      <w:sz w:val="24"/>
      <w:szCs w:val="20"/>
      <w:lang w:eastAsia="en-AU"/>
    </w:rPr>
  </w:style>
  <w:style w:type="character" w:customStyle="1" w:styleId="aDefChar">
    <w:name w:val="aDef Char"/>
    <w:link w:val="aDef"/>
    <w:locked/>
    <w:rsid w:val="009B1FDD"/>
    <w:rPr>
      <w:rFonts w:ascii="Times New Roman" w:eastAsia="Times New Roman" w:hAnsi="Times New Roman" w:cs="Times New Roman"/>
      <w:sz w:val="24"/>
      <w:szCs w:val="20"/>
      <w:lang w:eastAsia="en-AU"/>
    </w:rPr>
  </w:style>
  <w:style w:type="paragraph" w:customStyle="1" w:styleId="Idefpara">
    <w:name w:val="I def para"/>
    <w:basedOn w:val="Ipara"/>
    <w:rsid w:val="009B1FDD"/>
  </w:style>
  <w:style w:type="paragraph" w:customStyle="1" w:styleId="Idefsubpara">
    <w:name w:val="I def subpara"/>
    <w:basedOn w:val="Normal"/>
    <w:rsid w:val="009B1FDD"/>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copybulletlevel2">
    <w:name w:val="Body copy bullet level 2"/>
    <w:rsid w:val="00DF23C5"/>
    <w:pPr>
      <w:keepNext/>
      <w:widowControl w:val="0"/>
      <w:numPr>
        <w:numId w:val="16"/>
      </w:numPr>
      <w:spacing w:after="0" w:line="240" w:lineRule="auto"/>
      <w:ind w:left="1701" w:hanging="567"/>
    </w:pPr>
    <w:rPr>
      <w:rFonts w:ascii="Calibri" w:eastAsia="Times New Roman" w:hAnsi="Calibri" w:cs="Calibri"/>
      <w:color w:val="000000"/>
      <w:szCs w:val="20"/>
      <w:lang w:eastAsia="en-AU"/>
    </w:rPr>
  </w:style>
  <w:style w:type="paragraph" w:customStyle="1" w:styleId="Titleheading">
    <w:name w:val="Title heading"/>
    <w:next w:val="Bodycopy"/>
    <w:rsid w:val="00DF23C5"/>
    <w:pPr>
      <w:keepNext/>
      <w:pageBreakBefore/>
      <w:widowControl w:val="0"/>
      <w:tabs>
        <w:tab w:val="left" w:pos="9643"/>
      </w:tabs>
      <w:spacing w:afterLines="200" w:after="0" w:line="240" w:lineRule="auto"/>
      <w:outlineLvl w:val="0"/>
    </w:pPr>
    <w:rPr>
      <w:rFonts w:ascii="Arial Narrow" w:eastAsia="Calibri" w:hAnsi="Arial Narrow" w:cs="Arial Narrow"/>
      <w:smallCaps/>
      <w:color w:val="000000"/>
      <w:sz w:val="60"/>
      <w:szCs w:val="60"/>
      <w:lang w:eastAsia="en-AU"/>
    </w:rPr>
  </w:style>
  <w:style w:type="table" w:customStyle="1" w:styleId="LightShading1">
    <w:name w:val="Light Shading1"/>
    <w:rsid w:val="00DF23C5"/>
    <w:pPr>
      <w:spacing w:after="0" w:line="240" w:lineRule="auto"/>
    </w:pPr>
    <w:rPr>
      <w:rFonts w:ascii="Calibri" w:eastAsia="Calibri" w:hAnsi="Calibri" w:cs="Times New Roman"/>
      <w:color w:val="000000"/>
      <w:sz w:val="20"/>
      <w:szCs w:val="20"/>
      <w:lang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Bulletlistlevel1">
    <w:name w:val="Bullet list  level 1"/>
    <w:qFormat/>
    <w:rsid w:val="00DF23C5"/>
    <w:pPr>
      <w:keepNext/>
      <w:widowControl w:val="0"/>
      <w:numPr>
        <w:numId w:val="15"/>
      </w:numPr>
      <w:spacing w:before="120" w:after="120" w:line="300" w:lineRule="exact"/>
      <w:ind w:left="1134" w:hanging="567"/>
    </w:pPr>
    <w:rPr>
      <w:rFonts w:ascii="Calibri" w:eastAsia="Times New Roman" w:hAnsi="Calibri" w:cs="Calibri"/>
      <w:color w:val="000000"/>
      <w:szCs w:val="20"/>
      <w:lang w:eastAsia="en-AU"/>
    </w:rPr>
  </w:style>
  <w:style w:type="paragraph" w:customStyle="1" w:styleId="Tableheading">
    <w:name w:val="Table heading"/>
    <w:rsid w:val="00DF23C5"/>
    <w:pPr>
      <w:keepNext/>
      <w:widowControl w:val="0"/>
      <w:spacing w:before="120" w:after="120" w:line="240" w:lineRule="auto"/>
    </w:pPr>
    <w:rPr>
      <w:rFonts w:ascii="Arial Narrow" w:eastAsia="Times New Roman" w:hAnsi="Arial Narrow" w:cs="Calibri"/>
      <w:b/>
      <w:bCs/>
      <w:smallCaps/>
      <w:color w:val="FFFFFF"/>
      <w:szCs w:val="20"/>
      <w:lang w:eastAsia="en-AU"/>
    </w:rPr>
  </w:style>
  <w:style w:type="paragraph" w:customStyle="1" w:styleId="Tablebodycopy">
    <w:name w:val="Table body copy"/>
    <w:rsid w:val="00DF23C5"/>
    <w:pPr>
      <w:keepNext/>
      <w:widowControl w:val="0"/>
      <w:spacing w:before="120" w:after="120" w:line="240" w:lineRule="auto"/>
    </w:pPr>
    <w:rPr>
      <w:rFonts w:ascii="Calibri" w:eastAsia="Times New Roman" w:hAnsi="Calibri" w:cs="Calibri"/>
      <w:bCs/>
      <w:szCs w:val="20"/>
      <w:lang w:eastAsia="en-AU"/>
    </w:rPr>
  </w:style>
  <w:style w:type="paragraph" w:customStyle="1" w:styleId="Bulletlistquote">
    <w:name w:val="Bullet list quote"/>
    <w:rsid w:val="00DF23C5"/>
    <w:pPr>
      <w:keepNext/>
      <w:widowControl w:val="0"/>
      <w:spacing w:after="0" w:line="240" w:lineRule="auto"/>
      <w:ind w:left="1701"/>
    </w:pPr>
    <w:rPr>
      <w:rFonts w:ascii="Calibri" w:eastAsia="Times New Roman" w:hAnsi="Calibri" w:cs="Calibri"/>
      <w:i/>
      <w:color w:val="000000"/>
      <w:szCs w:val="20"/>
      <w:lang w:eastAsia="en-AU"/>
    </w:rPr>
  </w:style>
  <w:style w:type="paragraph" w:customStyle="1" w:styleId="TOCHeading1">
    <w:name w:val="TOC Heading1"/>
    <w:rsid w:val="00DF23C5"/>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paragraph" w:customStyle="1" w:styleId="Heading1nonumber">
    <w:name w:val="Heading 1 no number"/>
    <w:next w:val="Bodycopynumbered"/>
    <w:rsid w:val="00DF23C5"/>
    <w:pPr>
      <w:keepNext/>
      <w:widowControl w:val="0"/>
      <w:spacing w:after="100" w:line="240" w:lineRule="auto"/>
    </w:pPr>
    <w:rPr>
      <w:rFonts w:ascii="Arial Narrow" w:eastAsia="Calibri" w:hAnsi="Arial Narrow" w:cs="Times New Roman"/>
      <w:bCs/>
      <w:smallCaps/>
      <w:color w:val="000000"/>
      <w:sz w:val="44"/>
      <w:szCs w:val="44"/>
    </w:rPr>
  </w:style>
  <w:style w:type="paragraph" w:customStyle="1" w:styleId="Bodycopynumbered2">
    <w:name w:val="Body copy numbered 2"/>
    <w:rsid w:val="00DF23C5"/>
    <w:pPr>
      <w:keepNext/>
      <w:widowControl w:val="0"/>
      <w:numPr>
        <w:numId w:val="21"/>
      </w:numPr>
      <w:spacing w:before="120" w:after="120" w:line="300" w:lineRule="exact"/>
      <w:ind w:left="567" w:hanging="567"/>
    </w:pPr>
    <w:rPr>
      <w:rFonts w:ascii="Calibri" w:eastAsia="Times New Roman" w:hAnsi="Calibri" w:cs="Calibri"/>
      <w:color w:val="000000"/>
      <w:szCs w:val="20"/>
      <w:lang w:eastAsia="en-AU"/>
    </w:rPr>
  </w:style>
  <w:style w:type="paragraph" w:customStyle="1" w:styleId="Committeemembership">
    <w:name w:val="Committee membership"/>
    <w:next w:val="Bodycopy"/>
    <w:rsid w:val="00DF23C5"/>
    <w:pPr>
      <w:keepNext/>
      <w:widowControl w:val="0"/>
      <w:spacing w:beforeLines="100" w:afterLines="100" w:after="0" w:line="240" w:lineRule="auto"/>
      <w:outlineLvl w:val="0"/>
    </w:pPr>
    <w:rPr>
      <w:rFonts w:ascii="Arial Narrow" w:eastAsia="Calibri" w:hAnsi="Arial Narrow" w:cs="Arial Narrow"/>
      <w:smallCaps/>
      <w:sz w:val="44"/>
      <w:szCs w:val="44"/>
    </w:rPr>
  </w:style>
  <w:style w:type="paragraph" w:customStyle="1" w:styleId="Secretariat">
    <w:name w:val="Secretariat"/>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Contactinformation">
    <w:name w:val="Contact information"/>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Recommendationsheading">
    <w:name w:val="Recommendations heading"/>
    <w:next w:val="Recommendationbodycopy"/>
    <w:rsid w:val="00DF23C5"/>
    <w:pPr>
      <w:keepNext/>
      <w:pageBreakBefore/>
      <w:widowControl w:val="0"/>
      <w:spacing w:after="240" w:line="240" w:lineRule="auto"/>
    </w:pPr>
    <w:rPr>
      <w:rFonts w:ascii="Arial Narrow" w:eastAsia="Calibri" w:hAnsi="Arial Narrow" w:cs="Times New Roman"/>
      <w:bCs/>
      <w:smallCaps/>
      <w:color w:val="000000"/>
      <w:sz w:val="44"/>
      <w:szCs w:val="44"/>
    </w:rPr>
  </w:style>
  <w:style w:type="character" w:styleId="PageNumber">
    <w:name w:val="page number"/>
    <w:rsid w:val="00DF23C5"/>
    <w:rPr>
      <w:rFonts w:ascii="Calibri" w:hAnsi="Calibri" w:cs="Times New Roman"/>
      <w:b/>
      <w:sz w:val="18"/>
      <w:szCs w:val="18"/>
    </w:rPr>
  </w:style>
  <w:style w:type="paragraph" w:customStyle="1" w:styleId="Recommendationbodycopy">
    <w:name w:val="Recommendation body copy"/>
    <w:rsid w:val="00DF23C5"/>
    <w:pPr>
      <w:keepNext/>
      <w:widowControl w:val="0"/>
      <w:spacing w:after="0" w:line="240" w:lineRule="auto"/>
    </w:pPr>
    <w:rPr>
      <w:rFonts w:ascii="Arial Narrow" w:eastAsia="Calibri" w:hAnsi="Arial Narrow" w:cs="Arial"/>
      <w:bCs/>
      <w:kern w:val="32"/>
      <w:szCs w:val="20"/>
    </w:rPr>
  </w:style>
  <w:style w:type="paragraph" w:customStyle="1" w:styleId="Recommendationbodycopynumbered">
    <w:name w:val="Recommendation body copy numbered"/>
    <w:rsid w:val="00DF23C5"/>
    <w:pPr>
      <w:keepNext/>
      <w:widowControl w:val="0"/>
      <w:numPr>
        <w:ilvl w:val="1"/>
        <w:numId w:val="23"/>
      </w:numPr>
      <w:spacing w:before="200" w:after="200" w:line="240" w:lineRule="auto"/>
      <w:ind w:left="578" w:hanging="578"/>
      <w:outlineLvl w:val="7"/>
    </w:pPr>
    <w:rPr>
      <w:rFonts w:ascii="Arial Narrow" w:eastAsia="Calibri" w:hAnsi="Arial Narrow" w:cs="Arial"/>
      <w:b/>
      <w:bCs/>
      <w:kern w:val="32"/>
      <w:szCs w:val="20"/>
    </w:rPr>
  </w:style>
  <w:style w:type="paragraph" w:customStyle="1" w:styleId="Recommendationheadingbody">
    <w:name w:val="Recommendation heading body"/>
    <w:next w:val="Recommendationbodycopynumbered"/>
    <w:rsid w:val="00DF23C5"/>
    <w:pPr>
      <w:keepNext/>
      <w:widowControl w:val="0"/>
      <w:spacing w:beforeLines="150" w:afterLines="100" w:after="0" w:line="240" w:lineRule="auto"/>
      <w:outlineLvl w:val="6"/>
    </w:pPr>
    <w:rPr>
      <w:rFonts w:ascii="Arial Narrow" w:eastAsia="Calibri" w:hAnsi="Arial Narrow" w:cs="Arial Narrow"/>
      <w:b/>
      <w:smallCaps/>
      <w:sz w:val="30"/>
      <w:szCs w:val="30"/>
    </w:rPr>
  </w:style>
  <w:style w:type="paragraph" w:customStyle="1" w:styleId="Bodycopybulletlevel1alpha">
    <w:name w:val="Body copy bullet level 1 alpha"/>
    <w:rsid w:val="00DF23C5"/>
    <w:pPr>
      <w:keepNext/>
      <w:widowControl w:val="0"/>
      <w:numPr>
        <w:numId w:val="18"/>
      </w:numPr>
      <w:spacing w:after="0" w:line="240" w:lineRule="auto"/>
      <w:ind w:left="851" w:hanging="284"/>
    </w:pPr>
    <w:rPr>
      <w:rFonts w:ascii="Calibri" w:eastAsia="Times New Roman" w:hAnsi="Calibri" w:cs="Calibri"/>
      <w:color w:val="000000"/>
      <w:szCs w:val="20"/>
      <w:lang w:eastAsia="en-AU"/>
    </w:rPr>
  </w:style>
  <w:style w:type="paragraph" w:customStyle="1" w:styleId="Headereven">
    <w:name w:val="Header even"/>
    <w:rsid w:val="00DF23C5"/>
    <w:pPr>
      <w:keepNext/>
      <w:widowControl w:val="0"/>
      <w:tabs>
        <w:tab w:val="center" w:pos="4513"/>
        <w:tab w:val="right" w:pos="9026"/>
      </w:tabs>
      <w:spacing w:after="0" w:line="240" w:lineRule="auto"/>
    </w:pPr>
    <w:rPr>
      <w:rFonts w:ascii="Calibri" w:eastAsia="Calibri" w:hAnsi="Calibri" w:cs="Arial Narrow"/>
      <w:smallCaps/>
      <w:szCs w:val="20"/>
    </w:rPr>
  </w:style>
  <w:style w:type="paragraph" w:customStyle="1" w:styleId="Headerodd">
    <w:name w:val="Header odd"/>
    <w:rsid w:val="00DF23C5"/>
    <w:pPr>
      <w:keepNext/>
      <w:widowControl w:val="0"/>
      <w:tabs>
        <w:tab w:val="center" w:pos="4513"/>
        <w:tab w:val="right" w:pos="9026"/>
      </w:tabs>
      <w:spacing w:after="0" w:line="240" w:lineRule="auto"/>
      <w:jc w:val="right"/>
    </w:pPr>
    <w:rPr>
      <w:rFonts w:ascii="Calibri" w:eastAsia="Calibri" w:hAnsi="Calibri" w:cs="Arial Narrow"/>
      <w:smallCaps/>
      <w:szCs w:val="20"/>
    </w:rPr>
  </w:style>
  <w:style w:type="paragraph" w:customStyle="1" w:styleId="Reportcoverfooter">
    <w:name w:val="Report cover footer"/>
    <w:basedOn w:val="Headerodd"/>
    <w:rsid w:val="00DF23C5"/>
    <w:rPr>
      <w:smallCaps w:val="0"/>
      <w:sz w:val="28"/>
      <w:szCs w:val="28"/>
    </w:rPr>
  </w:style>
  <w:style w:type="paragraph" w:customStyle="1" w:styleId="ReportTitle">
    <w:name w:val="Report Title"/>
    <w:rsid w:val="00DF23C5"/>
    <w:pPr>
      <w:keepNext/>
      <w:widowControl w:val="0"/>
      <w:spacing w:after="480" w:line="240" w:lineRule="auto"/>
      <w:jc w:val="right"/>
    </w:pPr>
    <w:rPr>
      <w:rFonts w:ascii="Arial Narrow" w:eastAsia="Calibri" w:hAnsi="Arial Narrow" w:cs="Arial Narrow"/>
      <w:smallCaps/>
      <w:sz w:val="56"/>
      <w:szCs w:val="56"/>
    </w:rPr>
  </w:style>
  <w:style w:type="paragraph" w:customStyle="1" w:styleId="CommitteeName">
    <w:name w:val="Committee Name"/>
    <w:rsid w:val="00DF23C5"/>
    <w:pPr>
      <w:keepNext/>
      <w:widowControl w:val="0"/>
      <w:spacing w:after="480" w:line="240" w:lineRule="auto"/>
      <w:jc w:val="right"/>
    </w:pPr>
    <w:rPr>
      <w:rFonts w:ascii="Arial Narrow" w:eastAsia="Calibri" w:hAnsi="Arial Narrow" w:cs="Arial Narrow"/>
      <w:smallCaps/>
      <w:sz w:val="44"/>
      <w:szCs w:val="44"/>
    </w:rPr>
  </w:style>
  <w:style w:type="paragraph" w:customStyle="1" w:styleId="Bulletlistalpha">
    <w:name w:val="Bullet list alpha"/>
    <w:rsid w:val="00DF23C5"/>
    <w:pPr>
      <w:keepNext/>
      <w:widowControl w:val="0"/>
      <w:numPr>
        <w:ilvl w:val="1"/>
        <w:numId w:val="16"/>
      </w:numPr>
      <w:spacing w:beforeLines="120" w:afterLines="120" w:after="0" w:line="200" w:lineRule="exact"/>
      <w:ind w:left="1701" w:hanging="567"/>
    </w:pPr>
    <w:rPr>
      <w:rFonts w:ascii="Calibri" w:eastAsia="Times New Roman" w:hAnsi="Calibri" w:cs="Calibri"/>
      <w:color w:val="000000"/>
      <w:spacing w:val="-3"/>
      <w:szCs w:val="20"/>
      <w:lang w:eastAsia="en-AU"/>
    </w:rPr>
  </w:style>
  <w:style w:type="paragraph" w:customStyle="1" w:styleId="Bulletlistroman">
    <w:name w:val="Bullet list roman"/>
    <w:rsid w:val="00DF23C5"/>
    <w:pPr>
      <w:keepNext/>
      <w:widowControl w:val="0"/>
      <w:numPr>
        <w:numId w:val="20"/>
      </w:numPr>
      <w:spacing w:beforeLines="120" w:afterLines="120" w:after="0" w:line="200" w:lineRule="exact"/>
      <w:ind w:left="2268" w:hanging="567"/>
    </w:pPr>
    <w:rPr>
      <w:rFonts w:ascii="Calibri" w:eastAsia="Times New Roman" w:hAnsi="Calibri" w:cs="Calibri"/>
      <w:color w:val="000000"/>
      <w:spacing w:val="-3"/>
      <w:szCs w:val="20"/>
      <w:lang w:eastAsia="en-AU"/>
    </w:rPr>
  </w:style>
  <w:style w:type="paragraph" w:customStyle="1" w:styleId="Heading4nonumber">
    <w:name w:val="Heading 4 no number"/>
    <w:next w:val="Bodycopynumbered"/>
    <w:rsid w:val="00DF23C5"/>
    <w:pPr>
      <w:keepNext/>
      <w:widowControl w:val="0"/>
      <w:spacing w:after="0" w:line="240" w:lineRule="auto"/>
    </w:pPr>
    <w:rPr>
      <w:rFonts w:ascii="Arial Narrow" w:eastAsia="Calibri" w:hAnsi="Arial Narrow" w:cs="Arial Narrow"/>
      <w:smallCaps/>
      <w:sz w:val="26"/>
      <w:szCs w:val="26"/>
    </w:rPr>
  </w:style>
  <w:style w:type="paragraph" w:customStyle="1" w:styleId="aIndent">
    <w:name w:val="(a) Indent"/>
    <w:basedOn w:val="Normal"/>
    <w:rsid w:val="00DF23C5"/>
    <w:pPr>
      <w:tabs>
        <w:tab w:val="left" w:pos="560"/>
      </w:tabs>
      <w:spacing w:before="0" w:after="0" w:line="240" w:lineRule="auto"/>
      <w:ind w:left="1120" w:hanging="1120"/>
    </w:pPr>
    <w:rPr>
      <w:rFonts w:ascii="Times" w:eastAsia="Times New Roman" w:hAnsi="Times" w:cs="Times New Roman"/>
      <w:sz w:val="24"/>
      <w:szCs w:val="20"/>
      <w:lang w:val="en-US" w:eastAsia="en-AU"/>
    </w:rPr>
  </w:style>
  <w:style w:type="numbering" w:customStyle="1" w:styleId="Style1">
    <w:name w:val="Style1"/>
    <w:rsid w:val="00DF23C5"/>
    <w:pPr>
      <w:numPr>
        <w:numId w:val="17"/>
      </w:numPr>
    </w:pPr>
  </w:style>
  <w:style w:type="numbering" w:customStyle="1" w:styleId="Style3">
    <w:name w:val="Style3"/>
    <w:rsid w:val="00DF23C5"/>
    <w:pPr>
      <w:numPr>
        <w:numId w:val="22"/>
      </w:numPr>
    </w:pPr>
  </w:style>
  <w:style w:type="numbering" w:customStyle="1" w:styleId="Style2">
    <w:name w:val="Style2"/>
    <w:rsid w:val="00DF23C5"/>
    <w:pPr>
      <w:numPr>
        <w:numId w:val="19"/>
      </w:numPr>
    </w:pPr>
  </w:style>
  <w:style w:type="paragraph" w:customStyle="1" w:styleId="Default">
    <w:name w:val="Default"/>
    <w:rsid w:val="00DF23C5"/>
    <w:pPr>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table" w:styleId="TableGrid">
    <w:name w:val="Table Grid"/>
    <w:basedOn w:val="TableNormal"/>
    <w:uiPriority w:val="59"/>
    <w:rsid w:val="00DF23C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BHeading">
    <w:name w:val="GB Heading"/>
    <w:basedOn w:val="Normal"/>
    <w:link w:val="GBHeadingChar"/>
    <w:rsid w:val="00DF23C5"/>
    <w:pPr>
      <w:spacing w:before="0" w:after="0" w:line="240" w:lineRule="auto"/>
      <w:jc w:val="both"/>
    </w:pPr>
    <w:rPr>
      <w:rFonts w:ascii="AvantGarde Bk BT" w:eastAsia="Times New Roman" w:hAnsi="AvantGarde Bk BT" w:cs="Times New Roman"/>
      <w:b/>
      <w:sz w:val="24"/>
      <w:szCs w:val="24"/>
      <w:lang w:eastAsia="en-AU"/>
    </w:rPr>
  </w:style>
  <w:style w:type="character" w:customStyle="1" w:styleId="GBHeadingChar">
    <w:name w:val="GB Heading Char"/>
    <w:link w:val="GBHeading"/>
    <w:locked/>
    <w:rsid w:val="00DF23C5"/>
    <w:rPr>
      <w:rFonts w:ascii="AvantGarde Bk BT" w:eastAsia="Times New Roman" w:hAnsi="AvantGarde Bk BT" w:cs="Times New Roman"/>
      <w:b/>
      <w:sz w:val="24"/>
      <w:szCs w:val="24"/>
      <w:lang w:eastAsia="en-AU"/>
    </w:rPr>
  </w:style>
  <w:style w:type="paragraph" w:customStyle="1" w:styleId="PaperTitleIndent1">
    <w:name w:val="PaperTitleIndent1"/>
    <w:basedOn w:val="Normal"/>
    <w:uiPriority w:val="99"/>
    <w:rsid w:val="00DF23C5"/>
    <w:pPr>
      <w:spacing w:before="0" w:after="120" w:line="240" w:lineRule="auto"/>
      <w:ind w:right="1701"/>
    </w:pPr>
    <w:rPr>
      <w:rFonts w:ascii="Times New Roman" w:eastAsia="Calibri" w:hAnsi="Times New Roman" w:cs="Times New Roman"/>
      <w:sz w:val="24"/>
      <w:szCs w:val="24"/>
      <w:lang w:eastAsia="en-AU"/>
    </w:rPr>
  </w:style>
  <w:style w:type="paragraph" w:customStyle="1" w:styleId="PaperTitleIndent2">
    <w:name w:val="PaperTitleIndent2"/>
    <w:basedOn w:val="Normal"/>
    <w:uiPriority w:val="99"/>
    <w:rsid w:val="00DF23C5"/>
    <w:pPr>
      <w:spacing w:before="0" w:after="120" w:line="240" w:lineRule="auto"/>
      <w:ind w:left="238" w:right="1701"/>
    </w:pPr>
    <w:rPr>
      <w:rFonts w:ascii="Times New Roman" w:eastAsia="Calibri" w:hAnsi="Times New Roman" w:cs="Times New Roman"/>
      <w:sz w:val="24"/>
      <w:szCs w:val="24"/>
      <w:lang w:eastAsia="en-AU"/>
    </w:rPr>
  </w:style>
  <w:style w:type="character" w:styleId="CommentReference">
    <w:name w:val="annotation reference"/>
    <w:rsid w:val="00DF23C5"/>
    <w:rPr>
      <w:sz w:val="16"/>
      <w:szCs w:val="16"/>
    </w:rPr>
  </w:style>
  <w:style w:type="paragraph" w:customStyle="1" w:styleId="IMain">
    <w:name w:val="I Main"/>
    <w:basedOn w:val="Normal"/>
    <w:rsid w:val="00DF23C5"/>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lang w:eastAsia="en-AU"/>
    </w:rPr>
  </w:style>
  <w:style w:type="paragraph" w:customStyle="1" w:styleId="Resol">
    <w:name w:val="Resol"/>
    <w:basedOn w:val="Committeemembership"/>
    <w:rsid w:val="00DF23C5"/>
    <w:pPr>
      <w:spacing w:before="240" w:after="240"/>
    </w:pPr>
    <w:rPr>
      <w:rFonts w:eastAsia="Times New Roman"/>
    </w:rPr>
  </w:style>
  <w:style w:type="character" w:customStyle="1" w:styleId="charCitHyperlinkItal">
    <w:name w:val="charCitHyperlinkItal"/>
    <w:uiPriority w:val="1"/>
    <w:rsid w:val="00DF23C5"/>
    <w:rPr>
      <w:rFonts w:cs="Times New Roman"/>
      <w:i/>
      <w:color w:val="0000FF"/>
      <w:u w:val="none"/>
    </w:rPr>
  </w:style>
  <w:style w:type="paragraph" w:customStyle="1" w:styleId="aDefpara">
    <w:name w:val="aDef para"/>
    <w:basedOn w:val="Apara"/>
    <w:rsid w:val="00DF23C5"/>
    <w:rPr>
      <w:lang w:eastAsia="en-AU"/>
    </w:rPr>
  </w:style>
  <w:style w:type="paragraph" w:customStyle="1" w:styleId="aExamHdgss">
    <w:name w:val="aExamHdgss"/>
    <w:basedOn w:val="Normal"/>
    <w:next w:val="Normal"/>
    <w:rsid w:val="00DF23C5"/>
    <w:pPr>
      <w:keepNext/>
      <w:spacing w:before="140" w:after="0" w:line="240" w:lineRule="auto"/>
      <w:ind w:left="1100"/>
    </w:pPr>
    <w:rPr>
      <w:rFonts w:ascii="Arial" w:eastAsia="Times New Roman" w:hAnsi="Arial" w:cs="Times New Roman"/>
      <w:b/>
      <w:sz w:val="18"/>
      <w:szCs w:val="20"/>
      <w:lang w:eastAsia="en-AU"/>
    </w:rPr>
  </w:style>
  <w:style w:type="paragraph" w:customStyle="1" w:styleId="aExamss">
    <w:name w:val="aExamss"/>
    <w:basedOn w:val="aNote"/>
    <w:rsid w:val="00DF23C5"/>
    <w:pPr>
      <w:spacing w:before="60"/>
      <w:ind w:left="1100" w:firstLine="0"/>
    </w:pPr>
    <w:rPr>
      <w:lang w:eastAsia="en-AU"/>
    </w:rPr>
  </w:style>
  <w:style w:type="character" w:customStyle="1" w:styleId="aNoteCharChar">
    <w:name w:val="aNote Char Char"/>
    <w:locked/>
    <w:rsid w:val="00DF23C5"/>
    <w:rPr>
      <w:rFonts w:cs="Times New Roman"/>
      <w:lang w:val="x-none" w:eastAsia="en-US"/>
    </w:rPr>
  </w:style>
  <w:style w:type="paragraph" w:customStyle="1" w:styleId="CoverActName">
    <w:name w:val="CoverActName"/>
    <w:basedOn w:val="Normal"/>
    <w:rsid w:val="00DF23C5"/>
    <w:pPr>
      <w:tabs>
        <w:tab w:val="left" w:pos="2600"/>
      </w:tabs>
      <w:overflowPunct w:val="0"/>
      <w:autoSpaceDE w:val="0"/>
      <w:autoSpaceDN w:val="0"/>
      <w:adjustRightInd w:val="0"/>
      <w:spacing w:before="200" w:after="60" w:line="240" w:lineRule="auto"/>
      <w:jc w:val="both"/>
    </w:pPr>
    <w:rPr>
      <w:rFonts w:ascii="Arial" w:eastAsia="Times New Roman" w:hAnsi="Arial" w:cs="Arial"/>
      <w:b/>
      <w:bCs/>
      <w:sz w:val="24"/>
      <w:szCs w:val="24"/>
      <w:lang w:eastAsia="en-AU"/>
    </w:rPr>
  </w:style>
  <w:style w:type="character" w:customStyle="1" w:styleId="AparaChar">
    <w:name w:val="A para Char"/>
    <w:link w:val="Apara"/>
    <w:locked/>
    <w:rsid w:val="00DF23C5"/>
    <w:rPr>
      <w:rFonts w:ascii="Times New Roman" w:eastAsia="Times New Roman" w:hAnsi="Times New Roman" w:cs="Times New Roman"/>
      <w:sz w:val="24"/>
      <w:szCs w:val="20"/>
    </w:rPr>
  </w:style>
  <w:style w:type="paragraph" w:customStyle="1" w:styleId="ESText">
    <w:name w:val="ES_Text"/>
    <w:basedOn w:val="Normal"/>
    <w:uiPriority w:val="99"/>
    <w:rsid w:val="00DF23C5"/>
    <w:pPr>
      <w:spacing w:before="0" w:after="0"/>
    </w:pPr>
    <w:rPr>
      <w:rFonts w:ascii="Times New Roman" w:eastAsia="Times New Roman" w:hAnsi="Times New Roman" w:cs="Times New Roman"/>
      <w:sz w:val="24"/>
      <w:szCs w:val="24"/>
      <w:lang w:eastAsia="en-AU"/>
    </w:rPr>
  </w:style>
  <w:style w:type="character" w:customStyle="1" w:styleId="Mention">
    <w:name w:val="Mention"/>
    <w:uiPriority w:val="99"/>
    <w:semiHidden/>
    <w:unhideWhenUsed/>
    <w:rsid w:val="00DF23C5"/>
    <w:rPr>
      <w:color w:val="2B579A"/>
      <w:shd w:val="clear" w:color="auto" w:fill="E6E6E6"/>
    </w:rPr>
  </w:style>
  <w:style w:type="character" w:customStyle="1" w:styleId="UnresolvedMention">
    <w:name w:val="Unresolved Mention"/>
    <w:uiPriority w:val="99"/>
    <w:semiHidden/>
    <w:unhideWhenUsed/>
    <w:rsid w:val="00DF23C5"/>
    <w:rPr>
      <w:color w:val="808080"/>
      <w:shd w:val="clear" w:color="auto" w:fill="E6E6E6"/>
    </w:rPr>
  </w:style>
  <w:style w:type="numbering" w:styleId="1ai">
    <w:name w:val="Outline List 1"/>
    <w:basedOn w:val="NoList"/>
    <w:rsid w:val="00DF23C5"/>
    <w:pPr>
      <w:numPr>
        <w:numId w:val="24"/>
      </w:numPr>
    </w:pPr>
  </w:style>
  <w:style w:type="paragraph" w:customStyle="1" w:styleId="TableHd">
    <w:name w:val="TableHd"/>
    <w:basedOn w:val="Normal"/>
    <w:rsid w:val="00DF23C5"/>
    <w:pPr>
      <w:keepNext/>
      <w:tabs>
        <w:tab w:val="left" w:pos="0"/>
      </w:tabs>
      <w:spacing w:before="300" w:after="0" w:line="240" w:lineRule="auto"/>
      <w:ind w:left="1200" w:hanging="1200"/>
    </w:pPr>
    <w:rPr>
      <w:rFonts w:ascii="Arial" w:eastAsia="Times New Roman" w:hAnsi="Arial" w:cs="Times New Roman"/>
      <w:b/>
      <w:sz w:val="20"/>
      <w:szCs w:val="20"/>
    </w:rPr>
  </w:style>
  <w:style w:type="paragraph" w:customStyle="1" w:styleId="TableColHd">
    <w:name w:val="TableColHd"/>
    <w:basedOn w:val="Normal"/>
    <w:rsid w:val="00DF23C5"/>
    <w:pPr>
      <w:keepNext/>
      <w:tabs>
        <w:tab w:val="left" w:pos="0"/>
      </w:tabs>
      <w:spacing w:before="0" w:after="60" w:line="240" w:lineRule="auto"/>
    </w:pPr>
    <w:rPr>
      <w:rFonts w:ascii="Arial" w:eastAsia="Times New Roman" w:hAnsi="Arial" w:cs="Times New Roman"/>
      <w:b/>
      <w:sz w:val="18"/>
      <w:szCs w:val="20"/>
    </w:rPr>
  </w:style>
  <w:style w:type="paragraph" w:customStyle="1" w:styleId="TableText">
    <w:name w:val="TableText"/>
    <w:basedOn w:val="Normal"/>
    <w:uiPriority w:val="99"/>
    <w:rsid w:val="00DF23C5"/>
    <w:pPr>
      <w:spacing w:before="60" w:after="60" w:line="240" w:lineRule="auto"/>
    </w:pPr>
    <w:rPr>
      <w:rFonts w:ascii="Times New Roman" w:eastAsia="Times New Roman" w:hAnsi="Times New Roman" w:cs="Times New Roman"/>
      <w:sz w:val="24"/>
      <w:szCs w:val="24"/>
    </w:rPr>
  </w:style>
  <w:style w:type="character" w:customStyle="1" w:styleId="AmainChar">
    <w:name w:val="A main Char"/>
    <w:link w:val="Amain"/>
    <w:locked/>
    <w:rsid w:val="007377EC"/>
    <w:rPr>
      <w:rFonts w:ascii="Times New Roman" w:eastAsia="Times New Roman" w:hAnsi="Times New Roman" w:cs="Times New Roman"/>
      <w:sz w:val="24"/>
      <w:szCs w:val="20"/>
    </w:rPr>
  </w:style>
  <w:style w:type="character" w:customStyle="1" w:styleId="Calibri12">
    <w:name w:val="Calibri 12"/>
    <w:basedOn w:val="DefaultParagraphFont"/>
    <w:uiPriority w:val="1"/>
    <w:qFormat/>
    <w:rsid w:val="00B32DDB"/>
    <w:rPr>
      <w:rFonts w:ascii="Calibri" w:hAnsi="Calibri"/>
      <w:sz w:val="24"/>
    </w:rPr>
  </w:style>
  <w:style w:type="paragraph" w:customStyle="1" w:styleId="ref">
    <w:name w:val="ref"/>
    <w:basedOn w:val="Normal"/>
    <w:next w:val="Normal"/>
    <w:rsid w:val="007E46DC"/>
    <w:pPr>
      <w:spacing w:before="60" w:after="0" w:line="240" w:lineRule="auto"/>
      <w:jc w:val="both"/>
    </w:pPr>
    <w:rPr>
      <w:rFonts w:ascii="Times New Roman" w:eastAsia="Times New Roman" w:hAnsi="Times New Roman" w:cs="Times New Roman"/>
      <w:sz w:val="18"/>
      <w:szCs w:val="20"/>
    </w:rPr>
  </w:style>
  <w:style w:type="paragraph" w:customStyle="1" w:styleId="TableText10">
    <w:name w:val="TableText10"/>
    <w:basedOn w:val="TableText"/>
    <w:rsid w:val="007E46DC"/>
    <w:pPr>
      <w:tabs>
        <w:tab w:val="left" w:pos="0"/>
      </w:tabs>
    </w:pPr>
    <w:rPr>
      <w:sz w:val="20"/>
      <w:szCs w:val="20"/>
    </w:rPr>
  </w:style>
  <w:style w:type="paragraph" w:customStyle="1" w:styleId="TableNumbered">
    <w:name w:val="TableNumbered"/>
    <w:basedOn w:val="TableText10"/>
    <w:qFormat/>
    <w:rsid w:val="007E46DC"/>
    <w:pPr>
      <w:numPr>
        <w:numId w:val="25"/>
      </w:numPr>
    </w:pPr>
  </w:style>
  <w:style w:type="paragraph" w:customStyle="1" w:styleId="Sched-heading">
    <w:name w:val="Sched-heading"/>
    <w:basedOn w:val="Normal"/>
    <w:next w:val="Normal"/>
    <w:rsid w:val="007E46DC"/>
    <w:pPr>
      <w:keepNext/>
      <w:tabs>
        <w:tab w:val="left" w:pos="2600"/>
      </w:tabs>
      <w:spacing w:before="380" w:after="0" w:line="240" w:lineRule="auto"/>
      <w:ind w:left="2600" w:hanging="2600"/>
      <w:outlineLvl w:val="0"/>
    </w:pPr>
    <w:rPr>
      <w:rFonts w:ascii="Arial" w:eastAsia="Times New Roman" w:hAnsi="Arial" w:cs="Times New Roman"/>
      <w:b/>
      <w:sz w:val="34"/>
      <w:szCs w:val="20"/>
    </w:rPr>
  </w:style>
  <w:style w:type="character" w:customStyle="1" w:styleId="CharChapNo">
    <w:name w:val="CharChapNo"/>
    <w:rsid w:val="007E46DC"/>
  </w:style>
  <w:style w:type="character" w:customStyle="1" w:styleId="CharChapText">
    <w:name w:val="CharChapText"/>
    <w:rsid w:val="007E46DC"/>
  </w:style>
  <w:style w:type="paragraph" w:customStyle="1" w:styleId="Calibribody">
    <w:name w:val="Calibri body"/>
    <w:basedOn w:val="AH5Sec"/>
    <w:rsid w:val="00452F37"/>
    <w:pPr>
      <w:tabs>
        <w:tab w:val="clear" w:pos="1100"/>
        <w:tab w:val="left" w:pos="360"/>
        <w:tab w:val="left" w:pos="1440"/>
      </w:tabs>
      <w:spacing w:before="220" w:after="220" w:line="280" w:lineRule="atLeast"/>
      <w:ind w:left="360" w:firstLine="0"/>
    </w:pPr>
    <w:rPr>
      <w:rFonts w:ascii="Calibri" w:hAnsi="Calibri" w:cs="Calibri"/>
      <w:sz w:val="22"/>
      <w:szCs w:val="22"/>
    </w:rPr>
  </w:style>
  <w:style w:type="paragraph" w:customStyle="1" w:styleId="TOCHeading2">
    <w:name w:val="TOC Heading2"/>
    <w:rsid w:val="00AF6CB6"/>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character" w:styleId="EndnoteReference">
    <w:name w:val="endnote reference"/>
    <w:rsid w:val="00AF6CB6"/>
    <w:rPr>
      <w:vertAlign w:val="superscript"/>
    </w:rPr>
  </w:style>
  <w:style w:type="paragraph" w:customStyle="1" w:styleId="LongTitle">
    <w:name w:val="LongTitle"/>
    <w:basedOn w:val="Normal"/>
    <w:rsid w:val="001352E7"/>
    <w:pPr>
      <w:spacing w:before="240" w:after="6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3566">
      <w:bodyDiv w:val="1"/>
      <w:marLeft w:val="0"/>
      <w:marRight w:val="0"/>
      <w:marTop w:val="0"/>
      <w:marBottom w:val="0"/>
      <w:divBdr>
        <w:top w:val="none" w:sz="0" w:space="0" w:color="auto"/>
        <w:left w:val="none" w:sz="0" w:space="0" w:color="auto"/>
        <w:bottom w:val="none" w:sz="0" w:space="0" w:color="auto"/>
        <w:right w:val="none" w:sz="0" w:space="0" w:color="auto"/>
      </w:divBdr>
    </w:div>
    <w:div w:id="44761495">
      <w:bodyDiv w:val="1"/>
      <w:marLeft w:val="0"/>
      <w:marRight w:val="0"/>
      <w:marTop w:val="0"/>
      <w:marBottom w:val="0"/>
      <w:divBdr>
        <w:top w:val="none" w:sz="0" w:space="0" w:color="auto"/>
        <w:left w:val="none" w:sz="0" w:space="0" w:color="auto"/>
        <w:bottom w:val="none" w:sz="0" w:space="0" w:color="auto"/>
        <w:right w:val="none" w:sz="0" w:space="0" w:color="auto"/>
      </w:divBdr>
    </w:div>
    <w:div w:id="80682419">
      <w:bodyDiv w:val="1"/>
      <w:marLeft w:val="0"/>
      <w:marRight w:val="0"/>
      <w:marTop w:val="0"/>
      <w:marBottom w:val="0"/>
      <w:divBdr>
        <w:top w:val="none" w:sz="0" w:space="0" w:color="auto"/>
        <w:left w:val="none" w:sz="0" w:space="0" w:color="auto"/>
        <w:bottom w:val="none" w:sz="0" w:space="0" w:color="auto"/>
        <w:right w:val="none" w:sz="0" w:space="0" w:color="auto"/>
      </w:divBdr>
    </w:div>
    <w:div w:id="353387201">
      <w:bodyDiv w:val="1"/>
      <w:marLeft w:val="0"/>
      <w:marRight w:val="0"/>
      <w:marTop w:val="0"/>
      <w:marBottom w:val="0"/>
      <w:divBdr>
        <w:top w:val="none" w:sz="0" w:space="0" w:color="auto"/>
        <w:left w:val="none" w:sz="0" w:space="0" w:color="auto"/>
        <w:bottom w:val="none" w:sz="0" w:space="0" w:color="auto"/>
        <w:right w:val="none" w:sz="0" w:space="0" w:color="auto"/>
      </w:divBdr>
    </w:div>
    <w:div w:id="378287222">
      <w:bodyDiv w:val="1"/>
      <w:marLeft w:val="0"/>
      <w:marRight w:val="0"/>
      <w:marTop w:val="0"/>
      <w:marBottom w:val="0"/>
      <w:divBdr>
        <w:top w:val="none" w:sz="0" w:space="0" w:color="auto"/>
        <w:left w:val="none" w:sz="0" w:space="0" w:color="auto"/>
        <w:bottom w:val="none" w:sz="0" w:space="0" w:color="auto"/>
        <w:right w:val="none" w:sz="0" w:space="0" w:color="auto"/>
      </w:divBdr>
    </w:div>
    <w:div w:id="413749720">
      <w:bodyDiv w:val="1"/>
      <w:marLeft w:val="0"/>
      <w:marRight w:val="0"/>
      <w:marTop w:val="0"/>
      <w:marBottom w:val="0"/>
      <w:divBdr>
        <w:top w:val="none" w:sz="0" w:space="0" w:color="auto"/>
        <w:left w:val="none" w:sz="0" w:space="0" w:color="auto"/>
        <w:bottom w:val="none" w:sz="0" w:space="0" w:color="auto"/>
        <w:right w:val="none" w:sz="0" w:space="0" w:color="auto"/>
      </w:divBdr>
    </w:div>
    <w:div w:id="451359759">
      <w:bodyDiv w:val="1"/>
      <w:marLeft w:val="0"/>
      <w:marRight w:val="0"/>
      <w:marTop w:val="0"/>
      <w:marBottom w:val="0"/>
      <w:divBdr>
        <w:top w:val="none" w:sz="0" w:space="0" w:color="auto"/>
        <w:left w:val="none" w:sz="0" w:space="0" w:color="auto"/>
        <w:bottom w:val="none" w:sz="0" w:space="0" w:color="auto"/>
        <w:right w:val="none" w:sz="0" w:space="0" w:color="auto"/>
      </w:divBdr>
    </w:div>
    <w:div w:id="453252857">
      <w:bodyDiv w:val="1"/>
      <w:marLeft w:val="0"/>
      <w:marRight w:val="0"/>
      <w:marTop w:val="0"/>
      <w:marBottom w:val="0"/>
      <w:divBdr>
        <w:top w:val="none" w:sz="0" w:space="0" w:color="auto"/>
        <w:left w:val="none" w:sz="0" w:space="0" w:color="auto"/>
        <w:bottom w:val="none" w:sz="0" w:space="0" w:color="auto"/>
        <w:right w:val="none" w:sz="0" w:space="0" w:color="auto"/>
      </w:divBdr>
    </w:div>
    <w:div w:id="479882438">
      <w:bodyDiv w:val="1"/>
      <w:marLeft w:val="0"/>
      <w:marRight w:val="0"/>
      <w:marTop w:val="0"/>
      <w:marBottom w:val="0"/>
      <w:divBdr>
        <w:top w:val="none" w:sz="0" w:space="0" w:color="auto"/>
        <w:left w:val="none" w:sz="0" w:space="0" w:color="auto"/>
        <w:bottom w:val="none" w:sz="0" w:space="0" w:color="auto"/>
        <w:right w:val="none" w:sz="0" w:space="0" w:color="auto"/>
      </w:divBdr>
    </w:div>
    <w:div w:id="496581886">
      <w:bodyDiv w:val="1"/>
      <w:marLeft w:val="0"/>
      <w:marRight w:val="0"/>
      <w:marTop w:val="0"/>
      <w:marBottom w:val="0"/>
      <w:divBdr>
        <w:top w:val="none" w:sz="0" w:space="0" w:color="auto"/>
        <w:left w:val="none" w:sz="0" w:space="0" w:color="auto"/>
        <w:bottom w:val="none" w:sz="0" w:space="0" w:color="auto"/>
        <w:right w:val="none" w:sz="0" w:space="0" w:color="auto"/>
      </w:divBdr>
    </w:div>
    <w:div w:id="665597187">
      <w:bodyDiv w:val="1"/>
      <w:marLeft w:val="0"/>
      <w:marRight w:val="0"/>
      <w:marTop w:val="0"/>
      <w:marBottom w:val="0"/>
      <w:divBdr>
        <w:top w:val="none" w:sz="0" w:space="0" w:color="auto"/>
        <w:left w:val="none" w:sz="0" w:space="0" w:color="auto"/>
        <w:bottom w:val="none" w:sz="0" w:space="0" w:color="auto"/>
        <w:right w:val="none" w:sz="0" w:space="0" w:color="auto"/>
      </w:divBdr>
    </w:div>
    <w:div w:id="669332373">
      <w:bodyDiv w:val="1"/>
      <w:marLeft w:val="0"/>
      <w:marRight w:val="0"/>
      <w:marTop w:val="0"/>
      <w:marBottom w:val="0"/>
      <w:divBdr>
        <w:top w:val="none" w:sz="0" w:space="0" w:color="auto"/>
        <w:left w:val="none" w:sz="0" w:space="0" w:color="auto"/>
        <w:bottom w:val="none" w:sz="0" w:space="0" w:color="auto"/>
        <w:right w:val="none" w:sz="0" w:space="0" w:color="auto"/>
      </w:divBdr>
    </w:div>
    <w:div w:id="709569828">
      <w:bodyDiv w:val="1"/>
      <w:marLeft w:val="0"/>
      <w:marRight w:val="0"/>
      <w:marTop w:val="0"/>
      <w:marBottom w:val="0"/>
      <w:divBdr>
        <w:top w:val="none" w:sz="0" w:space="0" w:color="auto"/>
        <w:left w:val="none" w:sz="0" w:space="0" w:color="auto"/>
        <w:bottom w:val="none" w:sz="0" w:space="0" w:color="auto"/>
        <w:right w:val="none" w:sz="0" w:space="0" w:color="auto"/>
      </w:divBdr>
    </w:div>
    <w:div w:id="752706501">
      <w:bodyDiv w:val="1"/>
      <w:marLeft w:val="0"/>
      <w:marRight w:val="0"/>
      <w:marTop w:val="0"/>
      <w:marBottom w:val="0"/>
      <w:divBdr>
        <w:top w:val="none" w:sz="0" w:space="0" w:color="auto"/>
        <w:left w:val="none" w:sz="0" w:space="0" w:color="auto"/>
        <w:bottom w:val="none" w:sz="0" w:space="0" w:color="auto"/>
        <w:right w:val="none" w:sz="0" w:space="0" w:color="auto"/>
      </w:divBdr>
    </w:div>
    <w:div w:id="859782865">
      <w:bodyDiv w:val="1"/>
      <w:marLeft w:val="0"/>
      <w:marRight w:val="0"/>
      <w:marTop w:val="0"/>
      <w:marBottom w:val="0"/>
      <w:divBdr>
        <w:top w:val="none" w:sz="0" w:space="0" w:color="auto"/>
        <w:left w:val="none" w:sz="0" w:space="0" w:color="auto"/>
        <w:bottom w:val="none" w:sz="0" w:space="0" w:color="auto"/>
        <w:right w:val="none" w:sz="0" w:space="0" w:color="auto"/>
      </w:divBdr>
    </w:div>
    <w:div w:id="893808291">
      <w:bodyDiv w:val="1"/>
      <w:marLeft w:val="0"/>
      <w:marRight w:val="0"/>
      <w:marTop w:val="0"/>
      <w:marBottom w:val="0"/>
      <w:divBdr>
        <w:top w:val="none" w:sz="0" w:space="0" w:color="auto"/>
        <w:left w:val="none" w:sz="0" w:space="0" w:color="auto"/>
        <w:bottom w:val="none" w:sz="0" w:space="0" w:color="auto"/>
        <w:right w:val="none" w:sz="0" w:space="0" w:color="auto"/>
      </w:divBdr>
    </w:div>
    <w:div w:id="921261751">
      <w:bodyDiv w:val="1"/>
      <w:marLeft w:val="0"/>
      <w:marRight w:val="0"/>
      <w:marTop w:val="0"/>
      <w:marBottom w:val="0"/>
      <w:divBdr>
        <w:top w:val="none" w:sz="0" w:space="0" w:color="auto"/>
        <w:left w:val="none" w:sz="0" w:space="0" w:color="auto"/>
        <w:bottom w:val="none" w:sz="0" w:space="0" w:color="auto"/>
        <w:right w:val="none" w:sz="0" w:space="0" w:color="auto"/>
      </w:divBdr>
    </w:div>
    <w:div w:id="1040787363">
      <w:bodyDiv w:val="1"/>
      <w:marLeft w:val="0"/>
      <w:marRight w:val="0"/>
      <w:marTop w:val="0"/>
      <w:marBottom w:val="0"/>
      <w:divBdr>
        <w:top w:val="none" w:sz="0" w:space="0" w:color="auto"/>
        <w:left w:val="none" w:sz="0" w:space="0" w:color="auto"/>
        <w:bottom w:val="none" w:sz="0" w:space="0" w:color="auto"/>
        <w:right w:val="none" w:sz="0" w:space="0" w:color="auto"/>
      </w:divBdr>
    </w:div>
    <w:div w:id="1101681319">
      <w:bodyDiv w:val="1"/>
      <w:marLeft w:val="0"/>
      <w:marRight w:val="0"/>
      <w:marTop w:val="0"/>
      <w:marBottom w:val="0"/>
      <w:divBdr>
        <w:top w:val="none" w:sz="0" w:space="0" w:color="auto"/>
        <w:left w:val="none" w:sz="0" w:space="0" w:color="auto"/>
        <w:bottom w:val="none" w:sz="0" w:space="0" w:color="auto"/>
        <w:right w:val="none" w:sz="0" w:space="0" w:color="auto"/>
      </w:divBdr>
    </w:div>
    <w:div w:id="1140925372">
      <w:bodyDiv w:val="1"/>
      <w:marLeft w:val="0"/>
      <w:marRight w:val="0"/>
      <w:marTop w:val="0"/>
      <w:marBottom w:val="0"/>
      <w:divBdr>
        <w:top w:val="none" w:sz="0" w:space="0" w:color="auto"/>
        <w:left w:val="none" w:sz="0" w:space="0" w:color="auto"/>
        <w:bottom w:val="none" w:sz="0" w:space="0" w:color="auto"/>
        <w:right w:val="none" w:sz="0" w:space="0" w:color="auto"/>
      </w:divBdr>
    </w:div>
    <w:div w:id="1159611574">
      <w:bodyDiv w:val="1"/>
      <w:marLeft w:val="0"/>
      <w:marRight w:val="0"/>
      <w:marTop w:val="0"/>
      <w:marBottom w:val="0"/>
      <w:divBdr>
        <w:top w:val="none" w:sz="0" w:space="0" w:color="auto"/>
        <w:left w:val="none" w:sz="0" w:space="0" w:color="auto"/>
        <w:bottom w:val="none" w:sz="0" w:space="0" w:color="auto"/>
        <w:right w:val="none" w:sz="0" w:space="0" w:color="auto"/>
      </w:divBdr>
    </w:div>
    <w:div w:id="1221866825">
      <w:bodyDiv w:val="1"/>
      <w:marLeft w:val="0"/>
      <w:marRight w:val="0"/>
      <w:marTop w:val="0"/>
      <w:marBottom w:val="0"/>
      <w:divBdr>
        <w:top w:val="none" w:sz="0" w:space="0" w:color="auto"/>
        <w:left w:val="none" w:sz="0" w:space="0" w:color="auto"/>
        <w:bottom w:val="none" w:sz="0" w:space="0" w:color="auto"/>
        <w:right w:val="none" w:sz="0" w:space="0" w:color="auto"/>
      </w:divBdr>
    </w:div>
    <w:div w:id="1272972304">
      <w:bodyDiv w:val="1"/>
      <w:marLeft w:val="0"/>
      <w:marRight w:val="0"/>
      <w:marTop w:val="0"/>
      <w:marBottom w:val="0"/>
      <w:divBdr>
        <w:top w:val="none" w:sz="0" w:space="0" w:color="auto"/>
        <w:left w:val="none" w:sz="0" w:space="0" w:color="auto"/>
        <w:bottom w:val="none" w:sz="0" w:space="0" w:color="auto"/>
        <w:right w:val="none" w:sz="0" w:space="0" w:color="auto"/>
      </w:divBdr>
    </w:div>
    <w:div w:id="1288320872">
      <w:bodyDiv w:val="1"/>
      <w:marLeft w:val="0"/>
      <w:marRight w:val="0"/>
      <w:marTop w:val="0"/>
      <w:marBottom w:val="0"/>
      <w:divBdr>
        <w:top w:val="none" w:sz="0" w:space="0" w:color="auto"/>
        <w:left w:val="none" w:sz="0" w:space="0" w:color="auto"/>
        <w:bottom w:val="none" w:sz="0" w:space="0" w:color="auto"/>
        <w:right w:val="none" w:sz="0" w:space="0" w:color="auto"/>
      </w:divBdr>
    </w:div>
    <w:div w:id="1288389191">
      <w:bodyDiv w:val="1"/>
      <w:marLeft w:val="0"/>
      <w:marRight w:val="0"/>
      <w:marTop w:val="0"/>
      <w:marBottom w:val="0"/>
      <w:divBdr>
        <w:top w:val="none" w:sz="0" w:space="0" w:color="auto"/>
        <w:left w:val="none" w:sz="0" w:space="0" w:color="auto"/>
        <w:bottom w:val="none" w:sz="0" w:space="0" w:color="auto"/>
        <w:right w:val="none" w:sz="0" w:space="0" w:color="auto"/>
      </w:divBdr>
    </w:div>
    <w:div w:id="1297570248">
      <w:bodyDiv w:val="1"/>
      <w:marLeft w:val="0"/>
      <w:marRight w:val="0"/>
      <w:marTop w:val="0"/>
      <w:marBottom w:val="0"/>
      <w:divBdr>
        <w:top w:val="none" w:sz="0" w:space="0" w:color="auto"/>
        <w:left w:val="none" w:sz="0" w:space="0" w:color="auto"/>
        <w:bottom w:val="none" w:sz="0" w:space="0" w:color="auto"/>
        <w:right w:val="none" w:sz="0" w:space="0" w:color="auto"/>
      </w:divBdr>
    </w:div>
    <w:div w:id="1307322897">
      <w:bodyDiv w:val="1"/>
      <w:marLeft w:val="0"/>
      <w:marRight w:val="0"/>
      <w:marTop w:val="0"/>
      <w:marBottom w:val="0"/>
      <w:divBdr>
        <w:top w:val="none" w:sz="0" w:space="0" w:color="auto"/>
        <w:left w:val="none" w:sz="0" w:space="0" w:color="auto"/>
        <w:bottom w:val="none" w:sz="0" w:space="0" w:color="auto"/>
        <w:right w:val="none" w:sz="0" w:space="0" w:color="auto"/>
      </w:divBdr>
    </w:div>
    <w:div w:id="1311326864">
      <w:bodyDiv w:val="1"/>
      <w:marLeft w:val="0"/>
      <w:marRight w:val="0"/>
      <w:marTop w:val="0"/>
      <w:marBottom w:val="0"/>
      <w:divBdr>
        <w:top w:val="none" w:sz="0" w:space="0" w:color="auto"/>
        <w:left w:val="none" w:sz="0" w:space="0" w:color="auto"/>
        <w:bottom w:val="none" w:sz="0" w:space="0" w:color="auto"/>
        <w:right w:val="none" w:sz="0" w:space="0" w:color="auto"/>
      </w:divBdr>
    </w:div>
    <w:div w:id="1341810655">
      <w:bodyDiv w:val="1"/>
      <w:marLeft w:val="0"/>
      <w:marRight w:val="0"/>
      <w:marTop w:val="0"/>
      <w:marBottom w:val="0"/>
      <w:divBdr>
        <w:top w:val="none" w:sz="0" w:space="0" w:color="auto"/>
        <w:left w:val="none" w:sz="0" w:space="0" w:color="auto"/>
        <w:bottom w:val="none" w:sz="0" w:space="0" w:color="auto"/>
        <w:right w:val="none" w:sz="0" w:space="0" w:color="auto"/>
      </w:divBdr>
    </w:div>
    <w:div w:id="1405562978">
      <w:bodyDiv w:val="1"/>
      <w:marLeft w:val="0"/>
      <w:marRight w:val="0"/>
      <w:marTop w:val="0"/>
      <w:marBottom w:val="0"/>
      <w:divBdr>
        <w:top w:val="none" w:sz="0" w:space="0" w:color="auto"/>
        <w:left w:val="none" w:sz="0" w:space="0" w:color="auto"/>
        <w:bottom w:val="none" w:sz="0" w:space="0" w:color="auto"/>
        <w:right w:val="none" w:sz="0" w:space="0" w:color="auto"/>
      </w:divBdr>
    </w:div>
    <w:div w:id="1413235515">
      <w:bodyDiv w:val="1"/>
      <w:marLeft w:val="0"/>
      <w:marRight w:val="0"/>
      <w:marTop w:val="0"/>
      <w:marBottom w:val="0"/>
      <w:divBdr>
        <w:top w:val="none" w:sz="0" w:space="0" w:color="auto"/>
        <w:left w:val="none" w:sz="0" w:space="0" w:color="auto"/>
        <w:bottom w:val="none" w:sz="0" w:space="0" w:color="auto"/>
        <w:right w:val="none" w:sz="0" w:space="0" w:color="auto"/>
      </w:divBdr>
    </w:div>
    <w:div w:id="1449006435">
      <w:bodyDiv w:val="1"/>
      <w:marLeft w:val="0"/>
      <w:marRight w:val="0"/>
      <w:marTop w:val="0"/>
      <w:marBottom w:val="0"/>
      <w:divBdr>
        <w:top w:val="none" w:sz="0" w:space="0" w:color="auto"/>
        <w:left w:val="none" w:sz="0" w:space="0" w:color="auto"/>
        <w:bottom w:val="none" w:sz="0" w:space="0" w:color="auto"/>
        <w:right w:val="none" w:sz="0" w:space="0" w:color="auto"/>
      </w:divBdr>
    </w:div>
    <w:div w:id="1456174768">
      <w:bodyDiv w:val="1"/>
      <w:marLeft w:val="0"/>
      <w:marRight w:val="0"/>
      <w:marTop w:val="0"/>
      <w:marBottom w:val="0"/>
      <w:divBdr>
        <w:top w:val="none" w:sz="0" w:space="0" w:color="auto"/>
        <w:left w:val="none" w:sz="0" w:space="0" w:color="auto"/>
        <w:bottom w:val="none" w:sz="0" w:space="0" w:color="auto"/>
        <w:right w:val="none" w:sz="0" w:space="0" w:color="auto"/>
      </w:divBdr>
    </w:div>
    <w:div w:id="1484615299">
      <w:bodyDiv w:val="1"/>
      <w:marLeft w:val="0"/>
      <w:marRight w:val="0"/>
      <w:marTop w:val="0"/>
      <w:marBottom w:val="0"/>
      <w:divBdr>
        <w:top w:val="none" w:sz="0" w:space="0" w:color="auto"/>
        <w:left w:val="none" w:sz="0" w:space="0" w:color="auto"/>
        <w:bottom w:val="none" w:sz="0" w:space="0" w:color="auto"/>
        <w:right w:val="none" w:sz="0" w:space="0" w:color="auto"/>
      </w:divBdr>
    </w:div>
    <w:div w:id="1861891162">
      <w:bodyDiv w:val="1"/>
      <w:marLeft w:val="0"/>
      <w:marRight w:val="0"/>
      <w:marTop w:val="0"/>
      <w:marBottom w:val="0"/>
      <w:divBdr>
        <w:top w:val="none" w:sz="0" w:space="0" w:color="auto"/>
        <w:left w:val="none" w:sz="0" w:space="0" w:color="auto"/>
        <w:bottom w:val="none" w:sz="0" w:space="0" w:color="auto"/>
        <w:right w:val="none" w:sz="0" w:space="0" w:color="auto"/>
      </w:divBdr>
      <w:divsChild>
        <w:div w:id="85677447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9148265">
              <w:blockQuote w:val="1"/>
              <w:marLeft w:val="480"/>
              <w:marRight w:val="0"/>
              <w:marTop w:val="120"/>
              <w:marBottom w:val="120"/>
              <w:divBdr>
                <w:top w:val="none" w:sz="0" w:space="0" w:color="auto"/>
                <w:left w:val="none" w:sz="0" w:space="0" w:color="auto"/>
                <w:bottom w:val="none" w:sz="0" w:space="0" w:color="auto"/>
                <w:right w:val="none" w:sz="0" w:space="0" w:color="auto"/>
              </w:divBdr>
            </w:div>
            <w:div w:id="445807919">
              <w:blockQuote w:val="1"/>
              <w:marLeft w:val="480"/>
              <w:marRight w:val="0"/>
              <w:marTop w:val="120"/>
              <w:marBottom w:val="120"/>
              <w:divBdr>
                <w:top w:val="none" w:sz="0" w:space="0" w:color="auto"/>
                <w:left w:val="none" w:sz="0" w:space="0" w:color="auto"/>
                <w:bottom w:val="none" w:sz="0" w:space="0" w:color="auto"/>
                <w:right w:val="none" w:sz="0" w:space="0" w:color="auto"/>
              </w:divBdr>
            </w:div>
            <w:div w:id="455835139">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514419143">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652513648">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1783913921">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761950779">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 w:id="1941982867">
      <w:bodyDiv w:val="1"/>
      <w:marLeft w:val="0"/>
      <w:marRight w:val="0"/>
      <w:marTop w:val="0"/>
      <w:marBottom w:val="0"/>
      <w:divBdr>
        <w:top w:val="none" w:sz="0" w:space="0" w:color="auto"/>
        <w:left w:val="none" w:sz="0" w:space="0" w:color="auto"/>
        <w:bottom w:val="none" w:sz="0" w:space="0" w:color="auto"/>
        <w:right w:val="none" w:sz="0" w:space="0" w:color="auto"/>
      </w:divBdr>
    </w:div>
    <w:div w:id="2003269818">
      <w:bodyDiv w:val="1"/>
      <w:marLeft w:val="0"/>
      <w:marRight w:val="0"/>
      <w:marTop w:val="0"/>
      <w:marBottom w:val="0"/>
      <w:divBdr>
        <w:top w:val="none" w:sz="0" w:space="0" w:color="auto"/>
        <w:left w:val="none" w:sz="0" w:space="0" w:color="auto"/>
        <w:bottom w:val="none" w:sz="0" w:space="0" w:color="auto"/>
        <w:right w:val="none" w:sz="0" w:space="0" w:color="auto"/>
      </w:divBdr>
    </w:div>
    <w:div w:id="2004315815">
      <w:bodyDiv w:val="1"/>
      <w:marLeft w:val="0"/>
      <w:marRight w:val="0"/>
      <w:marTop w:val="0"/>
      <w:marBottom w:val="0"/>
      <w:divBdr>
        <w:top w:val="none" w:sz="0" w:space="0" w:color="auto"/>
        <w:left w:val="none" w:sz="0" w:space="0" w:color="auto"/>
        <w:bottom w:val="none" w:sz="0" w:space="0" w:color="auto"/>
        <w:right w:val="none" w:sz="0" w:space="0" w:color="auto"/>
      </w:divBdr>
    </w:div>
    <w:div w:id="2004627839">
      <w:bodyDiv w:val="1"/>
      <w:marLeft w:val="0"/>
      <w:marRight w:val="0"/>
      <w:marTop w:val="0"/>
      <w:marBottom w:val="0"/>
      <w:divBdr>
        <w:top w:val="none" w:sz="0" w:space="0" w:color="auto"/>
        <w:left w:val="none" w:sz="0" w:space="0" w:color="auto"/>
        <w:bottom w:val="none" w:sz="0" w:space="0" w:color="auto"/>
        <w:right w:val="none" w:sz="0" w:space="0" w:color="auto"/>
      </w:divBdr>
    </w:div>
    <w:div w:id="204192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www.parliament.act.gov.au/parliamentary-business/in-committees/committees/JCS_Scrutiny/response-to-comments-on-subordinate-legislation" TargetMode="Externa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parliament.act.gov.au/parliamentary-business/in-committees/committees/JCS_Scrutiny/responses-to-comments-on-bill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footnotes.xml.rels><?xml version="1.0" encoding="UTF-8" standalone="yes"?>
<Relationships xmlns="http://schemas.openxmlformats.org/package/2006/relationships"><Relationship Id="rId3" Type="http://schemas.openxmlformats.org/officeDocument/2006/relationships/hyperlink" Target="https://www.parliament.act.gov.au/parliamentary-business/in-committees/committees/JCS_Scrutiny" TargetMode="External"/><Relationship Id="rId2" Type="http://schemas.openxmlformats.org/officeDocument/2006/relationships/hyperlink" Target="https://www.legislation.act.gov.au/View/sl/2009-5/current/PDF/2009-5.PDF" TargetMode="External"/><Relationship Id="rId1" Type="http://schemas.openxmlformats.org/officeDocument/2006/relationships/hyperlink" Target="https://www.legislation.act.gov.au/View/sl/2005-2/current/PDF/2005-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5B0B-D405-4F95-84A1-A56830AF9D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066BE1B-B411-40D0-BF8C-C1FF22C70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16</Pages>
  <Words>5517</Words>
  <Characters>31448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Scrutiny Report 45—30 June 2020</vt:lpstr>
    </vt:vector>
  </TitlesOfParts>
  <Company/>
  <LinksUpToDate>false</LinksUpToDate>
  <CharactersWithSpaces>36892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Scrutiny Report 2 — 24 March 2021</dc:title>
  <dc:creator>Sophie.Milne@parliament.act.gov.au</dc:creator>
  <cp:lastModifiedBy>Milne, Sophie</cp:lastModifiedBy>
  <cp:revision>81</cp:revision>
  <cp:lastPrinted>2020-06-30T02:19:00Z</cp:lastPrinted>
  <dcterms:created xsi:type="dcterms:W3CDTF">2021-02-03T03:51:00Z</dcterms:created>
  <dcterms:modified xsi:type="dcterms:W3CDTF">2021-06-09T00:21:00Z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b5416023-e907-4e5c-94a6-d4a6d91d63bb</vt:lpwstr>
  </property>
  <property fmtid="{D5CDD505-2E9C-101B-9397-08002B2CF9AE}" pid="3" name="bjSaver">
    <vt:lpwstr>ZwE+/ToLrPDfvyrx1nh9MyjXnSm5Wksu</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