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C4781"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bookmarkStart w:id="0" w:name="_GoBack"/>
      <w:bookmarkEnd w:id="0"/>
      <w:r w:rsidR="001450DC">
        <w:rPr>
          <w:rFonts w:ascii="Calibri" w:hAnsi="Calibri"/>
          <w:sz w:val="24"/>
          <w:szCs w:val="24"/>
          <w:lang w:val="en-US"/>
        </w:rPr>
        <w:tab/>
      </w:r>
    </w:p>
    <w:p w14:paraId="527FD8E2"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4D332249"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Mrs Giulia Jones MLA</w:t>
      </w:r>
    </w:p>
    <w:p w14:paraId="3DB71C44"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Chair</w:t>
      </w:r>
    </w:p>
    <w:p w14:paraId="34C43D10"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Standing Committee on Justice and Community Safety (Legislative Scrutiny Role)</w:t>
      </w:r>
    </w:p>
    <w:p w14:paraId="676758EA"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ACT Legislative Assembly</w:t>
      </w:r>
    </w:p>
    <w:p w14:paraId="02CAFB81"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GPO Box 1020</w:t>
      </w:r>
    </w:p>
    <w:p w14:paraId="401F25F5"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CANBERRA  ACT  2601</w:t>
      </w:r>
      <w:r w:rsidRPr="00DA35B4">
        <w:rPr>
          <w:rFonts w:ascii="Calibri" w:hAnsi="Calibri"/>
          <w:sz w:val="24"/>
          <w:szCs w:val="24"/>
        </w:rPr>
        <w:tab/>
      </w:r>
    </w:p>
    <w:p w14:paraId="05FFF44A" w14:textId="77777777" w:rsidR="00350E84" w:rsidRPr="00DA35B4" w:rsidRDefault="00350E84" w:rsidP="00350E84">
      <w:pPr>
        <w:spacing w:after="0" w:line="240" w:lineRule="auto"/>
        <w:rPr>
          <w:rFonts w:ascii="Calibri" w:hAnsi="Calibri"/>
          <w:sz w:val="24"/>
          <w:szCs w:val="24"/>
        </w:rPr>
      </w:pPr>
    </w:p>
    <w:p w14:paraId="474B5B8D" w14:textId="77777777" w:rsidR="00350E84" w:rsidRPr="00DA35B4" w:rsidRDefault="00350E84" w:rsidP="00350E84">
      <w:pPr>
        <w:spacing w:after="0" w:line="240" w:lineRule="auto"/>
        <w:rPr>
          <w:rFonts w:ascii="Calibri" w:hAnsi="Calibri"/>
          <w:sz w:val="24"/>
          <w:szCs w:val="24"/>
        </w:rPr>
      </w:pPr>
    </w:p>
    <w:p w14:paraId="3104118E" w14:textId="77777777" w:rsidR="00350E84" w:rsidRPr="00DA35B4" w:rsidRDefault="00350E84" w:rsidP="00350E84">
      <w:pPr>
        <w:spacing w:after="0" w:line="240" w:lineRule="auto"/>
        <w:rPr>
          <w:rFonts w:ascii="Calibri" w:hAnsi="Calibri"/>
          <w:sz w:val="24"/>
          <w:szCs w:val="24"/>
        </w:rPr>
      </w:pPr>
      <w:r w:rsidRPr="00DA35B4">
        <w:rPr>
          <w:rFonts w:ascii="Calibri" w:hAnsi="Calibri"/>
          <w:sz w:val="24"/>
          <w:szCs w:val="24"/>
        </w:rPr>
        <w:t>Dear Mrs Jones</w:t>
      </w:r>
    </w:p>
    <w:p w14:paraId="04224C8E" w14:textId="77777777" w:rsidR="00350E84" w:rsidRPr="00DA35B4" w:rsidRDefault="00350E84" w:rsidP="00350E84">
      <w:pPr>
        <w:spacing w:after="0" w:line="240" w:lineRule="auto"/>
        <w:rPr>
          <w:rFonts w:ascii="Calibri" w:hAnsi="Calibri"/>
          <w:sz w:val="24"/>
          <w:szCs w:val="24"/>
        </w:rPr>
      </w:pPr>
    </w:p>
    <w:p w14:paraId="0D0C74CC" w14:textId="77777777" w:rsidR="0061438B" w:rsidRDefault="00350E84" w:rsidP="00350E84">
      <w:pPr>
        <w:spacing w:after="0" w:line="240" w:lineRule="auto"/>
        <w:rPr>
          <w:rFonts w:ascii="Calibri" w:hAnsi="Calibri"/>
          <w:sz w:val="24"/>
          <w:szCs w:val="24"/>
        </w:rPr>
      </w:pPr>
      <w:r w:rsidRPr="00DA35B4">
        <w:rPr>
          <w:rFonts w:ascii="Calibri" w:hAnsi="Calibri"/>
          <w:sz w:val="24"/>
          <w:szCs w:val="24"/>
        </w:rPr>
        <w:t xml:space="preserve">I write in response to the Standing Committee on Justice and Community Safety </w:t>
      </w:r>
      <w:r>
        <w:rPr>
          <w:rFonts w:ascii="Calibri" w:hAnsi="Calibri"/>
          <w:sz w:val="24"/>
          <w:szCs w:val="24"/>
        </w:rPr>
        <w:t>(Legislative Scrutiny Role) (</w:t>
      </w:r>
      <w:r w:rsidRPr="00350E84">
        <w:rPr>
          <w:rFonts w:ascii="Calibri" w:hAnsi="Calibri"/>
          <w:sz w:val="24"/>
          <w:szCs w:val="24"/>
        </w:rPr>
        <w:t>the Committee</w:t>
      </w:r>
      <w:r>
        <w:rPr>
          <w:rFonts w:ascii="Calibri" w:hAnsi="Calibri"/>
          <w:sz w:val="24"/>
          <w:szCs w:val="24"/>
        </w:rPr>
        <w:t xml:space="preserve">) </w:t>
      </w:r>
      <w:r w:rsidRPr="00DA35B4">
        <w:rPr>
          <w:rFonts w:ascii="Calibri" w:hAnsi="Calibri"/>
          <w:sz w:val="24"/>
          <w:szCs w:val="24"/>
        </w:rPr>
        <w:t xml:space="preserve">Report No </w:t>
      </w:r>
      <w:r>
        <w:rPr>
          <w:rFonts w:ascii="Calibri" w:hAnsi="Calibri"/>
          <w:sz w:val="24"/>
          <w:szCs w:val="24"/>
        </w:rPr>
        <w:t xml:space="preserve">46 </w:t>
      </w:r>
      <w:r w:rsidRPr="00DA35B4">
        <w:rPr>
          <w:rFonts w:ascii="Calibri" w:hAnsi="Calibri"/>
          <w:sz w:val="24"/>
          <w:szCs w:val="24"/>
        </w:rPr>
        <w:t xml:space="preserve">of </w:t>
      </w:r>
      <w:r>
        <w:rPr>
          <w:rFonts w:ascii="Calibri" w:hAnsi="Calibri"/>
          <w:sz w:val="24"/>
          <w:szCs w:val="24"/>
        </w:rPr>
        <w:t>21 July 2020</w:t>
      </w:r>
      <w:r w:rsidRPr="00DA35B4">
        <w:rPr>
          <w:rFonts w:ascii="Calibri" w:hAnsi="Calibri"/>
          <w:sz w:val="24"/>
          <w:szCs w:val="24"/>
        </w:rPr>
        <w:t xml:space="preserve">, which comments on </w:t>
      </w:r>
      <w:r>
        <w:rPr>
          <w:rFonts w:ascii="Calibri" w:hAnsi="Calibri"/>
          <w:sz w:val="24"/>
          <w:szCs w:val="24"/>
        </w:rPr>
        <w:t xml:space="preserve">the Royal Commission Criminal Justice Legislation Amendment Bill 2020 </w:t>
      </w:r>
      <w:r w:rsidRPr="00DA35B4">
        <w:rPr>
          <w:rFonts w:ascii="Calibri" w:hAnsi="Calibri"/>
          <w:sz w:val="24"/>
          <w:szCs w:val="24"/>
        </w:rPr>
        <w:t>(</w:t>
      </w:r>
      <w:r w:rsidRPr="00350E84">
        <w:rPr>
          <w:rFonts w:ascii="Calibri" w:hAnsi="Calibri"/>
          <w:sz w:val="24"/>
          <w:szCs w:val="24"/>
        </w:rPr>
        <w:t>the Bill</w:t>
      </w:r>
      <w:r w:rsidRPr="00DA35B4">
        <w:rPr>
          <w:rFonts w:ascii="Calibri" w:hAnsi="Calibri"/>
          <w:sz w:val="24"/>
          <w:szCs w:val="24"/>
        </w:rPr>
        <w:t>).</w:t>
      </w:r>
      <w:r>
        <w:rPr>
          <w:rFonts w:ascii="Calibri" w:hAnsi="Calibri"/>
          <w:sz w:val="24"/>
          <w:szCs w:val="24"/>
        </w:rPr>
        <w:t xml:space="preserve"> </w:t>
      </w:r>
    </w:p>
    <w:p w14:paraId="63FA205A" w14:textId="77777777" w:rsidR="0061438B" w:rsidRDefault="0061438B" w:rsidP="00350E84">
      <w:pPr>
        <w:spacing w:after="0" w:line="240" w:lineRule="auto"/>
        <w:rPr>
          <w:rFonts w:ascii="Calibri" w:hAnsi="Calibri"/>
          <w:sz w:val="24"/>
          <w:szCs w:val="24"/>
        </w:rPr>
      </w:pPr>
    </w:p>
    <w:p w14:paraId="32DFA081" w14:textId="31E97354" w:rsidR="00350E84" w:rsidRDefault="00350E84" w:rsidP="00350E84">
      <w:pPr>
        <w:spacing w:after="0" w:line="240" w:lineRule="auto"/>
        <w:rPr>
          <w:rFonts w:ascii="Calibri" w:hAnsi="Calibri"/>
          <w:sz w:val="24"/>
          <w:szCs w:val="24"/>
        </w:rPr>
      </w:pPr>
      <w:r>
        <w:rPr>
          <w:rFonts w:ascii="Calibri" w:hAnsi="Calibri"/>
          <w:sz w:val="24"/>
          <w:szCs w:val="24"/>
        </w:rPr>
        <w:t>I note the Committee’s comments and</w:t>
      </w:r>
      <w:r w:rsidR="007E0B44">
        <w:rPr>
          <w:rFonts w:ascii="Calibri" w:hAnsi="Calibri"/>
          <w:sz w:val="24"/>
          <w:szCs w:val="24"/>
        </w:rPr>
        <w:t xml:space="preserve"> request for a response</w:t>
      </w:r>
      <w:r>
        <w:rPr>
          <w:rFonts w:ascii="Calibri" w:hAnsi="Calibri"/>
          <w:sz w:val="24"/>
          <w:szCs w:val="24"/>
        </w:rPr>
        <w:t xml:space="preserve"> relating to retrospective criminal laws</w:t>
      </w:r>
      <w:r w:rsidR="007E0B44">
        <w:rPr>
          <w:rFonts w:ascii="Calibri" w:hAnsi="Calibri"/>
          <w:sz w:val="24"/>
          <w:szCs w:val="24"/>
        </w:rPr>
        <w:t xml:space="preserve"> and, in particular, the provisions of the Bill relating to the maximum penalty for the offence in section 56 of the </w:t>
      </w:r>
      <w:r w:rsidR="007E0B44" w:rsidRPr="007E0B44">
        <w:rPr>
          <w:rFonts w:ascii="Calibri" w:hAnsi="Calibri"/>
          <w:i/>
          <w:iCs/>
          <w:sz w:val="24"/>
          <w:szCs w:val="24"/>
        </w:rPr>
        <w:t>Crimes Act 1900</w:t>
      </w:r>
      <w:r w:rsidR="007E0B44">
        <w:rPr>
          <w:rFonts w:ascii="Calibri" w:hAnsi="Calibri"/>
          <w:sz w:val="24"/>
          <w:szCs w:val="24"/>
        </w:rPr>
        <w:t xml:space="preserve"> – </w:t>
      </w:r>
      <w:r w:rsidR="007E0B44" w:rsidRPr="00BA2B98">
        <w:rPr>
          <w:rFonts w:ascii="Calibri" w:hAnsi="Calibri"/>
          <w:i/>
          <w:iCs/>
          <w:sz w:val="24"/>
          <w:szCs w:val="24"/>
        </w:rPr>
        <w:t xml:space="preserve">Sexual relationship with child or young person under </w:t>
      </w:r>
      <w:r w:rsidR="007E0B44" w:rsidRPr="007E0B44">
        <w:rPr>
          <w:rFonts w:ascii="Calibri" w:hAnsi="Calibri"/>
          <w:i/>
          <w:iCs/>
          <w:sz w:val="24"/>
          <w:szCs w:val="24"/>
        </w:rPr>
        <w:t>special care</w:t>
      </w:r>
      <w:r w:rsidR="007E0B44">
        <w:rPr>
          <w:rFonts w:ascii="Calibri" w:hAnsi="Calibri"/>
          <w:sz w:val="24"/>
          <w:szCs w:val="24"/>
        </w:rPr>
        <w:t>.</w:t>
      </w:r>
      <w:r>
        <w:rPr>
          <w:rFonts w:ascii="Calibri" w:hAnsi="Calibri"/>
          <w:sz w:val="24"/>
          <w:szCs w:val="24"/>
        </w:rPr>
        <w:t xml:space="preserve"> </w:t>
      </w:r>
      <w:r w:rsidR="007E0B44">
        <w:rPr>
          <w:rFonts w:ascii="Calibri" w:hAnsi="Calibri"/>
          <w:sz w:val="24"/>
          <w:szCs w:val="24"/>
        </w:rPr>
        <w:t>I provide the following information in response to the Committee’s request.</w:t>
      </w:r>
    </w:p>
    <w:p w14:paraId="3F66C0AA" w14:textId="77777777" w:rsidR="00AD7D31" w:rsidRPr="00A031A0" w:rsidRDefault="00AD7D31" w:rsidP="00AD7D31">
      <w:pPr>
        <w:spacing w:after="0" w:line="240" w:lineRule="auto"/>
        <w:rPr>
          <w:rFonts w:ascii="Calibri" w:hAnsi="Calibri"/>
          <w:sz w:val="24"/>
          <w:szCs w:val="24"/>
        </w:rPr>
      </w:pPr>
    </w:p>
    <w:p w14:paraId="0CE299D8" w14:textId="75C2A5B2" w:rsidR="00AD7D31" w:rsidRPr="005902AA" w:rsidRDefault="00392E33" w:rsidP="00AD7D31">
      <w:pPr>
        <w:spacing w:after="0" w:line="240" w:lineRule="auto"/>
        <w:rPr>
          <w:rFonts w:ascii="Calibri" w:hAnsi="Calibri"/>
          <w:i/>
          <w:iCs/>
          <w:sz w:val="24"/>
          <w:szCs w:val="24"/>
        </w:rPr>
      </w:pPr>
      <w:r w:rsidRPr="005902AA">
        <w:rPr>
          <w:rFonts w:ascii="Calibri" w:hAnsi="Calibri"/>
          <w:i/>
          <w:iCs/>
          <w:sz w:val="24"/>
          <w:szCs w:val="24"/>
        </w:rPr>
        <w:t>Maximum penalty where relationship commences before December 1991 and ends after March 2018</w:t>
      </w:r>
    </w:p>
    <w:p w14:paraId="475B81B1" w14:textId="1C8B5006" w:rsidR="00392E33" w:rsidRDefault="00392E33" w:rsidP="00AD7D31">
      <w:pPr>
        <w:spacing w:after="0" w:line="240" w:lineRule="auto"/>
        <w:rPr>
          <w:rFonts w:ascii="Calibri" w:hAnsi="Calibri"/>
          <w:sz w:val="24"/>
          <w:szCs w:val="24"/>
        </w:rPr>
      </w:pPr>
    </w:p>
    <w:p w14:paraId="2789BF29" w14:textId="207F2667" w:rsidR="00392E33" w:rsidRDefault="00392E33" w:rsidP="00AD7D31">
      <w:pPr>
        <w:spacing w:after="0" w:line="240" w:lineRule="auto"/>
        <w:rPr>
          <w:rFonts w:ascii="Calibri" w:hAnsi="Calibri"/>
          <w:sz w:val="24"/>
          <w:szCs w:val="24"/>
        </w:rPr>
      </w:pPr>
      <w:r>
        <w:rPr>
          <w:rFonts w:ascii="Calibri" w:hAnsi="Calibri"/>
          <w:sz w:val="24"/>
          <w:szCs w:val="24"/>
        </w:rPr>
        <w:t>The Committee comments that the table a</w:t>
      </w:r>
      <w:r w:rsidR="005902AA">
        <w:rPr>
          <w:rFonts w:ascii="Calibri" w:hAnsi="Calibri"/>
          <w:sz w:val="24"/>
          <w:szCs w:val="24"/>
        </w:rPr>
        <w:t>t</w:t>
      </w:r>
      <w:r>
        <w:rPr>
          <w:rFonts w:ascii="Calibri" w:hAnsi="Calibri"/>
          <w:sz w:val="24"/>
          <w:szCs w:val="24"/>
        </w:rPr>
        <w:t xml:space="preserve"> section 56 does not establish how the penalty will be assessed where the relationship commenced prior to 1991 and continued after 2018.  </w:t>
      </w:r>
    </w:p>
    <w:p w14:paraId="63862B2C" w14:textId="2D332488" w:rsidR="00392E33" w:rsidRDefault="00392E33" w:rsidP="00AD7D31">
      <w:pPr>
        <w:spacing w:after="0" w:line="240" w:lineRule="auto"/>
        <w:rPr>
          <w:rFonts w:ascii="Calibri" w:hAnsi="Calibri"/>
          <w:sz w:val="24"/>
          <w:szCs w:val="24"/>
        </w:rPr>
      </w:pPr>
    </w:p>
    <w:p w14:paraId="1E0D3E50" w14:textId="365E6D66" w:rsidR="00392E33" w:rsidRDefault="00392E33" w:rsidP="00AD7D31">
      <w:pPr>
        <w:spacing w:after="0" w:line="240" w:lineRule="auto"/>
        <w:rPr>
          <w:rFonts w:ascii="Calibri" w:hAnsi="Calibri"/>
          <w:sz w:val="24"/>
          <w:szCs w:val="24"/>
        </w:rPr>
      </w:pPr>
      <w:r>
        <w:rPr>
          <w:rFonts w:ascii="Calibri" w:hAnsi="Calibri"/>
          <w:sz w:val="24"/>
          <w:szCs w:val="24"/>
        </w:rPr>
        <w:t>As the offence is the engagement by an adult</w:t>
      </w:r>
      <w:r w:rsidR="0053624E">
        <w:rPr>
          <w:rFonts w:ascii="Calibri" w:hAnsi="Calibri"/>
          <w:sz w:val="24"/>
          <w:szCs w:val="24"/>
        </w:rPr>
        <w:t>, in a relationship (involving more than one sexual act)</w:t>
      </w:r>
      <w:r w:rsidR="005902AA">
        <w:rPr>
          <w:rFonts w:ascii="Calibri" w:hAnsi="Calibri"/>
          <w:sz w:val="24"/>
          <w:szCs w:val="24"/>
        </w:rPr>
        <w:t>,</w:t>
      </w:r>
      <w:r w:rsidR="0053624E">
        <w:rPr>
          <w:rFonts w:ascii="Calibri" w:hAnsi="Calibri"/>
          <w:sz w:val="24"/>
          <w:szCs w:val="24"/>
        </w:rPr>
        <w:t xml:space="preserve"> with a </w:t>
      </w:r>
      <w:r w:rsidR="0053624E" w:rsidRPr="0053624E">
        <w:rPr>
          <w:rFonts w:ascii="Calibri" w:hAnsi="Calibri"/>
          <w:b/>
          <w:bCs/>
          <w:i/>
          <w:iCs/>
          <w:sz w:val="24"/>
          <w:szCs w:val="24"/>
        </w:rPr>
        <w:t>child or young person</w:t>
      </w:r>
      <w:r w:rsidR="0053624E">
        <w:rPr>
          <w:rFonts w:ascii="Calibri" w:hAnsi="Calibri"/>
          <w:sz w:val="24"/>
          <w:szCs w:val="24"/>
        </w:rPr>
        <w:t xml:space="preserve">, the relationship constituting the offence cannot extend beyond the date the child or young person turns 18 years of age.  It is not possible for a relationship </w:t>
      </w:r>
      <w:r w:rsidR="005902AA">
        <w:rPr>
          <w:rFonts w:ascii="Calibri" w:hAnsi="Calibri"/>
          <w:sz w:val="24"/>
          <w:szCs w:val="24"/>
        </w:rPr>
        <w:t>with a child or young person to extend from prior to 1991 until after 2018</w:t>
      </w:r>
      <w:r w:rsidR="00521FFB">
        <w:rPr>
          <w:rFonts w:ascii="Calibri" w:hAnsi="Calibri"/>
          <w:sz w:val="24"/>
          <w:szCs w:val="24"/>
        </w:rPr>
        <w:t>.  For that reason it is not appropriate</w:t>
      </w:r>
      <w:r w:rsidR="0053624E">
        <w:rPr>
          <w:rFonts w:ascii="Calibri" w:hAnsi="Calibri"/>
          <w:sz w:val="24"/>
          <w:szCs w:val="24"/>
        </w:rPr>
        <w:t xml:space="preserve"> to provide for assess</w:t>
      </w:r>
      <w:r w:rsidR="005902AA">
        <w:rPr>
          <w:rFonts w:ascii="Calibri" w:hAnsi="Calibri"/>
          <w:sz w:val="24"/>
          <w:szCs w:val="24"/>
        </w:rPr>
        <w:t xml:space="preserve">ment of a penalty </w:t>
      </w:r>
      <w:r w:rsidR="00521FFB">
        <w:rPr>
          <w:rFonts w:ascii="Calibri" w:hAnsi="Calibri"/>
          <w:sz w:val="24"/>
          <w:szCs w:val="24"/>
        </w:rPr>
        <w:t>in</w:t>
      </w:r>
      <w:r w:rsidR="005902AA">
        <w:rPr>
          <w:rFonts w:ascii="Calibri" w:hAnsi="Calibri"/>
          <w:sz w:val="24"/>
          <w:szCs w:val="24"/>
        </w:rPr>
        <w:t xml:space="preserve"> such a circumstance.</w:t>
      </w:r>
    </w:p>
    <w:p w14:paraId="439B8D35" w14:textId="4184FE40" w:rsidR="005902AA" w:rsidRDefault="005902AA" w:rsidP="00AD7D31">
      <w:pPr>
        <w:spacing w:after="0" w:line="240" w:lineRule="auto"/>
        <w:rPr>
          <w:rFonts w:ascii="Calibri" w:hAnsi="Calibri"/>
          <w:sz w:val="24"/>
          <w:szCs w:val="24"/>
        </w:rPr>
      </w:pPr>
    </w:p>
    <w:p w14:paraId="261AA87B" w14:textId="659C35E3" w:rsidR="005902AA" w:rsidRPr="00DA1388" w:rsidRDefault="005902AA" w:rsidP="00AD7D31">
      <w:pPr>
        <w:spacing w:after="0" w:line="240" w:lineRule="auto"/>
        <w:rPr>
          <w:rFonts w:ascii="Calibri" w:hAnsi="Calibri"/>
          <w:i/>
          <w:iCs/>
          <w:sz w:val="24"/>
          <w:szCs w:val="24"/>
        </w:rPr>
      </w:pPr>
      <w:r w:rsidRPr="00DA1388">
        <w:rPr>
          <w:rFonts w:ascii="Calibri" w:hAnsi="Calibri"/>
          <w:i/>
          <w:iCs/>
          <w:sz w:val="24"/>
          <w:szCs w:val="24"/>
        </w:rPr>
        <w:t>Penalty applicable under the proposed amendments will in some cases be higher tha</w:t>
      </w:r>
      <w:r w:rsidR="0061438B">
        <w:rPr>
          <w:rFonts w:ascii="Calibri" w:hAnsi="Calibri"/>
          <w:i/>
          <w:iCs/>
          <w:sz w:val="24"/>
          <w:szCs w:val="24"/>
        </w:rPr>
        <w:t>n</w:t>
      </w:r>
      <w:r w:rsidRPr="00DA1388">
        <w:rPr>
          <w:rFonts w:ascii="Calibri" w:hAnsi="Calibri"/>
          <w:i/>
          <w:iCs/>
          <w:sz w:val="24"/>
          <w:szCs w:val="24"/>
        </w:rPr>
        <w:t xml:space="preserve"> that for the offences available at the time of the conduct in question</w:t>
      </w:r>
    </w:p>
    <w:p w14:paraId="202278F0" w14:textId="658662BB" w:rsidR="005902AA" w:rsidRDefault="005902AA" w:rsidP="00AD7D31">
      <w:pPr>
        <w:spacing w:after="0" w:line="240" w:lineRule="auto"/>
        <w:rPr>
          <w:rFonts w:ascii="Calibri" w:hAnsi="Calibri"/>
          <w:sz w:val="24"/>
          <w:szCs w:val="24"/>
        </w:rPr>
      </w:pPr>
    </w:p>
    <w:p w14:paraId="19DED6B6" w14:textId="77777777" w:rsidR="0061438B" w:rsidRDefault="005902AA" w:rsidP="00AD7D31">
      <w:pPr>
        <w:spacing w:after="0" w:line="240" w:lineRule="auto"/>
        <w:rPr>
          <w:rFonts w:ascii="Calibri" w:hAnsi="Calibri"/>
          <w:sz w:val="24"/>
          <w:szCs w:val="24"/>
        </w:rPr>
      </w:pPr>
      <w:r>
        <w:rPr>
          <w:rFonts w:ascii="Calibri" w:hAnsi="Calibri"/>
          <w:sz w:val="24"/>
          <w:szCs w:val="24"/>
        </w:rPr>
        <w:t xml:space="preserve">The Committee cites two examples of where this may occur.  </w:t>
      </w:r>
    </w:p>
    <w:p w14:paraId="68A0F0B6" w14:textId="77777777" w:rsidR="0061438B" w:rsidRDefault="0061438B" w:rsidP="00AD7D31">
      <w:pPr>
        <w:spacing w:after="0" w:line="240" w:lineRule="auto"/>
        <w:rPr>
          <w:rFonts w:ascii="Calibri" w:hAnsi="Calibri"/>
          <w:sz w:val="24"/>
          <w:szCs w:val="24"/>
        </w:rPr>
      </w:pPr>
    </w:p>
    <w:p w14:paraId="6F868E13" w14:textId="14DFCBFA" w:rsidR="005902AA" w:rsidRDefault="005902AA" w:rsidP="00AD7D31">
      <w:pPr>
        <w:spacing w:after="0" w:line="240" w:lineRule="auto"/>
        <w:rPr>
          <w:rFonts w:ascii="Calibri" w:hAnsi="Calibri"/>
          <w:sz w:val="24"/>
          <w:szCs w:val="24"/>
        </w:rPr>
      </w:pPr>
      <w:r>
        <w:rPr>
          <w:rFonts w:ascii="Calibri" w:hAnsi="Calibri"/>
          <w:sz w:val="24"/>
          <w:szCs w:val="24"/>
        </w:rPr>
        <w:lastRenderedPageBreak/>
        <w:t xml:space="preserve">Firstly, the Committee notes, in relation to item 2 of the table, that where the relationship occurred between 1991 and 2018, engaging in a relationship involving two sexual acts would have been punishable only by the </w:t>
      </w:r>
      <w:r w:rsidR="00A80225">
        <w:rPr>
          <w:rFonts w:ascii="Calibri" w:hAnsi="Calibri"/>
          <w:sz w:val="24"/>
          <w:szCs w:val="24"/>
        </w:rPr>
        <w:t xml:space="preserve">maximum </w:t>
      </w:r>
      <w:r>
        <w:rPr>
          <w:rFonts w:ascii="Calibri" w:hAnsi="Calibri"/>
          <w:sz w:val="24"/>
          <w:szCs w:val="24"/>
        </w:rPr>
        <w:t>penalties applicable independently to those two offences</w:t>
      </w:r>
      <w:r w:rsidR="00DA1388">
        <w:rPr>
          <w:rFonts w:ascii="Calibri" w:hAnsi="Calibri"/>
          <w:sz w:val="24"/>
          <w:szCs w:val="24"/>
        </w:rPr>
        <w:t xml:space="preserve">. </w:t>
      </w:r>
      <w:r>
        <w:rPr>
          <w:rFonts w:ascii="Calibri" w:hAnsi="Calibri"/>
          <w:sz w:val="24"/>
          <w:szCs w:val="24"/>
        </w:rPr>
        <w:t xml:space="preserve">This is because at that time the </w:t>
      </w:r>
      <w:r w:rsidRPr="00A80225">
        <w:rPr>
          <w:rFonts w:ascii="Calibri" w:hAnsi="Calibri"/>
          <w:sz w:val="24"/>
          <w:szCs w:val="24"/>
        </w:rPr>
        <w:t>maintaining a sexual relationship offence</w:t>
      </w:r>
      <w:r>
        <w:rPr>
          <w:rFonts w:ascii="Calibri" w:hAnsi="Calibri"/>
          <w:sz w:val="24"/>
          <w:szCs w:val="24"/>
        </w:rPr>
        <w:t xml:space="preserve"> required establishing that at least three sexual acts had been involved in a relationship.</w:t>
      </w:r>
      <w:r w:rsidR="00DA1388">
        <w:rPr>
          <w:rFonts w:ascii="Calibri" w:hAnsi="Calibri"/>
          <w:sz w:val="24"/>
          <w:szCs w:val="24"/>
        </w:rPr>
        <w:t xml:space="preserve">  The Committee note</w:t>
      </w:r>
      <w:r w:rsidR="00521FFB">
        <w:rPr>
          <w:rFonts w:ascii="Calibri" w:hAnsi="Calibri"/>
          <w:sz w:val="24"/>
          <w:szCs w:val="24"/>
        </w:rPr>
        <w:t>s</w:t>
      </w:r>
      <w:r w:rsidR="00DA1388">
        <w:rPr>
          <w:rFonts w:ascii="Calibri" w:hAnsi="Calibri"/>
          <w:sz w:val="24"/>
          <w:szCs w:val="24"/>
        </w:rPr>
        <w:t xml:space="preserve"> that the maximum penalty for the two sexual act offences may cumulatively be less than the maximum penalty for the maintaining a sexual relationship offence.  </w:t>
      </w:r>
    </w:p>
    <w:p w14:paraId="551E9828" w14:textId="11C00F40" w:rsidR="005902AA" w:rsidRDefault="005902AA" w:rsidP="00AD7D31">
      <w:pPr>
        <w:spacing w:after="0" w:line="240" w:lineRule="auto"/>
        <w:rPr>
          <w:rFonts w:ascii="Calibri" w:hAnsi="Calibri"/>
          <w:sz w:val="24"/>
          <w:szCs w:val="24"/>
        </w:rPr>
      </w:pPr>
    </w:p>
    <w:p w14:paraId="287D1D74" w14:textId="4BF5F21E" w:rsidR="00DA1388" w:rsidRDefault="00DA1388" w:rsidP="00AD7D31">
      <w:pPr>
        <w:spacing w:after="0" w:line="240" w:lineRule="auto"/>
        <w:rPr>
          <w:rFonts w:ascii="Calibri" w:hAnsi="Calibri"/>
          <w:sz w:val="24"/>
          <w:szCs w:val="24"/>
        </w:rPr>
      </w:pPr>
      <w:r>
        <w:rPr>
          <w:rFonts w:ascii="Calibri" w:hAnsi="Calibri"/>
          <w:sz w:val="24"/>
          <w:szCs w:val="24"/>
        </w:rPr>
        <w:t>I</w:t>
      </w:r>
      <w:r w:rsidR="00A80225">
        <w:rPr>
          <w:rFonts w:ascii="Calibri" w:hAnsi="Calibri"/>
          <w:sz w:val="24"/>
          <w:szCs w:val="24"/>
        </w:rPr>
        <w:t>tem 2 of the table is</w:t>
      </w:r>
      <w:r>
        <w:rPr>
          <w:rFonts w:ascii="Calibri" w:hAnsi="Calibri"/>
          <w:sz w:val="24"/>
          <w:szCs w:val="24"/>
        </w:rPr>
        <w:t xml:space="preserve"> intended to ensure that a person sentenced, in the future, for the offence of maintaining a sexual relationship, an offence which existed between 1991 and 2018, is not subject to a higher maximum penalty than existed for the offence during that period when the offence was committed.</w:t>
      </w:r>
      <w:r w:rsidR="001008B7">
        <w:rPr>
          <w:rFonts w:ascii="Calibri" w:hAnsi="Calibri"/>
          <w:sz w:val="24"/>
          <w:szCs w:val="24"/>
        </w:rPr>
        <w:t xml:space="preserve"> </w:t>
      </w:r>
      <w:r>
        <w:rPr>
          <w:rFonts w:ascii="Calibri" w:hAnsi="Calibri"/>
          <w:sz w:val="24"/>
          <w:szCs w:val="24"/>
        </w:rPr>
        <w:t>This is reflected in the language of the explanatory statement.</w:t>
      </w:r>
    </w:p>
    <w:p w14:paraId="3CAEAD34" w14:textId="77777777" w:rsidR="00DA1388" w:rsidRDefault="00DA1388" w:rsidP="00AD7D31">
      <w:pPr>
        <w:spacing w:after="0" w:line="240" w:lineRule="auto"/>
        <w:rPr>
          <w:rFonts w:ascii="Calibri" w:hAnsi="Calibri"/>
          <w:sz w:val="24"/>
          <w:szCs w:val="24"/>
        </w:rPr>
      </w:pPr>
    </w:p>
    <w:p w14:paraId="6922AA0B" w14:textId="5C137FF0" w:rsidR="005902AA" w:rsidRDefault="00DA1388" w:rsidP="00AD7D31">
      <w:pPr>
        <w:spacing w:after="0" w:line="240" w:lineRule="auto"/>
        <w:rPr>
          <w:rFonts w:ascii="Calibri" w:hAnsi="Calibri"/>
          <w:sz w:val="24"/>
          <w:szCs w:val="24"/>
        </w:rPr>
      </w:pPr>
      <w:r>
        <w:rPr>
          <w:rFonts w:ascii="Calibri" w:hAnsi="Calibri"/>
          <w:sz w:val="24"/>
          <w:szCs w:val="24"/>
        </w:rPr>
        <w:t xml:space="preserve">The second situation raised in the </w:t>
      </w:r>
      <w:r w:rsidR="001008B7">
        <w:rPr>
          <w:rFonts w:ascii="Calibri" w:hAnsi="Calibri"/>
          <w:sz w:val="24"/>
          <w:szCs w:val="24"/>
        </w:rPr>
        <w:t xml:space="preserve">Committee’s </w:t>
      </w:r>
      <w:r>
        <w:rPr>
          <w:rFonts w:ascii="Calibri" w:hAnsi="Calibri"/>
          <w:sz w:val="24"/>
          <w:szCs w:val="24"/>
        </w:rPr>
        <w:t>comments is where a relationship ended after 2018 but the sexual offences in question occurred prior to 2018 and may have been punishable, even in total</w:t>
      </w:r>
      <w:r w:rsidR="007E0B44">
        <w:rPr>
          <w:rFonts w:ascii="Calibri" w:hAnsi="Calibri"/>
          <w:sz w:val="24"/>
          <w:szCs w:val="24"/>
        </w:rPr>
        <w:t>,</w:t>
      </w:r>
      <w:r>
        <w:rPr>
          <w:rFonts w:ascii="Calibri" w:hAnsi="Calibri"/>
          <w:sz w:val="24"/>
          <w:szCs w:val="24"/>
        </w:rPr>
        <w:t xml:space="preserve"> </w:t>
      </w:r>
      <w:r w:rsidR="007E0B44">
        <w:rPr>
          <w:rFonts w:ascii="Calibri" w:hAnsi="Calibri"/>
          <w:sz w:val="24"/>
          <w:szCs w:val="24"/>
        </w:rPr>
        <w:t>by</w:t>
      </w:r>
      <w:r>
        <w:rPr>
          <w:rFonts w:ascii="Calibri" w:hAnsi="Calibri"/>
          <w:sz w:val="24"/>
          <w:szCs w:val="24"/>
        </w:rPr>
        <w:t xml:space="preserve"> less than 25 years imprisonment.</w:t>
      </w:r>
    </w:p>
    <w:p w14:paraId="1B1E644E" w14:textId="77FAD1E2" w:rsidR="00DA1388" w:rsidRPr="00AB61CB" w:rsidRDefault="00DA1388" w:rsidP="00AD7D31">
      <w:pPr>
        <w:spacing w:after="0" w:line="240" w:lineRule="auto"/>
        <w:rPr>
          <w:rFonts w:ascii="Calibri" w:hAnsi="Calibri"/>
          <w:sz w:val="24"/>
          <w:szCs w:val="24"/>
        </w:rPr>
      </w:pPr>
    </w:p>
    <w:p w14:paraId="6C52CB3A" w14:textId="28417FF6" w:rsidR="00DA1388" w:rsidRPr="00AB61CB" w:rsidRDefault="00DA1388" w:rsidP="00AD7D31">
      <w:pPr>
        <w:spacing w:after="0" w:line="240" w:lineRule="auto"/>
        <w:rPr>
          <w:rFonts w:ascii="Calibri" w:hAnsi="Calibri"/>
          <w:sz w:val="24"/>
          <w:szCs w:val="24"/>
        </w:rPr>
      </w:pPr>
      <w:r w:rsidRPr="00AB61CB">
        <w:rPr>
          <w:rFonts w:ascii="Calibri" w:hAnsi="Calibri"/>
          <w:sz w:val="24"/>
          <w:szCs w:val="24"/>
        </w:rPr>
        <w:t xml:space="preserve">As the </w:t>
      </w:r>
      <w:r w:rsidRPr="00AB61CB">
        <w:rPr>
          <w:rFonts w:ascii="Calibri" w:hAnsi="Calibri"/>
          <w:i/>
          <w:iCs/>
          <w:sz w:val="24"/>
          <w:szCs w:val="24"/>
        </w:rPr>
        <w:t>actus reus</w:t>
      </w:r>
      <w:r w:rsidRPr="00AB61CB">
        <w:rPr>
          <w:rFonts w:ascii="Calibri" w:hAnsi="Calibri"/>
          <w:sz w:val="24"/>
          <w:szCs w:val="24"/>
        </w:rPr>
        <w:t xml:space="preserve"> of the offence is the relationship, if it continues after 2018, it is considered appropriate that it be subject to the maximum penalty applicable at that time, that is a maximum of 25 years imprisonment.</w:t>
      </w:r>
    </w:p>
    <w:p w14:paraId="33DFD080" w14:textId="77777777" w:rsidR="00DA1388" w:rsidRPr="00AB61CB" w:rsidRDefault="00DA1388" w:rsidP="00AD7D31">
      <w:pPr>
        <w:spacing w:after="0" w:line="240" w:lineRule="auto"/>
        <w:rPr>
          <w:rFonts w:ascii="Calibri" w:hAnsi="Calibri"/>
          <w:sz w:val="24"/>
          <w:szCs w:val="24"/>
        </w:rPr>
      </w:pPr>
    </w:p>
    <w:p w14:paraId="13153D1C" w14:textId="7957C8B8" w:rsidR="005902AA" w:rsidRPr="00AB61CB" w:rsidRDefault="00DA1388" w:rsidP="00AD7D31">
      <w:pPr>
        <w:spacing w:after="0" w:line="240" w:lineRule="auto"/>
        <w:rPr>
          <w:rFonts w:ascii="Calibri" w:hAnsi="Calibri"/>
          <w:i/>
          <w:iCs/>
          <w:sz w:val="24"/>
          <w:szCs w:val="24"/>
        </w:rPr>
      </w:pPr>
      <w:r w:rsidRPr="00AB61CB">
        <w:rPr>
          <w:rFonts w:ascii="Calibri" w:hAnsi="Calibri"/>
          <w:i/>
          <w:iCs/>
          <w:sz w:val="24"/>
          <w:szCs w:val="24"/>
        </w:rPr>
        <w:t>Item 1(b)(ii) – an offender may be subject to the highest penalty for an alleged offence even when the jury wasn’t able to agree that the offence was committed</w:t>
      </w:r>
    </w:p>
    <w:p w14:paraId="02ABBEAB" w14:textId="77777777" w:rsidR="007E0B44" w:rsidRDefault="007E0B44" w:rsidP="005578D8">
      <w:pPr>
        <w:rPr>
          <w:sz w:val="24"/>
          <w:szCs w:val="24"/>
        </w:rPr>
      </w:pPr>
    </w:p>
    <w:p w14:paraId="2922C888" w14:textId="4CE2EFD6" w:rsidR="005578D8" w:rsidRPr="00AB61CB" w:rsidRDefault="005578D8" w:rsidP="005578D8">
      <w:pPr>
        <w:rPr>
          <w:sz w:val="24"/>
          <w:szCs w:val="24"/>
        </w:rPr>
      </w:pPr>
      <w:r w:rsidRPr="00AB61CB">
        <w:rPr>
          <w:sz w:val="24"/>
          <w:szCs w:val="24"/>
        </w:rPr>
        <w:t xml:space="preserve">Item 1 of the table relates to the sentence in circumstances where the period of the relationship existed wholly before the introduction of maintaining a sexual relationship offence.  The intended operation of (1)(b) is that the offender be sentenced in accordance with the maximum penalties for each offence constituted by the sexual acts involved in </w:t>
      </w:r>
      <w:r w:rsidR="00521FFB">
        <w:rPr>
          <w:sz w:val="24"/>
          <w:szCs w:val="24"/>
        </w:rPr>
        <w:t xml:space="preserve">the </w:t>
      </w:r>
      <w:r w:rsidRPr="00AB61CB">
        <w:rPr>
          <w:sz w:val="24"/>
          <w:szCs w:val="24"/>
        </w:rPr>
        <w:t>relationship</w:t>
      </w:r>
      <w:r w:rsidR="001008B7">
        <w:rPr>
          <w:sz w:val="24"/>
          <w:szCs w:val="24"/>
        </w:rPr>
        <w:t xml:space="preserve">, otherwise there is no maximum penalty for the sentencing court to have regard to for offences occurring prior to the </w:t>
      </w:r>
      <w:r w:rsidR="00D13A70">
        <w:rPr>
          <w:sz w:val="24"/>
          <w:szCs w:val="24"/>
        </w:rPr>
        <w:t>1991 establishment of the relationship offence</w:t>
      </w:r>
      <w:r w:rsidRPr="00AB61CB">
        <w:rPr>
          <w:sz w:val="24"/>
          <w:szCs w:val="24"/>
        </w:rPr>
        <w:t>.</w:t>
      </w:r>
    </w:p>
    <w:p w14:paraId="0719E030" w14:textId="2CB323BA" w:rsidR="002B683F" w:rsidRPr="00AB61CB" w:rsidRDefault="005578D8" w:rsidP="005578D8">
      <w:pPr>
        <w:rPr>
          <w:sz w:val="24"/>
          <w:szCs w:val="24"/>
        </w:rPr>
      </w:pPr>
      <w:r w:rsidRPr="00AB61CB">
        <w:rPr>
          <w:sz w:val="24"/>
          <w:szCs w:val="24"/>
        </w:rPr>
        <w:t xml:space="preserve">The </w:t>
      </w:r>
      <w:r w:rsidR="001008B7">
        <w:rPr>
          <w:sz w:val="24"/>
          <w:szCs w:val="24"/>
        </w:rPr>
        <w:t>C</w:t>
      </w:r>
      <w:r w:rsidRPr="00AB61CB">
        <w:rPr>
          <w:sz w:val="24"/>
          <w:szCs w:val="24"/>
        </w:rPr>
        <w:t>ommittee notes that</w:t>
      </w:r>
      <w:r w:rsidR="00941848">
        <w:rPr>
          <w:sz w:val="24"/>
          <w:szCs w:val="24"/>
        </w:rPr>
        <w:t xml:space="preserve"> </w:t>
      </w:r>
      <w:r w:rsidRPr="00AB61CB">
        <w:rPr>
          <w:sz w:val="24"/>
          <w:szCs w:val="24"/>
        </w:rPr>
        <w:t xml:space="preserve">(1)(b)(ii) applies where the </w:t>
      </w:r>
      <w:r w:rsidR="002B683F" w:rsidRPr="00AB61CB">
        <w:rPr>
          <w:sz w:val="24"/>
          <w:szCs w:val="24"/>
        </w:rPr>
        <w:t xml:space="preserve">trier of fact is satisfied that the </w:t>
      </w:r>
      <w:r w:rsidRPr="00AB61CB">
        <w:rPr>
          <w:sz w:val="24"/>
          <w:szCs w:val="24"/>
        </w:rPr>
        <w:t>relationship</w:t>
      </w:r>
      <w:r w:rsidR="002B683F" w:rsidRPr="00AB61CB">
        <w:rPr>
          <w:sz w:val="24"/>
          <w:szCs w:val="24"/>
        </w:rPr>
        <w:t xml:space="preserve"> existed, and where the trier of fact is a</w:t>
      </w:r>
      <w:r w:rsidRPr="00AB61CB">
        <w:rPr>
          <w:sz w:val="24"/>
          <w:szCs w:val="24"/>
        </w:rPr>
        <w:t xml:space="preserve"> jury</w:t>
      </w:r>
      <w:r w:rsidR="002B683F" w:rsidRPr="00AB61CB">
        <w:rPr>
          <w:sz w:val="24"/>
          <w:szCs w:val="24"/>
        </w:rPr>
        <w:t xml:space="preserve">, it </w:t>
      </w:r>
      <w:r w:rsidR="00521FFB">
        <w:rPr>
          <w:sz w:val="24"/>
          <w:szCs w:val="24"/>
        </w:rPr>
        <w:t xml:space="preserve">need </w:t>
      </w:r>
      <w:r w:rsidR="007B01EB" w:rsidRPr="00941848">
        <w:rPr>
          <w:sz w:val="24"/>
          <w:szCs w:val="24"/>
        </w:rPr>
        <w:t>not</w:t>
      </w:r>
      <w:r w:rsidR="007B01EB">
        <w:rPr>
          <w:sz w:val="24"/>
          <w:szCs w:val="24"/>
        </w:rPr>
        <w:t xml:space="preserve"> </w:t>
      </w:r>
      <w:r w:rsidR="002B683F" w:rsidRPr="00AB61CB">
        <w:rPr>
          <w:sz w:val="24"/>
          <w:szCs w:val="24"/>
        </w:rPr>
        <w:t xml:space="preserve">have agreed on the same sexual acts involved in a relationship. </w:t>
      </w:r>
    </w:p>
    <w:p w14:paraId="53F487EE" w14:textId="4F632A0A" w:rsidR="005578D8" w:rsidRPr="00AB61CB" w:rsidRDefault="002B683F" w:rsidP="005578D8">
      <w:pPr>
        <w:rPr>
          <w:sz w:val="24"/>
          <w:szCs w:val="24"/>
        </w:rPr>
      </w:pPr>
      <w:r w:rsidRPr="00AB61CB">
        <w:rPr>
          <w:sz w:val="24"/>
          <w:szCs w:val="24"/>
        </w:rPr>
        <w:t xml:space="preserve">The </w:t>
      </w:r>
      <w:r w:rsidR="001008B7">
        <w:rPr>
          <w:sz w:val="24"/>
          <w:szCs w:val="24"/>
        </w:rPr>
        <w:t>C</w:t>
      </w:r>
      <w:r w:rsidRPr="00AB61CB">
        <w:rPr>
          <w:sz w:val="24"/>
          <w:szCs w:val="24"/>
        </w:rPr>
        <w:t>ommittee’s concern is that this allows the imposition of the highest maximum penalty applicable for any of the offences alleged, even though the jury may not have agreed that the sexual act to which the highest maximum penalty attaches has occurred.</w:t>
      </w:r>
    </w:p>
    <w:p w14:paraId="2F3B2879" w14:textId="4BA3B8DC" w:rsidR="002B683F" w:rsidRPr="00AB61CB" w:rsidRDefault="002B683F" w:rsidP="005578D8">
      <w:pPr>
        <w:rPr>
          <w:sz w:val="24"/>
          <w:szCs w:val="24"/>
        </w:rPr>
      </w:pPr>
      <w:r w:rsidRPr="00AB61CB">
        <w:rPr>
          <w:sz w:val="24"/>
          <w:szCs w:val="24"/>
        </w:rPr>
        <w:t>By way of example, this situation could arise if there is an indictment as follows:</w:t>
      </w:r>
    </w:p>
    <w:p w14:paraId="10B22A54" w14:textId="77777777" w:rsidR="005578D8" w:rsidRPr="00AB61CB" w:rsidRDefault="005578D8" w:rsidP="005578D8">
      <w:pPr>
        <w:rPr>
          <w:sz w:val="24"/>
          <w:szCs w:val="24"/>
        </w:rPr>
      </w:pPr>
      <w:r w:rsidRPr="00AB61CB">
        <w:rPr>
          <w:sz w:val="24"/>
          <w:szCs w:val="24"/>
        </w:rPr>
        <w:t>Count 1: Relationship</w:t>
      </w:r>
    </w:p>
    <w:p w14:paraId="1E0E858D" w14:textId="77777777" w:rsidR="005578D8" w:rsidRPr="00AB61CB" w:rsidRDefault="005578D8" w:rsidP="005578D8">
      <w:pPr>
        <w:rPr>
          <w:sz w:val="24"/>
          <w:szCs w:val="24"/>
        </w:rPr>
      </w:pPr>
      <w:r w:rsidRPr="00AB61CB">
        <w:rPr>
          <w:sz w:val="24"/>
          <w:szCs w:val="24"/>
        </w:rPr>
        <w:t>Counts 2 – 4: sexual intercourse with a young person</w:t>
      </w:r>
    </w:p>
    <w:p w14:paraId="2E262C12" w14:textId="7F5D7A4A" w:rsidR="005578D8" w:rsidRPr="00AB61CB" w:rsidRDefault="005578D8" w:rsidP="005578D8">
      <w:pPr>
        <w:rPr>
          <w:sz w:val="24"/>
          <w:szCs w:val="24"/>
        </w:rPr>
      </w:pPr>
      <w:r w:rsidRPr="00AB61CB">
        <w:rPr>
          <w:sz w:val="24"/>
          <w:szCs w:val="24"/>
        </w:rPr>
        <w:t xml:space="preserve">Count 5: act of indecency with a </w:t>
      </w:r>
      <w:r w:rsidR="002B683F" w:rsidRPr="00AB61CB">
        <w:rPr>
          <w:sz w:val="24"/>
          <w:szCs w:val="24"/>
        </w:rPr>
        <w:t>young person</w:t>
      </w:r>
      <w:r w:rsidRPr="00AB61CB">
        <w:rPr>
          <w:sz w:val="24"/>
          <w:szCs w:val="24"/>
        </w:rPr>
        <w:t>.</w:t>
      </w:r>
    </w:p>
    <w:p w14:paraId="788B761F" w14:textId="1F721796" w:rsidR="005578D8" w:rsidRPr="00AB61CB" w:rsidRDefault="005578D8" w:rsidP="005578D8">
      <w:pPr>
        <w:rPr>
          <w:sz w:val="24"/>
          <w:szCs w:val="24"/>
        </w:rPr>
      </w:pPr>
      <w:r w:rsidRPr="00AB61CB">
        <w:rPr>
          <w:sz w:val="24"/>
          <w:szCs w:val="24"/>
        </w:rPr>
        <w:t xml:space="preserve">If the jury </w:t>
      </w:r>
      <w:r w:rsidR="001008B7">
        <w:rPr>
          <w:sz w:val="24"/>
          <w:szCs w:val="24"/>
        </w:rPr>
        <w:t>returned a guilty verdict</w:t>
      </w:r>
      <w:r w:rsidRPr="00AB61CB">
        <w:rPr>
          <w:sz w:val="24"/>
          <w:szCs w:val="24"/>
        </w:rPr>
        <w:t xml:space="preserve"> on Count 1, and not guilty on all </w:t>
      </w:r>
      <w:r w:rsidR="001008B7">
        <w:rPr>
          <w:sz w:val="24"/>
          <w:szCs w:val="24"/>
        </w:rPr>
        <w:t>other counts,</w:t>
      </w:r>
      <w:r w:rsidRPr="00AB61CB">
        <w:rPr>
          <w:sz w:val="24"/>
          <w:szCs w:val="24"/>
        </w:rPr>
        <w:t xml:space="preserve"> they must have all been satisfied that </w:t>
      </w:r>
      <w:r w:rsidRPr="00AB61CB">
        <w:rPr>
          <w:i/>
          <w:iCs/>
          <w:sz w:val="24"/>
          <w:szCs w:val="24"/>
        </w:rPr>
        <w:t xml:space="preserve">at least one </w:t>
      </w:r>
      <w:r w:rsidRPr="00AB61CB">
        <w:rPr>
          <w:sz w:val="24"/>
          <w:szCs w:val="24"/>
        </w:rPr>
        <w:t xml:space="preserve">incident of sexual intercourse had occurred, </w:t>
      </w:r>
      <w:r w:rsidR="001008B7">
        <w:rPr>
          <w:sz w:val="24"/>
          <w:szCs w:val="24"/>
        </w:rPr>
        <w:t>but were unable to unanimously</w:t>
      </w:r>
      <w:r w:rsidRPr="00AB61CB">
        <w:rPr>
          <w:sz w:val="24"/>
          <w:szCs w:val="24"/>
        </w:rPr>
        <w:t xml:space="preserve"> agree on which one/s.  </w:t>
      </w:r>
    </w:p>
    <w:p w14:paraId="4A98F364" w14:textId="09404052" w:rsidR="00DA1388" w:rsidRPr="00AB61CB" w:rsidRDefault="005578D8" w:rsidP="005578D8">
      <w:pPr>
        <w:spacing w:after="0" w:line="240" w:lineRule="auto"/>
        <w:rPr>
          <w:sz w:val="24"/>
          <w:szCs w:val="24"/>
        </w:rPr>
      </w:pPr>
      <w:r w:rsidRPr="00AB61CB">
        <w:rPr>
          <w:sz w:val="24"/>
          <w:szCs w:val="24"/>
        </w:rPr>
        <w:lastRenderedPageBreak/>
        <w:t xml:space="preserve">If </w:t>
      </w:r>
      <w:r w:rsidR="002B683F" w:rsidRPr="00AB61CB">
        <w:rPr>
          <w:sz w:val="24"/>
          <w:szCs w:val="24"/>
        </w:rPr>
        <w:t>1</w:t>
      </w:r>
      <w:r w:rsidRPr="00AB61CB">
        <w:rPr>
          <w:sz w:val="24"/>
          <w:szCs w:val="24"/>
        </w:rPr>
        <w:t xml:space="preserve">(b)(ii) limited the court to the </w:t>
      </w:r>
      <w:r w:rsidRPr="00AB61CB">
        <w:rPr>
          <w:i/>
          <w:iCs/>
          <w:sz w:val="24"/>
          <w:szCs w:val="24"/>
        </w:rPr>
        <w:t xml:space="preserve">lowest </w:t>
      </w:r>
      <w:r w:rsidRPr="00AB61CB">
        <w:rPr>
          <w:sz w:val="24"/>
          <w:szCs w:val="24"/>
        </w:rPr>
        <w:t>maximum penalty, the court would be bound by the max</w:t>
      </w:r>
      <w:r w:rsidR="002B683F" w:rsidRPr="00AB61CB">
        <w:rPr>
          <w:sz w:val="24"/>
          <w:szCs w:val="24"/>
        </w:rPr>
        <w:t>imum</w:t>
      </w:r>
      <w:r w:rsidRPr="00AB61CB">
        <w:rPr>
          <w:sz w:val="24"/>
          <w:szCs w:val="24"/>
        </w:rPr>
        <w:t xml:space="preserve"> pen</w:t>
      </w:r>
      <w:r w:rsidR="002B683F" w:rsidRPr="00AB61CB">
        <w:rPr>
          <w:sz w:val="24"/>
          <w:szCs w:val="24"/>
        </w:rPr>
        <w:t>alty</w:t>
      </w:r>
      <w:r w:rsidRPr="00AB61CB">
        <w:rPr>
          <w:sz w:val="24"/>
          <w:szCs w:val="24"/>
        </w:rPr>
        <w:t xml:space="preserve"> for the act of indecency which can only have been one of the sexual acts the jury were satisfied of.  </w:t>
      </w:r>
      <w:r w:rsidR="00AB61CB" w:rsidRPr="00AB61CB">
        <w:rPr>
          <w:sz w:val="24"/>
          <w:szCs w:val="24"/>
        </w:rPr>
        <w:t xml:space="preserve">The approach taken in the Bill is that </w:t>
      </w:r>
      <w:r w:rsidRPr="00AB61CB">
        <w:rPr>
          <w:sz w:val="24"/>
          <w:szCs w:val="24"/>
        </w:rPr>
        <w:t xml:space="preserve">(b)(ii) </w:t>
      </w:r>
      <w:r w:rsidR="00AB61CB" w:rsidRPr="00AB61CB">
        <w:rPr>
          <w:sz w:val="24"/>
          <w:szCs w:val="24"/>
        </w:rPr>
        <w:t xml:space="preserve">allows </w:t>
      </w:r>
      <w:r w:rsidRPr="00AB61CB">
        <w:rPr>
          <w:sz w:val="24"/>
          <w:szCs w:val="24"/>
        </w:rPr>
        <w:t>the court to</w:t>
      </w:r>
      <w:r w:rsidR="00AB61CB" w:rsidRPr="00AB61CB">
        <w:rPr>
          <w:sz w:val="24"/>
          <w:szCs w:val="24"/>
        </w:rPr>
        <w:t xml:space="preserve"> impose up to</w:t>
      </w:r>
      <w:r w:rsidRPr="00AB61CB">
        <w:rPr>
          <w:sz w:val="24"/>
          <w:szCs w:val="24"/>
        </w:rPr>
        <w:t xml:space="preserve"> the </w:t>
      </w:r>
      <w:r w:rsidRPr="00AB61CB">
        <w:rPr>
          <w:i/>
          <w:iCs/>
          <w:sz w:val="24"/>
          <w:szCs w:val="24"/>
        </w:rPr>
        <w:t xml:space="preserve">highest </w:t>
      </w:r>
      <w:r w:rsidRPr="00AB61CB">
        <w:rPr>
          <w:sz w:val="24"/>
          <w:szCs w:val="24"/>
        </w:rPr>
        <w:t>maximum penalty</w:t>
      </w:r>
      <w:r w:rsidR="00AB61CB" w:rsidRPr="00AB61CB">
        <w:rPr>
          <w:sz w:val="24"/>
          <w:szCs w:val="24"/>
        </w:rPr>
        <w:t>, for the offences alleged, recognising that</w:t>
      </w:r>
      <w:r w:rsidRPr="00AB61CB">
        <w:rPr>
          <w:sz w:val="24"/>
          <w:szCs w:val="24"/>
        </w:rPr>
        <w:t xml:space="preserve"> the court can still exercise a discretion to impose a lower sentence in circumstances where it would be fairer to the accused to do so.</w:t>
      </w:r>
    </w:p>
    <w:p w14:paraId="00F03B05" w14:textId="1B14EF42" w:rsidR="00AB61CB" w:rsidRPr="00AB61CB" w:rsidRDefault="00AB61CB" w:rsidP="005578D8">
      <w:pPr>
        <w:spacing w:after="0" w:line="240" w:lineRule="auto"/>
        <w:rPr>
          <w:rFonts w:ascii="Calibri" w:hAnsi="Calibri"/>
          <w:sz w:val="24"/>
          <w:szCs w:val="24"/>
        </w:rPr>
      </w:pPr>
    </w:p>
    <w:p w14:paraId="0D2B728D" w14:textId="7D35CAE6" w:rsidR="00AB61CB" w:rsidRPr="00AB61CB" w:rsidRDefault="00AB61CB" w:rsidP="005578D8">
      <w:pPr>
        <w:spacing w:after="0" w:line="240" w:lineRule="auto"/>
        <w:rPr>
          <w:rFonts w:ascii="Calibri" w:hAnsi="Calibri"/>
          <w:i/>
          <w:iCs/>
          <w:sz w:val="24"/>
          <w:szCs w:val="24"/>
        </w:rPr>
      </w:pPr>
      <w:r w:rsidRPr="00AB61CB">
        <w:rPr>
          <w:rFonts w:ascii="Calibri" w:hAnsi="Calibri"/>
          <w:i/>
          <w:iCs/>
          <w:sz w:val="24"/>
          <w:szCs w:val="24"/>
        </w:rPr>
        <w:t>Title of the offence</w:t>
      </w:r>
    </w:p>
    <w:p w14:paraId="13529838" w14:textId="58A58F77" w:rsidR="005902AA" w:rsidRPr="00AB61CB" w:rsidRDefault="005902AA" w:rsidP="00AD7D31">
      <w:pPr>
        <w:spacing w:after="0" w:line="240" w:lineRule="auto"/>
        <w:rPr>
          <w:rFonts w:ascii="Calibri" w:hAnsi="Calibri"/>
          <w:sz w:val="24"/>
          <w:szCs w:val="24"/>
        </w:rPr>
      </w:pPr>
    </w:p>
    <w:p w14:paraId="6C25F326" w14:textId="363327A8" w:rsidR="00AB61CB" w:rsidRPr="00AB61CB" w:rsidRDefault="00AB61CB" w:rsidP="00AB61CB">
      <w:pPr>
        <w:rPr>
          <w:i/>
          <w:iCs/>
          <w:sz w:val="24"/>
          <w:szCs w:val="24"/>
        </w:rPr>
      </w:pPr>
      <w:r w:rsidRPr="00AB61CB">
        <w:rPr>
          <w:rFonts w:ascii="Calibri" w:hAnsi="Calibri"/>
          <w:sz w:val="24"/>
          <w:szCs w:val="24"/>
        </w:rPr>
        <w:t xml:space="preserve">Finally, the Committee has commented on the proposed heading for section 56.  The Committee’s observations are noted.  The construction of the section, including the reference in the name to ‘relationship’, has been influenced by the Royal Commission’s comments supporting the approach in </w:t>
      </w:r>
      <w:r w:rsidRPr="00AB61CB">
        <w:rPr>
          <w:sz w:val="24"/>
          <w:szCs w:val="24"/>
        </w:rPr>
        <w:t xml:space="preserve">the Queensland equivalent provision (s 229B of the Qld Criminal Code).  This was also referred to by the ACT Court of Appeal in </w:t>
      </w:r>
      <w:r w:rsidRPr="00AB61CB">
        <w:rPr>
          <w:i/>
          <w:iCs/>
          <w:sz w:val="24"/>
          <w:szCs w:val="24"/>
        </w:rPr>
        <w:t>KN v R</w:t>
      </w:r>
      <w:r w:rsidRPr="00AB61CB">
        <w:rPr>
          <w:sz w:val="24"/>
          <w:szCs w:val="24"/>
        </w:rPr>
        <w:t xml:space="preserve"> as a construction where the relationship is the </w:t>
      </w:r>
      <w:r w:rsidRPr="00AB61CB">
        <w:rPr>
          <w:i/>
          <w:iCs/>
          <w:sz w:val="24"/>
          <w:szCs w:val="24"/>
        </w:rPr>
        <w:t>actus reus.</w:t>
      </w:r>
    </w:p>
    <w:p w14:paraId="3ED222DE" w14:textId="6044F612" w:rsidR="00AB61CB" w:rsidRPr="00A031A0" w:rsidRDefault="007E0B44" w:rsidP="00AD7D31">
      <w:pPr>
        <w:spacing w:after="0" w:line="240" w:lineRule="auto"/>
        <w:rPr>
          <w:rFonts w:ascii="Calibri" w:hAnsi="Calibri"/>
          <w:sz w:val="24"/>
          <w:szCs w:val="24"/>
        </w:rPr>
      </w:pPr>
      <w:r>
        <w:rPr>
          <w:rFonts w:ascii="Calibri" w:hAnsi="Calibri"/>
          <w:sz w:val="24"/>
          <w:szCs w:val="24"/>
        </w:rPr>
        <w:t>I</w:t>
      </w:r>
      <w:r w:rsidR="00BA2B98">
        <w:rPr>
          <w:rFonts w:ascii="Calibri" w:hAnsi="Calibri"/>
          <w:sz w:val="24"/>
          <w:szCs w:val="24"/>
        </w:rPr>
        <w:t xml:space="preserve"> thank the Committee for its comments and</w:t>
      </w:r>
      <w:r>
        <w:rPr>
          <w:rFonts w:ascii="Calibri" w:hAnsi="Calibri"/>
          <w:sz w:val="24"/>
          <w:szCs w:val="24"/>
        </w:rPr>
        <w:t xml:space="preserve"> trust that this information is of assistance</w:t>
      </w:r>
      <w:r w:rsidR="00BA2B98">
        <w:rPr>
          <w:rFonts w:ascii="Calibri" w:hAnsi="Calibri"/>
          <w:sz w:val="24"/>
          <w:szCs w:val="24"/>
        </w:rPr>
        <w:t xml:space="preserve">.  I </w:t>
      </w:r>
      <w:r>
        <w:rPr>
          <w:rFonts w:ascii="Calibri" w:hAnsi="Calibri"/>
          <w:sz w:val="24"/>
          <w:szCs w:val="24"/>
        </w:rPr>
        <w:t>reaffirm that the proposed amendments to section 56</w:t>
      </w:r>
      <w:r w:rsidR="00BA2B98">
        <w:rPr>
          <w:rFonts w:ascii="Calibri" w:hAnsi="Calibri"/>
          <w:sz w:val="24"/>
          <w:szCs w:val="24"/>
        </w:rPr>
        <w:t>,</w:t>
      </w:r>
      <w:r>
        <w:rPr>
          <w:rFonts w:ascii="Calibri" w:hAnsi="Calibri"/>
          <w:sz w:val="24"/>
          <w:szCs w:val="24"/>
        </w:rPr>
        <w:t xml:space="preserve"> to the extent that </w:t>
      </w:r>
      <w:r w:rsidR="00BA2B98">
        <w:rPr>
          <w:rFonts w:ascii="Calibri" w:hAnsi="Calibri"/>
          <w:sz w:val="24"/>
          <w:szCs w:val="24"/>
        </w:rPr>
        <w:t>they engage and limit the right to protection from retrospective laws, are considered necessary and justified.</w:t>
      </w:r>
    </w:p>
    <w:p w14:paraId="6C349A81" w14:textId="4EC84A0E" w:rsidR="00AD7D31" w:rsidRPr="00A031A0" w:rsidRDefault="00AD7D31" w:rsidP="00AD7D31">
      <w:pPr>
        <w:spacing w:after="0" w:line="240" w:lineRule="auto"/>
        <w:rPr>
          <w:rFonts w:ascii="Calibri" w:hAnsi="Calibri"/>
          <w:sz w:val="24"/>
          <w:szCs w:val="24"/>
        </w:rPr>
      </w:pPr>
    </w:p>
    <w:p w14:paraId="3918390E" w14:textId="77777777" w:rsidR="00AD7D31" w:rsidRPr="00A031A0" w:rsidRDefault="00AD7D31" w:rsidP="00AD7D31">
      <w:pPr>
        <w:spacing w:after="0" w:line="240" w:lineRule="auto"/>
        <w:rPr>
          <w:rFonts w:ascii="Calibri" w:hAnsi="Calibri"/>
          <w:sz w:val="24"/>
          <w:szCs w:val="24"/>
        </w:rPr>
      </w:pPr>
    </w:p>
    <w:p w14:paraId="7151A107"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6170512A" w14:textId="56ADF78A" w:rsidR="00AD7D31" w:rsidRDefault="00834846" w:rsidP="00AD7D31">
      <w:pPr>
        <w:spacing w:after="0" w:line="240" w:lineRule="auto"/>
        <w:rPr>
          <w:rFonts w:ascii="Calibri" w:hAnsi="Calibri"/>
          <w:sz w:val="24"/>
          <w:szCs w:val="24"/>
        </w:rPr>
      </w:pPr>
      <w:r w:rsidRPr="00A031A0">
        <w:rPr>
          <w:rFonts w:ascii="Calibri" w:hAnsi="Calibri"/>
          <w:sz w:val="24"/>
          <w:szCs w:val="24"/>
        </w:rPr>
        <w:br/>
      </w:r>
    </w:p>
    <w:p w14:paraId="6AFE437E" w14:textId="07CB23C2" w:rsidR="00BA2B98" w:rsidRDefault="00BA2B98" w:rsidP="00AD7D31">
      <w:pPr>
        <w:spacing w:after="0" w:line="240" w:lineRule="auto"/>
        <w:rPr>
          <w:rFonts w:ascii="Calibri" w:hAnsi="Calibri"/>
          <w:sz w:val="24"/>
          <w:szCs w:val="24"/>
        </w:rPr>
      </w:pPr>
    </w:p>
    <w:p w14:paraId="17277876" w14:textId="77777777" w:rsidR="00BA2B98" w:rsidRPr="00A031A0" w:rsidRDefault="00BA2B98" w:rsidP="00AD7D31">
      <w:pPr>
        <w:spacing w:after="0" w:line="240" w:lineRule="auto"/>
        <w:rPr>
          <w:rFonts w:ascii="Calibri" w:hAnsi="Calibri"/>
          <w:sz w:val="24"/>
          <w:szCs w:val="24"/>
        </w:rPr>
      </w:pPr>
    </w:p>
    <w:p w14:paraId="2CE69851" w14:textId="34381D8F"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67D2C1CD" w14:textId="4B0BA3E1" w:rsidR="00C158C7" w:rsidRPr="00A031A0" w:rsidRDefault="00C158C7" w:rsidP="00AD7D31">
      <w:pPr>
        <w:spacing w:after="0" w:line="240" w:lineRule="auto"/>
        <w:rPr>
          <w:rFonts w:ascii="Calibri" w:hAnsi="Calibri"/>
          <w:sz w:val="24"/>
          <w:szCs w:val="24"/>
        </w:rPr>
      </w:pPr>
      <w:r>
        <w:rPr>
          <w:rFonts w:ascii="Calibri" w:hAnsi="Calibri"/>
          <w:sz w:val="24"/>
          <w:szCs w:val="24"/>
        </w:rPr>
        <w:t>Attorney-General</w:t>
      </w:r>
    </w:p>
    <w:p w14:paraId="0F350C6E" w14:textId="77777777" w:rsidR="00AD7D31" w:rsidRPr="00A031A0" w:rsidRDefault="00AD7D31" w:rsidP="00AD7D31">
      <w:pPr>
        <w:spacing w:after="0" w:line="240" w:lineRule="auto"/>
        <w:rPr>
          <w:rFonts w:ascii="Times New Roman" w:hAnsi="Times New Roman"/>
          <w:sz w:val="24"/>
          <w:szCs w:val="24"/>
        </w:rPr>
      </w:pPr>
    </w:p>
    <w:p w14:paraId="012A9EEC" w14:textId="77777777" w:rsidR="00AD7D31" w:rsidRPr="00A031A0" w:rsidRDefault="00AD7D31" w:rsidP="00AD7D31">
      <w:pPr>
        <w:tabs>
          <w:tab w:val="left" w:pos="3240"/>
        </w:tabs>
        <w:spacing w:after="0" w:line="240" w:lineRule="auto"/>
        <w:rPr>
          <w:sz w:val="24"/>
          <w:szCs w:val="24"/>
        </w:rPr>
      </w:pPr>
      <w:r w:rsidRPr="00A031A0">
        <w:rPr>
          <w:sz w:val="24"/>
          <w:szCs w:val="24"/>
        </w:rPr>
        <w:tab/>
      </w:r>
    </w:p>
    <w:p w14:paraId="5B1F77BC" w14:textId="77777777"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1FC2F4F9" wp14:editId="153CBD4A">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AD70E"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C2F4F9"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" filled="f" stroked="f">
                <v:textbox inset="0,0,0,0">
                  <w:txbxContent>
                    <w:p w14:paraId="50BAD70E" w14:textId="77777777" w:rsidR="0061634E" w:rsidRPr="0039472D" w:rsidRDefault="0061634E"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p>
    <w:p w14:paraId="61414362"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10FE0" w14:textId="77777777" w:rsidR="000F44D7" w:rsidRDefault="000F44D7" w:rsidP="00AD7D31">
      <w:pPr>
        <w:spacing w:after="0" w:line="240" w:lineRule="auto"/>
      </w:pPr>
      <w:r>
        <w:separator/>
      </w:r>
    </w:p>
  </w:endnote>
  <w:endnote w:type="continuationSeparator" w:id="0">
    <w:p w14:paraId="38E75C65" w14:textId="77777777" w:rsidR="000F44D7" w:rsidRDefault="000F44D7"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B378C"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7301D6F7" wp14:editId="28A0B918">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9DEDA7E" w14:textId="77777777" w:rsidR="0064748B" w:rsidRPr="006A1B70" w:rsidRDefault="008208DA"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8E98ED5" wp14:editId="7319554C">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2B404C"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14:paraId="4570C514" w14:textId="77777777" w:rsidR="005351C5" w:rsidRPr="0064748B" w:rsidRDefault="008208DA"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2DEA2F3C" wp14:editId="0C22D68F">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09B52"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EA2F3C"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57B09B52" w14:textId="77777777"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F8DE38C" wp14:editId="715F4327">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55F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DE38C"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101B55F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sidR="008208DA">
                      <w:rPr>
                        <w:rFonts w:ascii="Calibri Light"/>
                        <w:color w:val="231F20"/>
                        <w:sz w:val="24"/>
                        <w:szCs w:val="24"/>
                      </w:rPr>
                      <w:t>G</w:t>
                    </w:r>
                    <w:r w:rsidR="00F47925">
                      <w:rPr>
                        <w:rFonts w:ascii="Calibri Light"/>
                        <w:color w:val="231F20"/>
                        <w:sz w:val="24"/>
                        <w:szCs w:val="24"/>
                      </w:rPr>
                      <w:t>ordon_R_Ramsay</w:t>
                    </w:r>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6EA03271" wp14:editId="12BBFBE2">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793DB0"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FDE36" w14:textId="77777777" w:rsidR="000F44D7" w:rsidRDefault="000F44D7" w:rsidP="00AD7D31">
      <w:pPr>
        <w:spacing w:after="0" w:line="240" w:lineRule="auto"/>
      </w:pPr>
      <w:r>
        <w:separator/>
      </w:r>
    </w:p>
  </w:footnote>
  <w:footnote w:type="continuationSeparator" w:id="0">
    <w:p w14:paraId="52AD4DF3" w14:textId="77777777" w:rsidR="000F44D7" w:rsidRDefault="000F44D7"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15C0E" w14:textId="1CAD0226" w:rsidR="00AD7D31" w:rsidRDefault="00AD7D31">
    <w:pPr>
      <w:pStyle w:val="Header"/>
    </w:pPr>
  </w:p>
  <w:p w14:paraId="0D454F91"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2BD77" w14:textId="77777777"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72609F9" wp14:editId="7959543E">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0735E">
      <w:t>Attorney-General</w:t>
    </w:r>
    <w:r w:rsidR="00D0735E">
      <w:br/>
      <w:t>Minister for the Arts</w:t>
    </w:r>
    <w:r w:rsidR="00611D96">
      <w:t>, Creative Industries</w:t>
    </w:r>
    <w:r w:rsidR="00D0735E">
      <w:t xml:space="preserve"> and</w:t>
    </w:r>
    <w:r w:rsidR="00611D96">
      <w:br/>
      <w:t xml:space="preserve"> </w:t>
    </w:r>
    <w:r w:rsidR="00D0735E">
      <w:t xml:space="preserve"> Cultural Events</w:t>
    </w:r>
    <w:r w:rsidR="00D0735E">
      <w:br/>
      <w:t>Minister for Building Quality Improvement</w:t>
    </w:r>
    <w:r w:rsidR="00D0735E">
      <w:br/>
      <w:t>Minister for Business and Regulatory Services</w:t>
    </w:r>
    <w:r w:rsidR="00611D96">
      <w:t xml:space="preserve"> </w:t>
    </w:r>
    <w:r w:rsidR="00D0735E">
      <w:br/>
      <w:t>Minister for Seniors and Veterans</w:t>
    </w:r>
  </w:p>
  <w:p w14:paraId="056B7465"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D4EA1B1-C4C0-4E68-BF12-4211C7442A2C}"/>
    <w:docVar w:name="dgnword-eventsink" w:val="512319592"/>
  </w:docVars>
  <w:rsids>
    <w:rsidRoot w:val="00611D96"/>
    <w:rsid w:val="000F44D7"/>
    <w:rsid w:val="001008B7"/>
    <w:rsid w:val="001450DC"/>
    <w:rsid w:val="001804F3"/>
    <w:rsid w:val="001851B2"/>
    <w:rsid w:val="001B3DC5"/>
    <w:rsid w:val="001B660F"/>
    <w:rsid w:val="001D7389"/>
    <w:rsid w:val="002B683F"/>
    <w:rsid w:val="00313E4A"/>
    <w:rsid w:val="00350E84"/>
    <w:rsid w:val="00392E33"/>
    <w:rsid w:val="0041104E"/>
    <w:rsid w:val="00452780"/>
    <w:rsid w:val="00521FFB"/>
    <w:rsid w:val="005351C5"/>
    <w:rsid w:val="0053624E"/>
    <w:rsid w:val="0055749D"/>
    <w:rsid w:val="005578D8"/>
    <w:rsid w:val="005902AA"/>
    <w:rsid w:val="005C4787"/>
    <w:rsid w:val="005E7DE1"/>
    <w:rsid w:val="00611D96"/>
    <w:rsid w:val="0061438B"/>
    <w:rsid w:val="0061634E"/>
    <w:rsid w:val="0064748B"/>
    <w:rsid w:val="00653ED0"/>
    <w:rsid w:val="00655CD8"/>
    <w:rsid w:val="00671A52"/>
    <w:rsid w:val="006A1B70"/>
    <w:rsid w:val="00712BA7"/>
    <w:rsid w:val="007B01EB"/>
    <w:rsid w:val="007D7FAC"/>
    <w:rsid w:val="007E0B44"/>
    <w:rsid w:val="0080031B"/>
    <w:rsid w:val="00806ACB"/>
    <w:rsid w:val="008208DA"/>
    <w:rsid w:val="00834846"/>
    <w:rsid w:val="00855531"/>
    <w:rsid w:val="008D15E5"/>
    <w:rsid w:val="008F5BFD"/>
    <w:rsid w:val="00941848"/>
    <w:rsid w:val="009C2877"/>
    <w:rsid w:val="00A031A0"/>
    <w:rsid w:val="00A254F7"/>
    <w:rsid w:val="00A80225"/>
    <w:rsid w:val="00AB61CB"/>
    <w:rsid w:val="00AD7D31"/>
    <w:rsid w:val="00B85096"/>
    <w:rsid w:val="00BA2B98"/>
    <w:rsid w:val="00C158C7"/>
    <w:rsid w:val="00D04FFF"/>
    <w:rsid w:val="00D0735E"/>
    <w:rsid w:val="00D13A70"/>
    <w:rsid w:val="00D53F26"/>
    <w:rsid w:val="00D64614"/>
    <w:rsid w:val="00DA1388"/>
    <w:rsid w:val="00DD766A"/>
    <w:rsid w:val="00E646EF"/>
    <w:rsid w:val="00ED5634"/>
    <w:rsid w:val="00F47925"/>
    <w:rsid w:val="00F50739"/>
    <w:rsid w:val="00FA47E3"/>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95DB91"/>
  <w15:chartTrackingRefBased/>
  <w15:docId w15:val="{71B60F2C-7FD6-40D2-88A1-D110E9B4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23659503">
      <w:bodyDiv w:val="1"/>
      <w:marLeft w:val="0"/>
      <w:marRight w:val="0"/>
      <w:marTop w:val="0"/>
      <w:marBottom w:val="0"/>
      <w:divBdr>
        <w:top w:val="none" w:sz="0" w:space="0" w:color="auto"/>
        <w:left w:val="none" w:sz="0" w:space="0" w:color="auto"/>
        <w:bottom w:val="none" w:sz="0" w:space="0" w:color="auto"/>
        <w:right w:val="none" w:sz="0" w:space="0" w:color="auto"/>
      </w:divBdr>
    </w:div>
    <w:div w:id="192521574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2.xml><?xml version="1.0" encoding="utf-8"?>
<ds:datastoreItem xmlns:ds="http://schemas.openxmlformats.org/officeDocument/2006/customXml" ds:itemID="{7F4223BF-FF7B-4A96-92F0-837A9E9A52E9}">
  <ds:schemaRefs>
    <ds:schemaRef ds:uri="http://www.w3.org/XML/1998/namespace"/>
    <ds:schemaRef ds:uri="http://schemas.openxmlformats.org/package/2006/metadata/core-properties"/>
    <ds:schemaRef ds:uri="f6c841be-bb08-4901-87b0-0033aa80d2c6"/>
    <ds:schemaRef ds:uri="http://schemas.microsoft.com/office/2006/metadata/properties"/>
    <ds:schemaRef ds:uri="http://purl.org/dc/terms/"/>
    <ds:schemaRef ds:uri="http://schemas.microsoft.com/office/infopath/2007/PartnerControls"/>
    <ds:schemaRef ds:uri="http://purl.org/dc/elements/1.1/"/>
    <ds:schemaRef ds:uri="http://schemas.microsoft.com/office/2006/documentManagement/types"/>
    <ds:schemaRef ds:uri="http://purl.org/dc/dcmitype/"/>
  </ds:schemaRefs>
</ds:datastoreItem>
</file>

<file path=customXml/itemProps3.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984</Words>
  <Characters>5227</Characters>
  <Application>Microsoft Office Word</Application>
  <DocSecurity>0</DocSecurity>
  <Lines>116</Lines>
  <Paragraphs>47</Paragraphs>
  <ScaleCrop>false</ScaleCrop>
  <HeadingPairs>
    <vt:vector size="2" baseType="variant">
      <vt:variant>
        <vt:lpstr>Title</vt:lpstr>
      </vt:variant>
      <vt:variant>
        <vt:i4>1</vt:i4>
      </vt:variant>
    </vt:vector>
  </HeadingPairs>
  <TitlesOfParts>
    <vt:vector size="1" baseType="lpstr">
      <vt:lpstr>Scrutiny response -  Royal Commission Criminal Justice Legislation Amendment Bill 2020</vt:lpstr>
    </vt:vector>
  </TitlesOfParts>
  <Company/>
  <LinksUpToDate>false</LinksUpToDate>
  <CharactersWithSpaces>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Royal Commission Criminal Justice Legislation Amendment Bill 2020</dc:title>
  <dc:subject/>
  <dc:creator/>
  <cp:keywords/>
  <dc:description/>
  <cp:lastModifiedBy>Shannon, Anne</cp:lastModifiedBy>
  <cp:revision>3</cp:revision>
  <cp:lastPrinted>2018-08-24T07:17:00Z</cp:lastPrinted>
  <dcterms:created xsi:type="dcterms:W3CDTF">2020-07-23T06:56:00Z</dcterms:created>
  <dcterms:modified xsi:type="dcterms:W3CDTF">2020-07-23T06:56:00Z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