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7FE" w:rsidRPr="00C20882" w:rsidRDefault="009517FE" w:rsidP="009517FE">
      <w:pPr>
        <w:spacing w:before="7560" w:after="240" w:line="259" w:lineRule="auto"/>
        <w:jc w:val="right"/>
        <w:rPr>
          <w:rFonts w:ascii="Arial Narrow" w:hAnsi="Arial Narrow"/>
          <w:sz w:val="42"/>
          <w:szCs w:val="42"/>
        </w:rPr>
      </w:pPr>
      <w:bookmarkStart w:id="0" w:name="_Toc500938167"/>
      <w:bookmarkStart w:id="1" w:name="_Toc500947015"/>
      <w:bookmarkStart w:id="2" w:name="_Toc501547024"/>
      <w:bookmarkStart w:id="3" w:name="_Toc501547379"/>
      <w:bookmarkStart w:id="4" w:name="_Toc505005664"/>
      <w:bookmarkStart w:id="5" w:name="_Toc505153755"/>
      <w:bookmarkStart w:id="6" w:name="_Toc508283423"/>
      <w:bookmarkStart w:id="7" w:name="_Toc510081779"/>
      <w:bookmarkStart w:id="8" w:name="_Toc511812216"/>
      <w:bookmarkStart w:id="9" w:name="_Toc512240154"/>
      <w:bookmarkStart w:id="10" w:name="_Toc513192151"/>
      <w:bookmarkStart w:id="11" w:name="_Toc514832413"/>
      <w:bookmarkStart w:id="12" w:name="_Toc514837957"/>
      <w:r w:rsidRPr="00C20882">
        <w:rPr>
          <w:rFonts w:ascii="Arial Narrow" w:hAnsi="Arial Narrow"/>
          <w:sz w:val="42"/>
          <w:szCs w:val="42"/>
        </w:rPr>
        <w:t>Standing Committee on Justice and Community Safety (Legislative Scrutiny Role)</w:t>
      </w:r>
    </w:p>
    <w:p w:rsidR="000B0846" w:rsidRPr="00C20882" w:rsidRDefault="000B0846" w:rsidP="001F1D6D">
      <w:pPr>
        <w:pStyle w:val="Heading1"/>
        <w:spacing w:before="2200"/>
      </w:pPr>
      <w:r w:rsidRPr="00C20882">
        <w:t>S</w:t>
      </w:r>
      <w:r w:rsidR="00907785" w:rsidRPr="00C20882">
        <w:t xml:space="preserve">crutiny Report </w:t>
      </w:r>
      <w:bookmarkEnd w:id="0"/>
      <w:bookmarkEnd w:id="1"/>
      <w:bookmarkEnd w:id="2"/>
      <w:bookmarkEnd w:id="3"/>
      <w:bookmarkEnd w:id="4"/>
      <w:bookmarkEnd w:id="5"/>
      <w:bookmarkEnd w:id="6"/>
      <w:bookmarkEnd w:id="7"/>
      <w:bookmarkEnd w:id="8"/>
      <w:bookmarkEnd w:id="9"/>
      <w:bookmarkEnd w:id="10"/>
      <w:bookmarkEnd w:id="11"/>
      <w:bookmarkEnd w:id="12"/>
      <w:r w:rsidR="00224D59" w:rsidRPr="00C20882">
        <w:t>2</w:t>
      </w:r>
      <w:r w:rsidR="007165BE">
        <w:t>3</w:t>
      </w:r>
    </w:p>
    <w:p w:rsidR="00D4210F" w:rsidRPr="00C64BEE" w:rsidRDefault="007165BE" w:rsidP="00A014F1">
      <w:pPr>
        <w:spacing w:before="1800" w:after="240"/>
        <w:jc w:val="right"/>
        <w:rPr>
          <w:sz w:val="24"/>
          <w:szCs w:val="24"/>
        </w:rPr>
      </w:pPr>
      <w:bookmarkStart w:id="13" w:name="_GoBack"/>
      <w:bookmarkEnd w:id="13"/>
      <w:r>
        <w:rPr>
          <w:sz w:val="24"/>
          <w:szCs w:val="24"/>
        </w:rPr>
        <w:t>29</w:t>
      </w:r>
      <w:r w:rsidR="00D0288E">
        <w:rPr>
          <w:sz w:val="24"/>
          <w:szCs w:val="24"/>
        </w:rPr>
        <w:t xml:space="preserve"> OCTOBER</w:t>
      </w:r>
      <w:r w:rsidR="00A014F1" w:rsidRPr="00C64BEE">
        <w:rPr>
          <w:sz w:val="24"/>
          <w:szCs w:val="24"/>
        </w:rPr>
        <w:t xml:space="preserve"> 2018</w:t>
      </w:r>
    </w:p>
    <w:p w:rsidR="00D4210F" w:rsidRPr="00C64BEE" w:rsidRDefault="00D4210F" w:rsidP="00D4210F">
      <w:r w:rsidRPr="00C64BEE">
        <w:br w:type="page"/>
      </w:r>
    </w:p>
    <w:p w:rsidR="000B0846" w:rsidRPr="00C64BEE" w:rsidRDefault="000B0846" w:rsidP="000B0846">
      <w:pPr>
        <w:spacing w:before="1800" w:after="240"/>
        <w:jc w:val="right"/>
      </w:pPr>
    </w:p>
    <w:p w:rsidR="00AE4D51" w:rsidRPr="00C64BEE" w:rsidRDefault="00AE4D51" w:rsidP="00AC094E">
      <w:pPr>
        <w:pStyle w:val="Heading2"/>
        <w:rPr>
          <w:rFonts w:asciiTheme="minorHAnsi" w:hAnsiTheme="minorHAnsi"/>
        </w:rPr>
        <w:sectPr w:rsidR="00AE4D51" w:rsidRPr="00C64BEE">
          <w:footerReference w:type="even" r:id="rId9"/>
          <w:pgSz w:w="11906" w:h="16838"/>
          <w:pgMar w:top="1440" w:right="1440" w:bottom="1440" w:left="1440" w:header="708" w:footer="708" w:gutter="0"/>
          <w:cols w:space="708"/>
          <w:docGrid w:linePitch="360"/>
        </w:sectPr>
      </w:pPr>
      <w:bookmarkStart w:id="14" w:name="_Toc500938168"/>
      <w:bookmarkStart w:id="15" w:name="_Toc500947016"/>
    </w:p>
    <w:p w:rsidR="002A185D" w:rsidRPr="00C64BEE" w:rsidRDefault="002A185D" w:rsidP="00AC094E">
      <w:pPr>
        <w:pStyle w:val="Heading2"/>
        <w:rPr>
          <w:rFonts w:asciiTheme="minorHAnsi" w:hAnsiTheme="minorHAnsi"/>
        </w:rPr>
      </w:pPr>
      <w:bookmarkStart w:id="16" w:name="_Toc502671580"/>
      <w:bookmarkStart w:id="17" w:name="_Toc502671759"/>
      <w:bookmarkStart w:id="18" w:name="_Toc502671864"/>
      <w:bookmarkStart w:id="19" w:name="_Toc502672797"/>
      <w:bookmarkStart w:id="20" w:name="_Toc514768035"/>
      <w:bookmarkStart w:id="21" w:name="_Toc514837958"/>
      <w:bookmarkStart w:id="22" w:name="_Toc518297244"/>
      <w:bookmarkStart w:id="23" w:name="_Toc519069302"/>
      <w:bookmarkStart w:id="24" w:name="_Toc519069363"/>
      <w:bookmarkStart w:id="25" w:name="_Toc519520730"/>
      <w:bookmarkStart w:id="26" w:name="_Toc520188709"/>
      <w:bookmarkStart w:id="27" w:name="_Toc521054226"/>
      <w:bookmarkStart w:id="28" w:name="_Toc521054313"/>
      <w:bookmarkStart w:id="29" w:name="_Toc521054385"/>
      <w:bookmarkStart w:id="30" w:name="_Toc523753608"/>
      <w:bookmarkStart w:id="31" w:name="_Toc523814157"/>
      <w:bookmarkStart w:id="32" w:name="_Toc523900448"/>
      <w:bookmarkStart w:id="33" w:name="_Toc526855809"/>
      <w:bookmarkStart w:id="34" w:name="_Toc528155835"/>
      <w:bookmarkStart w:id="35" w:name="_Toc528157194"/>
      <w:bookmarkStart w:id="36" w:name="_Toc528310847"/>
      <w:bookmarkStart w:id="37" w:name="_Toc500938169"/>
      <w:bookmarkStart w:id="38" w:name="_Toc500947017"/>
      <w:bookmarkStart w:id="39" w:name="_Toc501547026"/>
      <w:bookmarkStart w:id="40" w:name="_Toc501547381"/>
      <w:bookmarkStart w:id="41" w:name="_Toc505005665"/>
      <w:bookmarkStart w:id="42" w:name="_Toc505153756"/>
      <w:bookmarkStart w:id="43" w:name="_Toc508283424"/>
      <w:bookmarkStart w:id="44" w:name="_Toc510081780"/>
      <w:bookmarkStart w:id="45" w:name="_Toc511812217"/>
      <w:bookmarkStart w:id="46" w:name="_Toc512240155"/>
      <w:bookmarkStart w:id="47" w:name="_Toc513192152"/>
      <w:bookmarkStart w:id="48" w:name="_Toc514832414"/>
      <w:bookmarkEnd w:id="14"/>
      <w:bookmarkEnd w:id="15"/>
      <w:r w:rsidRPr="00C64BEE">
        <w:rPr>
          <w:rFonts w:asciiTheme="minorHAnsi" w:hAnsiTheme="minorHAnsi"/>
        </w:rPr>
        <w:lastRenderedPageBreak/>
        <w:t>The Committee</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0B0846" w:rsidRPr="00C64BEE" w:rsidRDefault="000B0846" w:rsidP="002A185D">
      <w:pPr>
        <w:pStyle w:val="Heading3"/>
        <w:rPr>
          <w:rFonts w:asciiTheme="minorHAnsi" w:hAnsiTheme="minorHAnsi"/>
        </w:rPr>
      </w:pPr>
      <w:bookmarkStart w:id="49" w:name="_Toc514837959"/>
      <w:bookmarkStart w:id="50" w:name="_Toc514943593"/>
      <w:bookmarkStart w:id="51" w:name="_Toc515352036"/>
      <w:bookmarkStart w:id="52" w:name="_Toc518297245"/>
      <w:bookmarkStart w:id="53" w:name="_Toc519069303"/>
      <w:bookmarkStart w:id="54" w:name="_Toc519069364"/>
      <w:bookmarkStart w:id="55" w:name="_Toc519520731"/>
      <w:bookmarkStart w:id="56" w:name="_Toc520188710"/>
      <w:bookmarkStart w:id="57" w:name="_Toc521054227"/>
      <w:bookmarkStart w:id="58" w:name="_Toc521054314"/>
      <w:bookmarkStart w:id="59" w:name="_Toc521054386"/>
      <w:bookmarkStart w:id="60" w:name="_Toc523753609"/>
      <w:bookmarkStart w:id="61" w:name="_Toc523814158"/>
      <w:bookmarkStart w:id="62" w:name="_Toc523900449"/>
      <w:bookmarkStart w:id="63" w:name="_Toc526855810"/>
      <w:bookmarkStart w:id="64" w:name="_Toc528155836"/>
      <w:bookmarkStart w:id="65" w:name="_Toc528157195"/>
      <w:bookmarkStart w:id="66" w:name="_Toc528310848"/>
      <w:r w:rsidRPr="00C64BEE">
        <w:rPr>
          <w:rFonts w:asciiTheme="minorHAnsi" w:hAnsiTheme="minorHAnsi"/>
        </w:rPr>
        <w:t>C</w:t>
      </w:r>
      <w:r w:rsidR="00474136" w:rsidRPr="00C64BEE">
        <w:rPr>
          <w:rFonts w:asciiTheme="minorHAnsi" w:hAnsiTheme="minorHAnsi"/>
        </w:rPr>
        <w:t>ommittee Membership</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0B0846" w:rsidRPr="00C64BEE" w:rsidRDefault="008442BF" w:rsidP="009C4F5B">
      <w:pPr>
        <w:pStyle w:val="ListParagraph"/>
        <w:ind w:left="0"/>
      </w:pPr>
      <w:r>
        <w:t>Ms Elizabeth Lee</w:t>
      </w:r>
      <w:r w:rsidR="00A919BD" w:rsidRPr="008442BF">
        <w:t xml:space="preserve"> MLA </w:t>
      </w:r>
      <w:r w:rsidR="000B0846" w:rsidRPr="008442BF">
        <w:t>(Chair)</w:t>
      </w:r>
    </w:p>
    <w:p w:rsidR="000B0846" w:rsidRPr="00C64BEE" w:rsidRDefault="000B0846" w:rsidP="009C4F5B">
      <w:pPr>
        <w:pStyle w:val="ListParagraph"/>
        <w:ind w:left="0"/>
      </w:pPr>
      <w:r w:rsidRPr="00C64BEE">
        <w:t>Ms Bec Cody MLA (Deputy Chair)</w:t>
      </w:r>
    </w:p>
    <w:p w:rsidR="000B0846" w:rsidRPr="00C64BEE" w:rsidRDefault="000B0846" w:rsidP="009C4F5B">
      <w:pPr>
        <w:pStyle w:val="ListParagraph"/>
        <w:spacing w:after="360"/>
        <w:ind w:left="0"/>
      </w:pPr>
      <w:r w:rsidRPr="00C64BEE">
        <w:t xml:space="preserve">Mr </w:t>
      </w:r>
      <w:r w:rsidR="0058445F">
        <w:t>Michael Pettersson</w:t>
      </w:r>
      <w:r w:rsidRPr="00C64BEE">
        <w:t xml:space="preserve"> MLA</w:t>
      </w:r>
    </w:p>
    <w:p w:rsidR="000B0846" w:rsidRPr="00C64BEE" w:rsidRDefault="000B0846" w:rsidP="002A185D">
      <w:pPr>
        <w:pStyle w:val="Heading3"/>
        <w:rPr>
          <w:rFonts w:asciiTheme="minorHAnsi" w:hAnsiTheme="minorHAnsi"/>
        </w:rPr>
      </w:pPr>
      <w:bookmarkStart w:id="67" w:name="_Toc500938170"/>
      <w:bookmarkStart w:id="68" w:name="_Toc500947018"/>
      <w:bookmarkStart w:id="69" w:name="_Toc501547027"/>
      <w:bookmarkStart w:id="70" w:name="_Toc501547382"/>
      <w:bookmarkStart w:id="71" w:name="_Toc505005666"/>
      <w:bookmarkStart w:id="72" w:name="_Toc505153757"/>
      <w:bookmarkStart w:id="73" w:name="_Toc508283425"/>
      <w:bookmarkStart w:id="74" w:name="_Toc510081781"/>
      <w:bookmarkStart w:id="75" w:name="_Toc511812218"/>
      <w:bookmarkStart w:id="76" w:name="_Toc512240156"/>
      <w:bookmarkStart w:id="77" w:name="_Toc513192153"/>
      <w:bookmarkStart w:id="78" w:name="_Toc514832415"/>
      <w:bookmarkStart w:id="79" w:name="_Toc514837960"/>
      <w:bookmarkStart w:id="80" w:name="_Toc514943594"/>
      <w:bookmarkStart w:id="81" w:name="_Toc515352037"/>
      <w:bookmarkStart w:id="82" w:name="_Toc518297246"/>
      <w:bookmarkStart w:id="83" w:name="_Toc519069304"/>
      <w:bookmarkStart w:id="84" w:name="_Toc519069365"/>
      <w:bookmarkStart w:id="85" w:name="_Toc519520732"/>
      <w:bookmarkStart w:id="86" w:name="_Toc520188711"/>
      <w:bookmarkStart w:id="87" w:name="_Toc521054228"/>
      <w:bookmarkStart w:id="88" w:name="_Toc521054315"/>
      <w:bookmarkStart w:id="89" w:name="_Toc521054387"/>
      <w:bookmarkStart w:id="90" w:name="_Toc523753610"/>
      <w:bookmarkStart w:id="91" w:name="_Toc523814159"/>
      <w:bookmarkStart w:id="92" w:name="_Toc523900450"/>
      <w:bookmarkStart w:id="93" w:name="_Toc526855811"/>
      <w:bookmarkStart w:id="94" w:name="_Toc528155837"/>
      <w:bookmarkStart w:id="95" w:name="_Toc528157196"/>
      <w:bookmarkStart w:id="96" w:name="_Toc528310849"/>
      <w:r w:rsidRPr="00C64BEE">
        <w:rPr>
          <w:rFonts w:asciiTheme="minorHAnsi" w:hAnsiTheme="minorHAnsi"/>
        </w:rPr>
        <w:t>S</w:t>
      </w:r>
      <w:bookmarkEnd w:id="67"/>
      <w:r w:rsidR="00474136" w:rsidRPr="00C64BEE">
        <w:rPr>
          <w:rFonts w:asciiTheme="minorHAnsi" w:hAnsiTheme="minorHAnsi"/>
        </w:rPr>
        <w:t>ecretariat</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rsidR="000B0846" w:rsidRPr="00C64BEE" w:rsidRDefault="00301635" w:rsidP="009C4F5B">
      <w:pPr>
        <w:pStyle w:val="ListParagraph"/>
        <w:ind w:left="0"/>
      </w:pPr>
      <w:r w:rsidRPr="00C64BEE">
        <w:t>Ms Julia Agostino</w:t>
      </w:r>
      <w:r w:rsidR="000B0846" w:rsidRPr="00C64BEE">
        <w:t xml:space="preserve"> (Secretary)</w:t>
      </w:r>
    </w:p>
    <w:p w:rsidR="000B0846" w:rsidRPr="00C64BEE" w:rsidRDefault="000B0846" w:rsidP="009C4F5B">
      <w:pPr>
        <w:pStyle w:val="ListParagraph"/>
        <w:ind w:left="0"/>
      </w:pPr>
      <w:r w:rsidRPr="00C64BEE">
        <w:t>Ms Anne Shannon (Assistant Secretary)</w:t>
      </w:r>
    </w:p>
    <w:p w:rsidR="000B0846" w:rsidRPr="00C64BEE" w:rsidRDefault="000B0846" w:rsidP="009C4F5B">
      <w:pPr>
        <w:pStyle w:val="ListParagraph"/>
        <w:ind w:left="0"/>
      </w:pPr>
      <w:r w:rsidRPr="00C64BEE">
        <w:t>Mr Stephen Argument (Legal Adviser—Subordinate Legislation)</w:t>
      </w:r>
    </w:p>
    <w:p w:rsidR="000B0846" w:rsidRPr="00C64BEE" w:rsidRDefault="000B0846" w:rsidP="009C4F5B">
      <w:pPr>
        <w:pStyle w:val="ListParagraph"/>
        <w:spacing w:after="360"/>
        <w:ind w:left="0"/>
      </w:pPr>
      <w:r w:rsidRPr="00C64BEE">
        <w:t>Mr Daniel Stewart (Legal Adviser—Bills)</w:t>
      </w:r>
    </w:p>
    <w:p w:rsidR="000B0846" w:rsidRPr="00C64BEE" w:rsidRDefault="000B0846" w:rsidP="002A185D">
      <w:pPr>
        <w:pStyle w:val="Heading3"/>
        <w:rPr>
          <w:rFonts w:asciiTheme="minorHAnsi" w:hAnsiTheme="minorHAnsi"/>
        </w:rPr>
      </w:pPr>
      <w:bookmarkStart w:id="97" w:name="_Toc500938171"/>
      <w:bookmarkStart w:id="98" w:name="_Toc500947019"/>
      <w:bookmarkStart w:id="99" w:name="_Toc501547028"/>
      <w:bookmarkStart w:id="100" w:name="_Toc501547383"/>
      <w:bookmarkStart w:id="101" w:name="_Toc505005667"/>
      <w:bookmarkStart w:id="102" w:name="_Toc505153758"/>
      <w:bookmarkStart w:id="103" w:name="_Toc508283426"/>
      <w:bookmarkStart w:id="104" w:name="_Toc510081782"/>
      <w:bookmarkStart w:id="105" w:name="_Toc511812219"/>
      <w:bookmarkStart w:id="106" w:name="_Toc512240157"/>
      <w:bookmarkStart w:id="107" w:name="_Toc513192154"/>
      <w:bookmarkStart w:id="108" w:name="_Toc514832416"/>
      <w:bookmarkStart w:id="109" w:name="_Toc514837961"/>
      <w:bookmarkStart w:id="110" w:name="_Toc514943595"/>
      <w:bookmarkStart w:id="111" w:name="_Toc515352038"/>
      <w:bookmarkStart w:id="112" w:name="_Toc518297247"/>
      <w:bookmarkStart w:id="113" w:name="_Toc519069305"/>
      <w:bookmarkStart w:id="114" w:name="_Toc519069366"/>
      <w:bookmarkStart w:id="115" w:name="_Toc519520733"/>
      <w:bookmarkStart w:id="116" w:name="_Toc520188712"/>
      <w:bookmarkStart w:id="117" w:name="_Toc521054229"/>
      <w:bookmarkStart w:id="118" w:name="_Toc521054316"/>
      <w:bookmarkStart w:id="119" w:name="_Toc521054388"/>
      <w:bookmarkStart w:id="120" w:name="_Toc523753611"/>
      <w:bookmarkStart w:id="121" w:name="_Toc523814160"/>
      <w:bookmarkStart w:id="122" w:name="_Toc523900451"/>
      <w:bookmarkStart w:id="123" w:name="_Toc526855812"/>
      <w:bookmarkStart w:id="124" w:name="_Toc528155838"/>
      <w:bookmarkStart w:id="125" w:name="_Toc528157197"/>
      <w:bookmarkStart w:id="126" w:name="_Toc528310850"/>
      <w:r w:rsidRPr="00C64BEE">
        <w:rPr>
          <w:rFonts w:asciiTheme="minorHAnsi" w:hAnsiTheme="minorHAnsi"/>
        </w:rPr>
        <w:t>C</w:t>
      </w:r>
      <w:r w:rsidR="00474136" w:rsidRPr="00C64BEE">
        <w:rPr>
          <w:rFonts w:asciiTheme="minorHAnsi" w:hAnsiTheme="minorHAnsi"/>
        </w:rPr>
        <w:t>ontact Information</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rsidR="000B0846" w:rsidRPr="00C64BEE" w:rsidRDefault="000B0846" w:rsidP="009C4F5B">
      <w:pPr>
        <w:pStyle w:val="ListParagraph"/>
        <w:tabs>
          <w:tab w:val="left" w:pos="1260"/>
        </w:tabs>
        <w:ind w:left="0"/>
      </w:pPr>
      <w:r w:rsidRPr="00C64BEE">
        <w:t>Telephone</w:t>
      </w:r>
      <w:r w:rsidRPr="00C64BEE">
        <w:tab/>
        <w:t>02 6205 0173</w:t>
      </w:r>
    </w:p>
    <w:p w:rsidR="000B0846" w:rsidRPr="00C64BEE" w:rsidRDefault="000B0846" w:rsidP="009C4F5B">
      <w:pPr>
        <w:pStyle w:val="ListParagraph"/>
        <w:tabs>
          <w:tab w:val="left" w:pos="1260"/>
        </w:tabs>
        <w:ind w:left="0"/>
      </w:pPr>
      <w:r w:rsidRPr="00C64BEE">
        <w:t>Facsimile</w:t>
      </w:r>
      <w:r w:rsidRPr="00C64BEE">
        <w:tab/>
        <w:t>02 6205 3109</w:t>
      </w:r>
    </w:p>
    <w:p w:rsidR="000B0846" w:rsidRPr="00C64BEE" w:rsidRDefault="000B0846" w:rsidP="009C4F5B">
      <w:pPr>
        <w:pStyle w:val="ListParagraph"/>
        <w:tabs>
          <w:tab w:val="left" w:pos="1260"/>
        </w:tabs>
        <w:ind w:left="0"/>
      </w:pPr>
      <w:r w:rsidRPr="00C64BEE">
        <w:t>Post</w:t>
      </w:r>
      <w:r w:rsidRPr="00C64BEE">
        <w:tab/>
        <w:t>GPO Box 1020, CANBERRA ACT 2601</w:t>
      </w:r>
    </w:p>
    <w:p w:rsidR="000B0846" w:rsidRPr="00C64BEE" w:rsidRDefault="000B0846" w:rsidP="009C4F5B">
      <w:pPr>
        <w:pStyle w:val="ListParagraph"/>
        <w:tabs>
          <w:tab w:val="left" w:pos="1260"/>
        </w:tabs>
        <w:ind w:left="0"/>
      </w:pPr>
      <w:r w:rsidRPr="00C64BEE">
        <w:t>Email</w:t>
      </w:r>
      <w:r w:rsidRPr="00C64BEE">
        <w:tab/>
        <w:t>scrutiny@parliament.act.gov.au</w:t>
      </w:r>
    </w:p>
    <w:p w:rsidR="000B0846" w:rsidRPr="00C64BEE" w:rsidRDefault="000B0846" w:rsidP="009C4F5B">
      <w:pPr>
        <w:pStyle w:val="ListParagraph"/>
        <w:tabs>
          <w:tab w:val="left" w:pos="1260"/>
        </w:tabs>
        <w:spacing w:after="360"/>
        <w:ind w:left="0"/>
      </w:pPr>
      <w:r w:rsidRPr="00C64BEE">
        <w:t>Website</w:t>
      </w:r>
      <w:r w:rsidRPr="00C64BEE">
        <w:tab/>
        <w:t>www.parliament.act.gov.au</w:t>
      </w:r>
    </w:p>
    <w:p w:rsidR="000B0846" w:rsidRPr="00C64BEE" w:rsidRDefault="000B0846" w:rsidP="002A185D">
      <w:pPr>
        <w:pStyle w:val="Heading3"/>
        <w:rPr>
          <w:rFonts w:asciiTheme="minorHAnsi" w:hAnsiTheme="minorHAnsi"/>
        </w:rPr>
      </w:pPr>
      <w:bookmarkStart w:id="127" w:name="_Toc500938172"/>
      <w:bookmarkStart w:id="128" w:name="_Toc500947020"/>
      <w:bookmarkStart w:id="129" w:name="_Toc501547029"/>
      <w:bookmarkStart w:id="130" w:name="_Toc501547384"/>
      <w:bookmarkStart w:id="131" w:name="_Toc505005668"/>
      <w:bookmarkStart w:id="132" w:name="_Toc505153759"/>
      <w:bookmarkStart w:id="133" w:name="_Toc508283427"/>
      <w:bookmarkStart w:id="134" w:name="_Toc510081783"/>
      <w:bookmarkStart w:id="135" w:name="_Toc511812220"/>
      <w:bookmarkStart w:id="136" w:name="_Toc512240158"/>
      <w:bookmarkStart w:id="137" w:name="_Toc513192155"/>
      <w:bookmarkStart w:id="138" w:name="_Toc514832417"/>
      <w:bookmarkStart w:id="139" w:name="_Toc514837962"/>
      <w:bookmarkStart w:id="140" w:name="_Toc514943596"/>
      <w:bookmarkStart w:id="141" w:name="_Toc515352039"/>
      <w:bookmarkStart w:id="142" w:name="_Toc518297248"/>
      <w:bookmarkStart w:id="143" w:name="_Toc519069306"/>
      <w:bookmarkStart w:id="144" w:name="_Toc519069367"/>
      <w:bookmarkStart w:id="145" w:name="_Toc519520734"/>
      <w:bookmarkStart w:id="146" w:name="_Toc520188713"/>
      <w:bookmarkStart w:id="147" w:name="_Toc521054230"/>
      <w:bookmarkStart w:id="148" w:name="_Toc521054317"/>
      <w:bookmarkStart w:id="149" w:name="_Toc521054389"/>
      <w:bookmarkStart w:id="150" w:name="_Toc523753612"/>
      <w:bookmarkStart w:id="151" w:name="_Toc523814161"/>
      <w:bookmarkStart w:id="152" w:name="_Toc523900452"/>
      <w:bookmarkStart w:id="153" w:name="_Toc526855813"/>
      <w:bookmarkStart w:id="154" w:name="_Toc528155839"/>
      <w:bookmarkStart w:id="155" w:name="_Toc528157198"/>
      <w:bookmarkStart w:id="156" w:name="_Toc528310851"/>
      <w:r w:rsidRPr="00C64BEE">
        <w:rPr>
          <w:rFonts w:asciiTheme="minorHAnsi" w:hAnsiTheme="minorHAnsi"/>
        </w:rPr>
        <w:t>R</w:t>
      </w:r>
      <w:r w:rsidR="00474136" w:rsidRPr="00C64BEE">
        <w:rPr>
          <w:rFonts w:asciiTheme="minorHAnsi" w:hAnsiTheme="minorHAnsi"/>
        </w:rPr>
        <w:t>ole of Committee</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rsidR="000B0846" w:rsidRPr="00C64BEE" w:rsidRDefault="000B0846" w:rsidP="000B0846">
      <w:r w:rsidRPr="00C64BEE">
        <w:t>The Committee examines all Bills and subordinate legislation presented to the Assembly. It does not make any comments on the policy aspects of the legislation. The Committee’s terms of reference contain principles of scrutiny that enable it to operate in the best traditions of totally non-partisan, non-political technical scrutiny of legislation. These traditions have been adopted, without exception, by all scrutiny committees in Australia. Non-partisan, non-policy scrutiny allows the Committee to help the Assembly pass into law Acts and subordinate legislation which comply with the ideals set out in its terms of reference.</w:t>
      </w:r>
    </w:p>
    <w:p w:rsidR="00045F75" w:rsidRPr="00C64BEE" w:rsidRDefault="00652A64" w:rsidP="00AC094E">
      <w:pPr>
        <w:pStyle w:val="Heading2"/>
        <w:rPr>
          <w:rFonts w:asciiTheme="minorHAnsi" w:hAnsiTheme="minorHAnsi"/>
        </w:rPr>
      </w:pPr>
      <w:r w:rsidRPr="00C64BEE">
        <w:rPr>
          <w:rFonts w:asciiTheme="minorHAnsi" w:hAnsiTheme="minorHAnsi"/>
        </w:rPr>
        <w:br w:type="page"/>
      </w:r>
      <w:bookmarkStart w:id="157" w:name="_Toc500938173"/>
      <w:bookmarkStart w:id="158" w:name="_Toc500947021"/>
      <w:bookmarkStart w:id="159" w:name="_Toc501547030"/>
      <w:bookmarkStart w:id="160" w:name="_Toc501547385"/>
      <w:bookmarkStart w:id="161" w:name="_Toc505005669"/>
      <w:bookmarkStart w:id="162" w:name="_Toc505153760"/>
      <w:bookmarkStart w:id="163" w:name="_Toc508283428"/>
      <w:bookmarkStart w:id="164" w:name="_Toc510081784"/>
      <w:bookmarkStart w:id="165" w:name="_Toc511812221"/>
      <w:bookmarkStart w:id="166" w:name="_Toc512240159"/>
      <w:bookmarkStart w:id="167" w:name="_Toc513192156"/>
      <w:bookmarkStart w:id="168" w:name="_Toc514832418"/>
      <w:bookmarkStart w:id="169" w:name="_Toc514837963"/>
      <w:bookmarkStart w:id="170" w:name="_Toc518297249"/>
      <w:bookmarkStart w:id="171" w:name="_Toc519069307"/>
      <w:bookmarkStart w:id="172" w:name="_Toc519069368"/>
      <w:bookmarkStart w:id="173" w:name="_Toc519520735"/>
      <w:bookmarkStart w:id="174" w:name="_Toc520188714"/>
      <w:bookmarkStart w:id="175" w:name="_Toc521054231"/>
      <w:bookmarkStart w:id="176" w:name="_Toc521054318"/>
      <w:bookmarkStart w:id="177" w:name="_Toc521054390"/>
      <w:bookmarkStart w:id="178" w:name="_Toc523753613"/>
      <w:bookmarkStart w:id="179" w:name="_Toc523814162"/>
      <w:bookmarkStart w:id="180" w:name="_Toc523900453"/>
      <w:bookmarkStart w:id="181" w:name="_Toc526855814"/>
      <w:bookmarkStart w:id="182" w:name="_Toc528155840"/>
      <w:bookmarkStart w:id="183" w:name="_Toc528157199"/>
      <w:bookmarkStart w:id="184" w:name="_Toc528310852"/>
      <w:r w:rsidR="00045F75" w:rsidRPr="00C64BEE">
        <w:rPr>
          <w:rFonts w:asciiTheme="minorHAnsi" w:hAnsiTheme="minorHAnsi"/>
        </w:rPr>
        <w:lastRenderedPageBreak/>
        <w:t>Resolution of Appointment</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rsidR="00045F75" w:rsidRPr="00C64BEE" w:rsidRDefault="00045F75" w:rsidP="00045F75">
      <w:r w:rsidRPr="00C64BEE">
        <w:t>The Standing Committee on Justice and Community Safety when performing its legislative scrutiny role shall:</w:t>
      </w:r>
    </w:p>
    <w:p w:rsidR="00045F75" w:rsidRPr="00C64BEE" w:rsidRDefault="00045F75" w:rsidP="00034823">
      <w:pPr>
        <w:pStyle w:val="ListParagraph"/>
        <w:numPr>
          <w:ilvl w:val="0"/>
          <w:numId w:val="11"/>
        </w:numPr>
        <w:tabs>
          <w:tab w:val="left" w:pos="540"/>
        </w:tabs>
        <w:ind w:left="540" w:hanging="537"/>
        <w:contextualSpacing w:val="0"/>
      </w:pPr>
      <w:r w:rsidRPr="00C64BEE">
        <w:t>consider whether any instrument of a legislative nature made under an Act which is subject to disallowance and/or disapproval by the Assembly (including a regulation, rule or by-law):</w:t>
      </w:r>
    </w:p>
    <w:p w:rsidR="00045F75" w:rsidRPr="00C64BEE" w:rsidRDefault="00045F75" w:rsidP="00034823">
      <w:pPr>
        <w:pStyle w:val="ListParagraph"/>
        <w:numPr>
          <w:ilvl w:val="1"/>
          <w:numId w:val="11"/>
        </w:numPr>
        <w:ind w:left="1080" w:hanging="540"/>
        <w:contextualSpacing w:val="0"/>
      </w:pPr>
      <w:r w:rsidRPr="00C64BEE">
        <w:t xml:space="preserve">is in accord with the general objects of the Act under which it is made; </w:t>
      </w:r>
    </w:p>
    <w:p w:rsidR="00045F75" w:rsidRPr="00C64BEE" w:rsidRDefault="00045F75" w:rsidP="00034823">
      <w:pPr>
        <w:pStyle w:val="ListParagraph"/>
        <w:numPr>
          <w:ilvl w:val="1"/>
          <w:numId w:val="11"/>
        </w:numPr>
        <w:ind w:left="1080" w:hanging="540"/>
        <w:contextualSpacing w:val="0"/>
      </w:pPr>
      <w:r w:rsidRPr="00C64BEE">
        <w:t xml:space="preserve">unduly trespasses on rights previously established by law; </w:t>
      </w:r>
    </w:p>
    <w:p w:rsidR="00045F75" w:rsidRPr="00C64BEE" w:rsidRDefault="00045F75" w:rsidP="00034823">
      <w:pPr>
        <w:pStyle w:val="ListParagraph"/>
        <w:numPr>
          <w:ilvl w:val="1"/>
          <w:numId w:val="11"/>
        </w:numPr>
        <w:ind w:left="1080" w:hanging="540"/>
        <w:contextualSpacing w:val="0"/>
      </w:pPr>
      <w:r w:rsidRPr="00C64BEE">
        <w:t>makes rights, liberties and/or obligations unduly dependent upon non reviewable decisions; or</w:t>
      </w:r>
    </w:p>
    <w:p w:rsidR="00045F75" w:rsidRPr="00C64BEE" w:rsidRDefault="00045F75" w:rsidP="00034823">
      <w:pPr>
        <w:pStyle w:val="ListParagraph"/>
        <w:numPr>
          <w:ilvl w:val="1"/>
          <w:numId w:val="11"/>
        </w:numPr>
        <w:ind w:left="1080" w:hanging="540"/>
        <w:contextualSpacing w:val="0"/>
      </w:pPr>
      <w:r w:rsidRPr="00C64BEE">
        <w:t xml:space="preserve">contains matter which in the opinion of the Committee should properly be dealt with in an Act of the Legislative Assembly; </w:t>
      </w:r>
    </w:p>
    <w:p w:rsidR="00045F75" w:rsidRPr="00C64BEE" w:rsidRDefault="00045F75" w:rsidP="00034823">
      <w:pPr>
        <w:pStyle w:val="ListParagraph"/>
        <w:numPr>
          <w:ilvl w:val="0"/>
          <w:numId w:val="11"/>
        </w:numPr>
        <w:ind w:left="540" w:hanging="537"/>
        <w:contextualSpacing w:val="0"/>
      </w:pPr>
      <w:r w:rsidRPr="00C64BEE">
        <w:t>consider whether any explanatory statement or explanatory memorandum associated with legislation and any regulatory impact statement meets the technical or stylistic standards expected by the Committee;</w:t>
      </w:r>
    </w:p>
    <w:p w:rsidR="00045F75" w:rsidRPr="00C64BEE" w:rsidRDefault="00045F75" w:rsidP="00034823">
      <w:pPr>
        <w:pStyle w:val="ListParagraph"/>
        <w:numPr>
          <w:ilvl w:val="0"/>
          <w:numId w:val="11"/>
        </w:numPr>
        <w:ind w:left="540" w:hanging="537"/>
        <w:contextualSpacing w:val="0"/>
      </w:pPr>
      <w:r w:rsidRPr="00C64BEE">
        <w:t xml:space="preserve">consider whether the clauses of bills (and amendments proposed by the Government to its own bills) introduced into the Assembly: </w:t>
      </w:r>
    </w:p>
    <w:p w:rsidR="00045F75" w:rsidRPr="00C64BEE" w:rsidRDefault="00045F75" w:rsidP="00034823">
      <w:pPr>
        <w:pStyle w:val="ListParagraph"/>
        <w:numPr>
          <w:ilvl w:val="1"/>
          <w:numId w:val="11"/>
        </w:numPr>
        <w:ind w:left="1080" w:hanging="540"/>
        <w:contextualSpacing w:val="0"/>
      </w:pPr>
      <w:r w:rsidRPr="00C64BEE">
        <w:t xml:space="preserve">unduly trespass on personal rights and liberties; </w:t>
      </w:r>
    </w:p>
    <w:p w:rsidR="00045F75" w:rsidRPr="00C64BEE" w:rsidRDefault="00045F75" w:rsidP="00034823">
      <w:pPr>
        <w:pStyle w:val="ListParagraph"/>
        <w:numPr>
          <w:ilvl w:val="1"/>
          <w:numId w:val="11"/>
        </w:numPr>
        <w:ind w:left="1080" w:hanging="540"/>
        <w:contextualSpacing w:val="0"/>
      </w:pPr>
      <w:r w:rsidRPr="00C64BEE">
        <w:t xml:space="preserve">make rights, liberties and/or obligations unduly dependent upon insufficiently defined administrative powers; </w:t>
      </w:r>
    </w:p>
    <w:p w:rsidR="00045F75" w:rsidRPr="00C64BEE" w:rsidRDefault="00045F75" w:rsidP="00034823">
      <w:pPr>
        <w:pStyle w:val="ListParagraph"/>
        <w:numPr>
          <w:ilvl w:val="1"/>
          <w:numId w:val="11"/>
        </w:numPr>
        <w:ind w:left="1080" w:hanging="540"/>
        <w:contextualSpacing w:val="0"/>
      </w:pPr>
      <w:r w:rsidRPr="00C64BEE">
        <w:t xml:space="preserve">make rights, liberties and/or obligations unduly dependent upon non-reviewable decisions; </w:t>
      </w:r>
    </w:p>
    <w:p w:rsidR="00045F75" w:rsidRPr="00C64BEE" w:rsidRDefault="00045F75" w:rsidP="00034823">
      <w:pPr>
        <w:pStyle w:val="ListParagraph"/>
        <w:numPr>
          <w:ilvl w:val="1"/>
          <w:numId w:val="11"/>
        </w:numPr>
        <w:ind w:left="1080" w:hanging="540"/>
        <w:contextualSpacing w:val="0"/>
      </w:pPr>
      <w:r w:rsidRPr="00C64BEE">
        <w:t>inappropriately delegate legislative powers;  or</w:t>
      </w:r>
    </w:p>
    <w:p w:rsidR="00045F75" w:rsidRPr="00C64BEE" w:rsidRDefault="00045F75" w:rsidP="00034823">
      <w:pPr>
        <w:pStyle w:val="ListParagraph"/>
        <w:numPr>
          <w:ilvl w:val="1"/>
          <w:numId w:val="11"/>
        </w:numPr>
        <w:ind w:left="1080" w:hanging="540"/>
        <w:contextualSpacing w:val="0"/>
      </w:pPr>
      <w:r w:rsidRPr="00C64BEE">
        <w:t xml:space="preserve">insufficiently subject the exercise of legislative power to parliamentary scrutiny; </w:t>
      </w:r>
    </w:p>
    <w:p w:rsidR="00045F75" w:rsidRPr="00C64BEE" w:rsidRDefault="00045F75" w:rsidP="00034823">
      <w:pPr>
        <w:pStyle w:val="ListParagraph"/>
        <w:numPr>
          <w:ilvl w:val="0"/>
          <w:numId w:val="11"/>
        </w:numPr>
        <w:ind w:left="540" w:hanging="537"/>
        <w:contextualSpacing w:val="0"/>
      </w:pPr>
      <w:r w:rsidRPr="00C64BEE">
        <w:t xml:space="preserve">report to the Legislative Assembly about human rights issues raised by bills presented to the Assembly pursuant to section 38 of the </w:t>
      </w:r>
      <w:r w:rsidRPr="00C64BEE">
        <w:rPr>
          <w:i/>
        </w:rPr>
        <w:t>Human Rights Act 2004</w:t>
      </w:r>
      <w:r w:rsidRPr="00C64BEE">
        <w:t>; and</w:t>
      </w:r>
    </w:p>
    <w:p w:rsidR="00045F75" w:rsidRPr="00C64BEE" w:rsidRDefault="00045F75" w:rsidP="00034823">
      <w:pPr>
        <w:pStyle w:val="ListParagraph"/>
        <w:numPr>
          <w:ilvl w:val="0"/>
          <w:numId w:val="11"/>
        </w:numPr>
        <w:ind w:left="540" w:hanging="537"/>
        <w:contextualSpacing w:val="0"/>
      </w:pPr>
      <w:r w:rsidRPr="00C64BEE">
        <w:t>report to the Assembly on these or any related matter and if the Assembly is not sitting when the Committee is ready to report on bills and subordinate legislation, the Committee may send its report to the Speaker, or, in the absence of the Speaker, to the Deputy Speaker, who is authorised to give directions for its printing, publication and circulation.</w:t>
      </w:r>
    </w:p>
    <w:p w:rsidR="00126D9A" w:rsidRPr="00C64BEE" w:rsidRDefault="00126D9A">
      <w:r w:rsidRPr="00C64BEE">
        <w:br w:type="page"/>
      </w:r>
    </w:p>
    <w:p w:rsidR="004D2235" w:rsidRDefault="00D447D3" w:rsidP="00346CDE">
      <w:pPr>
        <w:pStyle w:val="TOCHeading"/>
        <w:keepNext w:val="0"/>
        <w:keepLines w:val="0"/>
        <w:spacing w:before="120" w:after="480" w:line="500" w:lineRule="exact"/>
        <w:outlineLvl w:val="1"/>
        <w:rPr>
          <w:noProof/>
        </w:rPr>
      </w:pPr>
      <w:bookmarkStart w:id="185" w:name="_Toc514837964"/>
      <w:r w:rsidRPr="00C64BEE">
        <w:rPr>
          <w:rFonts w:asciiTheme="minorHAnsi" w:eastAsia="Times New Roman" w:hAnsiTheme="minorHAnsi" w:cs="Times New Roman"/>
          <w:smallCaps/>
          <w:spacing w:val="20"/>
          <w:kern w:val="42"/>
          <w:sz w:val="44"/>
          <w:szCs w:val="44"/>
        </w:rPr>
        <w:lastRenderedPageBreak/>
        <w:t>Table of Contents</w:t>
      </w:r>
      <w:bookmarkEnd w:id="185"/>
      <w:r w:rsidR="00386C0A" w:rsidRPr="00C64BEE">
        <w:rPr>
          <w:rFonts w:asciiTheme="minorHAnsi" w:hAnsiTheme="minorHAnsi"/>
        </w:rPr>
        <w:fldChar w:fldCharType="begin"/>
      </w:r>
      <w:r w:rsidR="00562E8A" w:rsidRPr="00C64BEE">
        <w:rPr>
          <w:rFonts w:asciiTheme="minorHAnsi" w:hAnsiTheme="minorHAnsi"/>
        </w:rPr>
        <w:instrText xml:space="preserve"> TOC \h \z \u \t "Heading 2,1,Heading 3,2,Heading 4,3" </w:instrText>
      </w:r>
      <w:r w:rsidR="00386C0A" w:rsidRPr="00C64BEE">
        <w:rPr>
          <w:rFonts w:asciiTheme="minorHAnsi" w:hAnsiTheme="minorHAnsi"/>
        </w:rPr>
        <w:fldChar w:fldCharType="separate"/>
      </w:r>
    </w:p>
    <w:p w:rsidR="004D2235" w:rsidRDefault="00386C0A">
      <w:pPr>
        <w:pStyle w:val="TOC1"/>
        <w:rPr>
          <w:rFonts w:asciiTheme="minorHAnsi" w:eastAsiaTheme="minorEastAsia" w:hAnsiTheme="minorHAnsi" w:cstheme="minorBidi"/>
          <w:b w:val="0"/>
          <w:bCs w:val="0"/>
          <w:smallCaps w:val="0"/>
          <w:noProof/>
          <w:spacing w:val="0"/>
          <w:sz w:val="22"/>
          <w:szCs w:val="22"/>
          <w:lang w:eastAsia="en-AU"/>
        </w:rPr>
      </w:pPr>
      <w:hyperlink w:anchor="_Toc528310853" w:history="1">
        <w:r w:rsidR="004D2235" w:rsidRPr="00B64CB3">
          <w:rPr>
            <w:rStyle w:val="Hyperlink"/>
            <w:rFonts w:eastAsia="Calibri"/>
            <w:noProof/>
            <w:lang w:eastAsia="en-AU"/>
          </w:rPr>
          <w:t>Subordinate Legislation</w:t>
        </w:r>
        <w:r w:rsidR="004D2235">
          <w:rPr>
            <w:noProof/>
            <w:webHidden/>
          </w:rPr>
          <w:tab/>
        </w:r>
        <w:r>
          <w:rPr>
            <w:noProof/>
            <w:webHidden/>
          </w:rPr>
          <w:fldChar w:fldCharType="begin"/>
        </w:r>
        <w:r w:rsidR="004D2235">
          <w:rPr>
            <w:noProof/>
            <w:webHidden/>
          </w:rPr>
          <w:instrText xml:space="preserve"> PAGEREF _Toc528310853 \h </w:instrText>
        </w:r>
        <w:r>
          <w:rPr>
            <w:noProof/>
            <w:webHidden/>
          </w:rPr>
        </w:r>
        <w:r>
          <w:rPr>
            <w:noProof/>
            <w:webHidden/>
          </w:rPr>
          <w:fldChar w:fldCharType="separate"/>
        </w:r>
        <w:r w:rsidR="004D2235">
          <w:rPr>
            <w:noProof/>
            <w:webHidden/>
          </w:rPr>
          <w:t>1</w:t>
        </w:r>
        <w:r>
          <w:rPr>
            <w:noProof/>
            <w:webHidden/>
          </w:rPr>
          <w:fldChar w:fldCharType="end"/>
        </w:r>
      </w:hyperlink>
    </w:p>
    <w:p w:rsidR="004D2235" w:rsidRDefault="00386C0A">
      <w:pPr>
        <w:pStyle w:val="TOC2"/>
        <w:rPr>
          <w:rFonts w:asciiTheme="minorHAnsi" w:eastAsiaTheme="minorEastAsia" w:hAnsiTheme="minorHAnsi" w:cstheme="minorBidi"/>
          <w:b w:val="0"/>
          <w:noProof/>
          <w:sz w:val="22"/>
          <w:szCs w:val="22"/>
          <w:lang w:eastAsia="en-AU"/>
        </w:rPr>
      </w:pPr>
      <w:hyperlink w:anchor="_Toc528310854" w:history="1">
        <w:r w:rsidR="004D2235" w:rsidRPr="00B64CB3">
          <w:rPr>
            <w:rStyle w:val="Hyperlink"/>
            <w:rFonts w:eastAsia="Calibri"/>
            <w:noProof/>
            <w:lang w:eastAsia="en-AU"/>
          </w:rPr>
          <w:t>Disallowable Instruments—No comment</w:t>
        </w:r>
        <w:r w:rsidR="004D2235">
          <w:rPr>
            <w:noProof/>
            <w:webHidden/>
          </w:rPr>
          <w:tab/>
        </w:r>
        <w:r>
          <w:rPr>
            <w:noProof/>
            <w:webHidden/>
          </w:rPr>
          <w:fldChar w:fldCharType="begin"/>
        </w:r>
        <w:r w:rsidR="004D2235">
          <w:rPr>
            <w:noProof/>
            <w:webHidden/>
          </w:rPr>
          <w:instrText xml:space="preserve"> PAGEREF _Toc528310854 \h </w:instrText>
        </w:r>
        <w:r>
          <w:rPr>
            <w:noProof/>
            <w:webHidden/>
          </w:rPr>
        </w:r>
        <w:r>
          <w:rPr>
            <w:noProof/>
            <w:webHidden/>
          </w:rPr>
          <w:fldChar w:fldCharType="separate"/>
        </w:r>
        <w:r w:rsidR="004D2235">
          <w:rPr>
            <w:noProof/>
            <w:webHidden/>
          </w:rPr>
          <w:t>1</w:t>
        </w:r>
        <w:r>
          <w:rPr>
            <w:noProof/>
            <w:webHidden/>
          </w:rPr>
          <w:fldChar w:fldCharType="end"/>
        </w:r>
      </w:hyperlink>
    </w:p>
    <w:p w:rsidR="004D2235" w:rsidRDefault="00386C0A">
      <w:pPr>
        <w:pStyle w:val="TOC2"/>
        <w:rPr>
          <w:rFonts w:asciiTheme="minorHAnsi" w:eastAsiaTheme="minorEastAsia" w:hAnsiTheme="minorHAnsi" w:cstheme="minorBidi"/>
          <w:b w:val="0"/>
          <w:noProof/>
          <w:sz w:val="22"/>
          <w:szCs w:val="22"/>
          <w:lang w:eastAsia="en-AU"/>
        </w:rPr>
      </w:pPr>
      <w:hyperlink w:anchor="_Toc528310855" w:history="1">
        <w:r w:rsidR="004D2235" w:rsidRPr="00B64CB3">
          <w:rPr>
            <w:rStyle w:val="Hyperlink"/>
            <w:rFonts w:eastAsia="Calibri"/>
            <w:noProof/>
            <w:lang w:eastAsia="en-AU"/>
          </w:rPr>
          <w:t>Disallowable Instruments—Comment</w:t>
        </w:r>
        <w:r w:rsidR="004D2235">
          <w:rPr>
            <w:noProof/>
            <w:webHidden/>
          </w:rPr>
          <w:tab/>
        </w:r>
        <w:r>
          <w:rPr>
            <w:noProof/>
            <w:webHidden/>
          </w:rPr>
          <w:fldChar w:fldCharType="begin"/>
        </w:r>
        <w:r w:rsidR="004D2235">
          <w:rPr>
            <w:noProof/>
            <w:webHidden/>
          </w:rPr>
          <w:instrText xml:space="preserve"> PAGEREF _Toc528310855 \h </w:instrText>
        </w:r>
        <w:r>
          <w:rPr>
            <w:noProof/>
            <w:webHidden/>
          </w:rPr>
        </w:r>
        <w:r>
          <w:rPr>
            <w:noProof/>
            <w:webHidden/>
          </w:rPr>
          <w:fldChar w:fldCharType="separate"/>
        </w:r>
        <w:r w:rsidR="004D2235">
          <w:rPr>
            <w:noProof/>
            <w:webHidden/>
          </w:rPr>
          <w:t>2</w:t>
        </w:r>
        <w:r>
          <w:rPr>
            <w:noProof/>
            <w:webHidden/>
          </w:rPr>
          <w:fldChar w:fldCharType="end"/>
        </w:r>
      </w:hyperlink>
    </w:p>
    <w:p w:rsidR="004D2235" w:rsidRDefault="00386C0A">
      <w:pPr>
        <w:pStyle w:val="TOC2"/>
        <w:rPr>
          <w:rFonts w:asciiTheme="minorHAnsi" w:eastAsiaTheme="minorEastAsia" w:hAnsiTheme="minorHAnsi" w:cstheme="minorBidi"/>
          <w:b w:val="0"/>
          <w:noProof/>
          <w:sz w:val="22"/>
          <w:szCs w:val="22"/>
          <w:lang w:eastAsia="en-AU"/>
        </w:rPr>
      </w:pPr>
      <w:hyperlink w:anchor="_Toc528310860" w:history="1">
        <w:r w:rsidR="004D2235" w:rsidRPr="00B64CB3">
          <w:rPr>
            <w:rStyle w:val="Hyperlink"/>
            <w:rFonts w:eastAsia="Calibri"/>
            <w:noProof/>
            <w:lang w:eastAsia="en-AU"/>
          </w:rPr>
          <w:t>Subordinate Law—No Comment</w:t>
        </w:r>
        <w:r w:rsidR="004D2235">
          <w:rPr>
            <w:noProof/>
            <w:webHidden/>
          </w:rPr>
          <w:tab/>
        </w:r>
        <w:r>
          <w:rPr>
            <w:noProof/>
            <w:webHidden/>
          </w:rPr>
          <w:fldChar w:fldCharType="begin"/>
        </w:r>
        <w:r w:rsidR="004D2235">
          <w:rPr>
            <w:noProof/>
            <w:webHidden/>
          </w:rPr>
          <w:instrText xml:space="preserve"> PAGEREF _Toc528310860 \h </w:instrText>
        </w:r>
        <w:r>
          <w:rPr>
            <w:noProof/>
            <w:webHidden/>
          </w:rPr>
        </w:r>
        <w:r>
          <w:rPr>
            <w:noProof/>
            <w:webHidden/>
          </w:rPr>
          <w:fldChar w:fldCharType="separate"/>
        </w:r>
        <w:r w:rsidR="004D2235">
          <w:rPr>
            <w:noProof/>
            <w:webHidden/>
          </w:rPr>
          <w:t>7</w:t>
        </w:r>
        <w:r>
          <w:rPr>
            <w:noProof/>
            <w:webHidden/>
          </w:rPr>
          <w:fldChar w:fldCharType="end"/>
        </w:r>
      </w:hyperlink>
    </w:p>
    <w:p w:rsidR="004D2235" w:rsidRDefault="00386C0A">
      <w:pPr>
        <w:pStyle w:val="TOC2"/>
        <w:rPr>
          <w:rFonts w:asciiTheme="minorHAnsi" w:eastAsiaTheme="minorEastAsia" w:hAnsiTheme="minorHAnsi" w:cstheme="minorBidi"/>
          <w:b w:val="0"/>
          <w:noProof/>
          <w:sz w:val="22"/>
          <w:szCs w:val="22"/>
          <w:lang w:eastAsia="en-AU"/>
        </w:rPr>
      </w:pPr>
      <w:hyperlink w:anchor="_Toc528310861" w:history="1">
        <w:r w:rsidR="004D2235" w:rsidRPr="00B64CB3">
          <w:rPr>
            <w:rStyle w:val="Hyperlink"/>
            <w:rFonts w:eastAsia="Calibri"/>
            <w:noProof/>
            <w:lang w:eastAsia="en-AU"/>
          </w:rPr>
          <w:t>Subordinate Laws—Comment</w:t>
        </w:r>
        <w:r w:rsidR="004D2235">
          <w:rPr>
            <w:noProof/>
            <w:webHidden/>
          </w:rPr>
          <w:tab/>
        </w:r>
        <w:r>
          <w:rPr>
            <w:noProof/>
            <w:webHidden/>
          </w:rPr>
          <w:fldChar w:fldCharType="begin"/>
        </w:r>
        <w:r w:rsidR="004D2235">
          <w:rPr>
            <w:noProof/>
            <w:webHidden/>
          </w:rPr>
          <w:instrText xml:space="preserve"> PAGEREF _Toc528310861 \h </w:instrText>
        </w:r>
        <w:r>
          <w:rPr>
            <w:noProof/>
            <w:webHidden/>
          </w:rPr>
        </w:r>
        <w:r>
          <w:rPr>
            <w:noProof/>
            <w:webHidden/>
          </w:rPr>
          <w:fldChar w:fldCharType="separate"/>
        </w:r>
        <w:r w:rsidR="004D2235">
          <w:rPr>
            <w:noProof/>
            <w:webHidden/>
          </w:rPr>
          <w:t>7</w:t>
        </w:r>
        <w:r>
          <w:rPr>
            <w:noProof/>
            <w:webHidden/>
          </w:rPr>
          <w:fldChar w:fldCharType="end"/>
        </w:r>
      </w:hyperlink>
    </w:p>
    <w:p w:rsidR="004D2235" w:rsidRDefault="00386C0A">
      <w:pPr>
        <w:pStyle w:val="TOC2"/>
        <w:rPr>
          <w:rFonts w:asciiTheme="minorHAnsi" w:eastAsiaTheme="minorEastAsia" w:hAnsiTheme="minorHAnsi" w:cstheme="minorBidi"/>
          <w:b w:val="0"/>
          <w:noProof/>
          <w:sz w:val="22"/>
          <w:szCs w:val="22"/>
          <w:lang w:eastAsia="en-AU"/>
        </w:rPr>
      </w:pPr>
      <w:hyperlink w:anchor="_Toc528310864" w:history="1">
        <w:r w:rsidR="004D2235" w:rsidRPr="00B64CB3">
          <w:rPr>
            <w:rStyle w:val="Hyperlink"/>
            <w:rFonts w:eastAsia="Calibri"/>
            <w:noProof/>
            <w:lang w:eastAsia="en-AU"/>
          </w:rPr>
          <w:t>Regulatory impact statement—No comment</w:t>
        </w:r>
        <w:r w:rsidR="004D2235">
          <w:rPr>
            <w:noProof/>
            <w:webHidden/>
          </w:rPr>
          <w:tab/>
        </w:r>
        <w:r>
          <w:rPr>
            <w:noProof/>
            <w:webHidden/>
          </w:rPr>
          <w:fldChar w:fldCharType="begin"/>
        </w:r>
        <w:r w:rsidR="004D2235">
          <w:rPr>
            <w:noProof/>
            <w:webHidden/>
          </w:rPr>
          <w:instrText xml:space="preserve"> PAGEREF _Toc528310864 \h </w:instrText>
        </w:r>
        <w:r>
          <w:rPr>
            <w:noProof/>
            <w:webHidden/>
          </w:rPr>
        </w:r>
        <w:r>
          <w:rPr>
            <w:noProof/>
            <w:webHidden/>
          </w:rPr>
          <w:fldChar w:fldCharType="separate"/>
        </w:r>
        <w:r w:rsidR="004D2235">
          <w:rPr>
            <w:noProof/>
            <w:webHidden/>
          </w:rPr>
          <w:t>10</w:t>
        </w:r>
        <w:r>
          <w:rPr>
            <w:noProof/>
            <w:webHidden/>
          </w:rPr>
          <w:fldChar w:fldCharType="end"/>
        </w:r>
      </w:hyperlink>
    </w:p>
    <w:p w:rsidR="004D2235" w:rsidRDefault="00386C0A">
      <w:pPr>
        <w:pStyle w:val="TOC1"/>
        <w:rPr>
          <w:rFonts w:asciiTheme="minorHAnsi" w:eastAsiaTheme="minorEastAsia" w:hAnsiTheme="minorHAnsi" w:cstheme="minorBidi"/>
          <w:b w:val="0"/>
          <w:bCs w:val="0"/>
          <w:smallCaps w:val="0"/>
          <w:noProof/>
          <w:spacing w:val="0"/>
          <w:sz w:val="22"/>
          <w:szCs w:val="22"/>
          <w:lang w:eastAsia="en-AU"/>
        </w:rPr>
      </w:pPr>
      <w:hyperlink w:anchor="_Toc528310865" w:history="1">
        <w:r w:rsidR="004D2235" w:rsidRPr="00B64CB3">
          <w:rPr>
            <w:rStyle w:val="Hyperlink"/>
            <w:rFonts w:eastAsia="Calibri"/>
            <w:noProof/>
            <w:lang w:eastAsia="en-AU"/>
          </w:rPr>
          <w:t>Government Response</w:t>
        </w:r>
        <w:r w:rsidR="004D2235">
          <w:rPr>
            <w:noProof/>
            <w:webHidden/>
          </w:rPr>
          <w:tab/>
        </w:r>
        <w:r>
          <w:rPr>
            <w:noProof/>
            <w:webHidden/>
          </w:rPr>
          <w:fldChar w:fldCharType="begin"/>
        </w:r>
        <w:r w:rsidR="004D2235">
          <w:rPr>
            <w:noProof/>
            <w:webHidden/>
          </w:rPr>
          <w:instrText xml:space="preserve"> PAGEREF _Toc528310865 \h </w:instrText>
        </w:r>
        <w:r>
          <w:rPr>
            <w:noProof/>
            <w:webHidden/>
          </w:rPr>
        </w:r>
        <w:r>
          <w:rPr>
            <w:noProof/>
            <w:webHidden/>
          </w:rPr>
          <w:fldChar w:fldCharType="separate"/>
        </w:r>
        <w:r w:rsidR="004D2235">
          <w:rPr>
            <w:noProof/>
            <w:webHidden/>
          </w:rPr>
          <w:t>10</w:t>
        </w:r>
        <w:r>
          <w:rPr>
            <w:noProof/>
            <w:webHidden/>
          </w:rPr>
          <w:fldChar w:fldCharType="end"/>
        </w:r>
      </w:hyperlink>
    </w:p>
    <w:p w:rsidR="004D2235" w:rsidRDefault="00386C0A">
      <w:pPr>
        <w:pStyle w:val="TOC1"/>
        <w:rPr>
          <w:rFonts w:asciiTheme="minorHAnsi" w:eastAsiaTheme="minorEastAsia" w:hAnsiTheme="minorHAnsi" w:cstheme="minorBidi"/>
          <w:b w:val="0"/>
          <w:bCs w:val="0"/>
          <w:smallCaps w:val="0"/>
          <w:noProof/>
          <w:spacing w:val="0"/>
          <w:sz w:val="22"/>
          <w:szCs w:val="22"/>
          <w:lang w:eastAsia="en-AU"/>
        </w:rPr>
      </w:pPr>
      <w:hyperlink w:anchor="_Toc528310866" w:history="1">
        <w:r w:rsidR="004D2235" w:rsidRPr="00B64CB3">
          <w:rPr>
            <w:rStyle w:val="Hyperlink"/>
            <w:noProof/>
          </w:rPr>
          <w:t>Outstanding Responses</w:t>
        </w:r>
        <w:r w:rsidR="004D2235">
          <w:rPr>
            <w:noProof/>
            <w:webHidden/>
          </w:rPr>
          <w:tab/>
        </w:r>
        <w:r>
          <w:rPr>
            <w:noProof/>
            <w:webHidden/>
          </w:rPr>
          <w:fldChar w:fldCharType="begin"/>
        </w:r>
        <w:r w:rsidR="004D2235">
          <w:rPr>
            <w:noProof/>
            <w:webHidden/>
          </w:rPr>
          <w:instrText xml:space="preserve"> PAGEREF _Toc528310866 \h </w:instrText>
        </w:r>
        <w:r>
          <w:rPr>
            <w:noProof/>
            <w:webHidden/>
          </w:rPr>
        </w:r>
        <w:r>
          <w:rPr>
            <w:noProof/>
            <w:webHidden/>
          </w:rPr>
          <w:fldChar w:fldCharType="separate"/>
        </w:r>
        <w:r w:rsidR="004D2235">
          <w:rPr>
            <w:noProof/>
            <w:webHidden/>
          </w:rPr>
          <w:t>11</w:t>
        </w:r>
        <w:r>
          <w:rPr>
            <w:noProof/>
            <w:webHidden/>
          </w:rPr>
          <w:fldChar w:fldCharType="end"/>
        </w:r>
      </w:hyperlink>
    </w:p>
    <w:p w:rsidR="00351AD0" w:rsidRPr="00C64BEE" w:rsidRDefault="00386C0A" w:rsidP="008906CF">
      <w:pPr>
        <w:pStyle w:val="TOCHeading"/>
        <w:rPr>
          <w:rFonts w:asciiTheme="minorHAnsi" w:hAnsiTheme="minorHAnsi"/>
        </w:rPr>
      </w:pPr>
      <w:r w:rsidRPr="00C64BEE">
        <w:rPr>
          <w:rFonts w:asciiTheme="minorHAnsi" w:hAnsiTheme="minorHAnsi"/>
        </w:rPr>
        <w:fldChar w:fldCharType="end"/>
      </w:r>
    </w:p>
    <w:p w:rsidR="00351AD0" w:rsidRPr="00C64BEE" w:rsidRDefault="00351AD0" w:rsidP="00351AD0">
      <w:pPr>
        <w:sectPr w:rsidR="00351AD0" w:rsidRPr="00C64BEE" w:rsidSect="00E8247B">
          <w:headerReference w:type="even" r:id="rId10"/>
          <w:headerReference w:type="default" r:id="rId11"/>
          <w:footerReference w:type="even" r:id="rId12"/>
          <w:footerReference w:type="default" r:id="rId13"/>
          <w:pgSz w:w="11906" w:h="16838"/>
          <w:pgMar w:top="1440" w:right="1440" w:bottom="1440" w:left="1440" w:header="708" w:footer="708" w:gutter="0"/>
          <w:pgNumType w:fmt="lowerRoman" w:start="1"/>
          <w:cols w:space="708"/>
          <w:docGrid w:linePitch="360"/>
        </w:sectPr>
      </w:pPr>
      <w:r w:rsidRPr="00C64BEE">
        <w:br w:type="page"/>
      </w:r>
    </w:p>
    <w:p w:rsidR="00123DBF" w:rsidRPr="00C64BEE" w:rsidRDefault="00123DBF" w:rsidP="008906CF">
      <w:pPr>
        <w:pStyle w:val="TOCHeading"/>
        <w:rPr>
          <w:rFonts w:asciiTheme="minorHAnsi" w:hAnsiTheme="minorHAnsi"/>
        </w:rPr>
      </w:pPr>
    </w:p>
    <w:p w:rsidR="00632981" w:rsidRPr="00C64BEE" w:rsidRDefault="00632981">
      <w:pPr>
        <w:sectPr w:rsidR="00632981" w:rsidRPr="00C64BEE" w:rsidSect="00351AD0">
          <w:headerReference w:type="even" r:id="rId14"/>
          <w:footerReference w:type="even" r:id="rId15"/>
          <w:type w:val="continuous"/>
          <w:pgSz w:w="11906" w:h="16838"/>
          <w:pgMar w:top="1440" w:right="1440" w:bottom="1440" w:left="1440" w:header="708" w:footer="708" w:gutter="0"/>
          <w:cols w:space="708"/>
          <w:docGrid w:linePitch="360"/>
        </w:sectPr>
      </w:pPr>
    </w:p>
    <w:p w:rsidR="00F23CCD" w:rsidRPr="00C64BEE" w:rsidRDefault="00F23CCD" w:rsidP="00AC094E">
      <w:pPr>
        <w:pStyle w:val="Heading2"/>
        <w:rPr>
          <w:rFonts w:asciiTheme="minorHAnsi" w:eastAsia="Calibri" w:hAnsiTheme="minorHAnsi"/>
          <w:lang w:eastAsia="en-AU"/>
        </w:rPr>
      </w:pPr>
      <w:bookmarkStart w:id="186" w:name="_Toc501448810"/>
      <w:bookmarkStart w:id="187" w:name="_Toc514837969"/>
      <w:bookmarkStart w:id="188" w:name="_Toc528310853"/>
      <w:r w:rsidRPr="00C64BEE">
        <w:rPr>
          <w:rFonts w:asciiTheme="minorHAnsi" w:eastAsia="Calibri" w:hAnsiTheme="minorHAnsi"/>
          <w:lang w:eastAsia="en-AU"/>
        </w:rPr>
        <w:lastRenderedPageBreak/>
        <w:t>Subordinate Legislation</w:t>
      </w:r>
      <w:bookmarkEnd w:id="186"/>
      <w:bookmarkEnd w:id="187"/>
      <w:bookmarkEnd w:id="188"/>
    </w:p>
    <w:p w:rsidR="006074ED" w:rsidRPr="00C64BEE" w:rsidRDefault="0010659A" w:rsidP="006074ED">
      <w:pPr>
        <w:pStyle w:val="Heading3"/>
        <w:rPr>
          <w:rFonts w:asciiTheme="minorHAnsi" w:eastAsia="Calibri" w:hAnsiTheme="minorHAnsi"/>
          <w:lang w:eastAsia="en-AU"/>
        </w:rPr>
      </w:pPr>
      <w:bookmarkStart w:id="189" w:name="_Toc528310854"/>
      <w:bookmarkStart w:id="190" w:name="_Toc514837975"/>
      <w:bookmarkStart w:id="191" w:name="_Toc501448819"/>
      <w:r>
        <w:rPr>
          <w:rFonts w:asciiTheme="minorHAnsi" w:eastAsia="Calibri" w:hAnsiTheme="minorHAnsi"/>
          <w:lang w:eastAsia="en-AU"/>
        </w:rPr>
        <w:t>Disallowable Instrument</w:t>
      </w:r>
      <w:r w:rsidR="00131525">
        <w:rPr>
          <w:rFonts w:asciiTheme="minorHAnsi" w:eastAsia="Calibri" w:hAnsiTheme="minorHAnsi"/>
          <w:lang w:eastAsia="en-AU"/>
        </w:rPr>
        <w:t>s</w:t>
      </w:r>
      <w:r w:rsidR="006074ED" w:rsidRPr="00C64BEE">
        <w:rPr>
          <w:rFonts w:asciiTheme="minorHAnsi" w:eastAsia="Calibri" w:hAnsiTheme="minorHAnsi"/>
          <w:lang w:eastAsia="en-AU"/>
        </w:rPr>
        <w:t>—</w:t>
      </w:r>
      <w:r w:rsidR="00131525">
        <w:rPr>
          <w:rFonts w:asciiTheme="minorHAnsi" w:eastAsia="Calibri" w:hAnsiTheme="minorHAnsi"/>
          <w:lang w:eastAsia="en-AU"/>
        </w:rPr>
        <w:t>No c</w:t>
      </w:r>
      <w:r w:rsidR="006074ED" w:rsidRPr="00C64BEE">
        <w:rPr>
          <w:rFonts w:asciiTheme="minorHAnsi" w:eastAsia="Calibri" w:hAnsiTheme="minorHAnsi"/>
          <w:lang w:eastAsia="en-AU"/>
        </w:rPr>
        <w:t>omment</w:t>
      </w:r>
      <w:bookmarkEnd w:id="189"/>
    </w:p>
    <w:p w:rsidR="006074ED" w:rsidRDefault="006074ED" w:rsidP="008442BF">
      <w:pPr>
        <w:keepLines/>
        <w:rPr>
          <w:rFonts w:eastAsia="Calibri" w:cs="Times New Roman"/>
        </w:rPr>
      </w:pPr>
      <w:r w:rsidRPr="00C64BEE">
        <w:rPr>
          <w:rFonts w:eastAsia="Calibri" w:cs="Times New Roman"/>
        </w:rPr>
        <w:t>The Committee has examined the fo</w:t>
      </w:r>
      <w:r w:rsidR="0010659A">
        <w:rPr>
          <w:rFonts w:eastAsia="Calibri" w:cs="Times New Roman"/>
        </w:rPr>
        <w:t>llowing disallowable instrument</w:t>
      </w:r>
      <w:r w:rsidR="00C36779">
        <w:rPr>
          <w:rFonts w:eastAsia="Calibri" w:cs="Times New Roman"/>
        </w:rPr>
        <w:t>s</w:t>
      </w:r>
      <w:r w:rsidRPr="00C64BEE">
        <w:rPr>
          <w:rFonts w:eastAsia="Calibri" w:cs="Times New Roman"/>
        </w:rPr>
        <w:t xml:space="preserve"> and offers </w:t>
      </w:r>
      <w:r w:rsidR="00C36779">
        <w:rPr>
          <w:rFonts w:eastAsia="Calibri" w:cs="Times New Roman"/>
        </w:rPr>
        <w:t>no</w:t>
      </w:r>
      <w:r w:rsidRPr="00C64BEE">
        <w:rPr>
          <w:rFonts w:eastAsia="Calibri" w:cs="Times New Roman"/>
        </w:rPr>
        <w:t xml:space="preserve"> comments on </w:t>
      </w:r>
      <w:r w:rsidR="00C36779">
        <w:rPr>
          <w:rFonts w:eastAsia="Calibri" w:cs="Times New Roman"/>
        </w:rPr>
        <w:t>them</w:t>
      </w:r>
      <w:r w:rsidRPr="00C64BEE">
        <w:rPr>
          <w:rFonts w:eastAsia="Calibri" w:cs="Times New Roman"/>
        </w:rPr>
        <w:t>:</w:t>
      </w:r>
    </w:p>
    <w:p w:rsidR="003042B1" w:rsidRPr="004D0138" w:rsidRDefault="003042B1" w:rsidP="00A902E5">
      <w:pPr>
        <w:pStyle w:val="Paper"/>
        <w:numPr>
          <w:ilvl w:val="0"/>
          <w:numId w:val="21"/>
        </w:numPr>
        <w:spacing w:before="120"/>
        <w:ind w:left="360"/>
        <w:rPr>
          <w:rFonts w:ascii="Calibri" w:hAnsi="Calibri"/>
          <w:b/>
          <w:sz w:val="22"/>
          <w:szCs w:val="22"/>
        </w:rPr>
      </w:pPr>
      <w:bookmarkStart w:id="192" w:name="_Toc514837978"/>
      <w:bookmarkEnd w:id="190"/>
      <w:r w:rsidRPr="004D0138">
        <w:rPr>
          <w:rFonts w:ascii="Calibri" w:hAnsi="Calibri"/>
          <w:b/>
          <w:sz w:val="22"/>
          <w:szCs w:val="22"/>
        </w:rPr>
        <w:t>Disallowable Instrument DI2018-235 being the Cemeteries and Crematoria (ACT Public Cemeteries Authority Governi</w:t>
      </w:r>
      <w:r w:rsidR="00DF3D7B">
        <w:rPr>
          <w:rFonts w:ascii="Calibri" w:hAnsi="Calibri"/>
          <w:b/>
          <w:sz w:val="22"/>
          <w:szCs w:val="22"/>
        </w:rPr>
        <w:t xml:space="preserve">ng Board) Appointment 2018 (No </w:t>
      </w:r>
      <w:r w:rsidRPr="004D0138">
        <w:rPr>
          <w:rFonts w:ascii="Calibri" w:hAnsi="Calibri"/>
          <w:b/>
          <w:sz w:val="22"/>
          <w:szCs w:val="22"/>
        </w:rPr>
        <w:t>1)</w:t>
      </w:r>
      <w:r>
        <w:rPr>
          <w:rFonts w:ascii="Calibri" w:hAnsi="Calibri"/>
          <w:b/>
          <w:sz w:val="22"/>
          <w:szCs w:val="22"/>
        </w:rPr>
        <w:t xml:space="preserve"> made under section</w:t>
      </w:r>
      <w:r w:rsidR="00DF3D7B">
        <w:rPr>
          <w:rFonts w:ascii="Calibri" w:hAnsi="Calibri"/>
          <w:b/>
          <w:sz w:val="22"/>
          <w:szCs w:val="22"/>
        </w:rPr>
        <w:t>s</w:t>
      </w:r>
      <w:r>
        <w:rPr>
          <w:rFonts w:ascii="Calibri" w:hAnsi="Calibri"/>
          <w:b/>
          <w:sz w:val="22"/>
          <w:szCs w:val="22"/>
        </w:rPr>
        <w:t xml:space="preserve"> 29 </w:t>
      </w:r>
      <w:r w:rsidR="00DF3D7B">
        <w:rPr>
          <w:rFonts w:ascii="Calibri" w:hAnsi="Calibri"/>
          <w:b/>
          <w:sz w:val="22"/>
          <w:szCs w:val="22"/>
        </w:rPr>
        <w:t xml:space="preserve">and 29A </w:t>
      </w:r>
      <w:r>
        <w:rPr>
          <w:rFonts w:ascii="Calibri" w:hAnsi="Calibri"/>
          <w:b/>
          <w:sz w:val="22"/>
          <w:szCs w:val="22"/>
        </w:rPr>
        <w:t xml:space="preserve">of the </w:t>
      </w:r>
      <w:r w:rsidR="00DF3D7B" w:rsidRPr="004D0138">
        <w:rPr>
          <w:rFonts w:ascii="Calibri" w:hAnsi="Calibri"/>
          <w:i/>
          <w:sz w:val="22"/>
          <w:szCs w:val="22"/>
        </w:rPr>
        <w:t>Cemeteries and Crematoria Act 2003</w:t>
      </w:r>
      <w:r w:rsidR="00DF3D7B">
        <w:rPr>
          <w:rFonts w:ascii="Calibri" w:hAnsi="Calibri"/>
          <w:i/>
          <w:sz w:val="22"/>
          <w:szCs w:val="22"/>
        </w:rPr>
        <w:t xml:space="preserve"> </w:t>
      </w:r>
      <w:r>
        <w:rPr>
          <w:rFonts w:ascii="Calibri" w:hAnsi="Calibri"/>
          <w:b/>
          <w:sz w:val="22"/>
          <w:szCs w:val="22"/>
        </w:rPr>
        <w:t xml:space="preserve">and </w:t>
      </w:r>
      <w:r w:rsidRPr="004D0138">
        <w:rPr>
          <w:rFonts w:ascii="Calibri" w:hAnsi="Calibri"/>
          <w:b/>
          <w:sz w:val="22"/>
          <w:szCs w:val="22"/>
        </w:rPr>
        <w:t xml:space="preserve">sections 78 and 79 </w:t>
      </w:r>
      <w:r w:rsidRPr="003042B1">
        <w:rPr>
          <w:rFonts w:ascii="Calibri" w:hAnsi="Calibri"/>
          <w:b/>
          <w:sz w:val="22"/>
          <w:szCs w:val="22"/>
        </w:rPr>
        <w:t xml:space="preserve">of the </w:t>
      </w:r>
      <w:r w:rsidRPr="004D0138">
        <w:rPr>
          <w:rFonts w:ascii="Calibri" w:hAnsi="Calibri"/>
          <w:i/>
          <w:sz w:val="22"/>
          <w:szCs w:val="22"/>
        </w:rPr>
        <w:t xml:space="preserve">Financial Management Act 1996 </w:t>
      </w:r>
      <w:r w:rsidRPr="004D0138">
        <w:rPr>
          <w:rFonts w:ascii="Calibri" w:hAnsi="Calibri"/>
          <w:b/>
          <w:sz w:val="22"/>
          <w:szCs w:val="22"/>
        </w:rPr>
        <w:t xml:space="preserve">appoints specified persons as chair, deputy chair and a member of the ACT Public Cemeteries Authority Governing Board. </w:t>
      </w:r>
    </w:p>
    <w:p w:rsidR="003042B1" w:rsidRPr="004D0138" w:rsidRDefault="003042B1" w:rsidP="00A902E5">
      <w:pPr>
        <w:pStyle w:val="Paper"/>
        <w:numPr>
          <w:ilvl w:val="0"/>
          <w:numId w:val="21"/>
        </w:numPr>
        <w:spacing w:before="120"/>
        <w:ind w:left="360"/>
        <w:rPr>
          <w:rFonts w:ascii="Calibri" w:hAnsi="Calibri"/>
          <w:b/>
          <w:sz w:val="22"/>
          <w:szCs w:val="22"/>
        </w:rPr>
      </w:pPr>
      <w:r w:rsidRPr="004D0138">
        <w:rPr>
          <w:rFonts w:ascii="Calibri" w:hAnsi="Calibri"/>
          <w:b/>
          <w:sz w:val="22"/>
          <w:szCs w:val="22"/>
        </w:rPr>
        <w:t xml:space="preserve">Disallowable Instrument DI2018-236 being the Road Transport (Safety and Traffic Management) Parking Authority Declaration 2018 (No 2) made under section 33 of the </w:t>
      </w:r>
      <w:r w:rsidRPr="004D0138">
        <w:rPr>
          <w:rFonts w:ascii="Calibri" w:hAnsi="Calibri"/>
          <w:i/>
          <w:sz w:val="22"/>
          <w:szCs w:val="22"/>
        </w:rPr>
        <w:t xml:space="preserve">Road Transport (Safety and Traffic Management) Regulation 2017 </w:t>
      </w:r>
      <w:r w:rsidRPr="004D0138">
        <w:rPr>
          <w:rFonts w:ascii="Calibri" w:hAnsi="Calibri"/>
          <w:b/>
          <w:sz w:val="22"/>
          <w:szCs w:val="22"/>
        </w:rPr>
        <w:t xml:space="preserve">declares </w:t>
      </w:r>
      <w:proofErr w:type="spellStart"/>
      <w:r w:rsidRPr="004D0138">
        <w:rPr>
          <w:rFonts w:ascii="Calibri" w:hAnsi="Calibri"/>
          <w:b/>
          <w:sz w:val="22"/>
          <w:szCs w:val="22"/>
        </w:rPr>
        <w:t>Megaside</w:t>
      </w:r>
      <w:proofErr w:type="spellEnd"/>
      <w:r w:rsidRPr="004D0138">
        <w:rPr>
          <w:rFonts w:ascii="Calibri" w:hAnsi="Calibri"/>
          <w:b/>
          <w:sz w:val="22"/>
          <w:szCs w:val="22"/>
        </w:rPr>
        <w:t xml:space="preserve"> Pty Ltd to be a parking authority for the area block 4 section 226 (</w:t>
      </w:r>
      <w:proofErr w:type="spellStart"/>
      <w:r w:rsidRPr="004D0138">
        <w:rPr>
          <w:rFonts w:ascii="Calibri" w:hAnsi="Calibri"/>
          <w:b/>
          <w:sz w:val="22"/>
          <w:szCs w:val="22"/>
        </w:rPr>
        <w:t>Winyu</w:t>
      </w:r>
      <w:proofErr w:type="spellEnd"/>
      <w:r w:rsidRPr="004D0138">
        <w:rPr>
          <w:rFonts w:ascii="Calibri" w:hAnsi="Calibri"/>
          <w:b/>
          <w:sz w:val="22"/>
          <w:szCs w:val="22"/>
        </w:rPr>
        <w:t xml:space="preserve"> House) in the division of Gungahlin. </w:t>
      </w:r>
    </w:p>
    <w:p w:rsidR="003042B1" w:rsidRPr="004D0138" w:rsidRDefault="003042B1" w:rsidP="00A902E5">
      <w:pPr>
        <w:pStyle w:val="Paper"/>
        <w:numPr>
          <w:ilvl w:val="0"/>
          <w:numId w:val="21"/>
        </w:numPr>
        <w:spacing w:before="120"/>
        <w:ind w:left="360"/>
        <w:rPr>
          <w:rFonts w:ascii="Calibri" w:hAnsi="Calibri"/>
          <w:b/>
          <w:sz w:val="22"/>
          <w:szCs w:val="22"/>
        </w:rPr>
      </w:pPr>
      <w:r w:rsidRPr="004D0138">
        <w:rPr>
          <w:rFonts w:ascii="Calibri" w:hAnsi="Calibri"/>
          <w:b/>
          <w:sz w:val="22"/>
          <w:szCs w:val="22"/>
        </w:rPr>
        <w:t>Disallowable Instrument DI2018-237 being the Racing Appeal</w:t>
      </w:r>
      <w:r>
        <w:rPr>
          <w:rFonts w:ascii="Calibri" w:hAnsi="Calibri"/>
          <w:b/>
          <w:sz w:val="22"/>
          <w:szCs w:val="22"/>
        </w:rPr>
        <w:t>s Tribunal Appointment 2018 (No </w:t>
      </w:r>
      <w:r w:rsidRPr="004D0138">
        <w:rPr>
          <w:rFonts w:ascii="Calibri" w:hAnsi="Calibri"/>
          <w:b/>
          <w:sz w:val="22"/>
          <w:szCs w:val="22"/>
        </w:rPr>
        <w:t xml:space="preserve">5) made under section 40 and Schedule 1, section 1.1 of the </w:t>
      </w:r>
      <w:r w:rsidRPr="004D0138">
        <w:rPr>
          <w:rFonts w:ascii="Calibri" w:hAnsi="Calibri"/>
          <w:i/>
          <w:sz w:val="22"/>
          <w:szCs w:val="22"/>
        </w:rPr>
        <w:t xml:space="preserve">Racing Act 1999 </w:t>
      </w:r>
      <w:r w:rsidRPr="004D0138">
        <w:rPr>
          <w:rFonts w:ascii="Calibri" w:hAnsi="Calibri"/>
          <w:b/>
          <w:sz w:val="22"/>
          <w:szCs w:val="22"/>
        </w:rPr>
        <w:t xml:space="preserve">appoints a specified person as a member of the Racing Appeals Tribunal. </w:t>
      </w:r>
    </w:p>
    <w:p w:rsidR="003042B1" w:rsidRPr="004D0138" w:rsidRDefault="003042B1" w:rsidP="00A902E5">
      <w:pPr>
        <w:pStyle w:val="Paper"/>
        <w:numPr>
          <w:ilvl w:val="0"/>
          <w:numId w:val="21"/>
        </w:numPr>
        <w:spacing w:before="120"/>
        <w:ind w:left="360"/>
        <w:rPr>
          <w:rFonts w:ascii="Calibri" w:hAnsi="Calibri"/>
          <w:b/>
          <w:sz w:val="22"/>
          <w:szCs w:val="22"/>
        </w:rPr>
      </w:pPr>
      <w:r w:rsidRPr="004D0138">
        <w:rPr>
          <w:rFonts w:ascii="Calibri" w:hAnsi="Calibri"/>
          <w:b/>
          <w:sz w:val="22"/>
          <w:szCs w:val="22"/>
        </w:rPr>
        <w:t>Disallowable Instrument DI2018-238 being the Racing Appeal</w:t>
      </w:r>
      <w:r>
        <w:rPr>
          <w:rFonts w:ascii="Calibri" w:hAnsi="Calibri"/>
          <w:b/>
          <w:sz w:val="22"/>
          <w:szCs w:val="22"/>
        </w:rPr>
        <w:t>s Tribunal Appointment 2018 (No </w:t>
      </w:r>
      <w:r w:rsidRPr="004D0138">
        <w:rPr>
          <w:rFonts w:ascii="Calibri" w:hAnsi="Calibri"/>
          <w:b/>
          <w:sz w:val="22"/>
          <w:szCs w:val="22"/>
        </w:rPr>
        <w:t xml:space="preserve">6) made under section 40 and Schedule 1, section 1.1 of the </w:t>
      </w:r>
      <w:r w:rsidRPr="004D0138">
        <w:rPr>
          <w:rFonts w:ascii="Calibri" w:hAnsi="Calibri"/>
          <w:i/>
          <w:sz w:val="22"/>
          <w:szCs w:val="22"/>
        </w:rPr>
        <w:t xml:space="preserve">Racing Act 1999 </w:t>
      </w:r>
      <w:r w:rsidRPr="004D0138">
        <w:rPr>
          <w:rFonts w:ascii="Calibri" w:hAnsi="Calibri"/>
          <w:b/>
          <w:sz w:val="22"/>
          <w:szCs w:val="22"/>
        </w:rPr>
        <w:t xml:space="preserve">appoints a specified person as a member of the Racing Appeals Tribunal. </w:t>
      </w:r>
    </w:p>
    <w:p w:rsidR="003042B1" w:rsidRPr="004D0138" w:rsidRDefault="003042B1" w:rsidP="00A902E5">
      <w:pPr>
        <w:pStyle w:val="Paper"/>
        <w:numPr>
          <w:ilvl w:val="0"/>
          <w:numId w:val="21"/>
        </w:numPr>
        <w:spacing w:before="120"/>
        <w:ind w:left="360"/>
        <w:rPr>
          <w:rFonts w:ascii="Calibri" w:hAnsi="Calibri"/>
          <w:b/>
          <w:sz w:val="22"/>
          <w:szCs w:val="22"/>
        </w:rPr>
      </w:pPr>
      <w:r w:rsidRPr="004D0138">
        <w:rPr>
          <w:rFonts w:ascii="Calibri" w:hAnsi="Calibri"/>
          <w:b/>
          <w:sz w:val="22"/>
          <w:szCs w:val="22"/>
        </w:rPr>
        <w:t xml:space="preserve">Disallowable Instrument DI2018-240 being the Nature Conservation (Aquatic and Riparian) Action Plans 2018 made under sections 104 and 105 of the </w:t>
      </w:r>
      <w:r w:rsidRPr="004D0138">
        <w:rPr>
          <w:rFonts w:ascii="Calibri" w:hAnsi="Calibri"/>
          <w:i/>
          <w:sz w:val="22"/>
          <w:szCs w:val="22"/>
        </w:rPr>
        <w:t xml:space="preserve">Nature Conservation Act 2014 </w:t>
      </w:r>
      <w:r w:rsidRPr="004D0138">
        <w:rPr>
          <w:rFonts w:ascii="Calibri" w:hAnsi="Calibri"/>
          <w:b/>
          <w:sz w:val="22"/>
          <w:szCs w:val="22"/>
        </w:rPr>
        <w:t>revokes DI2007</w:t>
      </w:r>
      <w:r w:rsidRPr="004D0138">
        <w:rPr>
          <w:rFonts w:ascii="Calibri" w:hAnsi="Calibri"/>
          <w:b/>
          <w:sz w:val="22"/>
          <w:szCs w:val="22"/>
        </w:rPr>
        <w:noBreakHyphen/>
        <w:t xml:space="preserve">84 and DI2013-274 and makes the Nature Conservation (Aquatic and Riparian) Action Plans 2018. </w:t>
      </w:r>
    </w:p>
    <w:p w:rsidR="003042B1" w:rsidRPr="004D0138" w:rsidRDefault="003042B1" w:rsidP="00A902E5">
      <w:pPr>
        <w:pStyle w:val="Paper"/>
        <w:numPr>
          <w:ilvl w:val="0"/>
          <w:numId w:val="21"/>
        </w:numPr>
        <w:spacing w:before="120"/>
        <w:ind w:left="360"/>
        <w:rPr>
          <w:rFonts w:ascii="Calibri" w:hAnsi="Calibri"/>
          <w:b/>
          <w:sz w:val="22"/>
          <w:szCs w:val="22"/>
        </w:rPr>
      </w:pPr>
      <w:r w:rsidRPr="004D0138">
        <w:rPr>
          <w:rFonts w:ascii="Calibri" w:hAnsi="Calibri"/>
          <w:b/>
          <w:sz w:val="22"/>
          <w:szCs w:val="22"/>
        </w:rPr>
        <w:t xml:space="preserve">Disallowable Instrument DI2018-241 being the Public Place Names (Denman Prospect) Determination 2018 (No 2) made under section 3 of the </w:t>
      </w:r>
      <w:r w:rsidRPr="004D0138">
        <w:rPr>
          <w:rFonts w:ascii="Calibri" w:hAnsi="Calibri"/>
          <w:i/>
          <w:sz w:val="22"/>
          <w:szCs w:val="22"/>
        </w:rPr>
        <w:t xml:space="preserve">Public Place Names Act 1989 </w:t>
      </w:r>
      <w:r w:rsidRPr="004D0138">
        <w:rPr>
          <w:rFonts w:ascii="Calibri" w:hAnsi="Calibri"/>
          <w:b/>
          <w:sz w:val="22"/>
          <w:szCs w:val="22"/>
        </w:rPr>
        <w:t xml:space="preserve">determines the names of eight roads in the Division of Denman Prospect. </w:t>
      </w:r>
    </w:p>
    <w:p w:rsidR="003042B1" w:rsidRPr="004D0138" w:rsidRDefault="003042B1" w:rsidP="00A902E5">
      <w:pPr>
        <w:pStyle w:val="Paper"/>
        <w:numPr>
          <w:ilvl w:val="0"/>
          <w:numId w:val="21"/>
        </w:numPr>
        <w:spacing w:before="120"/>
        <w:ind w:left="360"/>
        <w:rPr>
          <w:rFonts w:ascii="Calibri" w:hAnsi="Calibri"/>
          <w:b/>
          <w:sz w:val="22"/>
          <w:szCs w:val="22"/>
        </w:rPr>
      </w:pPr>
      <w:r w:rsidRPr="004D0138">
        <w:rPr>
          <w:rFonts w:ascii="Calibri" w:hAnsi="Calibri"/>
          <w:b/>
          <w:sz w:val="22"/>
          <w:szCs w:val="22"/>
        </w:rPr>
        <w:t xml:space="preserve">Disallowable Instrument DI2018-242 being the Sex Work (Fees) Determination 2018 made under section 29 of the </w:t>
      </w:r>
      <w:r w:rsidRPr="004D0138">
        <w:rPr>
          <w:rFonts w:ascii="Calibri" w:hAnsi="Calibri"/>
          <w:i/>
          <w:sz w:val="22"/>
          <w:szCs w:val="22"/>
        </w:rPr>
        <w:t xml:space="preserve">Sex Work Act 1992 </w:t>
      </w:r>
      <w:r w:rsidRPr="004D0138">
        <w:rPr>
          <w:rFonts w:ascii="Calibri" w:hAnsi="Calibri"/>
          <w:b/>
          <w:sz w:val="22"/>
          <w:szCs w:val="22"/>
        </w:rPr>
        <w:t xml:space="preserve">revokes DI2018-144 and determines fees payable for the purposes of the Act. </w:t>
      </w:r>
    </w:p>
    <w:p w:rsidR="003042B1" w:rsidRPr="004D0138" w:rsidRDefault="003042B1" w:rsidP="00A902E5">
      <w:pPr>
        <w:pStyle w:val="Paper"/>
        <w:numPr>
          <w:ilvl w:val="0"/>
          <w:numId w:val="21"/>
        </w:numPr>
        <w:spacing w:before="120"/>
        <w:ind w:left="360"/>
        <w:rPr>
          <w:rFonts w:ascii="Calibri" w:hAnsi="Calibri"/>
          <w:b/>
          <w:sz w:val="22"/>
          <w:szCs w:val="22"/>
        </w:rPr>
      </w:pPr>
      <w:r w:rsidRPr="004D0138">
        <w:rPr>
          <w:rFonts w:ascii="Calibri" w:hAnsi="Calibri"/>
          <w:b/>
          <w:sz w:val="22"/>
          <w:szCs w:val="22"/>
        </w:rPr>
        <w:t xml:space="preserve">Disallowable Instrument DI2018-243 being the Energy Efficiency (Cost of Living) Improvement (Priority Household Target) Determination 2018, including a regulatory impact statement made under section 8 of the </w:t>
      </w:r>
      <w:r w:rsidRPr="004D0138">
        <w:rPr>
          <w:rFonts w:ascii="Calibri" w:hAnsi="Calibri"/>
          <w:i/>
          <w:sz w:val="22"/>
          <w:szCs w:val="22"/>
        </w:rPr>
        <w:t xml:space="preserve">Energy Efficiency (Cost of Living) Improvement Act 2012 </w:t>
      </w:r>
      <w:r w:rsidRPr="004D0138">
        <w:rPr>
          <w:rFonts w:ascii="Calibri" w:hAnsi="Calibri"/>
          <w:b/>
          <w:sz w:val="22"/>
          <w:szCs w:val="22"/>
        </w:rPr>
        <w:t xml:space="preserve">determines the priority household target for the purposes of the Act. </w:t>
      </w:r>
    </w:p>
    <w:p w:rsidR="003042B1" w:rsidRPr="004D0138" w:rsidRDefault="003042B1" w:rsidP="00A902E5">
      <w:pPr>
        <w:pStyle w:val="Paper"/>
        <w:numPr>
          <w:ilvl w:val="0"/>
          <w:numId w:val="21"/>
        </w:numPr>
        <w:spacing w:before="120"/>
        <w:ind w:left="360"/>
        <w:rPr>
          <w:rFonts w:ascii="Calibri" w:hAnsi="Calibri"/>
          <w:b/>
          <w:sz w:val="22"/>
          <w:szCs w:val="22"/>
        </w:rPr>
      </w:pPr>
      <w:r w:rsidRPr="004D0138">
        <w:rPr>
          <w:rFonts w:ascii="Calibri" w:hAnsi="Calibri"/>
          <w:b/>
          <w:sz w:val="22"/>
          <w:szCs w:val="22"/>
        </w:rPr>
        <w:t>Disallowable Instrument DI2018-244 being the Road Transport (General) Application of Road Transport Legislation (</w:t>
      </w:r>
      <w:proofErr w:type="spellStart"/>
      <w:r w:rsidRPr="004D0138">
        <w:rPr>
          <w:rFonts w:ascii="Calibri" w:hAnsi="Calibri"/>
          <w:b/>
          <w:sz w:val="22"/>
          <w:szCs w:val="22"/>
        </w:rPr>
        <w:t>Pedicab</w:t>
      </w:r>
      <w:proofErr w:type="spellEnd"/>
      <w:r w:rsidRPr="004D0138">
        <w:rPr>
          <w:rFonts w:ascii="Calibri" w:hAnsi="Calibri"/>
          <w:b/>
          <w:sz w:val="22"/>
          <w:szCs w:val="22"/>
        </w:rPr>
        <w:t xml:space="preserve">) Declaration 2018 made under section 13 of the </w:t>
      </w:r>
      <w:r w:rsidRPr="004D0138">
        <w:rPr>
          <w:rFonts w:ascii="Calibri" w:hAnsi="Calibri"/>
          <w:i/>
          <w:sz w:val="22"/>
          <w:szCs w:val="22"/>
        </w:rPr>
        <w:t xml:space="preserve">Road Transport (General) Act 1999 </w:t>
      </w:r>
      <w:r w:rsidRPr="004D0138">
        <w:rPr>
          <w:rFonts w:ascii="Calibri" w:hAnsi="Calibri"/>
          <w:b/>
          <w:sz w:val="22"/>
          <w:szCs w:val="22"/>
        </w:rPr>
        <w:t xml:space="preserve">declares that a </w:t>
      </w:r>
      <w:proofErr w:type="spellStart"/>
      <w:r w:rsidRPr="004D0138">
        <w:rPr>
          <w:rFonts w:ascii="Calibri" w:hAnsi="Calibri"/>
          <w:b/>
          <w:sz w:val="22"/>
          <w:szCs w:val="22"/>
        </w:rPr>
        <w:t>pedicab</w:t>
      </w:r>
      <w:proofErr w:type="spellEnd"/>
      <w:r w:rsidRPr="004D0138">
        <w:rPr>
          <w:rFonts w:ascii="Calibri" w:hAnsi="Calibri"/>
          <w:b/>
          <w:sz w:val="22"/>
          <w:szCs w:val="22"/>
        </w:rPr>
        <w:t xml:space="preserve"> service operator is exempt from complying with the specified Acts and Regulations. </w:t>
      </w:r>
    </w:p>
    <w:p w:rsidR="003042B1" w:rsidRPr="004D0138" w:rsidRDefault="003042B1" w:rsidP="00A902E5">
      <w:pPr>
        <w:pStyle w:val="Paper"/>
        <w:numPr>
          <w:ilvl w:val="0"/>
          <w:numId w:val="21"/>
        </w:numPr>
        <w:spacing w:before="120"/>
        <w:ind w:left="360"/>
        <w:rPr>
          <w:rFonts w:ascii="Calibri" w:hAnsi="Calibri"/>
          <w:b/>
          <w:sz w:val="22"/>
          <w:szCs w:val="22"/>
        </w:rPr>
      </w:pPr>
      <w:r w:rsidRPr="004D0138">
        <w:rPr>
          <w:rFonts w:ascii="Calibri" w:hAnsi="Calibri"/>
          <w:b/>
          <w:sz w:val="22"/>
          <w:szCs w:val="22"/>
        </w:rPr>
        <w:t xml:space="preserve">Disallowable Instrument DI2018-245 being the Road Transport (General) Concession Determination 2018 (No 2) made under section 96 of the </w:t>
      </w:r>
      <w:r w:rsidRPr="004D0138">
        <w:rPr>
          <w:rFonts w:ascii="Calibri" w:hAnsi="Calibri"/>
          <w:i/>
          <w:sz w:val="22"/>
          <w:szCs w:val="22"/>
        </w:rPr>
        <w:t xml:space="preserve">Road Transport (General) Act 1999 </w:t>
      </w:r>
      <w:r w:rsidRPr="004D0138">
        <w:rPr>
          <w:rFonts w:ascii="Calibri" w:hAnsi="Calibri"/>
          <w:b/>
          <w:sz w:val="22"/>
          <w:szCs w:val="22"/>
        </w:rPr>
        <w:t xml:space="preserve">revokes DI2018-131 and determines the concessional fees payable by eligible persons for vehicle registration and driver licensing. </w:t>
      </w:r>
    </w:p>
    <w:p w:rsidR="003042B1" w:rsidRPr="004D0138" w:rsidRDefault="003042B1" w:rsidP="00A902E5">
      <w:pPr>
        <w:pStyle w:val="Paper"/>
        <w:keepLines/>
        <w:numPr>
          <w:ilvl w:val="0"/>
          <w:numId w:val="21"/>
        </w:numPr>
        <w:spacing w:before="120"/>
        <w:ind w:left="360"/>
        <w:rPr>
          <w:rFonts w:ascii="Calibri" w:hAnsi="Calibri"/>
          <w:b/>
          <w:sz w:val="22"/>
          <w:szCs w:val="22"/>
        </w:rPr>
      </w:pPr>
      <w:r w:rsidRPr="004D0138">
        <w:rPr>
          <w:rFonts w:ascii="Calibri" w:hAnsi="Calibri"/>
          <w:b/>
          <w:sz w:val="22"/>
          <w:szCs w:val="22"/>
        </w:rPr>
        <w:lastRenderedPageBreak/>
        <w:t xml:space="preserve">Disallowable Instrument DI2018-248 being the Road Transport (General) Application of Road Transport Legislation Declaration 2018 (No 7) made under section 12 of the </w:t>
      </w:r>
      <w:r w:rsidRPr="004D0138">
        <w:rPr>
          <w:rFonts w:ascii="Calibri" w:hAnsi="Calibri"/>
          <w:i/>
          <w:sz w:val="22"/>
          <w:szCs w:val="22"/>
        </w:rPr>
        <w:t xml:space="preserve">Road Transport (General) Act 1999 </w:t>
      </w:r>
      <w:r w:rsidRPr="004D0138">
        <w:rPr>
          <w:rFonts w:ascii="Calibri" w:hAnsi="Calibri"/>
          <w:b/>
          <w:sz w:val="22"/>
          <w:szCs w:val="22"/>
        </w:rPr>
        <w:t xml:space="preserve">declares that certain parts of the road transport legislation do not apply to a section of parking on Barrine Drive during the Floriade event. </w:t>
      </w:r>
    </w:p>
    <w:p w:rsidR="003042B1" w:rsidRDefault="003042B1" w:rsidP="00A902E5">
      <w:pPr>
        <w:pStyle w:val="Paper"/>
        <w:numPr>
          <w:ilvl w:val="0"/>
          <w:numId w:val="21"/>
        </w:numPr>
        <w:spacing w:before="120"/>
        <w:ind w:left="360"/>
        <w:rPr>
          <w:rFonts w:ascii="Calibri" w:hAnsi="Calibri"/>
          <w:b/>
          <w:sz w:val="22"/>
          <w:szCs w:val="22"/>
        </w:rPr>
      </w:pPr>
      <w:r w:rsidRPr="004D0138">
        <w:rPr>
          <w:rFonts w:ascii="Calibri" w:hAnsi="Calibri"/>
          <w:b/>
          <w:sz w:val="22"/>
          <w:szCs w:val="22"/>
        </w:rPr>
        <w:t xml:space="preserve">Disallowable Instrument DI2018-249 being the Financial Management (Credit Facility) Revocation  2018 (No 1) made under section 59 of the </w:t>
      </w:r>
      <w:r w:rsidRPr="004D0138">
        <w:rPr>
          <w:rFonts w:ascii="Calibri" w:hAnsi="Calibri"/>
          <w:i/>
          <w:sz w:val="22"/>
          <w:szCs w:val="22"/>
        </w:rPr>
        <w:t xml:space="preserve">Financial Management Act 1999 </w:t>
      </w:r>
      <w:r w:rsidRPr="004D0138">
        <w:rPr>
          <w:rFonts w:ascii="Calibri" w:hAnsi="Calibri"/>
          <w:b/>
          <w:sz w:val="22"/>
          <w:szCs w:val="22"/>
        </w:rPr>
        <w:t xml:space="preserve">revokes DI2008-236, DI2012-208 and DI2013-40 as they are no longer is use and are no longer required. </w:t>
      </w:r>
    </w:p>
    <w:p w:rsidR="003042B1" w:rsidRPr="009A10D1" w:rsidRDefault="003042B1" w:rsidP="00A902E5">
      <w:pPr>
        <w:pStyle w:val="Paper"/>
        <w:numPr>
          <w:ilvl w:val="0"/>
          <w:numId w:val="21"/>
        </w:numPr>
        <w:ind w:left="360"/>
        <w:rPr>
          <w:rFonts w:ascii="Calibri" w:hAnsi="Calibri"/>
          <w:b/>
          <w:sz w:val="22"/>
          <w:szCs w:val="22"/>
        </w:rPr>
      </w:pPr>
      <w:r w:rsidRPr="009A10D1">
        <w:rPr>
          <w:rFonts w:ascii="Calibri" w:hAnsi="Calibri"/>
          <w:b/>
          <w:sz w:val="22"/>
          <w:szCs w:val="22"/>
        </w:rPr>
        <w:t xml:space="preserve">Disallowable Instrument DI2018-251 being the Public Place Names (Taylor) Determination 2018 (No 5) made under section 3 of the </w:t>
      </w:r>
      <w:r w:rsidRPr="009A10D1">
        <w:rPr>
          <w:rFonts w:ascii="Calibri" w:hAnsi="Calibri"/>
          <w:i/>
          <w:sz w:val="22"/>
          <w:szCs w:val="22"/>
        </w:rPr>
        <w:t xml:space="preserve">Public Place Names Act 1989 </w:t>
      </w:r>
      <w:r w:rsidRPr="009A10D1">
        <w:rPr>
          <w:rFonts w:ascii="Calibri" w:hAnsi="Calibri"/>
          <w:b/>
          <w:sz w:val="22"/>
          <w:szCs w:val="22"/>
        </w:rPr>
        <w:t>determines the names of 13 roads in the Division of Taylor.</w:t>
      </w:r>
    </w:p>
    <w:p w:rsidR="003042B1" w:rsidRPr="009A10D1" w:rsidRDefault="003042B1" w:rsidP="00A902E5">
      <w:pPr>
        <w:pStyle w:val="Paper"/>
        <w:numPr>
          <w:ilvl w:val="0"/>
          <w:numId w:val="21"/>
        </w:numPr>
        <w:ind w:left="360"/>
        <w:rPr>
          <w:rFonts w:ascii="Calibri" w:hAnsi="Calibri"/>
          <w:b/>
          <w:sz w:val="22"/>
          <w:szCs w:val="22"/>
        </w:rPr>
      </w:pPr>
      <w:r w:rsidRPr="009A10D1">
        <w:rPr>
          <w:rFonts w:ascii="Calibri" w:hAnsi="Calibri"/>
          <w:b/>
          <w:sz w:val="22"/>
          <w:szCs w:val="22"/>
        </w:rPr>
        <w:t xml:space="preserve">Disallowable Instrument DI2018-252 being the Tree Protection (Advisory Panel) Appointment 2018 (No 1) made under section 69 of the </w:t>
      </w:r>
      <w:r w:rsidRPr="009A10D1">
        <w:rPr>
          <w:rFonts w:ascii="Calibri" w:hAnsi="Calibri"/>
          <w:i/>
          <w:sz w:val="22"/>
          <w:szCs w:val="22"/>
        </w:rPr>
        <w:t xml:space="preserve">Tree Protection Act 2005 </w:t>
      </w:r>
      <w:r w:rsidRPr="009A10D1">
        <w:rPr>
          <w:rFonts w:ascii="Calibri" w:hAnsi="Calibri"/>
          <w:b/>
          <w:sz w:val="22"/>
          <w:szCs w:val="22"/>
        </w:rPr>
        <w:t>appoints specified persons as members and appoints a specified person as chair of the Tree Advisory Panel.</w:t>
      </w:r>
    </w:p>
    <w:p w:rsidR="003042B1" w:rsidRPr="009A10D1" w:rsidRDefault="003042B1" w:rsidP="00A902E5">
      <w:pPr>
        <w:pStyle w:val="Paper"/>
        <w:numPr>
          <w:ilvl w:val="0"/>
          <w:numId w:val="21"/>
        </w:numPr>
        <w:ind w:left="360"/>
        <w:rPr>
          <w:rFonts w:ascii="Calibri" w:hAnsi="Calibri"/>
          <w:b/>
          <w:sz w:val="22"/>
          <w:szCs w:val="22"/>
        </w:rPr>
      </w:pPr>
      <w:r w:rsidRPr="009A10D1">
        <w:rPr>
          <w:rFonts w:ascii="Calibri" w:hAnsi="Calibri"/>
          <w:b/>
          <w:sz w:val="22"/>
          <w:szCs w:val="22"/>
        </w:rPr>
        <w:t xml:space="preserve">Disallowable Instrument DI2018-253 being the Health (National Health Funding Pool and Administration) Appointment 2018 (No 1) made under section 8 of the </w:t>
      </w:r>
      <w:r w:rsidRPr="009A10D1">
        <w:rPr>
          <w:rFonts w:ascii="Calibri" w:hAnsi="Calibri"/>
          <w:i/>
          <w:sz w:val="22"/>
          <w:szCs w:val="22"/>
        </w:rPr>
        <w:t xml:space="preserve">Health (National Health Funding Pool and Administration) Act 2013 </w:t>
      </w:r>
      <w:r w:rsidRPr="009A10D1">
        <w:rPr>
          <w:rFonts w:ascii="Calibri" w:hAnsi="Calibri"/>
          <w:b/>
          <w:sz w:val="22"/>
          <w:szCs w:val="22"/>
        </w:rPr>
        <w:t>appoints an individual agreed to by all members of the Standing Council on Health to the office of Administrator.</w:t>
      </w:r>
    </w:p>
    <w:p w:rsidR="003042B1" w:rsidRPr="009A10D1" w:rsidRDefault="003042B1" w:rsidP="00A902E5">
      <w:pPr>
        <w:pStyle w:val="Paper"/>
        <w:numPr>
          <w:ilvl w:val="0"/>
          <w:numId w:val="21"/>
        </w:numPr>
        <w:ind w:left="360"/>
        <w:rPr>
          <w:rFonts w:ascii="Calibri" w:hAnsi="Calibri"/>
          <w:b/>
          <w:sz w:val="22"/>
          <w:szCs w:val="22"/>
        </w:rPr>
      </w:pPr>
      <w:r w:rsidRPr="009A10D1">
        <w:rPr>
          <w:rFonts w:ascii="Calibri" w:hAnsi="Calibri"/>
          <w:b/>
          <w:sz w:val="22"/>
          <w:szCs w:val="22"/>
        </w:rPr>
        <w:t xml:space="preserve">Disallowable Instrument DI2018-254 being the Road Transport (General) Application of Road Transport Legislation Declaration 2018 (No 8) made under section 12 of the </w:t>
      </w:r>
      <w:r w:rsidRPr="009A10D1">
        <w:rPr>
          <w:rFonts w:ascii="Calibri" w:hAnsi="Calibri"/>
          <w:i/>
          <w:sz w:val="22"/>
          <w:szCs w:val="22"/>
        </w:rPr>
        <w:t xml:space="preserve">Road Transport (General) Act 1999 </w:t>
      </w:r>
      <w:r w:rsidRPr="009A10D1">
        <w:rPr>
          <w:rFonts w:ascii="Calibri" w:hAnsi="Calibri"/>
          <w:b/>
          <w:sz w:val="22"/>
          <w:szCs w:val="22"/>
        </w:rPr>
        <w:t>declares that certain parts of the road transport legislation do not apply to a section of parking for the 2018/2019 cricket fixtures at Manuka Oval.</w:t>
      </w:r>
    </w:p>
    <w:p w:rsidR="003042B1" w:rsidRPr="009A10D1" w:rsidRDefault="003042B1" w:rsidP="00A902E5">
      <w:pPr>
        <w:pStyle w:val="Paper"/>
        <w:numPr>
          <w:ilvl w:val="0"/>
          <w:numId w:val="21"/>
        </w:numPr>
        <w:ind w:left="360"/>
        <w:rPr>
          <w:rFonts w:ascii="Calibri" w:hAnsi="Calibri"/>
          <w:b/>
          <w:sz w:val="22"/>
          <w:szCs w:val="22"/>
        </w:rPr>
      </w:pPr>
      <w:r w:rsidRPr="009A10D1">
        <w:rPr>
          <w:rFonts w:ascii="Calibri" w:hAnsi="Calibri"/>
          <w:b/>
          <w:sz w:val="22"/>
          <w:szCs w:val="22"/>
        </w:rPr>
        <w:t xml:space="preserve">Disallowable Instrument DI2018-255 being the Road Transport (General) Application of Road Transport Legislation Declaration 2018 (No 9) made under section 13 of the </w:t>
      </w:r>
      <w:r w:rsidRPr="009A10D1">
        <w:rPr>
          <w:rFonts w:ascii="Calibri" w:hAnsi="Calibri"/>
          <w:i/>
          <w:sz w:val="22"/>
          <w:szCs w:val="22"/>
        </w:rPr>
        <w:t xml:space="preserve">Road Transport (General) Act 1999 </w:t>
      </w:r>
      <w:r w:rsidRPr="009A10D1">
        <w:rPr>
          <w:rFonts w:ascii="Calibri" w:hAnsi="Calibri"/>
          <w:b/>
          <w:sz w:val="22"/>
          <w:szCs w:val="22"/>
        </w:rPr>
        <w:t>declares that certain parts of the road transport legislation do not apply to a designated vehicle or the driver of a designated vehicle while participating in the Innate Test Day taking place on 6 October 2018.</w:t>
      </w:r>
    </w:p>
    <w:p w:rsidR="003042B1" w:rsidRPr="009A10D1" w:rsidRDefault="003042B1" w:rsidP="00A902E5">
      <w:pPr>
        <w:pStyle w:val="Paper"/>
        <w:numPr>
          <w:ilvl w:val="0"/>
          <w:numId w:val="21"/>
        </w:numPr>
        <w:ind w:left="360"/>
        <w:rPr>
          <w:rFonts w:ascii="Calibri" w:hAnsi="Calibri"/>
          <w:b/>
          <w:sz w:val="22"/>
          <w:szCs w:val="22"/>
        </w:rPr>
      </w:pPr>
      <w:r w:rsidRPr="009A10D1">
        <w:rPr>
          <w:rFonts w:ascii="Calibri" w:hAnsi="Calibri"/>
          <w:b/>
          <w:sz w:val="22"/>
          <w:szCs w:val="22"/>
        </w:rPr>
        <w:t>Disallowable Instrument DI2018-257 being the Public Trustee and Guardian (Investment Board) Appointment 2018 (No 2) made under paragraph 48(1</w:t>
      </w:r>
      <w:proofErr w:type="gramStart"/>
      <w:r w:rsidRPr="009A10D1">
        <w:rPr>
          <w:rFonts w:ascii="Calibri" w:hAnsi="Calibri"/>
          <w:b/>
          <w:sz w:val="22"/>
          <w:szCs w:val="22"/>
        </w:rPr>
        <w:t>)(</w:t>
      </w:r>
      <w:proofErr w:type="gramEnd"/>
      <w:r w:rsidRPr="009A10D1">
        <w:rPr>
          <w:rFonts w:ascii="Calibri" w:hAnsi="Calibri"/>
          <w:b/>
          <w:sz w:val="22"/>
          <w:szCs w:val="22"/>
        </w:rPr>
        <w:t xml:space="preserve">b) of the </w:t>
      </w:r>
      <w:r w:rsidRPr="009A10D1">
        <w:rPr>
          <w:rFonts w:ascii="Calibri" w:hAnsi="Calibri"/>
          <w:i/>
          <w:sz w:val="22"/>
          <w:szCs w:val="22"/>
        </w:rPr>
        <w:t xml:space="preserve">Public Trustee and Guardian Act 1985 </w:t>
      </w:r>
      <w:r w:rsidRPr="009A10D1">
        <w:rPr>
          <w:rFonts w:ascii="Calibri" w:hAnsi="Calibri"/>
          <w:b/>
          <w:sz w:val="22"/>
          <w:szCs w:val="22"/>
        </w:rPr>
        <w:t xml:space="preserve">appoints a specified person as a member of the Public Trustee and Guardian Investment Board. </w:t>
      </w:r>
    </w:p>
    <w:p w:rsidR="003042B1" w:rsidRPr="009A10D1" w:rsidRDefault="003042B1" w:rsidP="00A902E5">
      <w:pPr>
        <w:pStyle w:val="Paper"/>
        <w:numPr>
          <w:ilvl w:val="0"/>
          <w:numId w:val="21"/>
        </w:numPr>
        <w:ind w:left="360"/>
        <w:rPr>
          <w:rFonts w:ascii="Calibri" w:hAnsi="Calibri"/>
          <w:b/>
          <w:sz w:val="22"/>
          <w:szCs w:val="22"/>
        </w:rPr>
      </w:pPr>
      <w:r w:rsidRPr="009A10D1">
        <w:rPr>
          <w:rFonts w:ascii="Calibri" w:hAnsi="Calibri"/>
          <w:b/>
          <w:sz w:val="22"/>
          <w:szCs w:val="22"/>
        </w:rPr>
        <w:t xml:space="preserve">Disallowable Instrument DI2018-258 being the Civil Law (Wrongs) Professional Standards Council Appointment 2018 (No 10) made under Schedule 4, section 4.39 of the </w:t>
      </w:r>
      <w:r w:rsidRPr="009A10D1">
        <w:rPr>
          <w:rFonts w:ascii="Calibri" w:hAnsi="Calibri"/>
          <w:i/>
          <w:sz w:val="22"/>
          <w:szCs w:val="22"/>
        </w:rPr>
        <w:t xml:space="preserve">Civil Law (Wrongs) Act 2002 </w:t>
      </w:r>
      <w:r w:rsidRPr="009A10D1">
        <w:rPr>
          <w:rFonts w:ascii="Calibri" w:hAnsi="Calibri"/>
          <w:b/>
          <w:sz w:val="22"/>
          <w:szCs w:val="22"/>
        </w:rPr>
        <w:t>appoints a specified person as the chairperson of the ACT Professional Standards Council.</w:t>
      </w:r>
    </w:p>
    <w:p w:rsidR="003042B1" w:rsidRPr="00C64BEE" w:rsidRDefault="003042B1" w:rsidP="003042B1">
      <w:pPr>
        <w:pStyle w:val="Heading3"/>
        <w:rPr>
          <w:rFonts w:asciiTheme="minorHAnsi" w:eastAsia="Calibri" w:hAnsiTheme="minorHAnsi"/>
          <w:lang w:eastAsia="en-AU"/>
        </w:rPr>
      </w:pPr>
      <w:bookmarkStart w:id="193" w:name="_Toc528310855"/>
      <w:r>
        <w:rPr>
          <w:rFonts w:asciiTheme="minorHAnsi" w:eastAsia="Calibri" w:hAnsiTheme="minorHAnsi"/>
          <w:lang w:eastAsia="en-AU"/>
        </w:rPr>
        <w:t>Disallowable Instruments</w:t>
      </w:r>
      <w:r w:rsidRPr="00C64BEE">
        <w:rPr>
          <w:rFonts w:asciiTheme="minorHAnsi" w:eastAsia="Calibri" w:hAnsiTheme="minorHAnsi"/>
          <w:lang w:eastAsia="en-AU"/>
        </w:rPr>
        <w:t>—</w:t>
      </w:r>
      <w:r>
        <w:rPr>
          <w:rFonts w:asciiTheme="minorHAnsi" w:eastAsia="Calibri" w:hAnsiTheme="minorHAnsi"/>
          <w:lang w:eastAsia="en-AU"/>
        </w:rPr>
        <w:t>C</w:t>
      </w:r>
      <w:r w:rsidRPr="00C64BEE">
        <w:rPr>
          <w:rFonts w:asciiTheme="minorHAnsi" w:eastAsia="Calibri" w:hAnsiTheme="minorHAnsi"/>
          <w:lang w:eastAsia="en-AU"/>
        </w:rPr>
        <w:t>omment</w:t>
      </w:r>
      <w:bookmarkEnd w:id="193"/>
    </w:p>
    <w:p w:rsidR="003042B1" w:rsidRDefault="003042B1" w:rsidP="008442BF">
      <w:pPr>
        <w:keepLines/>
        <w:rPr>
          <w:rFonts w:eastAsia="Calibri" w:cs="Times New Roman"/>
        </w:rPr>
      </w:pPr>
      <w:r w:rsidRPr="00C64BEE">
        <w:rPr>
          <w:rFonts w:eastAsia="Calibri" w:cs="Times New Roman"/>
        </w:rPr>
        <w:t>The Committee has examined the fo</w:t>
      </w:r>
      <w:r>
        <w:rPr>
          <w:rFonts w:eastAsia="Calibri" w:cs="Times New Roman"/>
        </w:rPr>
        <w:t>llowing disallowable instruments</w:t>
      </w:r>
      <w:r w:rsidRPr="00C64BEE">
        <w:rPr>
          <w:rFonts w:eastAsia="Calibri" w:cs="Times New Roman"/>
        </w:rPr>
        <w:t xml:space="preserve"> and offers </w:t>
      </w:r>
      <w:r>
        <w:rPr>
          <w:rFonts w:eastAsia="Calibri" w:cs="Times New Roman"/>
        </w:rPr>
        <w:t>these</w:t>
      </w:r>
      <w:r w:rsidRPr="00C64BEE">
        <w:rPr>
          <w:rFonts w:eastAsia="Calibri" w:cs="Times New Roman"/>
        </w:rPr>
        <w:t xml:space="preserve"> comments on </w:t>
      </w:r>
      <w:r>
        <w:rPr>
          <w:rFonts w:eastAsia="Calibri" w:cs="Times New Roman"/>
        </w:rPr>
        <w:t>them</w:t>
      </w:r>
      <w:r w:rsidRPr="00C64BEE">
        <w:rPr>
          <w:rFonts w:eastAsia="Calibri" w:cs="Times New Roman"/>
        </w:rPr>
        <w:t>:</w:t>
      </w:r>
    </w:p>
    <w:p w:rsidR="00196028" w:rsidRPr="00196028" w:rsidRDefault="00196028" w:rsidP="00196028">
      <w:pPr>
        <w:pStyle w:val="Heading4"/>
        <w:rPr>
          <w:rFonts w:eastAsia="Times New Roman"/>
          <w:b w:val="0"/>
          <w:sz w:val="22"/>
        </w:rPr>
      </w:pPr>
      <w:bookmarkStart w:id="194" w:name="_Toc528155844"/>
      <w:bookmarkStart w:id="195" w:name="_Toc528157203"/>
      <w:bookmarkStart w:id="196" w:name="_Toc528310856"/>
      <w:bookmarkStart w:id="197" w:name="_Hlk488053906"/>
      <w:bookmarkStart w:id="198" w:name="_Hlk494963894"/>
      <w:r w:rsidRPr="00196028">
        <w:rPr>
          <w:rFonts w:eastAsia="Times New Roman"/>
          <w:b w:val="0"/>
          <w:sz w:val="22"/>
        </w:rPr>
        <w:t>Why are these fees being increased?</w:t>
      </w:r>
      <w:bookmarkEnd w:id="194"/>
      <w:bookmarkEnd w:id="195"/>
      <w:bookmarkEnd w:id="196"/>
    </w:p>
    <w:p w:rsidR="008435D8" w:rsidRPr="00196028" w:rsidRDefault="008435D8" w:rsidP="008435D8">
      <w:pPr>
        <w:pStyle w:val="ListParagraph"/>
        <w:numPr>
          <w:ilvl w:val="0"/>
          <w:numId w:val="19"/>
        </w:numPr>
        <w:spacing w:before="120" w:after="120" w:line="240" w:lineRule="auto"/>
        <w:ind w:left="0"/>
        <w:rPr>
          <w:rFonts w:ascii="Calibri" w:eastAsia="Times New Roman" w:hAnsi="Calibri" w:cs="Times New Roman"/>
          <w:b/>
        </w:rPr>
      </w:pPr>
      <w:r w:rsidRPr="00196028">
        <w:rPr>
          <w:rFonts w:ascii="Calibri" w:eastAsia="Times New Roman" w:hAnsi="Calibri" w:cs="Times New Roman"/>
          <w:b/>
        </w:rPr>
        <w:t xml:space="preserve">Disallowable Instrument DI2018-239 being the Tobacco and Other Smoking Products (Fees) Determination 2018 (No 1) made under section 70 of the </w:t>
      </w:r>
      <w:r w:rsidRPr="00196028">
        <w:rPr>
          <w:rFonts w:ascii="Calibri" w:eastAsia="Times New Roman" w:hAnsi="Calibri" w:cs="Times New Roman"/>
          <w:i/>
        </w:rPr>
        <w:t xml:space="preserve">Tobacco and Other Smoking Products Act 1927 </w:t>
      </w:r>
      <w:r w:rsidRPr="00196028">
        <w:rPr>
          <w:rFonts w:ascii="Calibri" w:eastAsia="Times New Roman" w:hAnsi="Calibri" w:cs="Times New Roman"/>
          <w:b/>
        </w:rPr>
        <w:t xml:space="preserve">revokes DI2017-113 and determines fees payable for the purposes of the Act. </w:t>
      </w:r>
    </w:p>
    <w:p w:rsidR="00196028" w:rsidRPr="008442BF" w:rsidRDefault="00196028" w:rsidP="008442BF">
      <w:pPr>
        <w:keepLines/>
        <w:rPr>
          <w:rFonts w:eastAsia="Calibri" w:cs="Times New Roman"/>
        </w:rPr>
      </w:pPr>
      <w:r w:rsidRPr="008442BF">
        <w:rPr>
          <w:rFonts w:eastAsia="Calibri" w:cs="Times New Roman"/>
        </w:rPr>
        <w:t xml:space="preserve">This instrument sets various licence application fees, under section 70 of the </w:t>
      </w:r>
      <w:r w:rsidRPr="008442BF">
        <w:rPr>
          <w:rFonts w:eastAsia="Calibri" w:cs="Times New Roman"/>
          <w:i/>
        </w:rPr>
        <w:t>Tobacco and Other Smoking Products Act 1927</w:t>
      </w:r>
      <w:r w:rsidRPr="008442BF">
        <w:rPr>
          <w:rFonts w:eastAsia="Calibri" w:cs="Times New Roman"/>
        </w:rPr>
        <w:t>.  The explanatory statement for the instrument states:</w:t>
      </w:r>
    </w:p>
    <w:p w:rsidR="00196028" w:rsidRPr="008442BF" w:rsidRDefault="00196028" w:rsidP="008442BF">
      <w:pPr>
        <w:keepLines/>
        <w:ind w:left="360"/>
        <w:rPr>
          <w:rFonts w:eastAsia="Calibri" w:cs="Times New Roman"/>
        </w:rPr>
      </w:pPr>
      <w:r w:rsidRPr="008442BF">
        <w:rPr>
          <w:rFonts w:eastAsia="Calibri" w:cs="Times New Roman"/>
        </w:rPr>
        <w:lastRenderedPageBreak/>
        <w:t>This instrument comes into effect on 1 October 2018 and increases the annual fees payable by 4% (rounded to the nearest dollar), as set out below …..</w:t>
      </w:r>
    </w:p>
    <w:p w:rsidR="00196028" w:rsidRPr="008442BF" w:rsidRDefault="00196028" w:rsidP="008442BF">
      <w:pPr>
        <w:keepLines/>
        <w:rPr>
          <w:rFonts w:eastAsia="Calibri" w:cs="Times New Roman"/>
        </w:rPr>
      </w:pPr>
      <w:r w:rsidRPr="008442BF">
        <w:rPr>
          <w:rFonts w:eastAsia="Calibri" w:cs="Times New Roman"/>
        </w:rPr>
        <w:t xml:space="preserve">The explanatory statement then lists 10 new fees, and also sets out (in each case) the “old” fee.  This (and the identification of the percentage increase) is in accordance with the Committee’s expectations, in relation to fees determinations (and other matters) are set out in the Committee’s document titled </w:t>
      </w:r>
      <w:hyperlink r:id="rId16" w:history="1">
        <w:r w:rsidR="008442BF" w:rsidRPr="0093399E">
          <w:rPr>
            <w:rStyle w:val="Hyperlink"/>
          </w:rPr>
          <w:t>Subordinate legislation—Technical and stylistic standards—Tips/Traps</w:t>
        </w:r>
      </w:hyperlink>
      <w:r w:rsidR="008442BF">
        <w:rPr>
          <w:rStyle w:val="FootnoteReference"/>
        </w:rPr>
        <w:footnoteReference w:id="1"/>
      </w:r>
      <w:r w:rsidRPr="008442BF">
        <w:rPr>
          <w:rFonts w:eastAsia="Calibri" w:cs="Times New Roman"/>
        </w:rPr>
        <w:t xml:space="preserve"> (available at </w:t>
      </w:r>
      <w:hyperlink r:id="rId17" w:history="1">
        <w:r w:rsidRPr="008442BF">
          <w:rPr>
            <w:rFonts w:eastAsia="Calibri" w:cs="Times New Roman"/>
          </w:rPr>
          <w:t>https://www.parliament.act.gov.au/__data/assets/pdf_file/0007/434347/Subordinate-Legislation-Technical-and-Stylistic-Standards.pdf</w:t>
        </w:r>
      </w:hyperlink>
      <w:r w:rsidRPr="008442BF">
        <w:rPr>
          <w:rFonts w:eastAsia="Calibri" w:cs="Times New Roman"/>
        </w:rPr>
        <w:t>).  In that document, the Committee states:</w:t>
      </w:r>
    </w:p>
    <w:p w:rsidR="00196028" w:rsidRPr="00E32696" w:rsidRDefault="00196028" w:rsidP="00E32696">
      <w:pPr>
        <w:keepLines/>
        <w:ind w:left="360"/>
        <w:rPr>
          <w:rFonts w:eastAsia="Calibri" w:cs="Times New Roman"/>
          <w:b/>
        </w:rPr>
      </w:pPr>
      <w:r w:rsidRPr="00E32696">
        <w:rPr>
          <w:rFonts w:eastAsia="Calibri" w:cs="Times New Roman"/>
          <w:b/>
        </w:rPr>
        <w:t>FEES DETERMINATIONS</w:t>
      </w:r>
    </w:p>
    <w:p w:rsidR="00196028" w:rsidRPr="008442BF" w:rsidRDefault="00196028" w:rsidP="00E32696">
      <w:pPr>
        <w:keepLines/>
        <w:ind w:left="360"/>
        <w:rPr>
          <w:rFonts w:eastAsia="Calibri" w:cs="Times New Roman"/>
        </w:rPr>
      </w:pPr>
      <w:r w:rsidRPr="008442BF">
        <w:rPr>
          <w:rFonts w:eastAsia="Calibri" w:cs="Times New Roman"/>
        </w:rPr>
        <w:t>The Committee prefers that instruments that determine fees indicate (either in the instrument itself or in the Explanatory Statement) the amount of the “old” fee, the amount of the new fee, any percentage increase and also the reason for any increase (</w:t>
      </w:r>
      <w:proofErr w:type="spellStart"/>
      <w:r w:rsidRPr="008442BF">
        <w:rPr>
          <w:rFonts w:eastAsia="Calibri" w:cs="Times New Roman"/>
        </w:rPr>
        <w:t>eg</w:t>
      </w:r>
      <w:proofErr w:type="spellEnd"/>
      <w:r w:rsidRPr="008442BF">
        <w:rPr>
          <w:rFonts w:eastAsia="Calibri" w:cs="Times New Roman"/>
        </w:rPr>
        <w:t xml:space="preserve"> an adjustment based on the CPI).  Given the importance of fees to the administration of the ACT, it assists the Committee (and the Legislative Assembly) if fees determinations expressly identify the magnitude of any fees increases.</w:t>
      </w:r>
    </w:p>
    <w:p w:rsidR="00196028" w:rsidRPr="008442BF" w:rsidRDefault="00196028" w:rsidP="00E32696">
      <w:pPr>
        <w:keepLines/>
        <w:ind w:left="360"/>
        <w:rPr>
          <w:rFonts w:eastAsia="Calibri" w:cs="Times New Roman"/>
        </w:rPr>
      </w:pPr>
      <w:r w:rsidRPr="008442BF">
        <w:rPr>
          <w:rFonts w:eastAsia="Calibri" w:cs="Times New Roman"/>
        </w:rPr>
        <w:t>The Committee also prefers that fees determinations expressly address the mandatory requirements of subsection 56(5) of the Legislation Act 2001, which provides that a fees determination must provide:</w:t>
      </w:r>
    </w:p>
    <w:p w:rsidR="00196028" w:rsidRPr="008442BF" w:rsidRDefault="00196028" w:rsidP="00E32696">
      <w:pPr>
        <w:keepLines/>
        <w:ind w:left="360"/>
        <w:rPr>
          <w:rFonts w:eastAsia="Calibri" w:cs="Times New Roman"/>
        </w:rPr>
      </w:pPr>
      <w:r w:rsidRPr="008442BF">
        <w:rPr>
          <w:rFonts w:eastAsia="Calibri" w:cs="Times New Roman"/>
        </w:rPr>
        <w:t>•</w:t>
      </w:r>
      <w:r w:rsidRPr="008442BF">
        <w:rPr>
          <w:rFonts w:eastAsia="Calibri" w:cs="Times New Roman"/>
        </w:rPr>
        <w:tab/>
      </w:r>
      <w:proofErr w:type="gramStart"/>
      <w:r w:rsidRPr="008442BF">
        <w:rPr>
          <w:rFonts w:eastAsia="Calibri" w:cs="Times New Roman"/>
        </w:rPr>
        <w:t>by</w:t>
      </w:r>
      <w:proofErr w:type="gramEnd"/>
      <w:r w:rsidRPr="008442BF">
        <w:rPr>
          <w:rFonts w:eastAsia="Calibri" w:cs="Times New Roman"/>
        </w:rPr>
        <w:t xml:space="preserve"> whom the fee is payable; and</w:t>
      </w:r>
    </w:p>
    <w:p w:rsidR="00196028" w:rsidRPr="008442BF" w:rsidRDefault="00196028" w:rsidP="00E32696">
      <w:pPr>
        <w:keepLines/>
        <w:ind w:left="360"/>
        <w:rPr>
          <w:rFonts w:eastAsia="Calibri" w:cs="Times New Roman"/>
        </w:rPr>
      </w:pPr>
      <w:r w:rsidRPr="008442BF">
        <w:rPr>
          <w:rFonts w:eastAsia="Calibri" w:cs="Times New Roman"/>
        </w:rPr>
        <w:t>•</w:t>
      </w:r>
      <w:r w:rsidRPr="008442BF">
        <w:rPr>
          <w:rFonts w:eastAsia="Calibri" w:cs="Times New Roman"/>
        </w:rPr>
        <w:tab/>
      </w:r>
      <w:proofErr w:type="gramStart"/>
      <w:r w:rsidRPr="008442BF">
        <w:rPr>
          <w:rFonts w:eastAsia="Calibri" w:cs="Times New Roman"/>
        </w:rPr>
        <w:t>to</w:t>
      </w:r>
      <w:proofErr w:type="gramEnd"/>
      <w:r w:rsidRPr="008442BF">
        <w:rPr>
          <w:rFonts w:eastAsia="Calibri" w:cs="Times New Roman"/>
        </w:rPr>
        <w:t xml:space="preserve"> whom the fee is to be paid</w:t>
      </w:r>
    </w:p>
    <w:p w:rsidR="00196028" w:rsidRPr="008442BF" w:rsidRDefault="00196028" w:rsidP="008442BF">
      <w:pPr>
        <w:keepLines/>
        <w:rPr>
          <w:rFonts w:eastAsia="Calibri" w:cs="Times New Roman"/>
        </w:rPr>
      </w:pPr>
      <w:r w:rsidRPr="008442BF">
        <w:rPr>
          <w:rFonts w:eastAsia="Calibri" w:cs="Times New Roman"/>
        </w:rPr>
        <w:t xml:space="preserve">However, the explanatory statement does </w:t>
      </w:r>
      <w:r w:rsidRPr="00E32696">
        <w:rPr>
          <w:rFonts w:eastAsia="Calibri" w:cs="Times New Roman"/>
          <w:u w:val="single"/>
        </w:rPr>
        <w:t>not</w:t>
      </w:r>
      <w:r w:rsidRPr="008442BF">
        <w:rPr>
          <w:rFonts w:eastAsia="Calibri" w:cs="Times New Roman"/>
        </w:rPr>
        <w:t xml:space="preserve"> indicate the reason for the 4% increase.  In making this comment, the Committee notes that it identified a similar issue in relation to various explanatory statements for fees instruments considered by the Committee for </w:t>
      </w:r>
      <w:r w:rsidRPr="00E32696">
        <w:rPr>
          <w:rFonts w:eastAsia="Calibri" w:cs="Times New Roman"/>
          <w:i/>
        </w:rPr>
        <w:t>Scrutiny Report 20</w:t>
      </w:r>
      <w:r w:rsidRPr="008442BF">
        <w:rPr>
          <w:rFonts w:eastAsia="Calibri" w:cs="Times New Roman"/>
        </w:rPr>
        <w:t xml:space="preserve"> of the </w:t>
      </w:r>
      <w:r w:rsidRPr="00E32696">
        <w:rPr>
          <w:rFonts w:eastAsia="Calibri" w:cs="Times New Roman"/>
          <w:i/>
        </w:rPr>
        <w:t>9th Assembly</w:t>
      </w:r>
      <w:r w:rsidRPr="008442BF">
        <w:rPr>
          <w:rFonts w:eastAsia="Calibri" w:cs="Times New Roman"/>
        </w:rPr>
        <w:t xml:space="preserve"> (7 August 2018).  In that Scrutiny Report, the Committee noted that other explanatory statements considered for that Scrutiny Report indicated that a 4% increase in fees was “in accordance with Government policy regarding regulatory fees increases for 2018-2019” (see, </w:t>
      </w:r>
      <w:proofErr w:type="spellStart"/>
      <w:r w:rsidRPr="008442BF">
        <w:rPr>
          <w:rFonts w:eastAsia="Calibri" w:cs="Times New Roman"/>
        </w:rPr>
        <w:t>eg</w:t>
      </w:r>
      <w:proofErr w:type="spellEnd"/>
      <w:r w:rsidRPr="008442BF">
        <w:rPr>
          <w:rFonts w:eastAsia="Calibri" w:cs="Times New Roman"/>
        </w:rPr>
        <w:t>, the Lotteries (Fees) Determination 2018 (No 1) [DI2018-115]).  The Committee assumes that the same is the case for this instrument.  However, the Committee would prefer that the reason for the fees increase is stated, either in the instrument itself or in the explanatory statement for the instrument.</w:t>
      </w:r>
    </w:p>
    <w:p w:rsidR="00196028" w:rsidRPr="00E32696" w:rsidRDefault="00196028" w:rsidP="008442BF">
      <w:pPr>
        <w:keepLines/>
        <w:rPr>
          <w:rFonts w:eastAsia="Calibri" w:cs="Times New Roman"/>
          <w:b/>
        </w:rPr>
      </w:pPr>
      <w:r w:rsidRPr="00E32696">
        <w:rPr>
          <w:rFonts w:eastAsia="Calibri" w:cs="Times New Roman"/>
          <w:b/>
        </w:rPr>
        <w:t>The Committee draws the attention of the Legislative Assembly to the instrument mentioned above, under principle (2) of the Committee’s terms of reference, on the basis that the explanatory statement for the instrument does not meet the technical or stylistic standards expected by the Committee.</w:t>
      </w:r>
    </w:p>
    <w:p w:rsidR="00196028" w:rsidRPr="00E32696" w:rsidRDefault="00196028" w:rsidP="008442BF">
      <w:pPr>
        <w:keepLines/>
        <w:rPr>
          <w:rFonts w:eastAsia="Calibri" w:cs="Times New Roman"/>
          <w:b/>
        </w:rPr>
      </w:pPr>
      <w:r w:rsidRPr="00E32696">
        <w:rPr>
          <w:rFonts w:eastAsia="Calibri" w:cs="Times New Roman"/>
          <w:b/>
        </w:rPr>
        <w:t>The Committee requests the Minister’s advice as to the reasons for the increase in the fee</w:t>
      </w:r>
      <w:r w:rsidR="00E32696" w:rsidRPr="00E32696">
        <w:rPr>
          <w:rFonts w:eastAsia="Calibri" w:cs="Times New Roman"/>
          <w:b/>
        </w:rPr>
        <w:t>s determined by this instrument and asks the Minister to respond.</w:t>
      </w:r>
    </w:p>
    <w:p w:rsidR="008435D8" w:rsidRPr="008442BF" w:rsidRDefault="008435D8" w:rsidP="008435D8">
      <w:pPr>
        <w:pStyle w:val="Heading4"/>
        <w:rPr>
          <w:rFonts w:eastAsia="Times New Roman"/>
          <w:b w:val="0"/>
          <w:sz w:val="22"/>
        </w:rPr>
      </w:pPr>
      <w:bookmarkStart w:id="199" w:name="_Toc528155845"/>
      <w:bookmarkStart w:id="200" w:name="_Toc528157204"/>
      <w:bookmarkStart w:id="201" w:name="_Toc528310857"/>
      <w:r w:rsidRPr="008442BF">
        <w:rPr>
          <w:rFonts w:eastAsia="Times New Roman"/>
          <w:b w:val="0"/>
          <w:sz w:val="22"/>
        </w:rPr>
        <w:lastRenderedPageBreak/>
        <w:t>Minor drafting issue</w:t>
      </w:r>
      <w:bookmarkEnd w:id="199"/>
      <w:bookmarkEnd w:id="200"/>
      <w:bookmarkEnd w:id="201"/>
    </w:p>
    <w:p w:rsidR="00196028" w:rsidRPr="0062744D" w:rsidRDefault="00196028" w:rsidP="0062744D">
      <w:pPr>
        <w:pStyle w:val="ListParagraph"/>
        <w:keepLines/>
        <w:numPr>
          <w:ilvl w:val="0"/>
          <w:numId w:val="25"/>
        </w:numPr>
        <w:ind w:left="0"/>
        <w:contextualSpacing w:val="0"/>
        <w:rPr>
          <w:rFonts w:eastAsia="Calibri" w:cs="Times New Roman"/>
          <w:b/>
        </w:rPr>
      </w:pPr>
      <w:r w:rsidRPr="0062744D">
        <w:rPr>
          <w:rFonts w:eastAsia="Calibri" w:cs="Times New Roman"/>
          <w:b/>
        </w:rPr>
        <w:t xml:space="preserve">Disallowable Instrument DI2018-246 being the Government Procurement (Non-Public Employee Member) Appointment 2018 (No 1) made under section 12 of the </w:t>
      </w:r>
      <w:r w:rsidRPr="0062744D">
        <w:rPr>
          <w:rFonts w:eastAsia="Calibri" w:cs="Times New Roman"/>
          <w:i/>
        </w:rPr>
        <w:t>Government Procurement Act 2001</w:t>
      </w:r>
      <w:r w:rsidRPr="0062744D">
        <w:rPr>
          <w:rFonts w:eastAsia="Calibri" w:cs="Times New Roman"/>
          <w:b/>
        </w:rPr>
        <w:t xml:space="preserve"> appoints a specified person as a part-time non-public employee member of the Government Procurement Board. </w:t>
      </w:r>
    </w:p>
    <w:p w:rsidR="00196028" w:rsidRPr="0062744D" w:rsidRDefault="00196028" w:rsidP="0062744D">
      <w:pPr>
        <w:pStyle w:val="ListParagraph"/>
        <w:keepLines/>
        <w:numPr>
          <w:ilvl w:val="0"/>
          <w:numId w:val="25"/>
        </w:numPr>
        <w:ind w:left="0"/>
        <w:contextualSpacing w:val="0"/>
        <w:rPr>
          <w:rFonts w:eastAsia="Calibri" w:cs="Times New Roman"/>
          <w:b/>
        </w:rPr>
      </w:pPr>
      <w:r w:rsidRPr="0062744D">
        <w:rPr>
          <w:rFonts w:eastAsia="Calibri" w:cs="Times New Roman"/>
          <w:b/>
        </w:rPr>
        <w:t xml:space="preserve">Disallowable Instrument DI2018-247 being the Government Procurement (Non-Public Employee Member) Appointment 2018 (No 2) made under section 12 of the </w:t>
      </w:r>
      <w:r w:rsidRPr="0062744D">
        <w:rPr>
          <w:rFonts w:eastAsia="Calibri" w:cs="Times New Roman"/>
          <w:i/>
        </w:rPr>
        <w:t>Government Procurement Act 2001</w:t>
      </w:r>
      <w:r w:rsidRPr="0062744D">
        <w:rPr>
          <w:rFonts w:eastAsia="Calibri" w:cs="Times New Roman"/>
          <w:b/>
        </w:rPr>
        <w:t xml:space="preserve"> appoints a specified person as a part-time non-public employee member of the Government Procurement Board. </w:t>
      </w:r>
    </w:p>
    <w:p w:rsidR="00196028" w:rsidRPr="008442BF" w:rsidRDefault="00196028" w:rsidP="008442BF">
      <w:pPr>
        <w:keepLines/>
        <w:rPr>
          <w:rFonts w:eastAsia="Calibri" w:cs="Times New Roman"/>
        </w:rPr>
      </w:pPr>
      <w:r w:rsidRPr="008442BF">
        <w:rPr>
          <w:rFonts w:eastAsia="Calibri" w:cs="Times New Roman"/>
        </w:rPr>
        <w:t xml:space="preserve">The Committee notes that each of these instruments, made under section 12 of the </w:t>
      </w:r>
      <w:r w:rsidRPr="008435D8">
        <w:rPr>
          <w:rFonts w:eastAsia="Calibri" w:cs="Times New Roman"/>
          <w:i/>
        </w:rPr>
        <w:t>Government Procurement Act 2001</w:t>
      </w:r>
      <w:r w:rsidRPr="008442BF">
        <w:rPr>
          <w:rFonts w:eastAsia="Calibri" w:cs="Times New Roman"/>
        </w:rPr>
        <w:t>, appoints a specified person as a member of the Government Procurement Board.  In each case, section 3 of the instrument appoints the specified person “as a part-time non-public employee member of the Government Procurement Board”.  The Committee notes that section 12 of the Act does not expressly provide for the appointment of “part-time” members.  The part-time status of members is mentioned only in section 11 of the Act, which makes it clear that all members of the relevant Board are part-time.</w:t>
      </w:r>
    </w:p>
    <w:p w:rsidR="00196028" w:rsidRPr="008435D8" w:rsidRDefault="00196028" w:rsidP="008442BF">
      <w:pPr>
        <w:keepLines/>
        <w:rPr>
          <w:rFonts w:eastAsia="Calibri" w:cs="Times New Roman"/>
          <w:b/>
        </w:rPr>
      </w:pPr>
      <w:r w:rsidRPr="008435D8">
        <w:rPr>
          <w:rFonts w:eastAsia="Calibri" w:cs="Times New Roman"/>
          <w:b/>
        </w:rPr>
        <w:t>This comment does not require a response from the Minister.</w:t>
      </w:r>
    </w:p>
    <w:p w:rsidR="00196028" w:rsidRPr="008442BF" w:rsidRDefault="00196028" w:rsidP="008442BF">
      <w:pPr>
        <w:pStyle w:val="Heading4"/>
        <w:rPr>
          <w:rFonts w:eastAsia="Times New Roman"/>
          <w:b w:val="0"/>
          <w:sz w:val="22"/>
        </w:rPr>
      </w:pPr>
      <w:bookmarkStart w:id="202" w:name="_Toc528155846"/>
      <w:bookmarkStart w:id="203" w:name="_Toc528157205"/>
      <w:bookmarkStart w:id="204" w:name="_Toc528310858"/>
      <w:r w:rsidRPr="008442BF">
        <w:rPr>
          <w:rFonts w:eastAsia="Times New Roman"/>
          <w:b w:val="0"/>
          <w:sz w:val="22"/>
        </w:rPr>
        <w:t>Is this a disallowable instrument?</w:t>
      </w:r>
      <w:bookmarkEnd w:id="202"/>
      <w:bookmarkEnd w:id="203"/>
      <w:bookmarkEnd w:id="204"/>
    </w:p>
    <w:p w:rsidR="008435D8" w:rsidRPr="00196028" w:rsidRDefault="008435D8" w:rsidP="008435D8">
      <w:pPr>
        <w:numPr>
          <w:ilvl w:val="0"/>
          <w:numId w:val="15"/>
        </w:numPr>
        <w:spacing w:before="0" w:after="120" w:line="240" w:lineRule="auto"/>
        <w:ind w:left="0"/>
        <w:rPr>
          <w:rFonts w:eastAsia="Times New Roman" w:cs="Times New Roman"/>
          <w:b/>
        </w:rPr>
      </w:pPr>
      <w:r w:rsidRPr="00196028">
        <w:rPr>
          <w:rFonts w:eastAsia="Times New Roman" w:cs="Times New Roman"/>
          <w:b/>
        </w:rPr>
        <w:t xml:space="preserve">Disallowable Instrument DI2018-250 being the Radiation Protection (Council Member, Chair and Deputy Chair) Appointment 2018 (No 1) made under sections 68 and 70 of the </w:t>
      </w:r>
      <w:r w:rsidRPr="00196028">
        <w:rPr>
          <w:rFonts w:eastAsia="Times New Roman" w:cs="Times New Roman"/>
          <w:i/>
        </w:rPr>
        <w:t xml:space="preserve">Radiation Protection Act 2006 </w:t>
      </w:r>
      <w:r w:rsidRPr="00196028">
        <w:rPr>
          <w:rFonts w:eastAsia="Times New Roman" w:cs="Times New Roman"/>
          <w:b/>
        </w:rPr>
        <w:t>appoints specified persons as members and a specified person as a chair and deputy chair of the Radiation Council of the ACT.</w:t>
      </w:r>
    </w:p>
    <w:p w:rsidR="00196028" w:rsidRPr="008442BF" w:rsidRDefault="00196028" w:rsidP="008442BF">
      <w:pPr>
        <w:keepLines/>
        <w:rPr>
          <w:rFonts w:eastAsia="Calibri" w:cs="Times New Roman"/>
        </w:rPr>
      </w:pPr>
      <w:r w:rsidRPr="008442BF">
        <w:rPr>
          <w:rFonts w:eastAsia="Calibri" w:cs="Times New Roman"/>
        </w:rPr>
        <w:t xml:space="preserve">This instrument, made under sections 68 and 70 of the </w:t>
      </w:r>
      <w:r w:rsidRPr="008435D8">
        <w:rPr>
          <w:rFonts w:eastAsia="Calibri" w:cs="Times New Roman"/>
          <w:i/>
        </w:rPr>
        <w:t>Radiation Protection Act 2006</w:t>
      </w:r>
      <w:r w:rsidR="008435D8">
        <w:rPr>
          <w:rFonts w:eastAsia="Calibri" w:cs="Times New Roman"/>
        </w:rPr>
        <w:t>, appoints six</w:t>
      </w:r>
      <w:r w:rsidRPr="008442BF">
        <w:rPr>
          <w:rFonts w:eastAsia="Calibri" w:cs="Times New Roman"/>
        </w:rPr>
        <w:t xml:space="preserve"> specified persons as members of the Radiation Council of the ACT.  Relying on the po</w:t>
      </w:r>
      <w:r w:rsidR="008435D8">
        <w:rPr>
          <w:rFonts w:eastAsia="Calibri" w:cs="Times New Roman"/>
        </w:rPr>
        <w:t>wer in section 70 of the Act, two</w:t>
      </w:r>
      <w:r w:rsidRPr="008442BF">
        <w:rPr>
          <w:rFonts w:eastAsia="Calibri" w:cs="Times New Roman"/>
        </w:rPr>
        <w:t xml:space="preserve"> of the persons are then appointed as chair and deputy chair of the Council.  The instrument is a disallowable instrument.</w:t>
      </w:r>
    </w:p>
    <w:p w:rsidR="00196028" w:rsidRPr="008442BF" w:rsidRDefault="00196028" w:rsidP="008442BF">
      <w:pPr>
        <w:keepLines/>
        <w:rPr>
          <w:rFonts w:eastAsia="Calibri" w:cs="Times New Roman"/>
        </w:rPr>
      </w:pPr>
      <w:r w:rsidRPr="008442BF">
        <w:rPr>
          <w:rFonts w:eastAsia="Calibri" w:cs="Times New Roman"/>
        </w:rPr>
        <w:t xml:space="preserve">Each of </w:t>
      </w:r>
      <w:bookmarkStart w:id="205" w:name="_Hlk496453603"/>
      <w:r w:rsidRPr="008442BF">
        <w:rPr>
          <w:rFonts w:eastAsia="Calibri" w:cs="Times New Roman"/>
        </w:rPr>
        <w:t>the instruments in question is a disallowable instrument and it is on that basis that the instruments are considered by the Committee.</w:t>
      </w:r>
    </w:p>
    <w:p w:rsidR="00196028" w:rsidRPr="008442BF" w:rsidRDefault="00196028" w:rsidP="008442BF">
      <w:pPr>
        <w:keepLines/>
        <w:rPr>
          <w:rFonts w:eastAsia="Calibri" w:cs="Times New Roman"/>
        </w:rPr>
      </w:pPr>
      <w:r w:rsidRPr="008442BF">
        <w:rPr>
          <w:rFonts w:eastAsia="Calibri" w:cs="Times New Roman"/>
        </w:rPr>
        <w:t xml:space="preserve">The Committee notes that section 227 of the </w:t>
      </w:r>
      <w:r w:rsidRPr="008435D8">
        <w:rPr>
          <w:rFonts w:eastAsia="Calibri" w:cs="Times New Roman"/>
          <w:i/>
        </w:rPr>
        <w:t>Legislation Act 2001</w:t>
      </w:r>
      <w:r w:rsidRPr="008442BF">
        <w:rPr>
          <w:rFonts w:eastAsia="Calibri" w:cs="Times New Roman"/>
        </w:rPr>
        <w:t xml:space="preserve"> deals generally with the making of appointments to statutory positions, by Ministers.  It provides:</w:t>
      </w:r>
    </w:p>
    <w:p w:rsidR="00196028" w:rsidRPr="008435D8" w:rsidRDefault="00196028" w:rsidP="008435D8">
      <w:pPr>
        <w:keepLines/>
        <w:tabs>
          <w:tab w:val="left" w:pos="810"/>
          <w:tab w:val="left" w:pos="1350"/>
        </w:tabs>
        <w:ind w:left="1350" w:hanging="990"/>
        <w:rPr>
          <w:rFonts w:eastAsia="Calibri" w:cs="Times New Roman"/>
          <w:b/>
        </w:rPr>
      </w:pPr>
      <w:r w:rsidRPr="008435D8">
        <w:rPr>
          <w:rFonts w:eastAsia="Calibri" w:cs="Times New Roman"/>
          <w:b/>
        </w:rPr>
        <w:t>227</w:t>
      </w:r>
      <w:r w:rsidRPr="008435D8">
        <w:rPr>
          <w:rFonts w:eastAsia="Calibri" w:cs="Times New Roman"/>
          <w:b/>
        </w:rPr>
        <w:tab/>
      </w:r>
      <w:r w:rsidR="008435D8" w:rsidRPr="008435D8">
        <w:rPr>
          <w:rFonts w:eastAsia="Calibri" w:cs="Times New Roman"/>
          <w:b/>
        </w:rPr>
        <w:tab/>
      </w:r>
      <w:r w:rsidRPr="008435D8">
        <w:rPr>
          <w:rFonts w:eastAsia="Calibri" w:cs="Times New Roman"/>
          <w:b/>
        </w:rPr>
        <w:t>Application—div 19.3.3</w:t>
      </w:r>
    </w:p>
    <w:p w:rsidR="00196028" w:rsidRPr="008442BF" w:rsidRDefault="008435D8" w:rsidP="008435D8">
      <w:pPr>
        <w:keepLines/>
        <w:tabs>
          <w:tab w:val="left" w:pos="810"/>
          <w:tab w:val="left" w:pos="1350"/>
        </w:tabs>
        <w:ind w:left="1350" w:hanging="990"/>
        <w:rPr>
          <w:rFonts w:eastAsia="Calibri" w:cs="Times New Roman"/>
        </w:rPr>
      </w:pPr>
      <w:r>
        <w:rPr>
          <w:rFonts w:eastAsia="Calibri" w:cs="Times New Roman"/>
        </w:rPr>
        <w:tab/>
      </w:r>
      <w:r w:rsidR="00196028" w:rsidRPr="008442BF">
        <w:rPr>
          <w:rFonts w:eastAsia="Calibri" w:cs="Times New Roman"/>
        </w:rPr>
        <w:t>(1)</w:t>
      </w:r>
      <w:r w:rsidR="00196028" w:rsidRPr="008442BF">
        <w:rPr>
          <w:rFonts w:eastAsia="Calibri" w:cs="Times New Roman"/>
        </w:rPr>
        <w:tab/>
        <w:t>This division applies if a Minister has the power under an Act to appoint a person to a statutory position.</w:t>
      </w:r>
    </w:p>
    <w:p w:rsidR="00196028" w:rsidRPr="008442BF" w:rsidRDefault="008435D8" w:rsidP="008435D8">
      <w:pPr>
        <w:keepLines/>
        <w:tabs>
          <w:tab w:val="left" w:pos="810"/>
          <w:tab w:val="left" w:pos="1350"/>
        </w:tabs>
        <w:ind w:left="1350" w:hanging="990"/>
        <w:rPr>
          <w:rFonts w:eastAsia="Calibri" w:cs="Times New Roman"/>
        </w:rPr>
      </w:pPr>
      <w:r>
        <w:rPr>
          <w:rFonts w:eastAsia="Calibri" w:cs="Times New Roman"/>
        </w:rPr>
        <w:tab/>
      </w:r>
      <w:r w:rsidR="00196028" w:rsidRPr="008442BF">
        <w:rPr>
          <w:rFonts w:eastAsia="Calibri" w:cs="Times New Roman"/>
        </w:rPr>
        <w:t>(2)</w:t>
      </w:r>
      <w:r w:rsidR="00196028" w:rsidRPr="008442BF">
        <w:rPr>
          <w:rFonts w:eastAsia="Calibri" w:cs="Times New Roman"/>
        </w:rPr>
        <w:tab/>
        <w:t>However, this division does not apply to an appointment of—</w:t>
      </w:r>
    </w:p>
    <w:p w:rsidR="00196028" w:rsidRPr="008442BF" w:rsidRDefault="008435D8" w:rsidP="008435D8">
      <w:pPr>
        <w:keepLines/>
        <w:tabs>
          <w:tab w:val="left" w:pos="810"/>
          <w:tab w:val="left" w:pos="1350"/>
          <w:tab w:val="left" w:pos="1800"/>
        </w:tabs>
        <w:ind w:left="1800" w:hanging="1440"/>
        <w:rPr>
          <w:rFonts w:eastAsia="Calibri" w:cs="Times New Roman"/>
        </w:rPr>
      </w:pPr>
      <w:r>
        <w:rPr>
          <w:rFonts w:eastAsia="Calibri" w:cs="Times New Roman"/>
        </w:rPr>
        <w:tab/>
      </w:r>
      <w:r>
        <w:rPr>
          <w:rFonts w:eastAsia="Calibri" w:cs="Times New Roman"/>
        </w:rPr>
        <w:tab/>
      </w:r>
      <w:r w:rsidR="00196028" w:rsidRPr="008442BF">
        <w:rPr>
          <w:rFonts w:eastAsia="Calibri" w:cs="Times New Roman"/>
        </w:rPr>
        <w:t>(a)</w:t>
      </w:r>
      <w:r w:rsidR="00196028" w:rsidRPr="008442BF">
        <w:rPr>
          <w:rFonts w:eastAsia="Calibri" w:cs="Times New Roman"/>
        </w:rPr>
        <w:tab/>
      </w:r>
      <w:proofErr w:type="gramStart"/>
      <w:r w:rsidR="00196028" w:rsidRPr="008442BF">
        <w:rPr>
          <w:rFonts w:eastAsia="Calibri" w:cs="Times New Roman"/>
        </w:rPr>
        <w:t>a</w:t>
      </w:r>
      <w:proofErr w:type="gramEnd"/>
      <w:r w:rsidR="00196028" w:rsidRPr="008442BF">
        <w:rPr>
          <w:rFonts w:eastAsia="Calibri" w:cs="Times New Roman"/>
        </w:rPr>
        <w:t xml:space="preserve"> public servant to a statutory position (whether or not the Act under which the appointment is made requires that the appointee be a public servant); or</w:t>
      </w:r>
    </w:p>
    <w:p w:rsidR="00196028" w:rsidRPr="008442BF" w:rsidRDefault="008435D8" w:rsidP="008435D8">
      <w:pPr>
        <w:keepLines/>
        <w:tabs>
          <w:tab w:val="left" w:pos="810"/>
          <w:tab w:val="left" w:pos="1350"/>
          <w:tab w:val="left" w:pos="1800"/>
        </w:tabs>
        <w:ind w:left="1800" w:hanging="1440"/>
        <w:rPr>
          <w:rFonts w:eastAsia="Calibri" w:cs="Times New Roman"/>
        </w:rPr>
      </w:pPr>
      <w:r>
        <w:rPr>
          <w:rFonts w:eastAsia="Calibri" w:cs="Times New Roman"/>
        </w:rPr>
        <w:tab/>
      </w:r>
      <w:r>
        <w:rPr>
          <w:rFonts w:eastAsia="Calibri" w:cs="Times New Roman"/>
        </w:rPr>
        <w:tab/>
      </w:r>
      <w:r w:rsidR="00196028" w:rsidRPr="008442BF">
        <w:rPr>
          <w:rFonts w:eastAsia="Calibri" w:cs="Times New Roman"/>
        </w:rPr>
        <w:t>(b)</w:t>
      </w:r>
      <w:r w:rsidR="00196028" w:rsidRPr="008442BF">
        <w:rPr>
          <w:rFonts w:eastAsia="Calibri" w:cs="Times New Roman"/>
        </w:rPr>
        <w:tab/>
        <w:t>a person to, or to act in, a statutory position for not longer than 6 months, unless the appointment is of the person to, or to act in, the position for a 2nd or subsequent consecutive period; or</w:t>
      </w:r>
    </w:p>
    <w:p w:rsidR="00196028" w:rsidRPr="008442BF" w:rsidRDefault="008435D8" w:rsidP="008435D8">
      <w:pPr>
        <w:keepLines/>
        <w:tabs>
          <w:tab w:val="left" w:pos="810"/>
          <w:tab w:val="left" w:pos="1350"/>
          <w:tab w:val="left" w:pos="1800"/>
        </w:tabs>
        <w:ind w:left="1800" w:hanging="1440"/>
        <w:rPr>
          <w:rFonts w:eastAsia="Calibri" w:cs="Times New Roman"/>
        </w:rPr>
      </w:pPr>
      <w:r>
        <w:rPr>
          <w:rFonts w:eastAsia="Calibri" w:cs="Times New Roman"/>
        </w:rPr>
        <w:lastRenderedPageBreak/>
        <w:tab/>
      </w:r>
      <w:r>
        <w:rPr>
          <w:rFonts w:eastAsia="Calibri" w:cs="Times New Roman"/>
        </w:rPr>
        <w:tab/>
      </w:r>
      <w:r w:rsidR="00196028" w:rsidRPr="008442BF">
        <w:rPr>
          <w:rFonts w:eastAsia="Calibri" w:cs="Times New Roman"/>
        </w:rPr>
        <w:t>(c)</w:t>
      </w:r>
      <w:r w:rsidR="00196028" w:rsidRPr="008442BF">
        <w:rPr>
          <w:rFonts w:eastAsia="Calibri" w:cs="Times New Roman"/>
        </w:rPr>
        <w:tab/>
      </w:r>
      <w:proofErr w:type="gramStart"/>
      <w:r w:rsidR="00196028" w:rsidRPr="008442BF">
        <w:rPr>
          <w:rFonts w:eastAsia="Calibri" w:cs="Times New Roman"/>
        </w:rPr>
        <w:t>a</w:t>
      </w:r>
      <w:proofErr w:type="gramEnd"/>
      <w:r w:rsidR="00196028" w:rsidRPr="008442BF">
        <w:rPr>
          <w:rFonts w:eastAsia="Calibri" w:cs="Times New Roman"/>
        </w:rPr>
        <w:t xml:space="preserve"> person to a statutory position if the only function of the position is to advise the Minister.</w:t>
      </w:r>
    </w:p>
    <w:p w:rsidR="00196028" w:rsidRPr="008442BF" w:rsidRDefault="00196028" w:rsidP="008442BF">
      <w:pPr>
        <w:keepLines/>
        <w:rPr>
          <w:rFonts w:eastAsia="Calibri" w:cs="Times New Roman"/>
        </w:rPr>
      </w:pPr>
      <w:r w:rsidRPr="008442BF">
        <w:rPr>
          <w:rFonts w:eastAsia="Calibri" w:cs="Times New Roman"/>
        </w:rPr>
        <w:t xml:space="preserve">Given paragraph 227(2)(a) of the Legislation Act, the Committee has consistently maintained that instruments of appointment should clearly state that the appointee is not a public servant, in order to make clear that, in fact, the appointment should be made by way of disallowable instrument.  In its document titled </w:t>
      </w:r>
      <w:hyperlink r:id="rId18" w:history="1">
        <w:r w:rsidR="008435D8" w:rsidRPr="0093399E">
          <w:rPr>
            <w:rStyle w:val="Hyperlink"/>
          </w:rPr>
          <w:t>Subordinate legislation—Technical and stylistic standards—Tips/Traps</w:t>
        </w:r>
      </w:hyperlink>
      <w:r w:rsidR="008435D8">
        <w:rPr>
          <w:rStyle w:val="FootnoteReference"/>
        </w:rPr>
        <w:footnoteReference w:id="2"/>
      </w:r>
      <w:r w:rsidRPr="008442BF">
        <w:rPr>
          <w:rFonts w:eastAsia="Calibri" w:cs="Times New Roman"/>
        </w:rPr>
        <w:t>, the Committee stated:</w:t>
      </w:r>
    </w:p>
    <w:p w:rsidR="00196028" w:rsidRPr="008442BF" w:rsidRDefault="00196028" w:rsidP="009777C9">
      <w:pPr>
        <w:keepLines/>
        <w:ind w:left="360"/>
        <w:rPr>
          <w:rFonts w:eastAsia="Calibri" w:cs="Times New Roman"/>
        </w:rPr>
      </w:pPr>
      <w:r w:rsidRPr="008442BF">
        <w:rPr>
          <w:rFonts w:eastAsia="Calibri" w:cs="Times New Roman"/>
        </w:rPr>
        <w:t>Under paragraph 227(2</w:t>
      </w:r>
      <w:proofErr w:type="gramStart"/>
      <w:r w:rsidRPr="008442BF">
        <w:rPr>
          <w:rFonts w:eastAsia="Calibri" w:cs="Times New Roman"/>
        </w:rPr>
        <w:t>)(</w:t>
      </w:r>
      <w:proofErr w:type="gramEnd"/>
      <w:r w:rsidRPr="008442BF">
        <w:rPr>
          <w:rFonts w:eastAsia="Calibri" w:cs="Times New Roman"/>
        </w:rPr>
        <w:t>a) of the Legislation Act 2001, an instrument of appointment is not disallowable if it appoints a public servant. As a result, it assists the Committee (and the</w:t>
      </w:r>
      <w:r w:rsidR="008435D8">
        <w:rPr>
          <w:rFonts w:eastAsia="Calibri" w:cs="Times New Roman"/>
        </w:rPr>
        <w:t xml:space="preserve"> Legislative Assembly), if the e</w:t>
      </w:r>
      <w:r w:rsidRPr="008442BF">
        <w:rPr>
          <w:rFonts w:eastAsia="Calibri" w:cs="Times New Roman"/>
        </w:rPr>
        <w:t>xplanat</w:t>
      </w:r>
      <w:r w:rsidR="008435D8">
        <w:rPr>
          <w:rFonts w:eastAsia="Calibri" w:cs="Times New Roman"/>
        </w:rPr>
        <w:t>ory s</w:t>
      </w:r>
      <w:r w:rsidRPr="008442BF">
        <w:rPr>
          <w:rFonts w:eastAsia="Calibri" w:cs="Times New Roman"/>
        </w:rPr>
        <w:t>tatement for an instrument of appointment contains a statement to the effect that “the person appointed is not a public servant”.</w:t>
      </w:r>
    </w:p>
    <w:p w:rsidR="00196028" w:rsidRPr="008442BF" w:rsidRDefault="00196028" w:rsidP="008442BF">
      <w:pPr>
        <w:keepLines/>
        <w:rPr>
          <w:rFonts w:eastAsia="Calibri" w:cs="Times New Roman"/>
        </w:rPr>
      </w:pPr>
      <w:r w:rsidRPr="008442BF">
        <w:rPr>
          <w:rFonts w:eastAsia="Calibri" w:cs="Times New Roman"/>
        </w:rPr>
        <w:t>The explanatory statement for this instrument contains such a statement.</w:t>
      </w:r>
    </w:p>
    <w:p w:rsidR="00196028" w:rsidRPr="009777C9" w:rsidRDefault="00196028" w:rsidP="008442BF">
      <w:pPr>
        <w:keepLines/>
        <w:rPr>
          <w:rFonts w:eastAsia="Calibri" w:cs="Times New Roman"/>
          <w:b/>
        </w:rPr>
      </w:pPr>
      <w:r w:rsidRPr="009777C9">
        <w:rPr>
          <w:rFonts w:eastAsia="Calibri" w:cs="Times New Roman"/>
          <w:b/>
        </w:rPr>
        <w:t>The Committee draws the attention of the Legislative Assembly to the instrument mentioned above, under principle (2) of the Committee’s terms of reference, on the basis that the explanatory statement for the instrument does not meet the technical or stylistic standards expected by the Committee.</w:t>
      </w:r>
    </w:p>
    <w:p w:rsidR="00196028" w:rsidRPr="008435D8" w:rsidRDefault="00196028" w:rsidP="008442BF">
      <w:pPr>
        <w:keepLines/>
        <w:rPr>
          <w:rFonts w:eastAsia="Calibri" w:cs="Times New Roman"/>
          <w:b/>
        </w:rPr>
      </w:pPr>
      <w:r w:rsidRPr="008435D8">
        <w:rPr>
          <w:rFonts w:eastAsia="Calibri" w:cs="Times New Roman"/>
          <w:b/>
        </w:rPr>
        <w:t>The Committee seeks the Minister’s confirmation that the persons appointed by the instrument mentione</w:t>
      </w:r>
      <w:r w:rsidR="008435D8">
        <w:rPr>
          <w:rFonts w:eastAsia="Calibri" w:cs="Times New Roman"/>
          <w:b/>
        </w:rPr>
        <w:t>d above are not public servants and asks the Minister to respond.</w:t>
      </w:r>
    </w:p>
    <w:p w:rsidR="00196028" w:rsidRPr="008442BF" w:rsidRDefault="00196028" w:rsidP="008442BF">
      <w:pPr>
        <w:pStyle w:val="Heading4"/>
        <w:rPr>
          <w:rFonts w:eastAsia="Times New Roman"/>
          <w:b w:val="0"/>
          <w:sz w:val="22"/>
        </w:rPr>
      </w:pPr>
      <w:bookmarkStart w:id="206" w:name="_Toc528155847"/>
      <w:bookmarkStart w:id="207" w:name="_Toc528157206"/>
      <w:bookmarkStart w:id="208" w:name="_Toc528310859"/>
      <w:r w:rsidRPr="008442BF">
        <w:rPr>
          <w:rFonts w:eastAsia="Times New Roman"/>
          <w:b w:val="0"/>
          <w:sz w:val="22"/>
        </w:rPr>
        <w:t>Minor drafting issue</w:t>
      </w:r>
      <w:bookmarkEnd w:id="206"/>
      <w:bookmarkEnd w:id="207"/>
      <w:bookmarkEnd w:id="208"/>
    </w:p>
    <w:p w:rsidR="008435D8" w:rsidRPr="00196028" w:rsidRDefault="008435D8" w:rsidP="008435D8">
      <w:pPr>
        <w:numPr>
          <w:ilvl w:val="0"/>
          <w:numId w:val="15"/>
        </w:numPr>
        <w:spacing w:before="0" w:after="120" w:line="240" w:lineRule="auto"/>
        <w:ind w:left="0"/>
        <w:rPr>
          <w:rFonts w:eastAsia="Times New Roman" w:cs="Times New Roman"/>
          <w:b/>
        </w:rPr>
      </w:pPr>
      <w:r w:rsidRPr="00196028">
        <w:rPr>
          <w:rFonts w:eastAsia="Times New Roman" w:cs="Times New Roman"/>
          <w:b/>
        </w:rPr>
        <w:t xml:space="preserve">Disallowable Instrument DI2018-256 being the Official Visitor (Children and Young People) Appointment 2018 (No 1) made under section 10 of the </w:t>
      </w:r>
      <w:r w:rsidRPr="00196028">
        <w:rPr>
          <w:rFonts w:eastAsia="Times New Roman" w:cs="Times New Roman"/>
          <w:i/>
        </w:rPr>
        <w:t xml:space="preserve">Official Visitor Act 2012 </w:t>
      </w:r>
      <w:r w:rsidRPr="00196028">
        <w:rPr>
          <w:rFonts w:eastAsia="Times New Roman" w:cs="Times New Roman"/>
          <w:b/>
        </w:rPr>
        <w:t>revokes DI2017-225 and appoints specified persons as official visitors for the purposes of the Act.</w:t>
      </w:r>
    </w:p>
    <w:p w:rsidR="00196028" w:rsidRPr="008442BF" w:rsidRDefault="00196028" w:rsidP="008442BF">
      <w:pPr>
        <w:keepLines/>
        <w:rPr>
          <w:rFonts w:eastAsia="Calibri" w:cs="Times New Roman"/>
        </w:rPr>
      </w:pPr>
      <w:r w:rsidRPr="008442BF">
        <w:rPr>
          <w:rFonts w:eastAsia="Calibri" w:cs="Times New Roman"/>
        </w:rPr>
        <w:t xml:space="preserve">This instrument appoints </w:t>
      </w:r>
      <w:r w:rsidR="008435D8">
        <w:rPr>
          <w:rFonts w:eastAsia="Calibri" w:cs="Times New Roman"/>
        </w:rPr>
        <w:t>three</w:t>
      </w:r>
      <w:r w:rsidRPr="008442BF">
        <w:rPr>
          <w:rFonts w:eastAsia="Calibri" w:cs="Times New Roman"/>
        </w:rPr>
        <w:t xml:space="preserve"> specified persons as official visitors, under section 10 of the </w:t>
      </w:r>
      <w:r w:rsidRPr="008435D8">
        <w:rPr>
          <w:rFonts w:eastAsia="Calibri" w:cs="Times New Roman"/>
          <w:i/>
        </w:rPr>
        <w:t>Official Visitor Act 2012</w:t>
      </w:r>
      <w:r w:rsidRPr="008442BF">
        <w:rPr>
          <w:rFonts w:eastAsia="Calibri" w:cs="Times New Roman"/>
        </w:rPr>
        <w:t>.  Section 10 provides:</w:t>
      </w:r>
    </w:p>
    <w:p w:rsidR="00196028" w:rsidRPr="008435D8" w:rsidRDefault="00196028" w:rsidP="008435D8">
      <w:pPr>
        <w:keepLines/>
        <w:tabs>
          <w:tab w:val="left" w:pos="810"/>
          <w:tab w:val="left" w:pos="1350"/>
          <w:tab w:val="left" w:pos="1890"/>
        </w:tabs>
        <w:ind w:left="1890" w:hanging="1530"/>
        <w:rPr>
          <w:rFonts w:eastAsia="Calibri" w:cs="Times New Roman"/>
          <w:b/>
        </w:rPr>
      </w:pPr>
      <w:bookmarkStart w:id="209" w:name="_Toc494895144"/>
      <w:r w:rsidRPr="008435D8">
        <w:rPr>
          <w:rFonts w:eastAsia="Calibri" w:cs="Times New Roman"/>
          <w:b/>
        </w:rPr>
        <w:t>10</w:t>
      </w:r>
      <w:r w:rsidRPr="008435D8">
        <w:rPr>
          <w:rFonts w:eastAsia="Calibri" w:cs="Times New Roman"/>
          <w:b/>
        </w:rPr>
        <w:tab/>
      </w:r>
      <w:r w:rsidR="008435D8" w:rsidRPr="008435D8">
        <w:rPr>
          <w:rFonts w:eastAsia="Calibri" w:cs="Times New Roman"/>
          <w:b/>
        </w:rPr>
        <w:tab/>
      </w:r>
      <w:r w:rsidRPr="008435D8">
        <w:rPr>
          <w:rFonts w:eastAsia="Calibri" w:cs="Times New Roman"/>
          <w:b/>
        </w:rPr>
        <w:t>Appointment</w:t>
      </w:r>
      <w:bookmarkEnd w:id="209"/>
    </w:p>
    <w:p w:rsidR="00196028" w:rsidRPr="008442BF" w:rsidRDefault="00196028" w:rsidP="008435D8">
      <w:pPr>
        <w:keepLines/>
        <w:tabs>
          <w:tab w:val="left" w:pos="810"/>
          <w:tab w:val="left" w:pos="1350"/>
          <w:tab w:val="left" w:pos="1890"/>
        </w:tabs>
        <w:ind w:left="1890" w:hanging="1530"/>
        <w:rPr>
          <w:rFonts w:eastAsia="Calibri" w:cs="Times New Roman"/>
        </w:rPr>
      </w:pPr>
      <w:r w:rsidRPr="008442BF">
        <w:rPr>
          <w:rFonts w:eastAsia="Calibri" w:cs="Times New Roman"/>
        </w:rPr>
        <w:tab/>
        <w:t>(1)</w:t>
      </w:r>
      <w:r w:rsidRPr="008442BF">
        <w:rPr>
          <w:rFonts w:eastAsia="Calibri" w:cs="Times New Roman"/>
        </w:rPr>
        <w:tab/>
        <w:t>The Minister must appoint the following:</w:t>
      </w:r>
    </w:p>
    <w:p w:rsidR="00196028" w:rsidRPr="008442BF" w:rsidRDefault="008435D8" w:rsidP="008435D8">
      <w:pPr>
        <w:keepLines/>
        <w:tabs>
          <w:tab w:val="left" w:pos="810"/>
          <w:tab w:val="left" w:pos="1350"/>
          <w:tab w:val="left" w:pos="1890"/>
        </w:tabs>
        <w:ind w:left="1890" w:hanging="1530"/>
        <w:rPr>
          <w:rFonts w:eastAsia="Calibri" w:cs="Times New Roman"/>
        </w:rPr>
      </w:pPr>
      <w:r>
        <w:rPr>
          <w:rFonts w:eastAsia="Calibri" w:cs="Times New Roman"/>
        </w:rPr>
        <w:tab/>
      </w:r>
      <w:r w:rsidR="00196028" w:rsidRPr="008442BF">
        <w:rPr>
          <w:rFonts w:eastAsia="Calibri" w:cs="Times New Roman"/>
        </w:rPr>
        <w:tab/>
        <w:t>(a)</w:t>
      </w:r>
      <w:r w:rsidR="00196028" w:rsidRPr="008442BF">
        <w:rPr>
          <w:rFonts w:eastAsia="Calibri" w:cs="Times New Roman"/>
        </w:rPr>
        <w:tab/>
      </w:r>
      <w:proofErr w:type="gramStart"/>
      <w:r w:rsidR="00196028" w:rsidRPr="008442BF">
        <w:rPr>
          <w:rFonts w:eastAsia="Calibri" w:cs="Times New Roman"/>
        </w:rPr>
        <w:t>for</w:t>
      </w:r>
      <w:proofErr w:type="gramEnd"/>
      <w:r w:rsidR="00196028" w:rsidRPr="008442BF">
        <w:rPr>
          <w:rFonts w:eastAsia="Calibri" w:cs="Times New Roman"/>
        </w:rPr>
        <w:t xml:space="preserve"> the </w:t>
      </w:r>
      <w:r w:rsidR="00196028" w:rsidRPr="008435D8">
        <w:rPr>
          <w:rFonts w:eastAsia="Calibri" w:cs="Times New Roman"/>
          <w:i/>
        </w:rPr>
        <w:t>Children and Young People Act 2008</w:t>
      </w:r>
      <w:r w:rsidR="00196028" w:rsidRPr="008442BF">
        <w:rPr>
          <w:rFonts w:eastAsia="Calibri" w:cs="Times New Roman"/>
        </w:rPr>
        <w:t xml:space="preserve">—at least 2 official visitors, </w:t>
      </w:r>
      <w:bookmarkStart w:id="210" w:name="_Hlk527967204"/>
      <w:r w:rsidR="00196028" w:rsidRPr="008442BF">
        <w:rPr>
          <w:rFonts w:eastAsia="Calibri" w:cs="Times New Roman"/>
        </w:rPr>
        <w:t>including one official visitor who is an Aboriginal or Torres Strait Islander person</w:t>
      </w:r>
      <w:bookmarkEnd w:id="210"/>
      <w:r w:rsidR="00196028" w:rsidRPr="008442BF">
        <w:rPr>
          <w:rFonts w:eastAsia="Calibri" w:cs="Times New Roman"/>
        </w:rPr>
        <w:t>;</w:t>
      </w:r>
    </w:p>
    <w:p w:rsidR="00196028" w:rsidRPr="008442BF" w:rsidRDefault="008435D8" w:rsidP="008435D8">
      <w:pPr>
        <w:keepLines/>
        <w:tabs>
          <w:tab w:val="left" w:pos="810"/>
          <w:tab w:val="left" w:pos="1350"/>
          <w:tab w:val="left" w:pos="1890"/>
        </w:tabs>
        <w:ind w:left="1890" w:hanging="1530"/>
        <w:rPr>
          <w:rFonts w:eastAsia="Calibri" w:cs="Times New Roman"/>
        </w:rPr>
      </w:pPr>
      <w:r>
        <w:rPr>
          <w:rFonts w:eastAsia="Calibri" w:cs="Times New Roman"/>
        </w:rPr>
        <w:tab/>
      </w:r>
      <w:r w:rsidR="00196028" w:rsidRPr="008442BF">
        <w:rPr>
          <w:rFonts w:eastAsia="Calibri" w:cs="Times New Roman"/>
        </w:rPr>
        <w:tab/>
        <w:t>(b)</w:t>
      </w:r>
      <w:r w:rsidR="00196028" w:rsidRPr="008442BF">
        <w:rPr>
          <w:rFonts w:eastAsia="Calibri" w:cs="Times New Roman"/>
        </w:rPr>
        <w:tab/>
      </w:r>
      <w:proofErr w:type="gramStart"/>
      <w:r w:rsidR="00196028" w:rsidRPr="008442BF">
        <w:rPr>
          <w:rFonts w:eastAsia="Calibri" w:cs="Times New Roman"/>
        </w:rPr>
        <w:t>for</w:t>
      </w:r>
      <w:proofErr w:type="gramEnd"/>
      <w:r w:rsidR="00196028" w:rsidRPr="008442BF">
        <w:rPr>
          <w:rFonts w:eastAsia="Calibri" w:cs="Times New Roman"/>
        </w:rPr>
        <w:t xml:space="preserve"> the </w:t>
      </w:r>
      <w:r w:rsidR="00196028" w:rsidRPr="008435D8">
        <w:rPr>
          <w:rFonts w:eastAsia="Calibri" w:cs="Times New Roman"/>
          <w:i/>
        </w:rPr>
        <w:t>Corrections Management Act 2007</w:t>
      </w:r>
      <w:r w:rsidR="00196028" w:rsidRPr="008442BF">
        <w:rPr>
          <w:rFonts w:eastAsia="Calibri" w:cs="Times New Roman"/>
        </w:rPr>
        <w:t>—at least 2 official visitors, including one official visitor who is an Aboriginal or Torres Strait Islander person;</w:t>
      </w:r>
    </w:p>
    <w:p w:rsidR="00196028" w:rsidRPr="008442BF" w:rsidRDefault="008435D8" w:rsidP="008435D8">
      <w:pPr>
        <w:keepLines/>
        <w:tabs>
          <w:tab w:val="left" w:pos="810"/>
          <w:tab w:val="left" w:pos="1350"/>
          <w:tab w:val="left" w:pos="1890"/>
        </w:tabs>
        <w:ind w:left="1890" w:hanging="1530"/>
        <w:rPr>
          <w:rFonts w:eastAsia="Calibri" w:cs="Times New Roman"/>
        </w:rPr>
      </w:pPr>
      <w:r>
        <w:rPr>
          <w:rFonts w:eastAsia="Calibri" w:cs="Times New Roman"/>
        </w:rPr>
        <w:tab/>
      </w:r>
      <w:r w:rsidR="00196028" w:rsidRPr="008442BF">
        <w:rPr>
          <w:rFonts w:eastAsia="Calibri" w:cs="Times New Roman"/>
        </w:rPr>
        <w:tab/>
        <w:t>(c)</w:t>
      </w:r>
      <w:r w:rsidR="00196028" w:rsidRPr="008442BF">
        <w:rPr>
          <w:rFonts w:eastAsia="Calibri" w:cs="Times New Roman"/>
        </w:rPr>
        <w:tab/>
      </w:r>
      <w:proofErr w:type="gramStart"/>
      <w:r w:rsidR="00196028" w:rsidRPr="008442BF">
        <w:rPr>
          <w:rFonts w:eastAsia="Calibri" w:cs="Times New Roman"/>
        </w:rPr>
        <w:t>for</w:t>
      </w:r>
      <w:proofErr w:type="gramEnd"/>
      <w:r w:rsidR="00196028" w:rsidRPr="008442BF">
        <w:rPr>
          <w:rFonts w:eastAsia="Calibri" w:cs="Times New Roman"/>
        </w:rPr>
        <w:t xml:space="preserve"> the </w:t>
      </w:r>
      <w:r w:rsidR="00196028" w:rsidRPr="008435D8">
        <w:rPr>
          <w:rFonts w:eastAsia="Calibri" w:cs="Times New Roman"/>
          <w:i/>
        </w:rPr>
        <w:t>Disability Services Act 1991</w:t>
      </w:r>
      <w:r w:rsidR="00196028" w:rsidRPr="008442BF">
        <w:rPr>
          <w:rFonts w:eastAsia="Calibri" w:cs="Times New Roman"/>
        </w:rPr>
        <w:t>—at least 1 official visitor;</w:t>
      </w:r>
    </w:p>
    <w:p w:rsidR="00196028" w:rsidRPr="008442BF" w:rsidRDefault="008435D8" w:rsidP="009777C9">
      <w:pPr>
        <w:keepNext/>
        <w:keepLines/>
        <w:tabs>
          <w:tab w:val="left" w:pos="810"/>
          <w:tab w:val="left" w:pos="1350"/>
          <w:tab w:val="left" w:pos="1890"/>
        </w:tabs>
        <w:ind w:left="1886" w:hanging="1526"/>
        <w:rPr>
          <w:rFonts w:eastAsia="Calibri" w:cs="Times New Roman"/>
        </w:rPr>
      </w:pPr>
      <w:r>
        <w:rPr>
          <w:rFonts w:eastAsia="Calibri" w:cs="Times New Roman"/>
        </w:rPr>
        <w:lastRenderedPageBreak/>
        <w:tab/>
      </w:r>
      <w:r w:rsidR="00196028" w:rsidRPr="008442BF">
        <w:rPr>
          <w:rFonts w:eastAsia="Calibri" w:cs="Times New Roman"/>
        </w:rPr>
        <w:tab/>
        <w:t>(d)</w:t>
      </w:r>
      <w:r w:rsidR="00196028" w:rsidRPr="008442BF">
        <w:rPr>
          <w:rFonts w:eastAsia="Calibri" w:cs="Times New Roman"/>
        </w:rPr>
        <w:tab/>
      </w:r>
      <w:proofErr w:type="gramStart"/>
      <w:r w:rsidR="00196028" w:rsidRPr="008442BF">
        <w:rPr>
          <w:rFonts w:eastAsia="Calibri" w:cs="Times New Roman"/>
        </w:rPr>
        <w:t>for</w:t>
      </w:r>
      <w:proofErr w:type="gramEnd"/>
      <w:r w:rsidR="00196028" w:rsidRPr="008442BF">
        <w:rPr>
          <w:rFonts w:eastAsia="Calibri" w:cs="Times New Roman"/>
        </w:rPr>
        <w:t xml:space="preserve"> the </w:t>
      </w:r>
      <w:r w:rsidR="00196028" w:rsidRPr="008435D8">
        <w:rPr>
          <w:rFonts w:eastAsia="Calibri" w:cs="Times New Roman"/>
          <w:i/>
        </w:rPr>
        <w:t>Housing Assistance Act 2007</w:t>
      </w:r>
      <w:r w:rsidR="00196028" w:rsidRPr="008442BF">
        <w:rPr>
          <w:rFonts w:eastAsia="Calibri" w:cs="Times New Roman"/>
        </w:rPr>
        <w:t>—at least 1 official visitor;</w:t>
      </w:r>
    </w:p>
    <w:p w:rsidR="00196028" w:rsidRPr="008442BF" w:rsidRDefault="008435D8" w:rsidP="009777C9">
      <w:pPr>
        <w:keepNext/>
        <w:keepLines/>
        <w:tabs>
          <w:tab w:val="left" w:pos="810"/>
          <w:tab w:val="left" w:pos="1350"/>
          <w:tab w:val="left" w:pos="1890"/>
        </w:tabs>
        <w:ind w:left="1886" w:hanging="1526"/>
        <w:rPr>
          <w:rFonts w:eastAsia="Calibri" w:cs="Times New Roman"/>
        </w:rPr>
      </w:pPr>
      <w:r>
        <w:rPr>
          <w:rFonts w:eastAsia="Calibri" w:cs="Times New Roman"/>
        </w:rPr>
        <w:tab/>
      </w:r>
      <w:r w:rsidR="00196028" w:rsidRPr="008442BF">
        <w:rPr>
          <w:rFonts w:eastAsia="Calibri" w:cs="Times New Roman"/>
        </w:rPr>
        <w:tab/>
        <w:t>(e)</w:t>
      </w:r>
      <w:r w:rsidR="00196028" w:rsidRPr="008442BF">
        <w:rPr>
          <w:rFonts w:eastAsia="Calibri" w:cs="Times New Roman"/>
        </w:rPr>
        <w:tab/>
      </w:r>
      <w:proofErr w:type="gramStart"/>
      <w:r w:rsidR="00196028" w:rsidRPr="008442BF">
        <w:rPr>
          <w:rFonts w:eastAsia="Calibri" w:cs="Times New Roman"/>
        </w:rPr>
        <w:t>for</w:t>
      </w:r>
      <w:proofErr w:type="gramEnd"/>
      <w:r w:rsidR="00196028" w:rsidRPr="008442BF">
        <w:rPr>
          <w:rFonts w:eastAsia="Calibri" w:cs="Times New Roman"/>
        </w:rPr>
        <w:t xml:space="preserve"> the </w:t>
      </w:r>
      <w:r w:rsidR="00196028" w:rsidRPr="008435D8">
        <w:rPr>
          <w:rFonts w:eastAsia="Calibri" w:cs="Times New Roman"/>
          <w:i/>
        </w:rPr>
        <w:t>Mental Health Act 2015</w:t>
      </w:r>
      <w:r w:rsidR="00196028" w:rsidRPr="008442BF">
        <w:rPr>
          <w:rFonts w:eastAsia="Calibri" w:cs="Times New Roman"/>
        </w:rPr>
        <w:t>—at least 1 official visitor.</w:t>
      </w:r>
    </w:p>
    <w:p w:rsidR="00196028" w:rsidRPr="008442BF" w:rsidRDefault="00196028" w:rsidP="008435D8">
      <w:pPr>
        <w:keepLines/>
        <w:tabs>
          <w:tab w:val="left" w:pos="810"/>
          <w:tab w:val="left" w:pos="1350"/>
          <w:tab w:val="left" w:pos="3510"/>
        </w:tabs>
        <w:ind w:left="1350" w:hanging="990"/>
        <w:rPr>
          <w:rFonts w:eastAsia="Calibri" w:cs="Times New Roman"/>
        </w:rPr>
      </w:pPr>
      <w:r w:rsidRPr="008442BF">
        <w:rPr>
          <w:rFonts w:eastAsia="Calibri" w:cs="Times New Roman"/>
        </w:rPr>
        <w:tab/>
        <w:t>(2)</w:t>
      </w:r>
      <w:r w:rsidRPr="008442BF">
        <w:rPr>
          <w:rFonts w:eastAsia="Calibri" w:cs="Times New Roman"/>
        </w:rPr>
        <w:tab/>
        <w:t>The Minister may appoint a person as an official visitor for an operational Act only if—</w:t>
      </w:r>
    </w:p>
    <w:p w:rsidR="00196028" w:rsidRPr="008442BF" w:rsidRDefault="008435D8" w:rsidP="008435D8">
      <w:pPr>
        <w:keepLines/>
        <w:tabs>
          <w:tab w:val="left" w:pos="810"/>
          <w:tab w:val="left" w:pos="1350"/>
          <w:tab w:val="left" w:pos="1890"/>
        </w:tabs>
        <w:ind w:left="1890" w:hanging="1530"/>
        <w:rPr>
          <w:rFonts w:eastAsia="Calibri" w:cs="Times New Roman"/>
        </w:rPr>
      </w:pPr>
      <w:r>
        <w:rPr>
          <w:rFonts w:eastAsia="Calibri" w:cs="Times New Roman"/>
        </w:rPr>
        <w:tab/>
      </w:r>
      <w:r w:rsidR="00196028" w:rsidRPr="008442BF">
        <w:rPr>
          <w:rFonts w:eastAsia="Calibri" w:cs="Times New Roman"/>
        </w:rPr>
        <w:tab/>
        <w:t>(a)</w:t>
      </w:r>
      <w:r w:rsidR="00196028" w:rsidRPr="008442BF">
        <w:rPr>
          <w:rFonts w:eastAsia="Calibri" w:cs="Times New Roman"/>
        </w:rPr>
        <w:tab/>
      </w:r>
      <w:proofErr w:type="gramStart"/>
      <w:r w:rsidR="00196028" w:rsidRPr="008442BF">
        <w:rPr>
          <w:rFonts w:eastAsia="Calibri" w:cs="Times New Roman"/>
        </w:rPr>
        <w:t>the</w:t>
      </w:r>
      <w:proofErr w:type="gramEnd"/>
      <w:r w:rsidR="00196028" w:rsidRPr="008442BF">
        <w:rPr>
          <w:rFonts w:eastAsia="Calibri" w:cs="Times New Roman"/>
        </w:rPr>
        <w:t xml:space="preserve"> Minister has consulted the operational Minister; and</w:t>
      </w:r>
    </w:p>
    <w:p w:rsidR="00196028" w:rsidRPr="008442BF" w:rsidRDefault="008435D8" w:rsidP="008435D8">
      <w:pPr>
        <w:keepLines/>
        <w:tabs>
          <w:tab w:val="left" w:pos="810"/>
          <w:tab w:val="left" w:pos="1350"/>
          <w:tab w:val="left" w:pos="1890"/>
        </w:tabs>
        <w:ind w:left="1890" w:hanging="1530"/>
        <w:rPr>
          <w:rFonts w:eastAsia="Calibri" w:cs="Times New Roman"/>
        </w:rPr>
      </w:pPr>
      <w:r>
        <w:rPr>
          <w:rFonts w:eastAsia="Calibri" w:cs="Times New Roman"/>
        </w:rPr>
        <w:tab/>
      </w:r>
      <w:r w:rsidR="00196028" w:rsidRPr="008442BF">
        <w:rPr>
          <w:rFonts w:eastAsia="Calibri" w:cs="Times New Roman"/>
        </w:rPr>
        <w:tab/>
        <w:t>(b)</w:t>
      </w:r>
      <w:r w:rsidR="00196028" w:rsidRPr="008442BF">
        <w:rPr>
          <w:rFonts w:eastAsia="Calibri" w:cs="Times New Roman"/>
        </w:rPr>
        <w:tab/>
      </w:r>
      <w:proofErr w:type="gramStart"/>
      <w:r w:rsidR="00196028" w:rsidRPr="008442BF">
        <w:rPr>
          <w:rFonts w:eastAsia="Calibri" w:cs="Times New Roman"/>
        </w:rPr>
        <w:t>satisfied</w:t>
      </w:r>
      <w:proofErr w:type="gramEnd"/>
      <w:r w:rsidR="00196028" w:rsidRPr="008442BF">
        <w:rPr>
          <w:rFonts w:eastAsia="Calibri" w:cs="Times New Roman"/>
        </w:rPr>
        <w:t xml:space="preserve"> on reasonable grounds that the person has suitable qualifications or experience to exercise the functions of an official visitor for the operational Act.</w:t>
      </w:r>
    </w:p>
    <w:p w:rsidR="00196028" w:rsidRPr="008442BF" w:rsidRDefault="00196028" w:rsidP="008435D8">
      <w:pPr>
        <w:keepLines/>
        <w:tabs>
          <w:tab w:val="left" w:pos="810"/>
          <w:tab w:val="left" w:pos="1350"/>
          <w:tab w:val="left" w:pos="1890"/>
        </w:tabs>
        <w:ind w:left="1890" w:hanging="1530"/>
        <w:rPr>
          <w:rFonts w:eastAsia="Calibri" w:cs="Times New Roman"/>
        </w:rPr>
      </w:pPr>
      <w:r w:rsidRPr="008442BF">
        <w:rPr>
          <w:rFonts w:eastAsia="Calibri" w:cs="Times New Roman"/>
        </w:rPr>
        <w:tab/>
        <w:t>(3)</w:t>
      </w:r>
      <w:r w:rsidRPr="008442BF">
        <w:rPr>
          <w:rFonts w:eastAsia="Calibri" w:cs="Times New Roman"/>
        </w:rPr>
        <w:tab/>
        <w:t>However, the Minister must not appoint a person as an official visitor if the person—</w:t>
      </w:r>
    </w:p>
    <w:p w:rsidR="00196028" w:rsidRPr="008442BF" w:rsidRDefault="008435D8" w:rsidP="008435D8">
      <w:pPr>
        <w:keepLines/>
        <w:tabs>
          <w:tab w:val="left" w:pos="810"/>
          <w:tab w:val="left" w:pos="1350"/>
          <w:tab w:val="left" w:pos="1890"/>
        </w:tabs>
        <w:ind w:left="1890" w:hanging="1530"/>
        <w:rPr>
          <w:rFonts w:eastAsia="Calibri" w:cs="Times New Roman"/>
        </w:rPr>
      </w:pPr>
      <w:r>
        <w:rPr>
          <w:rFonts w:eastAsia="Calibri" w:cs="Times New Roman"/>
        </w:rPr>
        <w:tab/>
      </w:r>
      <w:r w:rsidR="00196028" w:rsidRPr="008442BF">
        <w:rPr>
          <w:rFonts w:eastAsia="Calibri" w:cs="Times New Roman"/>
        </w:rPr>
        <w:tab/>
        <w:t>(a)</w:t>
      </w:r>
      <w:r w:rsidR="00196028" w:rsidRPr="008442BF">
        <w:rPr>
          <w:rFonts w:eastAsia="Calibri" w:cs="Times New Roman"/>
        </w:rPr>
        <w:tab/>
      </w:r>
      <w:proofErr w:type="gramStart"/>
      <w:r w:rsidR="00196028" w:rsidRPr="008442BF">
        <w:rPr>
          <w:rFonts w:eastAsia="Calibri" w:cs="Times New Roman"/>
        </w:rPr>
        <w:t>is</w:t>
      </w:r>
      <w:proofErr w:type="gramEnd"/>
      <w:r w:rsidR="00196028" w:rsidRPr="008442BF">
        <w:rPr>
          <w:rFonts w:eastAsia="Calibri" w:cs="Times New Roman"/>
        </w:rPr>
        <w:t xml:space="preserve"> a public employee; or</w:t>
      </w:r>
    </w:p>
    <w:p w:rsidR="00196028" w:rsidRPr="008442BF" w:rsidRDefault="008435D8" w:rsidP="008435D8">
      <w:pPr>
        <w:keepLines/>
        <w:tabs>
          <w:tab w:val="left" w:pos="810"/>
          <w:tab w:val="left" w:pos="1350"/>
          <w:tab w:val="left" w:pos="1890"/>
        </w:tabs>
        <w:ind w:left="1890" w:hanging="1530"/>
        <w:rPr>
          <w:rFonts w:eastAsia="Calibri" w:cs="Times New Roman"/>
        </w:rPr>
      </w:pPr>
      <w:r>
        <w:rPr>
          <w:rFonts w:eastAsia="Calibri" w:cs="Times New Roman"/>
        </w:rPr>
        <w:tab/>
      </w:r>
      <w:r w:rsidR="00196028" w:rsidRPr="008442BF">
        <w:rPr>
          <w:rFonts w:eastAsia="Calibri" w:cs="Times New Roman"/>
        </w:rPr>
        <w:tab/>
        <w:t>(b)</w:t>
      </w:r>
      <w:r w:rsidR="00196028" w:rsidRPr="008442BF">
        <w:rPr>
          <w:rFonts w:eastAsia="Calibri" w:cs="Times New Roman"/>
        </w:rPr>
        <w:tab/>
      </w:r>
      <w:proofErr w:type="gramStart"/>
      <w:r w:rsidR="00196028" w:rsidRPr="008442BF">
        <w:rPr>
          <w:rFonts w:eastAsia="Calibri" w:cs="Times New Roman"/>
        </w:rPr>
        <w:t>has</w:t>
      </w:r>
      <w:proofErr w:type="gramEnd"/>
      <w:r w:rsidR="00196028" w:rsidRPr="008442BF">
        <w:rPr>
          <w:rFonts w:eastAsia="Calibri" w:cs="Times New Roman"/>
        </w:rPr>
        <w:t xml:space="preserve"> a relevant interest.</w:t>
      </w:r>
    </w:p>
    <w:p w:rsidR="00196028" w:rsidRPr="008442BF" w:rsidRDefault="00196028" w:rsidP="008435D8">
      <w:pPr>
        <w:keepLines/>
        <w:tabs>
          <w:tab w:val="left" w:pos="810"/>
          <w:tab w:val="left" w:pos="1350"/>
          <w:tab w:val="left" w:pos="2430"/>
        </w:tabs>
        <w:ind w:left="1350" w:hanging="990"/>
        <w:rPr>
          <w:rFonts w:eastAsia="Calibri" w:cs="Times New Roman"/>
        </w:rPr>
      </w:pPr>
      <w:r w:rsidRPr="008442BF">
        <w:rPr>
          <w:rFonts w:eastAsia="Calibri" w:cs="Times New Roman"/>
        </w:rPr>
        <w:tab/>
        <w:t>(4)</w:t>
      </w:r>
      <w:r w:rsidRPr="008442BF">
        <w:rPr>
          <w:rFonts w:eastAsia="Calibri" w:cs="Times New Roman"/>
        </w:rPr>
        <w:tab/>
        <w:t>An operational Act may prescribe additional requirements for deciding whether or not to appoint a person as an official visitor for the operational Act.</w:t>
      </w:r>
    </w:p>
    <w:p w:rsidR="00196028" w:rsidRPr="008442BF" w:rsidRDefault="00196028" w:rsidP="008435D8">
      <w:pPr>
        <w:keepLines/>
        <w:tabs>
          <w:tab w:val="left" w:pos="810"/>
          <w:tab w:val="left" w:pos="1350"/>
          <w:tab w:val="left" w:pos="1890"/>
        </w:tabs>
        <w:ind w:left="1890" w:hanging="1530"/>
        <w:rPr>
          <w:rFonts w:eastAsia="Calibri" w:cs="Times New Roman"/>
        </w:rPr>
      </w:pPr>
      <w:r w:rsidRPr="008442BF">
        <w:rPr>
          <w:rFonts w:eastAsia="Calibri" w:cs="Times New Roman"/>
        </w:rPr>
        <w:tab/>
        <w:t>(5)</w:t>
      </w:r>
      <w:r w:rsidRPr="008442BF">
        <w:rPr>
          <w:rFonts w:eastAsia="Calibri" w:cs="Times New Roman"/>
        </w:rPr>
        <w:tab/>
        <w:t>In this section:</w:t>
      </w:r>
    </w:p>
    <w:p w:rsidR="00196028" w:rsidRPr="008442BF" w:rsidRDefault="008435D8" w:rsidP="008435D8">
      <w:pPr>
        <w:keepLines/>
        <w:tabs>
          <w:tab w:val="left" w:pos="810"/>
          <w:tab w:val="left" w:pos="1350"/>
          <w:tab w:val="left" w:pos="1890"/>
        </w:tabs>
        <w:ind w:left="1890" w:hanging="1530"/>
        <w:rPr>
          <w:rFonts w:eastAsia="Calibri" w:cs="Times New Roman"/>
        </w:rPr>
      </w:pPr>
      <w:r>
        <w:rPr>
          <w:rFonts w:eastAsia="Calibri" w:cs="Times New Roman"/>
        </w:rPr>
        <w:tab/>
      </w:r>
      <w:r>
        <w:rPr>
          <w:rFonts w:eastAsia="Calibri" w:cs="Times New Roman"/>
        </w:rPr>
        <w:tab/>
      </w:r>
      <w:r w:rsidR="00196028" w:rsidRPr="008435D8">
        <w:rPr>
          <w:rFonts w:eastAsia="Calibri" w:cs="Times New Roman"/>
          <w:b/>
          <w:i/>
        </w:rPr>
        <w:t>Aboriginal or Torres Strait Islander person</w:t>
      </w:r>
      <w:r w:rsidR="00196028" w:rsidRPr="008442BF">
        <w:rPr>
          <w:rFonts w:eastAsia="Calibri" w:cs="Times New Roman"/>
        </w:rPr>
        <w:t xml:space="preserve"> means a person who—</w:t>
      </w:r>
    </w:p>
    <w:p w:rsidR="00196028" w:rsidRPr="008442BF" w:rsidRDefault="008435D8" w:rsidP="008435D8">
      <w:pPr>
        <w:keepLines/>
        <w:tabs>
          <w:tab w:val="left" w:pos="810"/>
          <w:tab w:val="left" w:pos="1350"/>
          <w:tab w:val="left" w:pos="1890"/>
        </w:tabs>
        <w:ind w:left="1890" w:hanging="1530"/>
        <w:rPr>
          <w:rFonts w:eastAsia="Calibri" w:cs="Times New Roman"/>
        </w:rPr>
      </w:pPr>
      <w:r>
        <w:rPr>
          <w:rFonts w:eastAsia="Calibri" w:cs="Times New Roman"/>
        </w:rPr>
        <w:tab/>
      </w:r>
      <w:r w:rsidR="00196028" w:rsidRPr="008442BF">
        <w:rPr>
          <w:rFonts w:eastAsia="Calibri" w:cs="Times New Roman"/>
        </w:rPr>
        <w:tab/>
        <w:t>(a)</w:t>
      </w:r>
      <w:r w:rsidR="00196028" w:rsidRPr="008442BF">
        <w:rPr>
          <w:rFonts w:eastAsia="Calibri" w:cs="Times New Roman"/>
        </w:rPr>
        <w:tab/>
      </w:r>
      <w:proofErr w:type="gramStart"/>
      <w:r w:rsidR="00196028" w:rsidRPr="008442BF">
        <w:rPr>
          <w:rFonts w:eastAsia="Calibri" w:cs="Times New Roman"/>
        </w:rPr>
        <w:t>is</w:t>
      </w:r>
      <w:proofErr w:type="gramEnd"/>
      <w:r w:rsidR="00196028" w:rsidRPr="008442BF">
        <w:rPr>
          <w:rFonts w:eastAsia="Calibri" w:cs="Times New Roman"/>
        </w:rPr>
        <w:t xml:space="preserve"> a descendant of an Aboriginal person or Torres Strait Islander person; and</w:t>
      </w:r>
    </w:p>
    <w:p w:rsidR="00196028" w:rsidRPr="008442BF" w:rsidRDefault="008435D8" w:rsidP="008435D8">
      <w:pPr>
        <w:keepLines/>
        <w:tabs>
          <w:tab w:val="left" w:pos="810"/>
          <w:tab w:val="left" w:pos="1350"/>
          <w:tab w:val="left" w:pos="1890"/>
        </w:tabs>
        <w:ind w:left="1890" w:hanging="1530"/>
        <w:rPr>
          <w:rFonts w:eastAsia="Calibri" w:cs="Times New Roman"/>
        </w:rPr>
      </w:pPr>
      <w:r>
        <w:rPr>
          <w:rFonts w:eastAsia="Calibri" w:cs="Times New Roman"/>
        </w:rPr>
        <w:tab/>
      </w:r>
      <w:r w:rsidR="00196028" w:rsidRPr="008442BF">
        <w:rPr>
          <w:rFonts w:eastAsia="Calibri" w:cs="Times New Roman"/>
        </w:rPr>
        <w:tab/>
        <w:t>(b)</w:t>
      </w:r>
      <w:r w:rsidR="00196028" w:rsidRPr="008442BF">
        <w:rPr>
          <w:rFonts w:eastAsia="Calibri" w:cs="Times New Roman"/>
        </w:rPr>
        <w:tab/>
      </w:r>
      <w:proofErr w:type="gramStart"/>
      <w:r w:rsidR="00196028" w:rsidRPr="008442BF">
        <w:rPr>
          <w:rFonts w:eastAsia="Calibri" w:cs="Times New Roman"/>
        </w:rPr>
        <w:t>identifies</w:t>
      </w:r>
      <w:proofErr w:type="gramEnd"/>
      <w:r w:rsidR="00196028" w:rsidRPr="008442BF">
        <w:rPr>
          <w:rFonts w:eastAsia="Calibri" w:cs="Times New Roman"/>
        </w:rPr>
        <w:t xml:space="preserve"> as an Aboriginal person or Torres Strait Islander person; and</w:t>
      </w:r>
    </w:p>
    <w:p w:rsidR="00196028" w:rsidRPr="008442BF" w:rsidRDefault="008435D8" w:rsidP="008435D8">
      <w:pPr>
        <w:keepLines/>
        <w:tabs>
          <w:tab w:val="left" w:pos="810"/>
          <w:tab w:val="left" w:pos="1350"/>
          <w:tab w:val="left" w:pos="1890"/>
        </w:tabs>
        <w:ind w:left="1890" w:hanging="1530"/>
        <w:rPr>
          <w:rFonts w:eastAsia="Calibri" w:cs="Times New Roman"/>
        </w:rPr>
      </w:pPr>
      <w:r>
        <w:rPr>
          <w:rFonts w:eastAsia="Calibri" w:cs="Times New Roman"/>
        </w:rPr>
        <w:tab/>
      </w:r>
      <w:r w:rsidR="00196028" w:rsidRPr="008442BF">
        <w:rPr>
          <w:rFonts w:eastAsia="Calibri" w:cs="Times New Roman"/>
        </w:rPr>
        <w:tab/>
        <w:t>(c)</w:t>
      </w:r>
      <w:r w:rsidR="00196028" w:rsidRPr="008442BF">
        <w:rPr>
          <w:rFonts w:eastAsia="Calibri" w:cs="Times New Roman"/>
        </w:rPr>
        <w:tab/>
      </w:r>
      <w:proofErr w:type="gramStart"/>
      <w:r w:rsidR="00196028" w:rsidRPr="008442BF">
        <w:rPr>
          <w:rFonts w:eastAsia="Calibri" w:cs="Times New Roman"/>
        </w:rPr>
        <w:t>is</w:t>
      </w:r>
      <w:proofErr w:type="gramEnd"/>
      <w:r w:rsidR="00196028" w:rsidRPr="008442BF">
        <w:rPr>
          <w:rFonts w:eastAsia="Calibri" w:cs="Times New Roman"/>
        </w:rPr>
        <w:t xml:space="preserve"> accepted as an Aboriginal person or Torres Strait Islander person by an Aboriginal community or Torres Strait Islander community.</w:t>
      </w:r>
    </w:p>
    <w:p w:rsidR="00196028" w:rsidRPr="008442BF" w:rsidRDefault="008435D8" w:rsidP="008435D8">
      <w:pPr>
        <w:keepLines/>
        <w:tabs>
          <w:tab w:val="left" w:pos="810"/>
          <w:tab w:val="left" w:pos="1350"/>
          <w:tab w:val="left" w:pos="1890"/>
        </w:tabs>
        <w:ind w:left="1890" w:hanging="1530"/>
        <w:rPr>
          <w:rFonts w:eastAsia="Calibri" w:cs="Times New Roman"/>
        </w:rPr>
      </w:pPr>
      <w:r>
        <w:rPr>
          <w:rFonts w:eastAsia="Calibri" w:cs="Times New Roman"/>
        </w:rPr>
        <w:tab/>
      </w:r>
      <w:r>
        <w:rPr>
          <w:rFonts w:eastAsia="Calibri" w:cs="Times New Roman"/>
        </w:rPr>
        <w:tab/>
      </w:r>
      <w:proofErr w:type="gramStart"/>
      <w:r w:rsidR="00196028" w:rsidRPr="008435D8">
        <w:rPr>
          <w:rFonts w:eastAsia="Calibri" w:cs="Times New Roman"/>
          <w:b/>
          <w:i/>
        </w:rPr>
        <w:t>relevant</w:t>
      </w:r>
      <w:proofErr w:type="gramEnd"/>
      <w:r w:rsidR="00196028" w:rsidRPr="008435D8">
        <w:rPr>
          <w:rFonts w:eastAsia="Calibri" w:cs="Times New Roman"/>
          <w:b/>
          <w:i/>
        </w:rPr>
        <w:t xml:space="preserve"> interest </w:t>
      </w:r>
      <w:r w:rsidR="00196028" w:rsidRPr="008442BF">
        <w:rPr>
          <w:rFonts w:eastAsia="Calibri" w:cs="Times New Roman"/>
        </w:rPr>
        <w:t>means—</w:t>
      </w:r>
    </w:p>
    <w:p w:rsidR="00196028" w:rsidRPr="008442BF" w:rsidRDefault="008435D8" w:rsidP="008435D8">
      <w:pPr>
        <w:keepLines/>
        <w:tabs>
          <w:tab w:val="left" w:pos="810"/>
          <w:tab w:val="left" w:pos="1350"/>
          <w:tab w:val="left" w:pos="1890"/>
        </w:tabs>
        <w:ind w:left="1890" w:hanging="1530"/>
        <w:rPr>
          <w:rFonts w:eastAsia="Calibri" w:cs="Times New Roman"/>
        </w:rPr>
      </w:pPr>
      <w:r>
        <w:rPr>
          <w:rFonts w:eastAsia="Calibri" w:cs="Times New Roman"/>
        </w:rPr>
        <w:tab/>
      </w:r>
      <w:r w:rsidR="00196028" w:rsidRPr="008442BF">
        <w:rPr>
          <w:rFonts w:eastAsia="Calibri" w:cs="Times New Roman"/>
        </w:rPr>
        <w:tab/>
        <w:t>(a)</w:t>
      </w:r>
      <w:r w:rsidR="00196028" w:rsidRPr="008442BF">
        <w:rPr>
          <w:rFonts w:eastAsia="Calibri" w:cs="Times New Roman"/>
        </w:rPr>
        <w:tab/>
      </w:r>
      <w:proofErr w:type="gramStart"/>
      <w:r w:rsidR="00196028" w:rsidRPr="008442BF">
        <w:rPr>
          <w:rFonts w:eastAsia="Calibri" w:cs="Times New Roman"/>
        </w:rPr>
        <w:t>a</w:t>
      </w:r>
      <w:proofErr w:type="gramEnd"/>
      <w:r w:rsidR="00196028" w:rsidRPr="008442BF">
        <w:rPr>
          <w:rFonts w:eastAsia="Calibri" w:cs="Times New Roman"/>
        </w:rPr>
        <w:t xml:space="preserve"> direct interest in a contract with a visitable place or an entity providing services to the visitable place; or</w:t>
      </w:r>
    </w:p>
    <w:p w:rsidR="00196028" w:rsidRPr="008442BF" w:rsidRDefault="008435D8" w:rsidP="008435D8">
      <w:pPr>
        <w:keepLines/>
        <w:tabs>
          <w:tab w:val="left" w:pos="810"/>
          <w:tab w:val="left" w:pos="1350"/>
          <w:tab w:val="left" w:pos="1890"/>
        </w:tabs>
        <w:ind w:left="1890" w:hanging="1530"/>
        <w:rPr>
          <w:rFonts w:eastAsia="Calibri" w:cs="Times New Roman"/>
        </w:rPr>
      </w:pPr>
      <w:r>
        <w:rPr>
          <w:rFonts w:eastAsia="Calibri" w:cs="Times New Roman"/>
        </w:rPr>
        <w:tab/>
      </w:r>
      <w:r w:rsidR="00196028" w:rsidRPr="008442BF">
        <w:rPr>
          <w:rFonts w:eastAsia="Calibri" w:cs="Times New Roman"/>
        </w:rPr>
        <w:tab/>
        <w:t>(b)</w:t>
      </w:r>
      <w:r w:rsidR="00196028" w:rsidRPr="008442BF">
        <w:rPr>
          <w:rFonts w:eastAsia="Calibri" w:cs="Times New Roman"/>
        </w:rPr>
        <w:tab/>
      </w:r>
      <w:proofErr w:type="gramStart"/>
      <w:r w:rsidR="00196028" w:rsidRPr="008442BF">
        <w:rPr>
          <w:rFonts w:eastAsia="Calibri" w:cs="Times New Roman"/>
        </w:rPr>
        <w:t>a</w:t>
      </w:r>
      <w:proofErr w:type="gramEnd"/>
      <w:r w:rsidR="00196028" w:rsidRPr="008442BF">
        <w:rPr>
          <w:rFonts w:eastAsia="Calibri" w:cs="Times New Roman"/>
        </w:rPr>
        <w:t xml:space="preserve"> financial interest in a visitable place.</w:t>
      </w:r>
    </w:p>
    <w:p w:rsidR="00196028" w:rsidRPr="008442BF" w:rsidRDefault="00196028" w:rsidP="008442BF">
      <w:pPr>
        <w:keepLines/>
        <w:rPr>
          <w:rFonts w:eastAsia="Calibri" w:cs="Times New Roman"/>
        </w:rPr>
      </w:pPr>
      <w:r w:rsidRPr="008442BF">
        <w:rPr>
          <w:rFonts w:eastAsia="Calibri" w:cs="Times New Roman"/>
        </w:rPr>
        <w:t>Section 3 of the instrument provides:</w:t>
      </w:r>
    </w:p>
    <w:p w:rsidR="00196028" w:rsidRPr="00326327" w:rsidRDefault="00196028" w:rsidP="00326327">
      <w:pPr>
        <w:keepLines/>
        <w:ind w:left="900" w:hanging="540"/>
        <w:rPr>
          <w:rFonts w:eastAsia="Calibri" w:cs="Times New Roman"/>
          <w:b/>
        </w:rPr>
      </w:pPr>
      <w:r w:rsidRPr="00326327">
        <w:rPr>
          <w:rFonts w:eastAsia="Calibri" w:cs="Times New Roman"/>
          <w:b/>
        </w:rPr>
        <w:t>3</w:t>
      </w:r>
      <w:r w:rsidRPr="00326327">
        <w:rPr>
          <w:rFonts w:eastAsia="Calibri" w:cs="Times New Roman"/>
          <w:b/>
        </w:rPr>
        <w:tab/>
        <w:t>Appointment</w:t>
      </w:r>
    </w:p>
    <w:p w:rsidR="00196028" w:rsidRPr="00326327" w:rsidRDefault="00196028" w:rsidP="00326327">
      <w:pPr>
        <w:keepLines/>
        <w:ind w:left="900"/>
        <w:rPr>
          <w:rFonts w:eastAsia="Calibri" w:cs="Times New Roman"/>
        </w:rPr>
      </w:pPr>
      <w:r w:rsidRPr="00326327">
        <w:rPr>
          <w:rFonts w:eastAsia="Calibri" w:cs="Times New Roman"/>
        </w:rPr>
        <w:t xml:space="preserve">I appoint Tracey </w:t>
      </w:r>
      <w:proofErr w:type="spellStart"/>
      <w:r w:rsidRPr="00326327">
        <w:rPr>
          <w:rFonts w:eastAsia="Calibri" w:cs="Times New Roman"/>
        </w:rPr>
        <w:t>Whetnall</w:t>
      </w:r>
      <w:proofErr w:type="spellEnd"/>
      <w:r w:rsidRPr="00326327">
        <w:rPr>
          <w:rFonts w:eastAsia="Calibri" w:cs="Times New Roman"/>
        </w:rPr>
        <w:t xml:space="preserve"> and Tracey Lea Harris as official visitors for the </w:t>
      </w:r>
      <w:r w:rsidRPr="00326327">
        <w:rPr>
          <w:rFonts w:eastAsia="Calibri" w:cs="Times New Roman"/>
          <w:i/>
        </w:rPr>
        <w:t>Children and Young People Act 2008</w:t>
      </w:r>
      <w:r w:rsidRPr="00326327">
        <w:rPr>
          <w:rFonts w:eastAsia="Calibri" w:cs="Times New Roman"/>
        </w:rPr>
        <w:t xml:space="preserve"> until 7 April 2019 and </w:t>
      </w:r>
      <w:proofErr w:type="spellStart"/>
      <w:r w:rsidRPr="00326327">
        <w:rPr>
          <w:rFonts w:eastAsia="Calibri" w:cs="Times New Roman"/>
        </w:rPr>
        <w:t>Narelle</w:t>
      </w:r>
      <w:proofErr w:type="spellEnd"/>
      <w:r w:rsidRPr="00326327">
        <w:rPr>
          <w:rFonts w:eastAsia="Calibri" w:cs="Times New Roman"/>
        </w:rPr>
        <w:t xml:space="preserve"> Hargreaves as an official visitor for the </w:t>
      </w:r>
      <w:r w:rsidRPr="00326327">
        <w:rPr>
          <w:rFonts w:eastAsia="Calibri" w:cs="Times New Roman"/>
          <w:i/>
        </w:rPr>
        <w:t>Children and Young People Act 2008</w:t>
      </w:r>
      <w:r w:rsidRPr="00326327">
        <w:rPr>
          <w:rFonts w:eastAsia="Calibri" w:cs="Times New Roman"/>
        </w:rPr>
        <w:t xml:space="preserve"> until 7 April 2019.</w:t>
      </w:r>
    </w:p>
    <w:p w:rsidR="00196028" w:rsidRPr="008442BF" w:rsidRDefault="00196028" w:rsidP="008442BF">
      <w:pPr>
        <w:keepLines/>
        <w:rPr>
          <w:rFonts w:eastAsia="Calibri" w:cs="Times New Roman"/>
        </w:rPr>
      </w:pPr>
      <w:r w:rsidRPr="008442BF">
        <w:rPr>
          <w:rFonts w:eastAsia="Calibri" w:cs="Times New Roman"/>
        </w:rPr>
        <w:t xml:space="preserve">The drafting of section 3 seems curious.  The </w:t>
      </w:r>
      <w:r w:rsidR="00326327">
        <w:rPr>
          <w:rFonts w:eastAsia="Calibri" w:cs="Times New Roman"/>
        </w:rPr>
        <w:t>three</w:t>
      </w:r>
      <w:r w:rsidRPr="008442BF">
        <w:rPr>
          <w:rFonts w:eastAsia="Calibri" w:cs="Times New Roman"/>
        </w:rPr>
        <w:t xml:space="preserve"> specified persons are appointed for the same Act and for the same period.  As a result, it is difficult to see why the appointment section is structured </w:t>
      </w:r>
      <w:r w:rsidR="00326327">
        <w:rPr>
          <w:rFonts w:eastAsia="Calibri" w:cs="Times New Roman"/>
        </w:rPr>
        <w:t>in the way that it is (</w:t>
      </w:r>
      <w:proofErr w:type="spellStart"/>
      <w:r w:rsidR="00326327">
        <w:rPr>
          <w:rFonts w:eastAsia="Calibri" w:cs="Times New Roman"/>
        </w:rPr>
        <w:t>ie</w:t>
      </w:r>
      <w:proofErr w:type="spellEnd"/>
      <w:r w:rsidR="00326327">
        <w:rPr>
          <w:rFonts w:eastAsia="Calibri" w:cs="Times New Roman"/>
        </w:rPr>
        <w:t xml:space="preserve"> into two</w:t>
      </w:r>
      <w:r w:rsidRPr="008442BF">
        <w:rPr>
          <w:rFonts w:eastAsia="Calibri" w:cs="Times New Roman"/>
        </w:rPr>
        <w:t xml:space="preserve"> portions</w:t>
      </w:r>
      <w:r w:rsidR="00326327">
        <w:rPr>
          <w:rFonts w:eastAsia="Calibri" w:cs="Times New Roman"/>
        </w:rPr>
        <w:t>—one appointing two persons and the other one</w:t>
      </w:r>
      <w:r w:rsidRPr="008442BF">
        <w:rPr>
          <w:rFonts w:eastAsia="Calibri" w:cs="Times New Roman"/>
        </w:rPr>
        <w:t xml:space="preserve"> person).</w:t>
      </w:r>
    </w:p>
    <w:p w:rsidR="00196028" w:rsidRPr="008442BF" w:rsidRDefault="00196028" w:rsidP="009777C9">
      <w:pPr>
        <w:keepNext/>
        <w:keepLines/>
        <w:rPr>
          <w:rFonts w:eastAsia="Calibri" w:cs="Times New Roman"/>
        </w:rPr>
      </w:pPr>
      <w:r w:rsidRPr="008442BF">
        <w:rPr>
          <w:rFonts w:eastAsia="Calibri" w:cs="Times New Roman"/>
        </w:rPr>
        <w:lastRenderedPageBreak/>
        <w:t>A possible explanation for this approach comes from the explanatory statement for the instrument, which states:</w:t>
      </w:r>
    </w:p>
    <w:p w:rsidR="00196028" w:rsidRPr="008442BF" w:rsidRDefault="00196028" w:rsidP="00326327">
      <w:pPr>
        <w:keepLines/>
        <w:ind w:left="360"/>
        <w:rPr>
          <w:rFonts w:eastAsia="Calibri" w:cs="Times New Roman"/>
        </w:rPr>
      </w:pPr>
      <w:r w:rsidRPr="008442BF">
        <w:rPr>
          <w:rFonts w:eastAsia="Calibri" w:cs="Times New Roman"/>
        </w:rPr>
        <w:t xml:space="preserve">This instrument appoints </w:t>
      </w:r>
      <w:proofErr w:type="spellStart"/>
      <w:r w:rsidRPr="008442BF">
        <w:rPr>
          <w:rFonts w:eastAsia="Calibri" w:cs="Times New Roman"/>
        </w:rPr>
        <w:t>Narelle</w:t>
      </w:r>
      <w:proofErr w:type="spellEnd"/>
      <w:r w:rsidRPr="008442BF">
        <w:rPr>
          <w:rFonts w:eastAsia="Calibri" w:cs="Times New Roman"/>
        </w:rPr>
        <w:t xml:space="preserve"> Hargreaves for the purposes of the </w:t>
      </w:r>
      <w:r w:rsidRPr="00326327">
        <w:rPr>
          <w:rFonts w:eastAsia="Calibri" w:cs="Times New Roman"/>
          <w:i/>
        </w:rPr>
        <w:t>Children and Young People Act 2008</w:t>
      </w:r>
      <w:r w:rsidRPr="008442BF">
        <w:rPr>
          <w:rFonts w:eastAsia="Calibri" w:cs="Times New Roman"/>
        </w:rPr>
        <w:t xml:space="preserve"> and Tracey </w:t>
      </w:r>
      <w:proofErr w:type="spellStart"/>
      <w:r w:rsidRPr="008442BF">
        <w:rPr>
          <w:rFonts w:eastAsia="Calibri" w:cs="Times New Roman"/>
        </w:rPr>
        <w:t>Whetnall</w:t>
      </w:r>
      <w:proofErr w:type="spellEnd"/>
      <w:r w:rsidRPr="008442BF">
        <w:rPr>
          <w:rFonts w:eastAsia="Calibri" w:cs="Times New Roman"/>
        </w:rPr>
        <w:t xml:space="preserve"> and Tracey Lea Harris, who are Aboriginal and Torres Strait Islander persons, for the purposes of the </w:t>
      </w:r>
      <w:r w:rsidRPr="00326327">
        <w:rPr>
          <w:rFonts w:eastAsia="Calibri" w:cs="Times New Roman"/>
          <w:i/>
        </w:rPr>
        <w:t>Children and Young People Act 2008</w:t>
      </w:r>
      <w:r w:rsidRPr="008442BF">
        <w:rPr>
          <w:rFonts w:eastAsia="Calibri" w:cs="Times New Roman"/>
        </w:rPr>
        <w:t xml:space="preserve">.  The Minister for Disability, Children and Youth has recommended the appointments of </w:t>
      </w:r>
      <w:proofErr w:type="spellStart"/>
      <w:r w:rsidRPr="008442BF">
        <w:rPr>
          <w:rFonts w:eastAsia="Calibri" w:cs="Times New Roman"/>
        </w:rPr>
        <w:t>Narelle</w:t>
      </w:r>
      <w:proofErr w:type="spellEnd"/>
      <w:r w:rsidRPr="008442BF">
        <w:rPr>
          <w:rFonts w:eastAsia="Calibri" w:cs="Times New Roman"/>
        </w:rPr>
        <w:t xml:space="preserve"> Hargreaves, Tracey </w:t>
      </w:r>
      <w:proofErr w:type="spellStart"/>
      <w:r w:rsidRPr="008442BF">
        <w:rPr>
          <w:rFonts w:eastAsia="Calibri" w:cs="Times New Roman"/>
        </w:rPr>
        <w:t>Whetnall</w:t>
      </w:r>
      <w:proofErr w:type="spellEnd"/>
      <w:r w:rsidRPr="008442BF">
        <w:rPr>
          <w:rFonts w:eastAsia="Calibri" w:cs="Times New Roman"/>
        </w:rPr>
        <w:t xml:space="preserve"> and Tracey Lea Harris as persons who are experienced and well-qualified.</w:t>
      </w:r>
    </w:p>
    <w:p w:rsidR="00196028" w:rsidRPr="008442BF" w:rsidRDefault="00196028" w:rsidP="008442BF">
      <w:pPr>
        <w:keepLines/>
        <w:rPr>
          <w:rFonts w:eastAsia="Calibri" w:cs="Times New Roman"/>
        </w:rPr>
      </w:pPr>
      <w:r w:rsidRPr="008442BF">
        <w:rPr>
          <w:rFonts w:eastAsia="Calibri" w:cs="Times New Roman"/>
        </w:rPr>
        <w:t>It is possible that the drafting of section 3 is intended to separate th</w:t>
      </w:r>
      <w:r w:rsidR="00326327">
        <w:rPr>
          <w:rFonts w:eastAsia="Calibri" w:cs="Times New Roman"/>
        </w:rPr>
        <w:t>e first two</w:t>
      </w:r>
      <w:r w:rsidRPr="008442BF">
        <w:rPr>
          <w:rFonts w:eastAsia="Calibri" w:cs="Times New Roman"/>
        </w:rPr>
        <w:t xml:space="preserve"> specified persons from the third specified person because they are “Aboriginal and Torres Strait Islander persons” and, therefore, meet the requirement in paragraph 10(1)(a) that the appointments include “one official visitor who is an Aboriginal or Torres Strait Islander person”.  However, the fact that this requirement has been met might also been achieved by dealing with the issue in the explanatory statement, rather than by the curious drafting of section 3.</w:t>
      </w:r>
    </w:p>
    <w:p w:rsidR="00196028" w:rsidRPr="008442BF" w:rsidRDefault="00196028" w:rsidP="008442BF">
      <w:pPr>
        <w:keepLines/>
        <w:rPr>
          <w:rFonts w:eastAsia="Calibri" w:cs="Times New Roman"/>
        </w:rPr>
      </w:pPr>
      <w:r w:rsidRPr="008442BF">
        <w:rPr>
          <w:rFonts w:eastAsia="Calibri" w:cs="Times New Roman"/>
        </w:rPr>
        <w:t>The Committee notes with approval that the explanatory statement for the instrument deals appropriately with the other requirements and limitations of section 10.</w:t>
      </w:r>
    </w:p>
    <w:p w:rsidR="00196028" w:rsidRPr="00326327" w:rsidRDefault="00196028" w:rsidP="008442BF">
      <w:pPr>
        <w:keepLines/>
        <w:rPr>
          <w:rFonts w:eastAsia="Calibri" w:cs="Times New Roman"/>
          <w:b/>
        </w:rPr>
      </w:pPr>
      <w:r w:rsidRPr="00326327">
        <w:rPr>
          <w:rFonts w:eastAsia="Calibri" w:cs="Times New Roman"/>
          <w:b/>
        </w:rPr>
        <w:t>This comment does not require a response from the Minister.</w:t>
      </w:r>
    </w:p>
    <w:p w:rsidR="00196028" w:rsidRPr="0092369C" w:rsidRDefault="009777C9" w:rsidP="0092369C">
      <w:pPr>
        <w:pStyle w:val="Heading3"/>
        <w:rPr>
          <w:rFonts w:asciiTheme="minorHAnsi" w:eastAsia="Calibri" w:hAnsiTheme="minorHAnsi"/>
          <w:lang w:eastAsia="en-AU"/>
        </w:rPr>
      </w:pPr>
      <w:bookmarkStart w:id="211" w:name="_Toc528310860"/>
      <w:bookmarkEnd w:id="205"/>
      <w:bookmarkEnd w:id="197"/>
      <w:bookmarkEnd w:id="198"/>
      <w:r>
        <w:rPr>
          <w:rFonts w:asciiTheme="minorHAnsi" w:eastAsia="Calibri" w:hAnsiTheme="minorHAnsi"/>
          <w:lang w:eastAsia="en-AU"/>
        </w:rPr>
        <w:t>Subordinate Law</w:t>
      </w:r>
      <w:r w:rsidR="00FA1D3B">
        <w:rPr>
          <w:rFonts w:asciiTheme="minorHAnsi" w:eastAsia="Calibri" w:hAnsiTheme="minorHAnsi"/>
          <w:lang w:eastAsia="en-AU"/>
        </w:rPr>
        <w:t>—No c</w:t>
      </w:r>
      <w:r w:rsidR="00196028" w:rsidRPr="0092369C">
        <w:rPr>
          <w:rFonts w:asciiTheme="minorHAnsi" w:eastAsia="Calibri" w:hAnsiTheme="minorHAnsi"/>
          <w:lang w:eastAsia="en-AU"/>
        </w:rPr>
        <w:t>omment</w:t>
      </w:r>
      <w:bookmarkEnd w:id="211"/>
    </w:p>
    <w:p w:rsidR="00196028" w:rsidRPr="008442BF" w:rsidRDefault="00196028" w:rsidP="008442BF">
      <w:pPr>
        <w:keepLines/>
        <w:rPr>
          <w:rFonts w:eastAsia="Calibri" w:cs="Times New Roman"/>
        </w:rPr>
      </w:pPr>
      <w:r w:rsidRPr="008442BF">
        <w:rPr>
          <w:rFonts w:eastAsia="Calibri" w:cs="Times New Roman"/>
        </w:rPr>
        <w:t>The Committee has examined the following subordinate law and offers no comments on it:</w:t>
      </w:r>
    </w:p>
    <w:p w:rsidR="00196028" w:rsidRPr="00196028" w:rsidRDefault="00196028" w:rsidP="00326327">
      <w:pPr>
        <w:numPr>
          <w:ilvl w:val="0"/>
          <w:numId w:val="15"/>
        </w:numPr>
        <w:spacing w:before="120" w:after="120" w:line="240" w:lineRule="auto"/>
        <w:ind w:left="0"/>
        <w:rPr>
          <w:rFonts w:ascii="Calibri" w:eastAsia="Times New Roman" w:hAnsi="Calibri" w:cs="Times New Roman"/>
          <w:b/>
        </w:rPr>
      </w:pPr>
      <w:bookmarkStart w:id="212" w:name="_Toc338841798"/>
      <w:r w:rsidRPr="00196028">
        <w:rPr>
          <w:rFonts w:ascii="Calibri" w:eastAsia="Times New Roman" w:hAnsi="Calibri" w:cs="Times New Roman"/>
          <w:b/>
        </w:rPr>
        <w:t>Subordinate Law SL2018-17 being the Taxation Administratio</w:t>
      </w:r>
      <w:r w:rsidR="00326327">
        <w:rPr>
          <w:rFonts w:ascii="Calibri" w:eastAsia="Times New Roman" w:hAnsi="Calibri" w:cs="Times New Roman"/>
          <w:b/>
        </w:rPr>
        <w:t>n Amendment Regulation 2018 (No </w:t>
      </w:r>
      <w:r w:rsidRPr="00196028">
        <w:rPr>
          <w:rFonts w:ascii="Calibri" w:eastAsia="Times New Roman" w:hAnsi="Calibri" w:cs="Times New Roman"/>
          <w:b/>
        </w:rPr>
        <w:t xml:space="preserve">1) made under the </w:t>
      </w:r>
      <w:r w:rsidRPr="00196028">
        <w:rPr>
          <w:rFonts w:ascii="Calibri" w:eastAsia="Times New Roman" w:hAnsi="Calibri" w:cs="Times New Roman"/>
          <w:i/>
        </w:rPr>
        <w:t xml:space="preserve">Taxation Administration Act 1999 </w:t>
      </w:r>
      <w:r w:rsidRPr="00196028">
        <w:rPr>
          <w:rFonts w:ascii="Calibri" w:eastAsia="Times New Roman" w:hAnsi="Calibri" w:cs="Times New Roman"/>
          <w:b/>
        </w:rPr>
        <w:t xml:space="preserve">prescribes the Commissioner for ACT Revenue to disclose taxpayer information to the chief planning executive for the purpose of working out the required fee under section 298D of the </w:t>
      </w:r>
      <w:r w:rsidRPr="00196028">
        <w:rPr>
          <w:rFonts w:ascii="Calibri" w:eastAsia="Times New Roman" w:hAnsi="Calibri" w:cs="Times New Roman"/>
          <w:i/>
        </w:rPr>
        <w:t>Planning and Development Act 2007</w:t>
      </w:r>
      <w:r w:rsidRPr="00196028">
        <w:rPr>
          <w:rFonts w:ascii="Calibri" w:eastAsia="Times New Roman" w:hAnsi="Calibri" w:cs="Times New Roman"/>
          <w:b/>
        </w:rPr>
        <w:t>.</w:t>
      </w:r>
    </w:p>
    <w:p w:rsidR="00196028" w:rsidRPr="0092369C" w:rsidRDefault="00196028" w:rsidP="0092369C">
      <w:pPr>
        <w:pStyle w:val="Heading3"/>
        <w:rPr>
          <w:rFonts w:asciiTheme="minorHAnsi" w:eastAsia="Calibri" w:hAnsiTheme="minorHAnsi"/>
          <w:lang w:eastAsia="en-AU"/>
        </w:rPr>
      </w:pPr>
      <w:bookmarkStart w:id="213" w:name="_Hlk489262200"/>
      <w:bookmarkStart w:id="214" w:name="_Toc528310861"/>
      <w:r w:rsidRPr="0092369C">
        <w:rPr>
          <w:rFonts w:asciiTheme="minorHAnsi" w:eastAsia="Calibri" w:hAnsiTheme="minorHAnsi"/>
          <w:lang w:eastAsia="en-AU"/>
        </w:rPr>
        <w:t>Subordinate Laws—Comment</w:t>
      </w:r>
      <w:bookmarkEnd w:id="212"/>
      <w:bookmarkEnd w:id="213"/>
      <w:bookmarkEnd w:id="214"/>
    </w:p>
    <w:p w:rsidR="00196028" w:rsidRPr="008442BF" w:rsidRDefault="00196028" w:rsidP="008442BF">
      <w:pPr>
        <w:keepLines/>
        <w:rPr>
          <w:rFonts w:eastAsia="Calibri" w:cs="Times New Roman"/>
        </w:rPr>
      </w:pPr>
      <w:bookmarkStart w:id="215" w:name="_Hlk494963165"/>
      <w:r w:rsidRPr="008442BF">
        <w:rPr>
          <w:rFonts w:eastAsia="Calibri" w:cs="Times New Roman"/>
        </w:rPr>
        <w:t xml:space="preserve">The Committee </w:t>
      </w:r>
      <w:bookmarkEnd w:id="215"/>
      <w:r w:rsidRPr="008442BF">
        <w:rPr>
          <w:rFonts w:eastAsia="Calibri" w:cs="Times New Roman"/>
        </w:rPr>
        <w:t>has examined the following subordinate laws and offers these comments on them:</w:t>
      </w:r>
    </w:p>
    <w:p w:rsidR="00196028" w:rsidRPr="008442BF" w:rsidRDefault="00196028" w:rsidP="008442BF">
      <w:pPr>
        <w:pStyle w:val="Heading4"/>
        <w:rPr>
          <w:rFonts w:eastAsia="Times New Roman"/>
          <w:b w:val="0"/>
          <w:sz w:val="22"/>
        </w:rPr>
      </w:pPr>
      <w:bookmarkStart w:id="216" w:name="_Toc528155850"/>
      <w:bookmarkStart w:id="217" w:name="_Toc528157209"/>
      <w:bookmarkStart w:id="218" w:name="_Toc528310862"/>
      <w:r w:rsidRPr="008442BF">
        <w:rPr>
          <w:rFonts w:eastAsia="Times New Roman"/>
          <w:b w:val="0"/>
          <w:sz w:val="22"/>
        </w:rPr>
        <w:t>Human rights issues / Strict liability offences</w:t>
      </w:r>
      <w:r w:rsidR="00C31579">
        <w:rPr>
          <w:rFonts w:eastAsia="Times New Roman"/>
          <w:b w:val="0"/>
          <w:sz w:val="22"/>
        </w:rPr>
        <w:t>—</w:t>
      </w:r>
      <w:r w:rsidRPr="008442BF">
        <w:rPr>
          <w:rFonts w:eastAsia="Times New Roman"/>
          <w:b w:val="0"/>
          <w:sz w:val="22"/>
        </w:rPr>
        <w:t>Positive comment</w:t>
      </w:r>
      <w:bookmarkEnd w:id="216"/>
      <w:bookmarkEnd w:id="217"/>
      <w:bookmarkEnd w:id="218"/>
    </w:p>
    <w:p w:rsidR="00C31579" w:rsidRPr="00196028" w:rsidRDefault="00C31579" w:rsidP="00C31579">
      <w:pPr>
        <w:keepLines/>
        <w:numPr>
          <w:ilvl w:val="0"/>
          <w:numId w:val="15"/>
        </w:numPr>
        <w:spacing w:before="120" w:after="120" w:line="240" w:lineRule="auto"/>
        <w:ind w:left="0"/>
        <w:rPr>
          <w:rFonts w:ascii="Calibri" w:eastAsia="Times New Roman" w:hAnsi="Calibri" w:cs="Times New Roman"/>
          <w:b/>
        </w:rPr>
      </w:pPr>
      <w:r w:rsidRPr="00196028">
        <w:rPr>
          <w:rFonts w:ascii="Calibri" w:eastAsia="Times New Roman" w:hAnsi="Calibri" w:cs="Times New Roman"/>
          <w:b/>
        </w:rPr>
        <w:t xml:space="preserve">Subordinate Law SL2018-16 being the Road Transport Legislation Amendment </w:t>
      </w:r>
      <w:r w:rsidRPr="00196028">
        <w:rPr>
          <w:rFonts w:ascii="Calibri" w:eastAsia="Times New Roman" w:hAnsi="Calibri" w:cs="Times New Roman"/>
        </w:rPr>
        <w:t xml:space="preserve">Regulation 2018 (No 2) made under the </w:t>
      </w:r>
      <w:r w:rsidRPr="00196028">
        <w:rPr>
          <w:rFonts w:ascii="Calibri" w:eastAsia="Times New Roman" w:hAnsi="Calibri" w:cs="Times New Roman"/>
          <w:i/>
        </w:rPr>
        <w:t>Road Transport (General) Act 1999</w:t>
      </w:r>
      <w:r w:rsidRPr="00196028">
        <w:rPr>
          <w:rFonts w:ascii="Calibri" w:eastAsia="Times New Roman" w:hAnsi="Calibri" w:cs="Times New Roman"/>
          <w:b/>
          <w:i/>
        </w:rPr>
        <w:t>,</w:t>
      </w:r>
      <w:r w:rsidRPr="00196028">
        <w:rPr>
          <w:rFonts w:ascii="Calibri" w:eastAsia="Times New Roman" w:hAnsi="Calibri" w:cs="Times New Roman"/>
          <w:i/>
        </w:rPr>
        <w:t xml:space="preserve"> Road Transport (Public Passenger Services) Act 2001 </w:t>
      </w:r>
      <w:r w:rsidRPr="00196028">
        <w:rPr>
          <w:rFonts w:ascii="Calibri" w:eastAsia="Times New Roman" w:hAnsi="Calibri" w:cs="Times New Roman"/>
          <w:b/>
        </w:rPr>
        <w:t>and the</w:t>
      </w:r>
      <w:r w:rsidRPr="00196028">
        <w:rPr>
          <w:rFonts w:ascii="Calibri" w:eastAsia="Times New Roman" w:hAnsi="Calibri" w:cs="Times New Roman"/>
          <w:i/>
        </w:rPr>
        <w:t xml:space="preserve"> Road Transport (Vehicle Registration) Act 1999 </w:t>
      </w:r>
      <w:r w:rsidRPr="00196028">
        <w:rPr>
          <w:rFonts w:ascii="Calibri" w:eastAsia="Times New Roman" w:hAnsi="Calibri" w:cs="Times New Roman"/>
          <w:b/>
        </w:rPr>
        <w:t xml:space="preserve">amends specified road transport legislation to align the regulatory settings across public passenger modes and makes a number of minor and technical amendments to accord with current drafting practices and reflect changes made to the </w:t>
      </w:r>
      <w:r w:rsidRPr="00196028">
        <w:rPr>
          <w:rFonts w:ascii="Calibri" w:eastAsia="Times New Roman" w:hAnsi="Calibri" w:cs="Times New Roman"/>
          <w:i/>
        </w:rPr>
        <w:t>Sale of Motor Vehicles Act 1997</w:t>
      </w:r>
      <w:r w:rsidRPr="00196028">
        <w:rPr>
          <w:rFonts w:ascii="Calibri" w:eastAsia="Times New Roman" w:hAnsi="Calibri" w:cs="Times New Roman"/>
          <w:b/>
        </w:rPr>
        <w:t xml:space="preserve">. </w:t>
      </w:r>
    </w:p>
    <w:p w:rsidR="00196028" w:rsidRPr="008442BF" w:rsidRDefault="00196028" w:rsidP="008442BF">
      <w:pPr>
        <w:keepLines/>
        <w:rPr>
          <w:rFonts w:eastAsia="Calibri" w:cs="Times New Roman"/>
        </w:rPr>
      </w:pPr>
      <w:r w:rsidRPr="008442BF">
        <w:rPr>
          <w:rFonts w:eastAsia="Calibri" w:cs="Times New Roman"/>
        </w:rPr>
        <w:t>This regulation amends various road traffic-related regulations.  According to the explanatory statement for the subordinate law, the amendments:</w:t>
      </w:r>
    </w:p>
    <w:p w:rsidR="00196028" w:rsidRPr="008442BF" w:rsidRDefault="00326327" w:rsidP="00326327">
      <w:pPr>
        <w:keepLines/>
        <w:ind w:left="900" w:hanging="540"/>
        <w:rPr>
          <w:rFonts w:eastAsia="Calibri" w:cs="Times New Roman"/>
        </w:rPr>
      </w:pPr>
      <w:r>
        <w:rPr>
          <w:rFonts w:eastAsia="Calibri" w:cs="Times New Roman"/>
        </w:rPr>
        <w:t>(a)</w:t>
      </w:r>
      <w:r>
        <w:rPr>
          <w:rFonts w:eastAsia="Calibri" w:cs="Times New Roman"/>
        </w:rPr>
        <w:tab/>
      </w:r>
      <w:r w:rsidR="00196028" w:rsidRPr="008442BF">
        <w:rPr>
          <w:rFonts w:eastAsia="Calibri" w:cs="Times New Roman"/>
        </w:rPr>
        <w:t>Align the regulatory settings across public passenger modes, in particular across light rail and bus services. These amendments provide customers with as seamless an experience as possible across the Territory’s public transport network through consistency in the regulatory settings (for example, passenger conduct) and operational aspects (for example, ticketing system).</w:t>
      </w:r>
    </w:p>
    <w:p w:rsidR="00196028" w:rsidRPr="008442BF" w:rsidRDefault="00326327" w:rsidP="009777C9">
      <w:pPr>
        <w:keepNext/>
        <w:keepLines/>
        <w:ind w:left="907" w:hanging="547"/>
        <w:rPr>
          <w:rFonts w:eastAsia="Calibri" w:cs="Times New Roman"/>
        </w:rPr>
      </w:pPr>
      <w:r>
        <w:rPr>
          <w:rFonts w:eastAsia="Calibri" w:cs="Times New Roman"/>
        </w:rPr>
        <w:lastRenderedPageBreak/>
        <w:t>(b)</w:t>
      </w:r>
      <w:r>
        <w:rPr>
          <w:rFonts w:eastAsia="Calibri" w:cs="Times New Roman"/>
        </w:rPr>
        <w:tab/>
      </w:r>
      <w:r w:rsidR="00196028" w:rsidRPr="008442BF">
        <w:rPr>
          <w:rFonts w:eastAsia="Calibri" w:cs="Times New Roman"/>
        </w:rPr>
        <w:t>Set infringement penalty amounts for light rail related offences.</w:t>
      </w:r>
    </w:p>
    <w:p w:rsidR="00196028" w:rsidRPr="008442BF" w:rsidRDefault="00326327" w:rsidP="009777C9">
      <w:pPr>
        <w:keepNext/>
        <w:keepLines/>
        <w:ind w:left="907" w:hanging="547"/>
        <w:rPr>
          <w:rFonts w:eastAsia="Calibri" w:cs="Times New Roman"/>
        </w:rPr>
      </w:pPr>
      <w:r>
        <w:rPr>
          <w:rFonts w:eastAsia="Calibri" w:cs="Times New Roman"/>
        </w:rPr>
        <w:t>(c)</w:t>
      </w:r>
      <w:r>
        <w:rPr>
          <w:rFonts w:eastAsia="Calibri" w:cs="Times New Roman"/>
        </w:rPr>
        <w:tab/>
      </w:r>
      <w:r w:rsidR="00196028" w:rsidRPr="008442BF">
        <w:rPr>
          <w:rFonts w:eastAsia="Calibri" w:cs="Times New Roman"/>
        </w:rPr>
        <w:t>Implement a budget decision to increase penalty amounts across the public passenger legislation by six per cent.</w:t>
      </w:r>
    </w:p>
    <w:p w:rsidR="00196028" w:rsidRPr="008442BF" w:rsidRDefault="00196028" w:rsidP="00326327">
      <w:pPr>
        <w:keepLines/>
        <w:ind w:left="360"/>
        <w:rPr>
          <w:rFonts w:eastAsia="Calibri" w:cs="Times New Roman"/>
        </w:rPr>
      </w:pPr>
      <w:r w:rsidRPr="008442BF">
        <w:rPr>
          <w:rFonts w:eastAsia="Calibri" w:cs="Times New Roman"/>
        </w:rPr>
        <w:t xml:space="preserve">The </w:t>
      </w:r>
      <w:proofErr w:type="gramStart"/>
      <w:r w:rsidRPr="008442BF">
        <w:rPr>
          <w:rFonts w:eastAsia="Calibri" w:cs="Times New Roman"/>
        </w:rPr>
        <w:t>regulation also makes a number of minor and technical amendments to accord with current drafting practices and reflect</w:t>
      </w:r>
      <w:proofErr w:type="gramEnd"/>
      <w:r w:rsidRPr="008442BF">
        <w:rPr>
          <w:rFonts w:eastAsia="Calibri" w:cs="Times New Roman"/>
        </w:rPr>
        <w:t xml:space="preserve"> changes made to the </w:t>
      </w:r>
      <w:r w:rsidRPr="00326327">
        <w:rPr>
          <w:rFonts w:eastAsia="Calibri" w:cs="Times New Roman"/>
          <w:i/>
        </w:rPr>
        <w:t>Sale of Motor Vehicles Act 1997</w:t>
      </w:r>
      <w:r w:rsidRPr="008442BF">
        <w:rPr>
          <w:rFonts w:eastAsia="Calibri" w:cs="Times New Roman"/>
        </w:rPr>
        <w:t>.</w:t>
      </w:r>
    </w:p>
    <w:p w:rsidR="00196028" w:rsidRPr="008442BF" w:rsidRDefault="00196028" w:rsidP="008442BF">
      <w:pPr>
        <w:keepLines/>
        <w:rPr>
          <w:rFonts w:eastAsia="Calibri" w:cs="Times New Roman"/>
        </w:rPr>
      </w:pPr>
      <w:r w:rsidRPr="008442BF">
        <w:rPr>
          <w:rFonts w:eastAsia="Calibri" w:cs="Times New Roman"/>
        </w:rPr>
        <w:t>As indicated by the explanatory statement, the subordinate law “remakes several existing offences and creates new offences to which strict liability will apply”.  It appears that at least 37 strict liability offences are set out in the subordinate law.</w:t>
      </w:r>
    </w:p>
    <w:p w:rsidR="00196028" w:rsidRPr="008442BF" w:rsidRDefault="00196028" w:rsidP="008442BF">
      <w:pPr>
        <w:keepLines/>
        <w:rPr>
          <w:rFonts w:eastAsia="Calibri" w:cs="Times New Roman"/>
        </w:rPr>
      </w:pPr>
      <w:r w:rsidRPr="008442BF">
        <w:rPr>
          <w:rFonts w:eastAsia="Calibri" w:cs="Times New Roman"/>
        </w:rPr>
        <w:t>The Committee notes with approval that that the explanatory statement for this subordinate law addresses the strict liability issue (as previously identified by the Committee), adequately and in detail, by reference to the right to the presumption of innocence unt</w:t>
      </w:r>
      <w:r w:rsidR="00326327">
        <w:rPr>
          <w:rFonts w:eastAsia="Calibri" w:cs="Times New Roman"/>
        </w:rPr>
        <w:t>il proven guilty, under section </w:t>
      </w:r>
      <w:r w:rsidRPr="008442BF">
        <w:rPr>
          <w:rFonts w:eastAsia="Calibri" w:cs="Times New Roman"/>
        </w:rPr>
        <w:t xml:space="preserve">21 of the </w:t>
      </w:r>
      <w:r w:rsidRPr="00326327">
        <w:rPr>
          <w:rFonts w:eastAsia="Calibri" w:cs="Times New Roman"/>
          <w:i/>
        </w:rPr>
        <w:t>Human Rights Act 2004</w:t>
      </w:r>
      <w:r w:rsidRPr="008442BF">
        <w:rPr>
          <w:rFonts w:eastAsia="Calibri" w:cs="Times New Roman"/>
        </w:rPr>
        <w:t>.  The explanatory statement states:</w:t>
      </w:r>
    </w:p>
    <w:p w:rsidR="00196028" w:rsidRPr="008442BF" w:rsidRDefault="00A003B9" w:rsidP="00A003B9">
      <w:pPr>
        <w:keepLines/>
        <w:ind w:left="360"/>
        <w:rPr>
          <w:rFonts w:eastAsia="Calibri" w:cs="Times New Roman"/>
        </w:rPr>
      </w:pPr>
      <w:r>
        <w:rPr>
          <w:rFonts w:eastAsia="Calibri" w:cs="Times New Roman"/>
        </w:rPr>
        <w:t>…</w:t>
      </w:r>
      <w:r w:rsidR="00196028" w:rsidRPr="008442BF">
        <w:rPr>
          <w:rFonts w:eastAsia="Calibri" w:cs="Times New Roman"/>
        </w:rPr>
        <w:t>The reasons for applying strict liability are explained in the clause notes for each provision. In the case of remade offences, these offences have generally been interpreted as attracting strict liability and the intention is to maintain the current situation.</w:t>
      </w:r>
    </w:p>
    <w:p w:rsidR="00196028" w:rsidRPr="008442BF" w:rsidRDefault="00196028" w:rsidP="00A003B9">
      <w:pPr>
        <w:keepLines/>
        <w:ind w:left="360"/>
        <w:rPr>
          <w:rFonts w:eastAsia="Calibri" w:cs="Times New Roman"/>
        </w:rPr>
      </w:pPr>
      <w:r w:rsidRPr="008442BF">
        <w:rPr>
          <w:rFonts w:eastAsia="Calibri" w:cs="Times New Roman"/>
        </w:rPr>
        <w:t>The strict liability offences created or remade by this regulation cover:</w:t>
      </w:r>
    </w:p>
    <w:p w:rsidR="00196028" w:rsidRPr="00C31579" w:rsidRDefault="00196028" w:rsidP="00C31579">
      <w:pPr>
        <w:pStyle w:val="ListParagraph"/>
        <w:keepLines/>
        <w:numPr>
          <w:ilvl w:val="0"/>
          <w:numId w:val="22"/>
        </w:numPr>
        <w:ind w:left="1080"/>
        <w:contextualSpacing w:val="0"/>
        <w:rPr>
          <w:rFonts w:eastAsia="Calibri" w:cs="Times New Roman"/>
        </w:rPr>
      </w:pPr>
      <w:r w:rsidRPr="00C31579">
        <w:rPr>
          <w:rFonts w:eastAsia="Calibri" w:cs="Times New Roman"/>
        </w:rPr>
        <w:t>obligations on accredited bus service providers</w:t>
      </w:r>
    </w:p>
    <w:p w:rsidR="00196028" w:rsidRPr="00C31579" w:rsidRDefault="00196028" w:rsidP="00C31579">
      <w:pPr>
        <w:pStyle w:val="ListParagraph"/>
        <w:keepLines/>
        <w:numPr>
          <w:ilvl w:val="0"/>
          <w:numId w:val="22"/>
        </w:numPr>
        <w:ind w:left="1080"/>
        <w:contextualSpacing w:val="0"/>
        <w:rPr>
          <w:rFonts w:eastAsia="Calibri" w:cs="Times New Roman"/>
        </w:rPr>
      </w:pPr>
      <w:r w:rsidRPr="00C31579">
        <w:rPr>
          <w:rFonts w:eastAsia="Calibri" w:cs="Times New Roman"/>
        </w:rPr>
        <w:t>conduct of passengers on bus services</w:t>
      </w:r>
    </w:p>
    <w:p w:rsidR="00196028" w:rsidRPr="00C31579" w:rsidRDefault="00196028" w:rsidP="00C31579">
      <w:pPr>
        <w:pStyle w:val="ListParagraph"/>
        <w:keepLines/>
        <w:numPr>
          <w:ilvl w:val="0"/>
          <w:numId w:val="22"/>
        </w:numPr>
        <w:ind w:left="1080"/>
        <w:contextualSpacing w:val="0"/>
        <w:rPr>
          <w:rFonts w:eastAsia="Calibri" w:cs="Times New Roman"/>
        </w:rPr>
      </w:pPr>
      <w:r w:rsidRPr="00C31579">
        <w:rPr>
          <w:rFonts w:eastAsia="Calibri" w:cs="Times New Roman"/>
        </w:rPr>
        <w:t>conduct of the public at light rail stops</w:t>
      </w:r>
    </w:p>
    <w:p w:rsidR="00196028" w:rsidRPr="008442BF" w:rsidRDefault="00196028" w:rsidP="00C31579">
      <w:pPr>
        <w:keepLines/>
        <w:ind w:left="360"/>
        <w:rPr>
          <w:rFonts w:eastAsia="Calibri" w:cs="Times New Roman"/>
        </w:rPr>
      </w:pPr>
      <w:r w:rsidRPr="008442BF">
        <w:rPr>
          <w:rFonts w:eastAsia="Calibri" w:cs="Times New Roman"/>
        </w:rPr>
        <w:t>These offences are consistent with existing offences for other public passenger services in the Territory and other jurisdictions.</w:t>
      </w:r>
    </w:p>
    <w:p w:rsidR="00196028" w:rsidRPr="008442BF" w:rsidRDefault="00196028" w:rsidP="00C31579">
      <w:pPr>
        <w:keepLines/>
        <w:ind w:left="360"/>
        <w:rPr>
          <w:rFonts w:eastAsia="Calibri" w:cs="Times New Roman"/>
        </w:rPr>
      </w:pPr>
      <w:r w:rsidRPr="008442BF">
        <w:rPr>
          <w:rFonts w:eastAsia="Calibri" w:cs="Times New Roman"/>
        </w:rPr>
        <w:t>This regulation may be seen as engaging the following rights under section 22 of the [Human Rights Act]:</w:t>
      </w:r>
    </w:p>
    <w:p w:rsidR="00196028" w:rsidRPr="008442BF" w:rsidRDefault="00196028" w:rsidP="00C31579">
      <w:pPr>
        <w:pStyle w:val="ListParagraph"/>
        <w:keepLines/>
        <w:numPr>
          <w:ilvl w:val="0"/>
          <w:numId w:val="22"/>
        </w:numPr>
        <w:ind w:left="1080"/>
        <w:contextualSpacing w:val="0"/>
        <w:rPr>
          <w:rFonts w:eastAsia="Calibri" w:cs="Times New Roman"/>
        </w:rPr>
      </w:pPr>
      <w:r w:rsidRPr="008442BF">
        <w:rPr>
          <w:rFonts w:eastAsia="Calibri" w:cs="Times New Roman"/>
        </w:rPr>
        <w:t>the presumption of innocence until proven guilty (section 22(1))</w:t>
      </w:r>
    </w:p>
    <w:p w:rsidR="00196028" w:rsidRPr="008442BF" w:rsidRDefault="00196028" w:rsidP="00C31579">
      <w:pPr>
        <w:pStyle w:val="ListParagraph"/>
        <w:keepLines/>
        <w:numPr>
          <w:ilvl w:val="0"/>
          <w:numId w:val="22"/>
        </w:numPr>
        <w:ind w:left="1080"/>
        <w:contextualSpacing w:val="0"/>
        <w:rPr>
          <w:rFonts w:eastAsia="Calibri" w:cs="Times New Roman"/>
        </w:rPr>
      </w:pPr>
      <w:r w:rsidRPr="008442BF">
        <w:rPr>
          <w:rFonts w:eastAsia="Calibri" w:cs="Times New Roman"/>
        </w:rPr>
        <w:t>right against self-incrimination (section 22 (2)(</w:t>
      </w:r>
      <w:proofErr w:type="spellStart"/>
      <w:r w:rsidRPr="008442BF">
        <w:rPr>
          <w:rFonts w:eastAsia="Calibri" w:cs="Times New Roman"/>
        </w:rPr>
        <w:t>i</w:t>
      </w:r>
      <w:proofErr w:type="spellEnd"/>
      <w:r w:rsidRPr="008442BF">
        <w:rPr>
          <w:rFonts w:eastAsia="Calibri" w:cs="Times New Roman"/>
        </w:rPr>
        <w:t>))</w:t>
      </w:r>
    </w:p>
    <w:p w:rsidR="00196028" w:rsidRPr="008442BF" w:rsidRDefault="00196028" w:rsidP="00C31579">
      <w:pPr>
        <w:pStyle w:val="ListParagraph"/>
        <w:keepLines/>
        <w:numPr>
          <w:ilvl w:val="0"/>
          <w:numId w:val="22"/>
        </w:numPr>
        <w:ind w:left="1080"/>
        <w:contextualSpacing w:val="0"/>
        <w:rPr>
          <w:rFonts w:eastAsia="Calibri" w:cs="Times New Roman"/>
        </w:rPr>
      </w:pPr>
      <w:proofErr w:type="gramStart"/>
      <w:r w:rsidRPr="008442BF">
        <w:rPr>
          <w:rFonts w:eastAsia="Calibri" w:cs="Times New Roman"/>
        </w:rPr>
        <w:t>right</w:t>
      </w:r>
      <w:proofErr w:type="gramEnd"/>
      <w:r w:rsidRPr="008442BF">
        <w:rPr>
          <w:rFonts w:eastAsia="Calibri" w:cs="Times New Roman"/>
        </w:rPr>
        <w:t xml:space="preserve"> of a child who is charged with a criminal offence to a procedure that takes into account the child’s age and the desirability of promoting the child’s rehabilitation (section 22(3)).</w:t>
      </w:r>
    </w:p>
    <w:p w:rsidR="00196028" w:rsidRPr="008442BF" w:rsidRDefault="00196028" w:rsidP="008442BF">
      <w:pPr>
        <w:keepLines/>
        <w:rPr>
          <w:rFonts w:eastAsia="Calibri" w:cs="Times New Roman"/>
        </w:rPr>
      </w:pPr>
      <w:r w:rsidRPr="008442BF">
        <w:rPr>
          <w:rFonts w:eastAsia="Calibri" w:cs="Times New Roman"/>
        </w:rPr>
        <w:t>The Committee also notes with approval tha</w:t>
      </w:r>
      <w:r w:rsidR="00C31579">
        <w:rPr>
          <w:rFonts w:eastAsia="Calibri" w:cs="Times New Roman"/>
        </w:rPr>
        <w:t>t the explanatory statement</w:t>
      </w:r>
      <w:r w:rsidRPr="008442BF">
        <w:rPr>
          <w:rFonts w:eastAsia="Calibri" w:cs="Times New Roman"/>
        </w:rPr>
        <w:t xml:space="preserve"> addresses, in some detail, the effect of the amendments made by the subordinate law by reference to the following rights under the Human Rights Act:</w:t>
      </w:r>
    </w:p>
    <w:p w:rsidR="00196028" w:rsidRPr="00C31579" w:rsidRDefault="00196028" w:rsidP="00C31579">
      <w:pPr>
        <w:pStyle w:val="ListParagraph"/>
        <w:keepLines/>
        <w:numPr>
          <w:ilvl w:val="0"/>
          <w:numId w:val="23"/>
        </w:numPr>
        <w:ind w:left="360"/>
        <w:contextualSpacing w:val="0"/>
        <w:rPr>
          <w:rFonts w:eastAsia="Calibri" w:cs="Times New Roman"/>
        </w:rPr>
      </w:pPr>
      <w:r w:rsidRPr="00C31579">
        <w:rPr>
          <w:rFonts w:eastAsia="Calibri" w:cs="Times New Roman"/>
        </w:rPr>
        <w:t>section 8</w:t>
      </w:r>
      <w:r w:rsidR="00C31579">
        <w:rPr>
          <w:rFonts w:eastAsia="Calibri" w:cs="Times New Roman"/>
        </w:rPr>
        <w:t>—</w:t>
      </w:r>
      <w:r w:rsidRPr="00C31579">
        <w:rPr>
          <w:rFonts w:eastAsia="Calibri" w:cs="Times New Roman"/>
        </w:rPr>
        <w:t>recognition and equality before the law;</w:t>
      </w:r>
    </w:p>
    <w:p w:rsidR="00196028" w:rsidRPr="00C31579" w:rsidRDefault="00196028" w:rsidP="00C31579">
      <w:pPr>
        <w:pStyle w:val="ListParagraph"/>
        <w:keepLines/>
        <w:numPr>
          <w:ilvl w:val="0"/>
          <w:numId w:val="23"/>
        </w:numPr>
        <w:ind w:left="360"/>
        <w:contextualSpacing w:val="0"/>
        <w:rPr>
          <w:rFonts w:eastAsia="Calibri" w:cs="Times New Roman"/>
        </w:rPr>
      </w:pPr>
      <w:r w:rsidRPr="00C31579">
        <w:rPr>
          <w:rFonts w:eastAsia="Calibri" w:cs="Times New Roman"/>
        </w:rPr>
        <w:t>section 11</w:t>
      </w:r>
      <w:r w:rsidR="00C31579">
        <w:rPr>
          <w:rFonts w:eastAsia="Calibri" w:cs="Times New Roman"/>
        </w:rPr>
        <w:t>—</w:t>
      </w:r>
      <w:r w:rsidRPr="00C31579">
        <w:rPr>
          <w:rFonts w:eastAsia="Calibri" w:cs="Times New Roman"/>
        </w:rPr>
        <w:t>protection of the family and children;</w:t>
      </w:r>
    </w:p>
    <w:p w:rsidR="00196028" w:rsidRPr="00C31579" w:rsidRDefault="00196028" w:rsidP="00C31579">
      <w:pPr>
        <w:pStyle w:val="ListParagraph"/>
        <w:keepLines/>
        <w:numPr>
          <w:ilvl w:val="0"/>
          <w:numId w:val="23"/>
        </w:numPr>
        <w:ind w:left="360"/>
        <w:contextualSpacing w:val="0"/>
        <w:rPr>
          <w:rFonts w:eastAsia="Calibri" w:cs="Times New Roman"/>
        </w:rPr>
      </w:pPr>
      <w:r w:rsidRPr="00C31579">
        <w:rPr>
          <w:rFonts w:eastAsia="Calibri" w:cs="Times New Roman"/>
        </w:rPr>
        <w:t>section 12</w:t>
      </w:r>
      <w:r w:rsidR="00C31579">
        <w:rPr>
          <w:rFonts w:eastAsia="Calibri" w:cs="Times New Roman"/>
        </w:rPr>
        <w:t>—</w:t>
      </w:r>
      <w:r w:rsidRPr="00C31579">
        <w:rPr>
          <w:rFonts w:eastAsia="Calibri" w:cs="Times New Roman"/>
        </w:rPr>
        <w:t>privacy and reputation;</w:t>
      </w:r>
    </w:p>
    <w:p w:rsidR="00196028" w:rsidRPr="00C31579" w:rsidRDefault="00196028" w:rsidP="009777C9">
      <w:pPr>
        <w:pStyle w:val="ListParagraph"/>
        <w:keepNext/>
        <w:keepLines/>
        <w:numPr>
          <w:ilvl w:val="0"/>
          <w:numId w:val="23"/>
        </w:numPr>
        <w:ind w:left="360"/>
        <w:contextualSpacing w:val="0"/>
        <w:rPr>
          <w:rFonts w:eastAsia="Calibri" w:cs="Times New Roman"/>
        </w:rPr>
      </w:pPr>
      <w:r w:rsidRPr="00C31579">
        <w:rPr>
          <w:rFonts w:eastAsia="Calibri" w:cs="Times New Roman"/>
        </w:rPr>
        <w:lastRenderedPageBreak/>
        <w:t>section 13</w:t>
      </w:r>
      <w:r w:rsidR="00C31579">
        <w:rPr>
          <w:rFonts w:eastAsia="Calibri" w:cs="Times New Roman"/>
        </w:rPr>
        <w:t>—</w:t>
      </w:r>
      <w:r w:rsidRPr="00C31579">
        <w:rPr>
          <w:rFonts w:eastAsia="Calibri" w:cs="Times New Roman"/>
        </w:rPr>
        <w:t>freedom of movement;</w:t>
      </w:r>
    </w:p>
    <w:p w:rsidR="00196028" w:rsidRPr="00C31579" w:rsidRDefault="00196028" w:rsidP="009777C9">
      <w:pPr>
        <w:pStyle w:val="ListParagraph"/>
        <w:keepNext/>
        <w:keepLines/>
        <w:numPr>
          <w:ilvl w:val="0"/>
          <w:numId w:val="23"/>
        </w:numPr>
        <w:ind w:left="360"/>
        <w:contextualSpacing w:val="0"/>
        <w:rPr>
          <w:rFonts w:eastAsia="Calibri" w:cs="Times New Roman"/>
        </w:rPr>
      </w:pPr>
      <w:r w:rsidRPr="00C31579">
        <w:rPr>
          <w:rFonts w:eastAsia="Calibri" w:cs="Times New Roman"/>
        </w:rPr>
        <w:t>section 16</w:t>
      </w:r>
      <w:r w:rsidR="00C31579">
        <w:rPr>
          <w:rFonts w:eastAsia="Calibri" w:cs="Times New Roman"/>
        </w:rPr>
        <w:t>—</w:t>
      </w:r>
      <w:r w:rsidRPr="00C31579">
        <w:rPr>
          <w:rFonts w:eastAsia="Calibri" w:cs="Times New Roman"/>
        </w:rPr>
        <w:t>freedom of expression;</w:t>
      </w:r>
    </w:p>
    <w:p w:rsidR="00196028" w:rsidRPr="00C31579" w:rsidRDefault="00196028" w:rsidP="00C31579">
      <w:pPr>
        <w:pStyle w:val="ListParagraph"/>
        <w:keepLines/>
        <w:numPr>
          <w:ilvl w:val="0"/>
          <w:numId w:val="23"/>
        </w:numPr>
        <w:ind w:left="360"/>
        <w:contextualSpacing w:val="0"/>
        <w:rPr>
          <w:rFonts w:eastAsia="Calibri" w:cs="Times New Roman"/>
        </w:rPr>
      </w:pPr>
      <w:proofErr w:type="gramStart"/>
      <w:r w:rsidRPr="00C31579">
        <w:rPr>
          <w:rFonts w:eastAsia="Calibri" w:cs="Times New Roman"/>
        </w:rPr>
        <w:t>section</w:t>
      </w:r>
      <w:proofErr w:type="gramEnd"/>
      <w:r w:rsidRPr="00C31579">
        <w:rPr>
          <w:rFonts w:eastAsia="Calibri" w:cs="Times New Roman"/>
        </w:rPr>
        <w:t xml:space="preserve"> 18</w:t>
      </w:r>
      <w:r w:rsidR="00C31579">
        <w:rPr>
          <w:rFonts w:eastAsia="Calibri" w:cs="Times New Roman"/>
        </w:rPr>
        <w:t>—</w:t>
      </w:r>
      <w:r w:rsidRPr="00C31579">
        <w:rPr>
          <w:rFonts w:eastAsia="Calibri" w:cs="Times New Roman"/>
        </w:rPr>
        <w:t>right to liberty and security of person.</w:t>
      </w:r>
    </w:p>
    <w:p w:rsidR="00196028" w:rsidRPr="008442BF" w:rsidRDefault="00196028" w:rsidP="008442BF">
      <w:pPr>
        <w:keepLines/>
        <w:rPr>
          <w:rFonts w:eastAsia="Calibri" w:cs="Times New Roman"/>
        </w:rPr>
      </w:pPr>
      <w:r w:rsidRPr="008442BF">
        <w:rPr>
          <w:rFonts w:eastAsia="Calibri" w:cs="Times New Roman"/>
        </w:rPr>
        <w:t>There is also a detailed discussion of the operation of section 28 of the Human Rights Act and the limitation that that human rights may be subject only to reasonable limits set by laws that can be demonstrably justified in a free and democratic society.</w:t>
      </w:r>
    </w:p>
    <w:p w:rsidR="00196028" w:rsidRPr="00C31579" w:rsidRDefault="00196028" w:rsidP="008442BF">
      <w:pPr>
        <w:keepLines/>
        <w:rPr>
          <w:rFonts w:eastAsia="Calibri" w:cs="Times New Roman"/>
          <w:b/>
        </w:rPr>
      </w:pPr>
      <w:r w:rsidRPr="00C31579">
        <w:rPr>
          <w:rFonts w:eastAsia="Calibri" w:cs="Times New Roman"/>
          <w:b/>
        </w:rPr>
        <w:t>The Committee draws the attention of the Legislative Assembly to the discussion in the explanatory statement for this subordinate law of the human rights issues arising from the subordinate law.</w:t>
      </w:r>
    </w:p>
    <w:p w:rsidR="00196028" w:rsidRPr="00C31579" w:rsidRDefault="00196028" w:rsidP="008442BF">
      <w:pPr>
        <w:keepLines/>
        <w:rPr>
          <w:rFonts w:eastAsia="Calibri" w:cs="Times New Roman"/>
          <w:b/>
        </w:rPr>
      </w:pPr>
      <w:r w:rsidRPr="00C31579">
        <w:rPr>
          <w:rFonts w:eastAsia="Calibri" w:cs="Times New Roman"/>
          <w:b/>
        </w:rPr>
        <w:t>This comment does not require</w:t>
      </w:r>
      <w:r w:rsidR="00C31579" w:rsidRPr="00C31579">
        <w:rPr>
          <w:rFonts w:eastAsia="Calibri" w:cs="Times New Roman"/>
          <w:b/>
        </w:rPr>
        <w:t xml:space="preserve"> a response from the Minister.</w:t>
      </w:r>
    </w:p>
    <w:p w:rsidR="00196028" w:rsidRPr="008442BF" w:rsidRDefault="00196028" w:rsidP="008442BF">
      <w:pPr>
        <w:pStyle w:val="Heading4"/>
        <w:rPr>
          <w:rFonts w:eastAsia="Times New Roman"/>
          <w:b w:val="0"/>
          <w:sz w:val="22"/>
        </w:rPr>
      </w:pPr>
      <w:bookmarkStart w:id="219" w:name="_Toc528155851"/>
      <w:bookmarkStart w:id="220" w:name="_Toc528157210"/>
      <w:bookmarkStart w:id="221" w:name="_Toc528310863"/>
      <w:r w:rsidRPr="008442BF">
        <w:rPr>
          <w:rFonts w:eastAsia="Times New Roman"/>
          <w:b w:val="0"/>
          <w:sz w:val="22"/>
        </w:rPr>
        <w:t>Human rights issues / Strict liability offences</w:t>
      </w:r>
      <w:r w:rsidR="00C31579">
        <w:rPr>
          <w:rFonts w:eastAsia="Times New Roman"/>
          <w:b w:val="0"/>
          <w:sz w:val="22"/>
        </w:rPr>
        <w:t>—</w:t>
      </w:r>
      <w:r w:rsidRPr="008442BF">
        <w:rPr>
          <w:rFonts w:eastAsia="Times New Roman"/>
          <w:b w:val="0"/>
          <w:sz w:val="22"/>
        </w:rPr>
        <w:t>Positive comment</w:t>
      </w:r>
      <w:bookmarkEnd w:id="219"/>
      <w:bookmarkEnd w:id="220"/>
      <w:bookmarkEnd w:id="221"/>
    </w:p>
    <w:p w:rsidR="00C31579" w:rsidRPr="00196028" w:rsidRDefault="00C31579" w:rsidP="00C31579">
      <w:pPr>
        <w:numPr>
          <w:ilvl w:val="0"/>
          <w:numId w:val="15"/>
        </w:numPr>
        <w:spacing w:before="0" w:after="120" w:line="240" w:lineRule="auto"/>
        <w:ind w:left="0"/>
        <w:rPr>
          <w:rFonts w:ascii="Calibri" w:eastAsia="Times New Roman" w:hAnsi="Calibri" w:cs="Times New Roman"/>
          <w:b/>
        </w:rPr>
      </w:pPr>
      <w:r w:rsidRPr="00196028">
        <w:rPr>
          <w:rFonts w:ascii="Calibri" w:eastAsia="Times New Roman" w:hAnsi="Calibri" w:cs="Times New Roman"/>
          <w:b/>
        </w:rPr>
        <w:t xml:space="preserve">Subordinate Law SL2018-19 being the Road Transport (Road Rules) Amendment Regulation 2018 (No 1) made under the </w:t>
      </w:r>
      <w:r w:rsidRPr="00196028">
        <w:rPr>
          <w:rFonts w:ascii="Calibri" w:eastAsia="Times New Roman" w:hAnsi="Calibri" w:cs="Times New Roman"/>
          <w:i/>
        </w:rPr>
        <w:t xml:space="preserve">Road Transport (General) Act 1999 and the Road Transport (Safety and Traffic Management) Act 1999 </w:t>
      </w:r>
      <w:r w:rsidRPr="00196028">
        <w:rPr>
          <w:rFonts w:ascii="Calibri" w:eastAsia="Times New Roman" w:hAnsi="Calibri" w:cs="Times New Roman"/>
          <w:b/>
        </w:rPr>
        <w:t xml:space="preserve">prohibits a pedestrian standing on or moving into a designated intersection to engage in on-road commercial activities in specified intersections. </w:t>
      </w:r>
    </w:p>
    <w:p w:rsidR="00196028" w:rsidRPr="008442BF" w:rsidRDefault="00196028" w:rsidP="008442BF">
      <w:pPr>
        <w:keepLines/>
        <w:rPr>
          <w:rFonts w:eastAsia="Calibri" w:cs="Times New Roman"/>
        </w:rPr>
      </w:pPr>
      <w:r w:rsidRPr="008442BF">
        <w:rPr>
          <w:rFonts w:eastAsia="Calibri" w:cs="Times New Roman"/>
        </w:rPr>
        <w:t xml:space="preserve">This subordinate law makes various amendments to the </w:t>
      </w:r>
      <w:bookmarkStart w:id="222" w:name="_Hlk527968032"/>
      <w:r w:rsidRPr="008442BF">
        <w:rPr>
          <w:rFonts w:eastAsia="Calibri" w:cs="Times New Roman"/>
        </w:rPr>
        <w:t xml:space="preserve">Road Transport (Road Rules) Regulation </w:t>
      </w:r>
      <w:bookmarkEnd w:id="222"/>
      <w:r w:rsidRPr="008442BF">
        <w:rPr>
          <w:rFonts w:eastAsia="Calibri" w:cs="Times New Roman"/>
        </w:rPr>
        <w:t>2017, including the insertion into that regulation of a new offence that prohibits pedestrians from washing windscreens, hitchhiking, displaying advertisements, selling articles or soliciting contributions, employment or business from an occupant of a vehicle.  The new limitation applies only to certain intersections along the “light rail corridor”.  As a result of section 8 of the Road Transport (Road Rules) Regulation</w:t>
      </w:r>
      <w:r w:rsidR="00C31579">
        <w:rPr>
          <w:rFonts w:eastAsia="Calibri" w:cs="Times New Roman"/>
        </w:rPr>
        <w:t>—</w:t>
      </w:r>
      <w:r w:rsidRPr="008442BF">
        <w:rPr>
          <w:rFonts w:eastAsia="Calibri" w:cs="Times New Roman"/>
        </w:rPr>
        <w:t>which makes all offences under those regulations offences of strict liability</w:t>
      </w:r>
      <w:r w:rsidR="00C31579">
        <w:rPr>
          <w:rFonts w:eastAsia="Calibri" w:cs="Times New Roman"/>
        </w:rPr>
        <w:t>—</w:t>
      </w:r>
      <w:r w:rsidRPr="008442BF">
        <w:rPr>
          <w:rFonts w:eastAsia="Calibri" w:cs="Times New Roman"/>
        </w:rPr>
        <w:t>this is a strict liability offence.</w:t>
      </w:r>
    </w:p>
    <w:p w:rsidR="00196028" w:rsidRPr="008442BF" w:rsidRDefault="00196028" w:rsidP="00C31579">
      <w:pPr>
        <w:keepLines/>
        <w:rPr>
          <w:rFonts w:eastAsia="Calibri" w:cs="Times New Roman"/>
        </w:rPr>
      </w:pPr>
      <w:r w:rsidRPr="008442BF">
        <w:rPr>
          <w:rFonts w:eastAsia="Calibri" w:cs="Times New Roman"/>
        </w:rPr>
        <w:t>The Committee notes with approval that the explanatory statement for this subordinate law addresses the strict liability issue (as previously identified by the Committee), adequately and in detail, by reference to the right to the presumption of innocence until proven guilty, under section 21 of the Human Rights Act 2004.  The Committee also notes with approval that</w:t>
      </w:r>
      <w:r w:rsidR="00C31579">
        <w:rPr>
          <w:rFonts w:eastAsia="Calibri" w:cs="Times New Roman"/>
        </w:rPr>
        <w:t xml:space="preserve"> the explanatory statement </w:t>
      </w:r>
      <w:r w:rsidRPr="008442BF">
        <w:rPr>
          <w:rFonts w:eastAsia="Calibri" w:cs="Times New Roman"/>
        </w:rPr>
        <w:t xml:space="preserve">addresses, by reference to the right under section 8 of the Human Rights Act to recognition and equality </w:t>
      </w:r>
      <w:r w:rsidRPr="00C31579">
        <w:rPr>
          <w:rFonts w:eastAsia="Calibri" w:cs="Times New Roman"/>
        </w:rPr>
        <w:t>before</w:t>
      </w:r>
      <w:r w:rsidRPr="008442BF">
        <w:rPr>
          <w:rFonts w:eastAsia="Calibri" w:cs="Times New Roman"/>
        </w:rPr>
        <w:t xml:space="preserve"> the law, the potential impact of the new provision on persons who are living in disadvantaged circumstances and persons raising money for charitable causes.  Among other things, the discussion includes consideration of whether a less-restrictive approach to the issue that is being addressed was possible.</w:t>
      </w:r>
    </w:p>
    <w:p w:rsidR="00196028" w:rsidRPr="00C31579" w:rsidRDefault="00196028" w:rsidP="008442BF">
      <w:pPr>
        <w:keepLines/>
        <w:rPr>
          <w:rFonts w:eastAsia="Calibri" w:cs="Times New Roman"/>
          <w:b/>
        </w:rPr>
      </w:pPr>
      <w:r w:rsidRPr="00C31579">
        <w:rPr>
          <w:rFonts w:eastAsia="Calibri" w:cs="Times New Roman"/>
          <w:b/>
        </w:rPr>
        <w:t>The Committee draws the attention of the Legislative Assembly to the discussion in the explanatory statement for this subordinate law of the human rights issues arising from the subordinate law.</w:t>
      </w:r>
    </w:p>
    <w:p w:rsidR="00196028" w:rsidRPr="00C31579" w:rsidRDefault="00196028" w:rsidP="008442BF">
      <w:pPr>
        <w:keepLines/>
        <w:rPr>
          <w:rFonts w:eastAsia="Calibri" w:cs="Times New Roman"/>
          <w:b/>
        </w:rPr>
      </w:pPr>
      <w:r w:rsidRPr="00C31579">
        <w:rPr>
          <w:rFonts w:eastAsia="Calibri" w:cs="Times New Roman"/>
          <w:b/>
        </w:rPr>
        <w:t>This comment does not require</w:t>
      </w:r>
      <w:r w:rsidR="00C31579">
        <w:rPr>
          <w:rFonts w:eastAsia="Calibri" w:cs="Times New Roman"/>
          <w:b/>
        </w:rPr>
        <w:t xml:space="preserve"> a response from the Minister.</w:t>
      </w:r>
    </w:p>
    <w:p w:rsidR="004D2235" w:rsidRPr="0092369C" w:rsidRDefault="004D2235" w:rsidP="004D2235">
      <w:pPr>
        <w:pStyle w:val="Heading3"/>
        <w:rPr>
          <w:rFonts w:asciiTheme="minorHAnsi" w:eastAsia="Calibri" w:hAnsiTheme="minorHAnsi"/>
          <w:lang w:eastAsia="en-AU"/>
        </w:rPr>
      </w:pPr>
      <w:bookmarkStart w:id="223" w:name="_Toc528310864"/>
      <w:r>
        <w:rPr>
          <w:rFonts w:asciiTheme="minorHAnsi" w:eastAsia="Calibri" w:hAnsiTheme="minorHAnsi"/>
          <w:lang w:eastAsia="en-AU"/>
        </w:rPr>
        <w:lastRenderedPageBreak/>
        <w:t>Regulatory impact statement—No comment</w:t>
      </w:r>
      <w:bookmarkEnd w:id="223"/>
    </w:p>
    <w:p w:rsidR="004D2235" w:rsidRDefault="004D2235" w:rsidP="004D2235">
      <w:pPr>
        <w:keepNext/>
        <w:keepLines/>
        <w:rPr>
          <w:rFonts w:eastAsia="Calibri" w:cs="Times New Roman"/>
        </w:rPr>
      </w:pPr>
      <w:r w:rsidRPr="008442BF">
        <w:rPr>
          <w:rFonts w:eastAsia="Calibri" w:cs="Times New Roman"/>
        </w:rPr>
        <w:t>The Commi</w:t>
      </w:r>
      <w:r>
        <w:rPr>
          <w:rFonts w:eastAsia="Calibri" w:cs="Times New Roman"/>
        </w:rPr>
        <w:t xml:space="preserve">ttee has examined the regulatory impact statement to the following instrument </w:t>
      </w:r>
      <w:r w:rsidRPr="008442BF">
        <w:rPr>
          <w:rFonts w:eastAsia="Calibri" w:cs="Times New Roman"/>
        </w:rPr>
        <w:t xml:space="preserve">and </w:t>
      </w:r>
      <w:r>
        <w:rPr>
          <w:rFonts w:eastAsia="Calibri" w:cs="Times New Roman"/>
        </w:rPr>
        <w:t>offers no comments on it</w:t>
      </w:r>
      <w:r w:rsidRPr="008442BF">
        <w:rPr>
          <w:rFonts w:eastAsia="Calibri" w:cs="Times New Roman"/>
        </w:rPr>
        <w:t>:</w:t>
      </w:r>
    </w:p>
    <w:p w:rsidR="004D2235" w:rsidRPr="008442BF" w:rsidRDefault="004D2235" w:rsidP="004D2235">
      <w:pPr>
        <w:keepLines/>
        <w:rPr>
          <w:rFonts w:eastAsia="Calibri" w:cs="Times New Roman"/>
        </w:rPr>
      </w:pPr>
      <w:proofErr w:type="gramStart"/>
      <w:r w:rsidRPr="004D0138">
        <w:rPr>
          <w:rFonts w:ascii="Calibri" w:hAnsi="Calibri"/>
          <w:b/>
        </w:rPr>
        <w:t>Disallowable Instrument DI2018-243 being the Energy Efficiency (Cost of Living) Improvement (Priority Household Target) Determination 2018</w:t>
      </w:r>
      <w:r>
        <w:rPr>
          <w:rFonts w:ascii="Calibri" w:hAnsi="Calibri"/>
          <w:b/>
        </w:rPr>
        <w:t>.</w:t>
      </w:r>
      <w:proofErr w:type="gramEnd"/>
    </w:p>
    <w:p w:rsidR="00F23CCD" w:rsidRPr="00C64BEE" w:rsidRDefault="00F23CCD" w:rsidP="009777C9">
      <w:pPr>
        <w:pStyle w:val="Heading2"/>
        <w:rPr>
          <w:rFonts w:asciiTheme="minorHAnsi" w:eastAsia="Calibri" w:hAnsiTheme="minorHAnsi"/>
          <w:lang w:eastAsia="en-AU"/>
        </w:rPr>
      </w:pPr>
      <w:bookmarkStart w:id="224" w:name="_Toc528310865"/>
      <w:r w:rsidRPr="00C64BEE">
        <w:rPr>
          <w:rFonts w:asciiTheme="minorHAnsi" w:eastAsia="Calibri" w:hAnsiTheme="minorHAnsi"/>
          <w:lang w:eastAsia="en-AU"/>
        </w:rPr>
        <w:t>Government Response</w:t>
      </w:r>
      <w:bookmarkEnd w:id="191"/>
      <w:bookmarkEnd w:id="192"/>
      <w:bookmarkEnd w:id="224"/>
    </w:p>
    <w:p w:rsidR="008F424B" w:rsidRPr="008F424B" w:rsidRDefault="008F424B" w:rsidP="009777C9">
      <w:pPr>
        <w:keepNext/>
        <w:spacing w:before="240" w:after="160" w:line="300" w:lineRule="exact"/>
        <w:rPr>
          <w:rFonts w:ascii="Calibri" w:eastAsia="Calibri" w:hAnsi="Calibri" w:cs="Times New Roman"/>
        </w:rPr>
      </w:pPr>
      <w:r w:rsidRPr="008F424B">
        <w:rPr>
          <w:rFonts w:ascii="Calibri" w:eastAsia="Calibri" w:hAnsi="Calibri" w:cs="Times New Roman"/>
        </w:rPr>
        <w:t xml:space="preserve">The Committee has received </w:t>
      </w:r>
      <w:r w:rsidR="0082451D">
        <w:rPr>
          <w:rFonts w:ascii="Calibri" w:eastAsia="Calibri" w:hAnsi="Calibri" w:cs="Times New Roman"/>
        </w:rPr>
        <w:t xml:space="preserve">a </w:t>
      </w:r>
      <w:r w:rsidRPr="008F424B">
        <w:rPr>
          <w:rFonts w:ascii="Calibri" w:eastAsia="Calibri" w:hAnsi="Calibri" w:cs="Times New Roman"/>
        </w:rPr>
        <w:t>response from:</w:t>
      </w:r>
    </w:p>
    <w:p w:rsidR="00AD6A29" w:rsidRDefault="00AD6A29" w:rsidP="00216794">
      <w:pPr>
        <w:pStyle w:val="ListParagraph"/>
        <w:numPr>
          <w:ilvl w:val="0"/>
          <w:numId w:val="13"/>
        </w:numPr>
        <w:spacing w:before="160"/>
        <w:contextualSpacing w:val="0"/>
      </w:pPr>
      <w:r w:rsidRPr="0082451D">
        <w:t xml:space="preserve">The </w:t>
      </w:r>
      <w:r w:rsidR="00A65079">
        <w:t>Minister for Business and Regulatory Services</w:t>
      </w:r>
      <w:r w:rsidRPr="0082451D">
        <w:t xml:space="preserve">, dated </w:t>
      </w:r>
      <w:r w:rsidR="00A65079">
        <w:t>24 October 2018</w:t>
      </w:r>
      <w:r w:rsidRPr="0082451D">
        <w:t xml:space="preserve">, in relation to comments made in Scrutiny Report 21 concerning </w:t>
      </w:r>
      <w:r w:rsidR="0082451D">
        <w:t>Disallowable Instrument DI2018-223—Working with Vulnerable People (Background Checking) Risk Assessment Guidelines 2018 (No 1)</w:t>
      </w:r>
      <w:r w:rsidRPr="0082451D">
        <w:t>.</w:t>
      </w:r>
    </w:p>
    <w:p w:rsidR="0082451D" w:rsidRPr="00EE1E11" w:rsidRDefault="00386C0A" w:rsidP="0082451D">
      <w:pPr>
        <w:widowControl w:val="0"/>
        <w:ind w:left="360"/>
        <w:rPr>
          <w:b/>
          <w:i/>
          <w:lang w:eastAsia="en-AU"/>
        </w:rPr>
      </w:pPr>
      <w:hyperlink r:id="rId19" w:history="1">
        <w:r w:rsidR="0082451D">
          <w:rPr>
            <w:rStyle w:val="Hyperlink"/>
            <w:b/>
            <w:lang w:eastAsia="en-AU"/>
          </w:rPr>
          <w:t>This</w:t>
        </w:r>
        <w:r w:rsidR="0082451D" w:rsidRPr="0033431C">
          <w:rPr>
            <w:rStyle w:val="Hyperlink"/>
            <w:b/>
            <w:lang w:eastAsia="en-AU"/>
          </w:rPr>
          <w:t xml:space="preserve"> respons</w:t>
        </w:r>
        <w:r w:rsidR="0082451D">
          <w:rPr>
            <w:rStyle w:val="Hyperlink"/>
            <w:b/>
            <w:lang w:eastAsia="en-AU"/>
          </w:rPr>
          <w:t>e</w:t>
        </w:r>
      </w:hyperlink>
      <w:r w:rsidR="0082451D">
        <w:rPr>
          <w:rStyle w:val="FootnoteReference"/>
          <w:b/>
          <w:i/>
          <w:lang w:eastAsia="en-AU"/>
        </w:rPr>
        <w:footnoteReference w:id="3"/>
      </w:r>
      <w:r w:rsidR="0082451D" w:rsidRPr="00EE1E11">
        <w:rPr>
          <w:b/>
          <w:i/>
          <w:lang w:eastAsia="en-AU"/>
        </w:rPr>
        <w:t xml:space="preserve"> can be viewed online.</w:t>
      </w:r>
    </w:p>
    <w:p w:rsidR="004F019A" w:rsidRPr="00C64BEE" w:rsidRDefault="009777C9" w:rsidP="007F4348">
      <w:pPr>
        <w:spacing w:before="1300" w:after="0"/>
      </w:pPr>
      <w:r>
        <w:t>Elizabeth Lee</w:t>
      </w:r>
      <w:r w:rsidR="004F019A" w:rsidRPr="00C64BEE">
        <w:t xml:space="preserve"> MLA</w:t>
      </w:r>
    </w:p>
    <w:p w:rsidR="004F019A" w:rsidRPr="00C64BEE" w:rsidRDefault="004F019A" w:rsidP="00AA3302">
      <w:pPr>
        <w:spacing w:before="0"/>
      </w:pPr>
      <w:r w:rsidRPr="00C64BEE">
        <w:t>Chair</w:t>
      </w:r>
    </w:p>
    <w:p w:rsidR="003F186C" w:rsidRPr="00C64BEE" w:rsidRDefault="00E921AB" w:rsidP="004F019A">
      <w:pPr>
        <w:sectPr w:rsidR="003F186C" w:rsidRPr="00C64BEE" w:rsidSect="00B13710">
          <w:headerReference w:type="even" r:id="rId20"/>
          <w:footerReference w:type="even" r:id="rId21"/>
          <w:footerReference w:type="default" r:id="rId22"/>
          <w:pgSz w:w="11906" w:h="16838"/>
          <w:pgMar w:top="1710" w:right="1440" w:bottom="990" w:left="1440" w:header="708" w:footer="543" w:gutter="0"/>
          <w:pgNumType w:start="1"/>
          <w:cols w:space="708"/>
          <w:docGrid w:linePitch="360"/>
        </w:sectPr>
      </w:pPr>
      <w:r>
        <w:t>29</w:t>
      </w:r>
      <w:r w:rsidR="00297673">
        <w:t xml:space="preserve"> </w:t>
      </w:r>
      <w:r w:rsidR="00BF5027">
        <w:t>October</w:t>
      </w:r>
      <w:r w:rsidR="004F019A" w:rsidRPr="00C64BEE">
        <w:t xml:space="preserve"> 201</w:t>
      </w:r>
      <w:r w:rsidR="00B358EB" w:rsidRPr="00C64BEE">
        <w:t>8</w:t>
      </w:r>
    </w:p>
    <w:p w:rsidR="003F186C" w:rsidRPr="00C64BEE" w:rsidRDefault="003F186C" w:rsidP="00AC094E">
      <w:pPr>
        <w:pStyle w:val="Heading2"/>
        <w:rPr>
          <w:rFonts w:asciiTheme="minorHAnsi" w:hAnsiTheme="minorHAnsi"/>
        </w:rPr>
      </w:pPr>
      <w:bookmarkStart w:id="225" w:name="_Toc514837979"/>
      <w:bookmarkStart w:id="226" w:name="_Toc528310866"/>
      <w:r w:rsidRPr="00C64BEE">
        <w:rPr>
          <w:rFonts w:asciiTheme="minorHAnsi" w:hAnsiTheme="minorHAnsi"/>
        </w:rPr>
        <w:lastRenderedPageBreak/>
        <w:t>Outstanding Responses</w:t>
      </w:r>
      <w:bookmarkEnd w:id="225"/>
      <w:bookmarkEnd w:id="226"/>
    </w:p>
    <w:p w:rsidR="003F186C" w:rsidRPr="00C64BEE" w:rsidRDefault="003F186C" w:rsidP="003F186C">
      <w:pPr>
        <w:pStyle w:val="Heading3"/>
        <w:rPr>
          <w:rFonts w:asciiTheme="minorHAnsi" w:hAnsiTheme="minorHAnsi"/>
        </w:rPr>
      </w:pPr>
      <w:bookmarkStart w:id="227" w:name="_Toc505005688"/>
      <w:bookmarkStart w:id="228" w:name="_Toc505153779"/>
      <w:bookmarkStart w:id="229" w:name="_Toc508283444"/>
      <w:bookmarkStart w:id="230" w:name="_Toc510081804"/>
      <w:bookmarkStart w:id="231" w:name="_Toc511812230"/>
      <w:bookmarkStart w:id="232" w:name="_Toc512240173"/>
      <w:bookmarkStart w:id="233" w:name="_Toc513192173"/>
      <w:bookmarkStart w:id="234" w:name="_Toc514832434"/>
      <w:bookmarkStart w:id="235" w:name="_Toc514837980"/>
      <w:bookmarkStart w:id="236" w:name="_Toc514838144"/>
      <w:bookmarkStart w:id="237" w:name="_Toc514943619"/>
      <w:bookmarkStart w:id="238" w:name="_Toc515352064"/>
      <w:bookmarkStart w:id="239" w:name="_Toc518297261"/>
      <w:bookmarkStart w:id="240" w:name="_Toc519520755"/>
      <w:bookmarkStart w:id="241" w:name="_Toc520188735"/>
      <w:bookmarkStart w:id="242" w:name="_Toc521054338"/>
      <w:bookmarkStart w:id="243" w:name="_Toc521054410"/>
      <w:bookmarkStart w:id="244" w:name="_Toc523814181"/>
      <w:bookmarkStart w:id="245" w:name="_Toc523900477"/>
      <w:bookmarkStart w:id="246" w:name="_Toc526855826"/>
      <w:bookmarkStart w:id="247" w:name="_Toc528155854"/>
      <w:bookmarkStart w:id="248" w:name="_Toc528157213"/>
      <w:bookmarkStart w:id="249" w:name="_Toc528310867"/>
      <w:r w:rsidRPr="00C64BEE">
        <w:rPr>
          <w:rFonts w:asciiTheme="minorHAnsi" w:hAnsiTheme="minorHAnsi"/>
        </w:rPr>
        <w:t>Bills/Subordinate Legislation</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rsidR="003C73B2" w:rsidRPr="00C64BEE" w:rsidRDefault="003C73B2" w:rsidP="00034823">
      <w:pPr>
        <w:pStyle w:val="ListParagraph"/>
        <w:numPr>
          <w:ilvl w:val="0"/>
          <w:numId w:val="12"/>
        </w:numPr>
        <w:ind w:left="360"/>
        <w:rPr>
          <w:b/>
        </w:rPr>
      </w:pPr>
      <w:r w:rsidRPr="00C64BEE">
        <w:rPr>
          <w:b/>
        </w:rPr>
        <w:t>Report 7, dated 18 July 2017</w:t>
      </w:r>
    </w:p>
    <w:p w:rsidR="003C73B2" w:rsidRPr="00C64BEE" w:rsidRDefault="003C73B2" w:rsidP="00034823">
      <w:pPr>
        <w:pStyle w:val="ListParagraph"/>
        <w:numPr>
          <w:ilvl w:val="0"/>
          <w:numId w:val="14"/>
        </w:numPr>
        <w:spacing w:before="120" w:after="0"/>
        <w:ind w:left="720"/>
      </w:pPr>
      <w:r w:rsidRPr="00C64BEE">
        <w:t>Crimes (Intimate Image Abuse) Amendment Bill 2017 (PMB)</w:t>
      </w:r>
      <w:r w:rsidR="00167537" w:rsidRPr="00C64BEE">
        <w:t>.</w:t>
      </w:r>
    </w:p>
    <w:p w:rsidR="003C73B2" w:rsidRPr="00C64BEE" w:rsidRDefault="003C73B2" w:rsidP="001A46D3">
      <w:pPr>
        <w:pStyle w:val="ListParagraph"/>
        <w:numPr>
          <w:ilvl w:val="0"/>
          <w:numId w:val="12"/>
        </w:numPr>
        <w:spacing w:before="120" w:after="0"/>
        <w:ind w:left="360"/>
        <w:contextualSpacing w:val="0"/>
        <w:rPr>
          <w:b/>
        </w:rPr>
      </w:pPr>
      <w:r w:rsidRPr="00C64BEE">
        <w:rPr>
          <w:b/>
        </w:rPr>
        <w:t>Report 8, dated 8 August 2017</w:t>
      </w:r>
    </w:p>
    <w:p w:rsidR="003C73B2" w:rsidRPr="00C64BEE" w:rsidRDefault="003C73B2" w:rsidP="00034823">
      <w:pPr>
        <w:pStyle w:val="ListParagraph"/>
        <w:numPr>
          <w:ilvl w:val="0"/>
          <w:numId w:val="14"/>
        </w:numPr>
        <w:spacing w:before="120" w:after="0"/>
        <w:ind w:left="720"/>
      </w:pPr>
      <w:r w:rsidRPr="00C64BEE">
        <w:t>Crimes (Invasion of Privacy) Amendment Bill 2017 (PMB)</w:t>
      </w:r>
      <w:r w:rsidR="00167537" w:rsidRPr="00C64BEE">
        <w:t>.</w:t>
      </w:r>
    </w:p>
    <w:p w:rsidR="00E075AA" w:rsidRPr="00C64BEE" w:rsidRDefault="00E075AA" w:rsidP="001A46D3">
      <w:pPr>
        <w:pStyle w:val="ListParagraph"/>
        <w:numPr>
          <w:ilvl w:val="0"/>
          <w:numId w:val="12"/>
        </w:numPr>
        <w:spacing w:before="120" w:after="0"/>
        <w:ind w:left="360"/>
        <w:contextualSpacing w:val="0"/>
        <w:rPr>
          <w:b/>
        </w:rPr>
      </w:pPr>
      <w:r w:rsidRPr="00C64BEE">
        <w:rPr>
          <w:b/>
        </w:rPr>
        <w:t>Report 12, dated 21 November 2017</w:t>
      </w:r>
    </w:p>
    <w:p w:rsidR="00E075AA" w:rsidRPr="00C64BEE" w:rsidRDefault="00E075AA" w:rsidP="00034823">
      <w:pPr>
        <w:pStyle w:val="ListParagraph"/>
        <w:numPr>
          <w:ilvl w:val="0"/>
          <w:numId w:val="14"/>
        </w:numPr>
        <w:ind w:left="720"/>
      </w:pPr>
      <w:r w:rsidRPr="00C64BEE">
        <w:t>Crimes (Criminal Organisation Control) Bill 2017</w:t>
      </w:r>
      <w:r w:rsidR="00C01433" w:rsidRPr="00C64BEE">
        <w:t xml:space="preserve"> (PMB)</w:t>
      </w:r>
      <w:r w:rsidR="00167537" w:rsidRPr="00C64BEE">
        <w:t>.</w:t>
      </w:r>
    </w:p>
    <w:p w:rsidR="002A5344" w:rsidRPr="00C64BEE" w:rsidRDefault="002A5344" w:rsidP="002A5344">
      <w:pPr>
        <w:pStyle w:val="ListParagraph"/>
        <w:numPr>
          <w:ilvl w:val="0"/>
          <w:numId w:val="12"/>
        </w:numPr>
        <w:spacing w:before="240" w:after="0"/>
        <w:ind w:left="360"/>
        <w:contextualSpacing w:val="0"/>
        <w:rPr>
          <w:b/>
        </w:rPr>
      </w:pPr>
      <w:r w:rsidRPr="00C64BEE">
        <w:rPr>
          <w:b/>
        </w:rPr>
        <w:t>Report 17, dated 4 May 2018</w:t>
      </w:r>
    </w:p>
    <w:p w:rsidR="002A5344" w:rsidRPr="00C64BEE" w:rsidRDefault="002A5344" w:rsidP="002A5344">
      <w:pPr>
        <w:pStyle w:val="ListParagraph"/>
        <w:numPr>
          <w:ilvl w:val="0"/>
          <w:numId w:val="14"/>
        </w:numPr>
        <w:spacing w:before="120" w:after="0"/>
        <w:ind w:left="720"/>
      </w:pPr>
      <w:r w:rsidRPr="00C64BEE">
        <w:t>Crimes (Consent) Amendment Bill 2018 (PMB).</w:t>
      </w:r>
    </w:p>
    <w:p w:rsidR="00B6224C" w:rsidRPr="00C64BEE" w:rsidRDefault="00B6224C" w:rsidP="00B6224C">
      <w:pPr>
        <w:pStyle w:val="ListParagraph"/>
        <w:numPr>
          <w:ilvl w:val="0"/>
          <w:numId w:val="12"/>
        </w:numPr>
        <w:spacing w:before="120" w:after="0"/>
        <w:ind w:left="360"/>
        <w:contextualSpacing w:val="0"/>
        <w:rPr>
          <w:rFonts w:eastAsia="Times New Roman" w:cs="Times New Roman"/>
          <w:b/>
          <w:sz w:val="20"/>
          <w:szCs w:val="20"/>
          <w:u w:val="single"/>
          <w:lang w:eastAsia="en-AU"/>
        </w:rPr>
      </w:pPr>
      <w:r w:rsidRPr="00C64BEE">
        <w:rPr>
          <w:b/>
        </w:rPr>
        <w:t>Report 19, dated 24 July 2018</w:t>
      </w:r>
    </w:p>
    <w:p w:rsidR="00B6224C" w:rsidRDefault="00B6224C" w:rsidP="00B6224C">
      <w:pPr>
        <w:pStyle w:val="ListParagraph"/>
        <w:numPr>
          <w:ilvl w:val="0"/>
          <w:numId w:val="14"/>
        </w:numPr>
        <w:spacing w:before="120" w:after="0"/>
        <w:ind w:left="720"/>
      </w:pPr>
      <w:r w:rsidRPr="00C64BEE">
        <w:t>Anti-corruption and Integrity Commission Bill 2018 (PMB)</w:t>
      </w:r>
    </w:p>
    <w:p w:rsidR="008A0AAA" w:rsidRPr="008A0AAA" w:rsidRDefault="008A0AAA" w:rsidP="008A0AAA">
      <w:pPr>
        <w:pStyle w:val="ListParagraph"/>
        <w:numPr>
          <w:ilvl w:val="0"/>
          <w:numId w:val="12"/>
        </w:numPr>
        <w:spacing w:before="120" w:after="0"/>
        <w:ind w:left="360"/>
        <w:contextualSpacing w:val="0"/>
        <w:rPr>
          <w:b/>
        </w:rPr>
      </w:pPr>
      <w:r w:rsidRPr="008A0AAA">
        <w:rPr>
          <w:b/>
        </w:rPr>
        <w:t>Report 20, dated 7 August 2018</w:t>
      </w:r>
    </w:p>
    <w:p w:rsidR="008A0AAA" w:rsidRDefault="008A0AAA" w:rsidP="008A0AAA">
      <w:pPr>
        <w:pStyle w:val="ListParagraph"/>
        <w:numPr>
          <w:ilvl w:val="0"/>
          <w:numId w:val="14"/>
        </w:numPr>
        <w:spacing w:before="120" w:after="0"/>
        <w:ind w:left="720"/>
      </w:pPr>
      <w:r>
        <w:t>Disallowable Instrument DI2018-138</w:t>
      </w:r>
      <w:r w:rsidR="00E043ED">
        <w:t>—</w:t>
      </w:r>
      <w:r>
        <w:t>Agents (Fees) Determination 2018</w:t>
      </w:r>
    </w:p>
    <w:p w:rsidR="008A0AAA" w:rsidRDefault="008A0AAA" w:rsidP="008A0AAA">
      <w:pPr>
        <w:pStyle w:val="ListParagraph"/>
        <w:numPr>
          <w:ilvl w:val="0"/>
          <w:numId w:val="14"/>
        </w:numPr>
        <w:spacing w:before="120" w:after="0"/>
        <w:ind w:left="720"/>
      </w:pPr>
      <w:r>
        <w:t>Disallowable Instrument DI2018-140</w:t>
      </w:r>
      <w:r w:rsidR="00E043ED">
        <w:t>—</w:t>
      </w:r>
      <w:r>
        <w:t>Births, Deaths and Marriages Registration (Fees) Determination 2018</w:t>
      </w:r>
    </w:p>
    <w:p w:rsidR="008A0AAA" w:rsidRDefault="008A0AAA" w:rsidP="008A0AAA">
      <w:pPr>
        <w:pStyle w:val="ListParagraph"/>
        <w:numPr>
          <w:ilvl w:val="0"/>
          <w:numId w:val="14"/>
        </w:numPr>
        <w:spacing w:before="120" w:after="0"/>
        <w:ind w:left="720"/>
      </w:pPr>
      <w:r>
        <w:t>Disallowable Instrument DI2018-142</w:t>
      </w:r>
      <w:r w:rsidR="00E043ED">
        <w:t>—</w:t>
      </w:r>
      <w:r>
        <w:t>Classification (Publications, Films and Computer Games) (Enforcement) (Fees) Determination 2018</w:t>
      </w:r>
    </w:p>
    <w:p w:rsidR="008A0AAA" w:rsidRDefault="008A0AAA" w:rsidP="008A0AAA">
      <w:pPr>
        <w:pStyle w:val="ListParagraph"/>
        <w:numPr>
          <w:ilvl w:val="0"/>
          <w:numId w:val="14"/>
        </w:numPr>
        <w:spacing w:before="120" w:after="0"/>
        <w:ind w:left="720"/>
      </w:pPr>
      <w:r>
        <w:t>Disallowable Instrument DI2018-143</w:t>
      </w:r>
      <w:r w:rsidR="00E043ED">
        <w:t>—</w:t>
      </w:r>
      <w:r>
        <w:t>Co-operatives National Law (ACT) (Fees) Determination 2018</w:t>
      </w:r>
    </w:p>
    <w:p w:rsidR="008A0AAA" w:rsidRDefault="008A0AAA" w:rsidP="008A0AAA">
      <w:pPr>
        <w:pStyle w:val="ListParagraph"/>
        <w:numPr>
          <w:ilvl w:val="0"/>
          <w:numId w:val="14"/>
        </w:numPr>
        <w:spacing w:before="120" w:after="0"/>
        <w:ind w:left="720"/>
      </w:pPr>
      <w:r>
        <w:t>Disallowable Instrument DI2018-144</w:t>
      </w:r>
      <w:r w:rsidR="00E043ED">
        <w:t>—</w:t>
      </w:r>
      <w:r>
        <w:t>Prostitution (Fees) Determination 2018</w:t>
      </w:r>
    </w:p>
    <w:p w:rsidR="008A0AAA" w:rsidRDefault="008A0AAA" w:rsidP="008A0AAA">
      <w:pPr>
        <w:pStyle w:val="ListParagraph"/>
        <w:numPr>
          <w:ilvl w:val="0"/>
          <w:numId w:val="14"/>
        </w:numPr>
        <w:spacing w:before="120" w:after="0"/>
        <w:ind w:left="720"/>
      </w:pPr>
      <w:r>
        <w:t>Disallowable Instrument DI2018-145</w:t>
      </w:r>
      <w:r w:rsidR="00E043ED">
        <w:t>—</w:t>
      </w:r>
      <w:r>
        <w:t>Registration of Deeds (Fees) Determination 2018</w:t>
      </w:r>
    </w:p>
    <w:p w:rsidR="008A0AAA" w:rsidRDefault="008A0AAA" w:rsidP="008A0AAA">
      <w:pPr>
        <w:pStyle w:val="ListParagraph"/>
        <w:numPr>
          <w:ilvl w:val="0"/>
          <w:numId w:val="14"/>
        </w:numPr>
        <w:spacing w:before="120" w:after="0"/>
        <w:ind w:left="720"/>
      </w:pPr>
      <w:r>
        <w:t>Disallowable Instrument DI2018-146</w:t>
      </w:r>
      <w:r w:rsidR="00E043ED">
        <w:t>—</w:t>
      </w:r>
      <w:r>
        <w:t>Retirement Villages (Fees) Determination 2018</w:t>
      </w:r>
    </w:p>
    <w:p w:rsidR="008A0AAA" w:rsidRDefault="008A0AAA" w:rsidP="008A0AAA">
      <w:pPr>
        <w:pStyle w:val="ListParagraph"/>
        <w:numPr>
          <w:ilvl w:val="0"/>
          <w:numId w:val="14"/>
        </w:numPr>
        <w:spacing w:before="120" w:after="0"/>
        <w:ind w:left="720"/>
      </w:pPr>
      <w:r>
        <w:t>Disallowable Instrument DI2018-147</w:t>
      </w:r>
      <w:r w:rsidR="00E043ED">
        <w:t>—</w:t>
      </w:r>
      <w:r>
        <w:t>Traders (Licensing) (Fees) Determination 2018</w:t>
      </w:r>
    </w:p>
    <w:sectPr w:rsidR="008A0AAA" w:rsidSect="00613AE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50F" w:rsidRDefault="00B2250F" w:rsidP="000B0846">
      <w:pPr>
        <w:spacing w:after="0" w:line="240" w:lineRule="auto"/>
      </w:pPr>
      <w:r>
        <w:separator/>
      </w:r>
    </w:p>
  </w:endnote>
  <w:endnote w:type="continuationSeparator" w:id="0">
    <w:p w:rsidR="00B2250F" w:rsidRDefault="00B2250F" w:rsidP="000B08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50F" w:rsidRDefault="00B2250F">
    <w:pPr>
      <w:pStyle w:val="Footer"/>
    </w:pPr>
  </w:p>
  <w:p w:rsidR="00B2250F" w:rsidRDefault="00B225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528207"/>
      <w:docPartObj>
        <w:docPartGallery w:val="Page Numbers (Bottom of Page)"/>
        <w:docPartUnique/>
      </w:docPartObj>
    </w:sdtPr>
    <w:sdtEndPr>
      <w:rPr>
        <w:noProof/>
      </w:rPr>
    </w:sdtEndPr>
    <w:sdtContent>
      <w:p w:rsidR="00B2250F" w:rsidRDefault="00386C0A">
        <w:pPr>
          <w:pStyle w:val="Footer"/>
        </w:pPr>
        <w:fldSimple w:instr=" PAGE   \* MERGEFORMAT ">
          <w:r w:rsidR="00DC173A">
            <w:rPr>
              <w:noProof/>
            </w:rPr>
            <w:t>ii</w:t>
          </w:r>
        </w:fldSimple>
      </w:p>
    </w:sdtContent>
  </w:sdt>
  <w:p w:rsidR="00B2250F" w:rsidRDefault="00B2250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528208"/>
      <w:docPartObj>
        <w:docPartGallery w:val="Page Numbers (Bottom of Page)"/>
        <w:docPartUnique/>
      </w:docPartObj>
    </w:sdtPr>
    <w:sdtEndPr>
      <w:rPr>
        <w:noProof/>
      </w:rPr>
    </w:sdtEndPr>
    <w:sdtContent>
      <w:p w:rsidR="00B2250F" w:rsidRDefault="00386C0A">
        <w:pPr>
          <w:pStyle w:val="Footer"/>
          <w:jc w:val="right"/>
        </w:pPr>
        <w:fldSimple w:instr=" PAGE   \* MERGEFORMAT ">
          <w:r w:rsidR="00DC173A">
            <w:rPr>
              <w:noProof/>
            </w:rPr>
            <w:t>iii</w:t>
          </w:r>
        </w:fldSimple>
      </w:p>
    </w:sdtContent>
  </w:sdt>
  <w:p w:rsidR="00B2250F" w:rsidRDefault="00B2250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50F" w:rsidRDefault="00B2250F">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50F" w:rsidRPr="00EE534B" w:rsidRDefault="00386C0A">
    <w:pPr>
      <w:pStyle w:val="Footer"/>
      <w:rPr>
        <w:sz w:val="18"/>
        <w:szCs w:val="18"/>
      </w:rPr>
    </w:pPr>
    <w:fldSimple w:instr=" PAGE   \* MERGEFORMAT ">
      <w:r w:rsidR="00DC173A">
        <w:rPr>
          <w:noProof/>
        </w:rPr>
        <w:t>4</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528203"/>
      <w:docPartObj>
        <w:docPartGallery w:val="Page Numbers (Bottom of Page)"/>
        <w:docPartUnique/>
      </w:docPartObj>
    </w:sdtPr>
    <w:sdtEndPr>
      <w:rPr>
        <w:noProof/>
      </w:rPr>
    </w:sdtEndPr>
    <w:sdtContent>
      <w:p w:rsidR="00B2250F" w:rsidRPr="00EE534B" w:rsidRDefault="00386C0A">
        <w:pPr>
          <w:pStyle w:val="Footer"/>
          <w:jc w:val="right"/>
          <w:rPr>
            <w:sz w:val="18"/>
            <w:szCs w:val="18"/>
          </w:rPr>
        </w:pPr>
        <w:fldSimple w:instr=" PAGE   \* MERGEFORMAT ">
          <w:r w:rsidR="00DC173A">
            <w:rPr>
              <w:noProof/>
            </w:rPr>
            <w:t>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50F" w:rsidRDefault="00B2250F" w:rsidP="000B0846">
      <w:pPr>
        <w:spacing w:after="0" w:line="240" w:lineRule="auto"/>
      </w:pPr>
      <w:r>
        <w:separator/>
      </w:r>
    </w:p>
  </w:footnote>
  <w:footnote w:type="continuationSeparator" w:id="0">
    <w:p w:rsidR="00B2250F" w:rsidRDefault="00B2250F" w:rsidP="000B0846">
      <w:pPr>
        <w:spacing w:after="0" w:line="240" w:lineRule="auto"/>
      </w:pPr>
      <w:r>
        <w:continuationSeparator/>
      </w:r>
    </w:p>
  </w:footnote>
  <w:footnote w:id="1">
    <w:p w:rsidR="00B2250F" w:rsidRDefault="00B2250F">
      <w:pPr>
        <w:pStyle w:val="FootnoteText"/>
      </w:pPr>
      <w:r>
        <w:rPr>
          <w:rStyle w:val="FootnoteReference"/>
        </w:rPr>
        <w:footnoteRef/>
      </w:r>
      <w:r>
        <w:t xml:space="preserve"> </w:t>
      </w:r>
      <w:r w:rsidRPr="00D32538">
        <w:rPr>
          <w:color w:val="000000" w:themeColor="text1"/>
          <w:sz w:val="18"/>
          <w:szCs w:val="18"/>
        </w:rPr>
        <w:t>https://www.parliament.act.gov.au/__data/assets/pdf_file/0007/434347/Subordinate-Legislation-Technical-and-Stylistic-Standards.pdf</w:t>
      </w:r>
      <w:r>
        <w:rPr>
          <w:color w:val="000000" w:themeColor="text1"/>
          <w:sz w:val="18"/>
          <w:szCs w:val="18"/>
        </w:rPr>
        <w:t>.</w:t>
      </w:r>
    </w:p>
  </w:footnote>
  <w:footnote w:id="2">
    <w:p w:rsidR="00B2250F" w:rsidRDefault="00B2250F">
      <w:pPr>
        <w:pStyle w:val="FootnoteText"/>
      </w:pPr>
      <w:r>
        <w:rPr>
          <w:rStyle w:val="FootnoteReference"/>
        </w:rPr>
        <w:footnoteRef/>
      </w:r>
      <w:r>
        <w:t xml:space="preserve"> </w:t>
      </w:r>
      <w:r w:rsidRPr="00D32538">
        <w:rPr>
          <w:color w:val="000000" w:themeColor="text1"/>
          <w:sz w:val="18"/>
          <w:szCs w:val="18"/>
        </w:rPr>
        <w:t>https://www.parliament.act.gov.au/__data/assets/pdf_file/0007/434347/Subordinate-Legislation-Technical-and-Stylistic-Standards.pdf</w:t>
      </w:r>
      <w:r>
        <w:rPr>
          <w:color w:val="000000" w:themeColor="text1"/>
          <w:sz w:val="18"/>
          <w:szCs w:val="18"/>
        </w:rPr>
        <w:t>.</w:t>
      </w:r>
    </w:p>
  </w:footnote>
  <w:footnote w:id="3">
    <w:p w:rsidR="00B2250F" w:rsidRPr="008F424B" w:rsidRDefault="00B2250F" w:rsidP="0082451D">
      <w:pPr>
        <w:pStyle w:val="FootnoteText"/>
        <w:spacing w:before="0"/>
        <w:rPr>
          <w:sz w:val="19"/>
          <w:szCs w:val="19"/>
        </w:rPr>
      </w:pPr>
      <w:r w:rsidRPr="008F424B">
        <w:rPr>
          <w:rStyle w:val="FootnoteReference"/>
          <w:sz w:val="19"/>
          <w:szCs w:val="19"/>
        </w:rPr>
        <w:footnoteRef/>
      </w:r>
      <w:r w:rsidRPr="008F424B">
        <w:rPr>
          <w:sz w:val="19"/>
          <w:szCs w:val="19"/>
        </w:rPr>
        <w:t xml:space="preserve"> </w:t>
      </w:r>
      <w:r w:rsidRPr="008F424B">
        <w:rPr>
          <w:sz w:val="19"/>
          <w:szCs w:val="19"/>
          <w:lang w:eastAsia="en-AU"/>
        </w:rPr>
        <w:t>https://www.parliament.act.gov.au/in-committees/standing-committees-current-assembly/standing-committee-on-justice-and-community-safety-legislative-scrutiny-role/response-to-comments-on-subordinate-legislation.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50F" w:rsidRPr="009D788E" w:rsidRDefault="00B2250F" w:rsidP="00911558">
    <w:pPr>
      <w:pStyle w:val="Header"/>
      <w:pBdr>
        <w:bottom w:val="single" w:sz="4" w:space="1" w:color="auto"/>
      </w:pBdr>
      <w:rPr>
        <w:smallCaps/>
      </w:rPr>
    </w:pPr>
    <w:r w:rsidRPr="009D788E">
      <w:rPr>
        <w:smallCaps/>
      </w:rPr>
      <w:t>Standing Committee on Justice and Community Safety (Legislative Scrutiny Role)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50F" w:rsidRPr="001B0650" w:rsidRDefault="00386C0A" w:rsidP="00911558">
    <w:pPr>
      <w:pStyle w:val="Header"/>
      <w:pBdr>
        <w:bottom w:val="single" w:sz="4" w:space="1" w:color="auto"/>
      </w:pBdr>
      <w:jc w:val="right"/>
      <w:rPr>
        <w:smallCaps/>
      </w:rPr>
    </w:pPr>
    <w:fldSimple w:instr=" STYLEREF  &quot;Heading 1&quot;  \* MERGEFORMAT ">
      <w:r w:rsidR="00DC173A" w:rsidRPr="00DC173A">
        <w:rPr>
          <w:smallCaps/>
          <w:noProof/>
        </w:rPr>
        <w:t>Scrutiny Report 23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50F" w:rsidRPr="003B6A7E" w:rsidRDefault="00B2250F" w:rsidP="003B6A7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50F" w:rsidRPr="003B6A7E" w:rsidRDefault="00B2250F" w:rsidP="00FC2EEA">
    <w:pPr>
      <w:pStyle w:val="Header"/>
      <w:pBdr>
        <w:bottom w:val="single" w:sz="4" w:space="1" w:color="auto"/>
      </w:pBdr>
    </w:pPr>
    <w:r w:rsidRPr="009D788E">
      <w:rPr>
        <w:smallCaps/>
      </w:rPr>
      <w:t>Standing Committee on Justice and Community Safety (Legislative Scrutiny Role)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4B8702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012015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314752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5329290"/>
    <w:lvl w:ilvl="0">
      <w:start w:val="1"/>
      <w:numFmt w:val="decimal"/>
      <w:pStyle w:val="ListNumber2"/>
      <w:lvlText w:val="%1."/>
      <w:lvlJc w:val="left"/>
      <w:pPr>
        <w:tabs>
          <w:tab w:val="num" w:pos="643"/>
        </w:tabs>
        <w:ind w:left="643" w:hanging="360"/>
      </w:pPr>
    </w:lvl>
  </w:abstractNum>
  <w:abstractNum w:abstractNumId="4">
    <w:nsid w:val="FFFFFF80"/>
    <w:multiLevelType w:val="singleLevel"/>
    <w:tmpl w:val="7B26E9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056F42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C22F4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026A50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5C6D348"/>
    <w:lvl w:ilvl="0">
      <w:start w:val="1"/>
      <w:numFmt w:val="decimal"/>
      <w:pStyle w:val="ListNumber"/>
      <w:lvlText w:val="%1."/>
      <w:lvlJc w:val="left"/>
      <w:pPr>
        <w:tabs>
          <w:tab w:val="num" w:pos="360"/>
        </w:tabs>
        <w:ind w:left="360" w:hanging="360"/>
      </w:pPr>
    </w:lvl>
  </w:abstractNum>
  <w:abstractNum w:abstractNumId="9">
    <w:nsid w:val="FFFFFF89"/>
    <w:multiLevelType w:val="singleLevel"/>
    <w:tmpl w:val="DC3479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CD6999"/>
    <w:multiLevelType w:val="hybridMultilevel"/>
    <w:tmpl w:val="D4985A3A"/>
    <w:lvl w:ilvl="0" w:tplc="5B566276">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0F64209D"/>
    <w:multiLevelType w:val="hybridMultilevel"/>
    <w:tmpl w:val="312CC69A"/>
    <w:lvl w:ilvl="0" w:tplc="0C090001">
      <w:start w:val="1"/>
      <w:numFmt w:val="bullet"/>
      <w:lvlText w:val=""/>
      <w:lvlJc w:val="left"/>
      <w:pPr>
        <w:ind w:left="360" w:hanging="360"/>
      </w:pPr>
      <w:rPr>
        <w:rFonts w:ascii="Symbol" w:hAnsi="Symbol" w:hint="default"/>
      </w:rPr>
    </w:lvl>
    <w:lvl w:ilvl="1" w:tplc="B2BC848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DB259B2"/>
    <w:multiLevelType w:val="hybridMultilevel"/>
    <w:tmpl w:val="BFE68088"/>
    <w:lvl w:ilvl="0" w:tplc="BBCE3E4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6AC5962"/>
    <w:multiLevelType w:val="hybridMultilevel"/>
    <w:tmpl w:val="7D70B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9F675F9"/>
    <w:multiLevelType w:val="hybridMultilevel"/>
    <w:tmpl w:val="A2C60C32"/>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E663C8A"/>
    <w:multiLevelType w:val="hybridMultilevel"/>
    <w:tmpl w:val="50427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BD51BD3"/>
    <w:multiLevelType w:val="hybridMultilevel"/>
    <w:tmpl w:val="4A4827E8"/>
    <w:lvl w:ilvl="0" w:tplc="BBCE3E4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nsid w:val="420A424B"/>
    <w:multiLevelType w:val="hybridMultilevel"/>
    <w:tmpl w:val="016E1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32D53C5"/>
    <w:multiLevelType w:val="hybridMultilevel"/>
    <w:tmpl w:val="FB86DCAE"/>
    <w:lvl w:ilvl="0" w:tplc="BBCE3E4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0947158"/>
    <w:multiLevelType w:val="hybridMultilevel"/>
    <w:tmpl w:val="0D5E3456"/>
    <w:lvl w:ilvl="0" w:tplc="B2BC8480">
      <w:start w:val="1"/>
      <w:numFmt w:val="bullet"/>
      <w:lvlText w:val="­"/>
      <w:lvlJc w:val="left"/>
      <w:pPr>
        <w:ind w:left="171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52D615F3"/>
    <w:multiLevelType w:val="multilevel"/>
    <w:tmpl w:val="487C0F2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88407DF"/>
    <w:multiLevelType w:val="hybridMultilevel"/>
    <w:tmpl w:val="6D54A9CE"/>
    <w:lvl w:ilvl="0" w:tplc="D4C652EA">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59711BA8"/>
    <w:multiLevelType w:val="multilevel"/>
    <w:tmpl w:val="C142AD88"/>
    <w:name w:val="Leg Quote"/>
    <w:lvl w:ilvl="0">
      <w:start w:val="1"/>
      <w:numFmt w:val="decimal"/>
      <w:lvlText w:val="(%1)"/>
      <w:lvlJc w:val="left"/>
      <w:pPr>
        <w:tabs>
          <w:tab w:val="num" w:pos="851"/>
        </w:tabs>
        <w:ind w:left="454" w:firstLine="397"/>
      </w:pPr>
      <w:rPr>
        <w:rFonts w:hint="default"/>
      </w:rPr>
    </w:lvl>
    <w:lvl w:ilvl="1">
      <w:start w:val="1"/>
      <w:numFmt w:val="lowerLetter"/>
      <w:lvlText w:val="(%2)"/>
      <w:lvlJc w:val="left"/>
      <w:pPr>
        <w:tabs>
          <w:tab w:val="num" w:pos="1418"/>
        </w:tabs>
        <w:ind w:left="1021" w:firstLine="397"/>
      </w:pPr>
      <w:rPr>
        <w:rFonts w:hint="default"/>
      </w:rPr>
    </w:lvl>
    <w:lvl w:ilvl="2">
      <w:start w:val="1"/>
      <w:numFmt w:val="lowerRoman"/>
      <w:lvlText w:val="%3)"/>
      <w:lvlJc w:val="left"/>
      <w:pPr>
        <w:tabs>
          <w:tab w:val="num" w:pos="1985"/>
        </w:tabs>
        <w:ind w:left="1588" w:firstLine="397"/>
      </w:pPr>
      <w:rPr>
        <w:rFonts w:hint="default"/>
      </w:rPr>
    </w:lvl>
    <w:lvl w:ilvl="3">
      <w:start w:val="1"/>
      <w:numFmt w:val="decimal"/>
      <w:lvlText w:val="(%4)"/>
      <w:lvlJc w:val="left"/>
      <w:pPr>
        <w:tabs>
          <w:tab w:val="num" w:pos="2552"/>
        </w:tabs>
        <w:ind w:left="2155" w:firstLine="397"/>
      </w:pPr>
      <w:rPr>
        <w:rFonts w:hint="default"/>
      </w:rPr>
    </w:lvl>
    <w:lvl w:ilvl="4">
      <w:start w:val="1"/>
      <w:numFmt w:val="lowerLetter"/>
      <w:lvlText w:val="(%5)"/>
      <w:lvlJc w:val="left"/>
      <w:pPr>
        <w:tabs>
          <w:tab w:val="num" w:pos="3119"/>
        </w:tabs>
        <w:ind w:left="2722" w:firstLine="397"/>
      </w:pPr>
      <w:rPr>
        <w:rFonts w:hint="default"/>
      </w:rPr>
    </w:lvl>
    <w:lvl w:ilvl="5">
      <w:start w:val="1"/>
      <w:numFmt w:val="lowerRoman"/>
      <w:lvlText w:val="(%6)"/>
      <w:lvlJc w:val="left"/>
      <w:pPr>
        <w:tabs>
          <w:tab w:val="num" w:pos="3686"/>
        </w:tabs>
        <w:ind w:left="3289" w:firstLine="397"/>
      </w:pPr>
      <w:rPr>
        <w:rFonts w:hint="default"/>
      </w:rPr>
    </w:lvl>
    <w:lvl w:ilvl="6">
      <w:start w:val="1"/>
      <w:numFmt w:val="decimal"/>
      <w:lvlText w:val="%7."/>
      <w:lvlJc w:val="left"/>
      <w:pPr>
        <w:tabs>
          <w:tab w:val="num" w:pos="4253"/>
        </w:tabs>
        <w:ind w:left="3856" w:firstLine="397"/>
      </w:pPr>
      <w:rPr>
        <w:rFonts w:hint="default"/>
      </w:rPr>
    </w:lvl>
    <w:lvl w:ilvl="7">
      <w:start w:val="1"/>
      <w:numFmt w:val="lowerLetter"/>
      <w:lvlText w:val="%8."/>
      <w:lvlJc w:val="left"/>
      <w:pPr>
        <w:tabs>
          <w:tab w:val="num" w:pos="4820"/>
        </w:tabs>
        <w:ind w:left="4423" w:firstLine="397"/>
      </w:pPr>
      <w:rPr>
        <w:rFonts w:hint="default"/>
      </w:rPr>
    </w:lvl>
    <w:lvl w:ilvl="8">
      <w:start w:val="1"/>
      <w:numFmt w:val="lowerRoman"/>
      <w:lvlText w:val="%9."/>
      <w:lvlJc w:val="left"/>
      <w:pPr>
        <w:tabs>
          <w:tab w:val="num" w:pos="5387"/>
        </w:tabs>
        <w:ind w:left="4990" w:firstLine="397"/>
      </w:pPr>
      <w:rPr>
        <w:rFonts w:hint="default"/>
      </w:rPr>
    </w:lvl>
  </w:abstractNum>
  <w:abstractNum w:abstractNumId="23">
    <w:nsid w:val="5E551CC9"/>
    <w:multiLevelType w:val="hybridMultilevel"/>
    <w:tmpl w:val="1B166A04"/>
    <w:lvl w:ilvl="0" w:tplc="5B566276">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nsid w:val="6E406E52"/>
    <w:multiLevelType w:val="hybridMultilevel"/>
    <w:tmpl w:val="160C3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FEC5701"/>
    <w:multiLevelType w:val="hybridMultilevel"/>
    <w:tmpl w:val="C6C60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4"/>
  </w:num>
  <w:num w:numId="13">
    <w:abstractNumId w:val="11"/>
  </w:num>
  <w:num w:numId="14">
    <w:abstractNumId w:val="19"/>
  </w:num>
  <w:num w:numId="15">
    <w:abstractNumId w:val="16"/>
  </w:num>
  <w:num w:numId="16">
    <w:abstractNumId w:val="17"/>
  </w:num>
  <w:num w:numId="17">
    <w:abstractNumId w:val="21"/>
  </w:num>
  <w:num w:numId="18">
    <w:abstractNumId w:val="15"/>
  </w:num>
  <w:num w:numId="19">
    <w:abstractNumId w:val="12"/>
  </w:num>
  <w:num w:numId="20">
    <w:abstractNumId w:val="10"/>
  </w:num>
  <w:num w:numId="21">
    <w:abstractNumId w:val="23"/>
  </w:num>
  <w:num w:numId="22">
    <w:abstractNumId w:val="25"/>
  </w:num>
  <w:num w:numId="23">
    <w:abstractNumId w:val="13"/>
  </w:num>
  <w:num w:numId="24">
    <w:abstractNumId w:val="24"/>
  </w:num>
  <w:num w:numId="25">
    <w:abstractNumId w:val="1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1024"/>
  <w:defaultTabStop w:val="720"/>
  <w:evenAndOddHeaders/>
  <w:characterSpacingControl w:val="doNotCompress"/>
  <w:hdrShapeDefaults>
    <o:shapedefaults v:ext="edit" spidmax="2050"/>
  </w:hdrShapeDefaults>
  <w:footnotePr>
    <w:footnote w:id="-1"/>
    <w:footnote w:id="0"/>
  </w:footnotePr>
  <w:endnotePr>
    <w:endnote w:id="-1"/>
    <w:endnote w:id="0"/>
  </w:endnotePr>
  <w:compat/>
  <w:rsids>
    <w:rsidRoot w:val="000B0846"/>
    <w:rsid w:val="00001839"/>
    <w:rsid w:val="00012C7C"/>
    <w:rsid w:val="00013BA7"/>
    <w:rsid w:val="00016CCD"/>
    <w:rsid w:val="00022A35"/>
    <w:rsid w:val="00025A33"/>
    <w:rsid w:val="00030285"/>
    <w:rsid w:val="00032058"/>
    <w:rsid w:val="00034823"/>
    <w:rsid w:val="00034ADC"/>
    <w:rsid w:val="00036A58"/>
    <w:rsid w:val="00040028"/>
    <w:rsid w:val="00042C45"/>
    <w:rsid w:val="0004551E"/>
    <w:rsid w:val="00045F75"/>
    <w:rsid w:val="00061AB9"/>
    <w:rsid w:val="00061B6D"/>
    <w:rsid w:val="00062087"/>
    <w:rsid w:val="0007009F"/>
    <w:rsid w:val="0007461D"/>
    <w:rsid w:val="00077835"/>
    <w:rsid w:val="0008186E"/>
    <w:rsid w:val="0009152D"/>
    <w:rsid w:val="000915D1"/>
    <w:rsid w:val="000927C6"/>
    <w:rsid w:val="000941F6"/>
    <w:rsid w:val="00094D98"/>
    <w:rsid w:val="00095C7A"/>
    <w:rsid w:val="000967E6"/>
    <w:rsid w:val="000971E6"/>
    <w:rsid w:val="000A33FE"/>
    <w:rsid w:val="000A5E0A"/>
    <w:rsid w:val="000A6724"/>
    <w:rsid w:val="000B0846"/>
    <w:rsid w:val="000B0CDE"/>
    <w:rsid w:val="000C0208"/>
    <w:rsid w:val="000C12B1"/>
    <w:rsid w:val="000C12C3"/>
    <w:rsid w:val="000C30A9"/>
    <w:rsid w:val="000C49C9"/>
    <w:rsid w:val="000C59EC"/>
    <w:rsid w:val="000C6DFF"/>
    <w:rsid w:val="000D68A2"/>
    <w:rsid w:val="000E13B4"/>
    <w:rsid w:val="000E231B"/>
    <w:rsid w:val="000E5A5A"/>
    <w:rsid w:val="000E66C0"/>
    <w:rsid w:val="000E79A3"/>
    <w:rsid w:val="000F0EFB"/>
    <w:rsid w:val="001013B4"/>
    <w:rsid w:val="00101A1A"/>
    <w:rsid w:val="00103599"/>
    <w:rsid w:val="00104CBD"/>
    <w:rsid w:val="00105A3D"/>
    <w:rsid w:val="0010659A"/>
    <w:rsid w:val="001107D1"/>
    <w:rsid w:val="00112799"/>
    <w:rsid w:val="00115163"/>
    <w:rsid w:val="00116E9B"/>
    <w:rsid w:val="001201A6"/>
    <w:rsid w:val="00123DBF"/>
    <w:rsid w:val="00125EA4"/>
    <w:rsid w:val="001266E9"/>
    <w:rsid w:val="00126D9A"/>
    <w:rsid w:val="00127856"/>
    <w:rsid w:val="00131525"/>
    <w:rsid w:val="00133077"/>
    <w:rsid w:val="00133AB1"/>
    <w:rsid w:val="00137745"/>
    <w:rsid w:val="001415F9"/>
    <w:rsid w:val="00145B35"/>
    <w:rsid w:val="00150083"/>
    <w:rsid w:val="001505EB"/>
    <w:rsid w:val="001562EC"/>
    <w:rsid w:val="001606A8"/>
    <w:rsid w:val="00163101"/>
    <w:rsid w:val="00167169"/>
    <w:rsid w:val="00167537"/>
    <w:rsid w:val="0017063D"/>
    <w:rsid w:val="001712BC"/>
    <w:rsid w:val="0017558F"/>
    <w:rsid w:val="001777EE"/>
    <w:rsid w:val="001779EA"/>
    <w:rsid w:val="00180D09"/>
    <w:rsid w:val="00187105"/>
    <w:rsid w:val="0019001E"/>
    <w:rsid w:val="00195221"/>
    <w:rsid w:val="0019559B"/>
    <w:rsid w:val="00196028"/>
    <w:rsid w:val="001974F6"/>
    <w:rsid w:val="001A1A54"/>
    <w:rsid w:val="001A28BF"/>
    <w:rsid w:val="001A46D3"/>
    <w:rsid w:val="001A5F09"/>
    <w:rsid w:val="001B0650"/>
    <w:rsid w:val="001B1173"/>
    <w:rsid w:val="001B457B"/>
    <w:rsid w:val="001B4892"/>
    <w:rsid w:val="001B5859"/>
    <w:rsid w:val="001B5E58"/>
    <w:rsid w:val="001C11EA"/>
    <w:rsid w:val="001C3269"/>
    <w:rsid w:val="001C6D5B"/>
    <w:rsid w:val="001C7639"/>
    <w:rsid w:val="001D5DBF"/>
    <w:rsid w:val="001D60B6"/>
    <w:rsid w:val="001E3462"/>
    <w:rsid w:val="001E3BA1"/>
    <w:rsid w:val="001E533E"/>
    <w:rsid w:val="001E56FE"/>
    <w:rsid w:val="001E6B34"/>
    <w:rsid w:val="001E6B45"/>
    <w:rsid w:val="001F1058"/>
    <w:rsid w:val="001F1D6D"/>
    <w:rsid w:val="001F622E"/>
    <w:rsid w:val="00202660"/>
    <w:rsid w:val="00202BE1"/>
    <w:rsid w:val="002064D0"/>
    <w:rsid w:val="002103BD"/>
    <w:rsid w:val="00210A63"/>
    <w:rsid w:val="0021195E"/>
    <w:rsid w:val="0021614E"/>
    <w:rsid w:val="00216794"/>
    <w:rsid w:val="00220914"/>
    <w:rsid w:val="0022278A"/>
    <w:rsid w:val="00224D59"/>
    <w:rsid w:val="002264FA"/>
    <w:rsid w:val="00226A15"/>
    <w:rsid w:val="00235D37"/>
    <w:rsid w:val="00237B6F"/>
    <w:rsid w:val="00243563"/>
    <w:rsid w:val="00243DCB"/>
    <w:rsid w:val="0024524F"/>
    <w:rsid w:val="00252497"/>
    <w:rsid w:val="00252BBC"/>
    <w:rsid w:val="00256D7D"/>
    <w:rsid w:val="002644BB"/>
    <w:rsid w:val="002649B5"/>
    <w:rsid w:val="002718FF"/>
    <w:rsid w:val="002753EE"/>
    <w:rsid w:val="002805F4"/>
    <w:rsid w:val="00287FC6"/>
    <w:rsid w:val="002973FA"/>
    <w:rsid w:val="00297673"/>
    <w:rsid w:val="002A185D"/>
    <w:rsid w:val="002A24D0"/>
    <w:rsid w:val="002A5344"/>
    <w:rsid w:val="002B23FF"/>
    <w:rsid w:val="002D3B0A"/>
    <w:rsid w:val="002D485F"/>
    <w:rsid w:val="002D7840"/>
    <w:rsid w:val="002E2EB3"/>
    <w:rsid w:val="002E344A"/>
    <w:rsid w:val="002E726C"/>
    <w:rsid w:val="002F04E9"/>
    <w:rsid w:val="002F1119"/>
    <w:rsid w:val="002F13B7"/>
    <w:rsid w:val="002F1D67"/>
    <w:rsid w:val="00301635"/>
    <w:rsid w:val="00301F54"/>
    <w:rsid w:val="00302004"/>
    <w:rsid w:val="00302BD1"/>
    <w:rsid w:val="003042B1"/>
    <w:rsid w:val="003127FB"/>
    <w:rsid w:val="003155F0"/>
    <w:rsid w:val="0031748B"/>
    <w:rsid w:val="00317E73"/>
    <w:rsid w:val="00326327"/>
    <w:rsid w:val="0033431C"/>
    <w:rsid w:val="003345DA"/>
    <w:rsid w:val="003418C1"/>
    <w:rsid w:val="003433AB"/>
    <w:rsid w:val="003458E5"/>
    <w:rsid w:val="00346CDE"/>
    <w:rsid w:val="00351A66"/>
    <w:rsid w:val="00351AD0"/>
    <w:rsid w:val="00352BB3"/>
    <w:rsid w:val="0035425D"/>
    <w:rsid w:val="00357A4D"/>
    <w:rsid w:val="00361375"/>
    <w:rsid w:val="0036212E"/>
    <w:rsid w:val="00365970"/>
    <w:rsid w:val="003716A1"/>
    <w:rsid w:val="00374A59"/>
    <w:rsid w:val="003752E9"/>
    <w:rsid w:val="003823E4"/>
    <w:rsid w:val="00382B8E"/>
    <w:rsid w:val="00384D92"/>
    <w:rsid w:val="00385C4E"/>
    <w:rsid w:val="00386C0A"/>
    <w:rsid w:val="0038795E"/>
    <w:rsid w:val="003A1F37"/>
    <w:rsid w:val="003A23E6"/>
    <w:rsid w:val="003A7F93"/>
    <w:rsid w:val="003B6A7E"/>
    <w:rsid w:val="003C73B2"/>
    <w:rsid w:val="003D1F10"/>
    <w:rsid w:val="003D3A4E"/>
    <w:rsid w:val="003D5EAE"/>
    <w:rsid w:val="003E19C9"/>
    <w:rsid w:val="003E2637"/>
    <w:rsid w:val="003E5311"/>
    <w:rsid w:val="003E792C"/>
    <w:rsid w:val="003E7E8B"/>
    <w:rsid w:val="003F186C"/>
    <w:rsid w:val="003F4177"/>
    <w:rsid w:val="003F44C3"/>
    <w:rsid w:val="004008C9"/>
    <w:rsid w:val="00405459"/>
    <w:rsid w:val="00406890"/>
    <w:rsid w:val="004106A9"/>
    <w:rsid w:val="00412296"/>
    <w:rsid w:val="00414319"/>
    <w:rsid w:val="004170C2"/>
    <w:rsid w:val="00431098"/>
    <w:rsid w:val="00433489"/>
    <w:rsid w:val="00433C0F"/>
    <w:rsid w:val="00434745"/>
    <w:rsid w:val="00443DBC"/>
    <w:rsid w:val="004449E4"/>
    <w:rsid w:val="0044555E"/>
    <w:rsid w:val="0044629B"/>
    <w:rsid w:val="00454D04"/>
    <w:rsid w:val="00457A9B"/>
    <w:rsid w:val="004641A0"/>
    <w:rsid w:val="0046526A"/>
    <w:rsid w:val="0046623E"/>
    <w:rsid w:val="00473CCE"/>
    <w:rsid w:val="00474136"/>
    <w:rsid w:val="00475A42"/>
    <w:rsid w:val="00475B8B"/>
    <w:rsid w:val="004909C8"/>
    <w:rsid w:val="0049262E"/>
    <w:rsid w:val="004A1224"/>
    <w:rsid w:val="004A2390"/>
    <w:rsid w:val="004A3FBA"/>
    <w:rsid w:val="004A763D"/>
    <w:rsid w:val="004B065D"/>
    <w:rsid w:val="004B1072"/>
    <w:rsid w:val="004B546F"/>
    <w:rsid w:val="004B6287"/>
    <w:rsid w:val="004B6AD2"/>
    <w:rsid w:val="004C08E9"/>
    <w:rsid w:val="004C1F31"/>
    <w:rsid w:val="004C35FA"/>
    <w:rsid w:val="004C7E95"/>
    <w:rsid w:val="004D2235"/>
    <w:rsid w:val="004D3094"/>
    <w:rsid w:val="004E5CC4"/>
    <w:rsid w:val="004E7305"/>
    <w:rsid w:val="004F019A"/>
    <w:rsid w:val="004F0366"/>
    <w:rsid w:val="004F4BD9"/>
    <w:rsid w:val="004F5121"/>
    <w:rsid w:val="004F6D09"/>
    <w:rsid w:val="00500866"/>
    <w:rsid w:val="005024AF"/>
    <w:rsid w:val="005030F9"/>
    <w:rsid w:val="00511278"/>
    <w:rsid w:val="0051400D"/>
    <w:rsid w:val="00517EFF"/>
    <w:rsid w:val="00520380"/>
    <w:rsid w:val="00520708"/>
    <w:rsid w:val="005228F6"/>
    <w:rsid w:val="00523335"/>
    <w:rsid w:val="00527137"/>
    <w:rsid w:val="00527991"/>
    <w:rsid w:val="00534514"/>
    <w:rsid w:val="00535FA7"/>
    <w:rsid w:val="005427CD"/>
    <w:rsid w:val="00543B59"/>
    <w:rsid w:val="00545F82"/>
    <w:rsid w:val="005468A2"/>
    <w:rsid w:val="00557013"/>
    <w:rsid w:val="00562622"/>
    <w:rsid w:val="00562E8A"/>
    <w:rsid w:val="00570AD2"/>
    <w:rsid w:val="00573888"/>
    <w:rsid w:val="00573E0C"/>
    <w:rsid w:val="005829CA"/>
    <w:rsid w:val="00583FA9"/>
    <w:rsid w:val="0058445F"/>
    <w:rsid w:val="00591A9C"/>
    <w:rsid w:val="005921BF"/>
    <w:rsid w:val="00594266"/>
    <w:rsid w:val="00594D43"/>
    <w:rsid w:val="005A0384"/>
    <w:rsid w:val="005A7435"/>
    <w:rsid w:val="005A7BB6"/>
    <w:rsid w:val="005B1D8F"/>
    <w:rsid w:val="005B35FB"/>
    <w:rsid w:val="005B68B5"/>
    <w:rsid w:val="005C0F24"/>
    <w:rsid w:val="005C176D"/>
    <w:rsid w:val="005C603D"/>
    <w:rsid w:val="005C7610"/>
    <w:rsid w:val="005D79AF"/>
    <w:rsid w:val="005E21F5"/>
    <w:rsid w:val="005E4CD6"/>
    <w:rsid w:val="005E56E4"/>
    <w:rsid w:val="005F072C"/>
    <w:rsid w:val="005F1A7E"/>
    <w:rsid w:val="005F5419"/>
    <w:rsid w:val="005F7540"/>
    <w:rsid w:val="00600252"/>
    <w:rsid w:val="006013DE"/>
    <w:rsid w:val="006074ED"/>
    <w:rsid w:val="006101F3"/>
    <w:rsid w:val="00610A2C"/>
    <w:rsid w:val="0061161F"/>
    <w:rsid w:val="006137B1"/>
    <w:rsid w:val="00613AE1"/>
    <w:rsid w:val="0061540B"/>
    <w:rsid w:val="006174C7"/>
    <w:rsid w:val="00617F24"/>
    <w:rsid w:val="0062744D"/>
    <w:rsid w:val="00632981"/>
    <w:rsid w:val="00635EA7"/>
    <w:rsid w:val="00636785"/>
    <w:rsid w:val="00637FB3"/>
    <w:rsid w:val="006421C2"/>
    <w:rsid w:val="00643221"/>
    <w:rsid w:val="006449FA"/>
    <w:rsid w:val="006454A7"/>
    <w:rsid w:val="00646941"/>
    <w:rsid w:val="00647F0C"/>
    <w:rsid w:val="00650133"/>
    <w:rsid w:val="00651F9D"/>
    <w:rsid w:val="00652A64"/>
    <w:rsid w:val="00654E7E"/>
    <w:rsid w:val="006557E9"/>
    <w:rsid w:val="00664473"/>
    <w:rsid w:val="00666CA6"/>
    <w:rsid w:val="00670CBD"/>
    <w:rsid w:val="0067269D"/>
    <w:rsid w:val="00673E3D"/>
    <w:rsid w:val="00674B7E"/>
    <w:rsid w:val="006754C6"/>
    <w:rsid w:val="0067571E"/>
    <w:rsid w:val="0067686A"/>
    <w:rsid w:val="00691450"/>
    <w:rsid w:val="006A71F8"/>
    <w:rsid w:val="006B3981"/>
    <w:rsid w:val="006B3BAF"/>
    <w:rsid w:val="006B48A2"/>
    <w:rsid w:val="006B6B13"/>
    <w:rsid w:val="006C35A8"/>
    <w:rsid w:val="006C742E"/>
    <w:rsid w:val="006D14D5"/>
    <w:rsid w:val="006E0EDD"/>
    <w:rsid w:val="006E1BA7"/>
    <w:rsid w:val="006F0DB1"/>
    <w:rsid w:val="006F4484"/>
    <w:rsid w:val="006F5358"/>
    <w:rsid w:val="007000AB"/>
    <w:rsid w:val="00710222"/>
    <w:rsid w:val="0071342C"/>
    <w:rsid w:val="00713E5C"/>
    <w:rsid w:val="0071432B"/>
    <w:rsid w:val="007165BE"/>
    <w:rsid w:val="00716798"/>
    <w:rsid w:val="00717FD1"/>
    <w:rsid w:val="00722817"/>
    <w:rsid w:val="00724270"/>
    <w:rsid w:val="007250F5"/>
    <w:rsid w:val="00725B48"/>
    <w:rsid w:val="00726072"/>
    <w:rsid w:val="00726733"/>
    <w:rsid w:val="0073390D"/>
    <w:rsid w:val="00737ACF"/>
    <w:rsid w:val="00737BD8"/>
    <w:rsid w:val="00741A91"/>
    <w:rsid w:val="00741F31"/>
    <w:rsid w:val="00742447"/>
    <w:rsid w:val="00744FCE"/>
    <w:rsid w:val="00747B00"/>
    <w:rsid w:val="00753923"/>
    <w:rsid w:val="00753D4D"/>
    <w:rsid w:val="00755DED"/>
    <w:rsid w:val="00760BAB"/>
    <w:rsid w:val="00763A5E"/>
    <w:rsid w:val="00767D36"/>
    <w:rsid w:val="007711B3"/>
    <w:rsid w:val="007751E7"/>
    <w:rsid w:val="00780B47"/>
    <w:rsid w:val="007861B3"/>
    <w:rsid w:val="00787F30"/>
    <w:rsid w:val="007A1799"/>
    <w:rsid w:val="007A4ED0"/>
    <w:rsid w:val="007A6452"/>
    <w:rsid w:val="007B6724"/>
    <w:rsid w:val="007C4EF8"/>
    <w:rsid w:val="007C5BE4"/>
    <w:rsid w:val="007D2C2B"/>
    <w:rsid w:val="007D2F1F"/>
    <w:rsid w:val="007D551C"/>
    <w:rsid w:val="007E211A"/>
    <w:rsid w:val="007E3057"/>
    <w:rsid w:val="007E6141"/>
    <w:rsid w:val="007E6BA0"/>
    <w:rsid w:val="007F1A96"/>
    <w:rsid w:val="007F28DF"/>
    <w:rsid w:val="007F4348"/>
    <w:rsid w:val="007F6563"/>
    <w:rsid w:val="007F6E9B"/>
    <w:rsid w:val="008113FF"/>
    <w:rsid w:val="00811A84"/>
    <w:rsid w:val="00816ABF"/>
    <w:rsid w:val="00816C23"/>
    <w:rsid w:val="0082451D"/>
    <w:rsid w:val="0082538D"/>
    <w:rsid w:val="00831A03"/>
    <w:rsid w:val="00833A3B"/>
    <w:rsid w:val="0083497F"/>
    <w:rsid w:val="008375B2"/>
    <w:rsid w:val="008435D8"/>
    <w:rsid w:val="00844113"/>
    <w:rsid w:val="008442BF"/>
    <w:rsid w:val="00847247"/>
    <w:rsid w:val="008527F3"/>
    <w:rsid w:val="00862500"/>
    <w:rsid w:val="008626A9"/>
    <w:rsid w:val="00864242"/>
    <w:rsid w:val="008648CC"/>
    <w:rsid w:val="0086795A"/>
    <w:rsid w:val="00867A54"/>
    <w:rsid w:val="00867B99"/>
    <w:rsid w:val="00875FC6"/>
    <w:rsid w:val="00877BEB"/>
    <w:rsid w:val="00886169"/>
    <w:rsid w:val="008906CF"/>
    <w:rsid w:val="008A0AAA"/>
    <w:rsid w:val="008A143A"/>
    <w:rsid w:val="008A26C5"/>
    <w:rsid w:val="008A6FB5"/>
    <w:rsid w:val="008B0287"/>
    <w:rsid w:val="008B0858"/>
    <w:rsid w:val="008B1000"/>
    <w:rsid w:val="008B1AB9"/>
    <w:rsid w:val="008B27DB"/>
    <w:rsid w:val="008B3114"/>
    <w:rsid w:val="008B5709"/>
    <w:rsid w:val="008C5BA1"/>
    <w:rsid w:val="008C70D8"/>
    <w:rsid w:val="008D3648"/>
    <w:rsid w:val="008D4B51"/>
    <w:rsid w:val="008D6215"/>
    <w:rsid w:val="008D6C97"/>
    <w:rsid w:val="008E5707"/>
    <w:rsid w:val="008E6136"/>
    <w:rsid w:val="008E6202"/>
    <w:rsid w:val="008F424B"/>
    <w:rsid w:val="008F4A12"/>
    <w:rsid w:val="009006A5"/>
    <w:rsid w:val="00901231"/>
    <w:rsid w:val="009026EC"/>
    <w:rsid w:val="00904E84"/>
    <w:rsid w:val="00906CEB"/>
    <w:rsid w:val="00907407"/>
    <w:rsid w:val="00907785"/>
    <w:rsid w:val="00911558"/>
    <w:rsid w:val="009142E2"/>
    <w:rsid w:val="009173F2"/>
    <w:rsid w:val="009179F2"/>
    <w:rsid w:val="009202BD"/>
    <w:rsid w:val="0092369C"/>
    <w:rsid w:val="00923BE6"/>
    <w:rsid w:val="00924FD2"/>
    <w:rsid w:val="0092643A"/>
    <w:rsid w:val="0093399E"/>
    <w:rsid w:val="00935DBB"/>
    <w:rsid w:val="00946037"/>
    <w:rsid w:val="00950535"/>
    <w:rsid w:val="009517FE"/>
    <w:rsid w:val="0095448C"/>
    <w:rsid w:val="00956455"/>
    <w:rsid w:val="00960956"/>
    <w:rsid w:val="009656E3"/>
    <w:rsid w:val="00965D0E"/>
    <w:rsid w:val="00965EEB"/>
    <w:rsid w:val="0096634C"/>
    <w:rsid w:val="00970499"/>
    <w:rsid w:val="009707DD"/>
    <w:rsid w:val="0097161A"/>
    <w:rsid w:val="00971F36"/>
    <w:rsid w:val="009741FD"/>
    <w:rsid w:val="0097476B"/>
    <w:rsid w:val="00976E57"/>
    <w:rsid w:val="0097778C"/>
    <w:rsid w:val="009777C9"/>
    <w:rsid w:val="00980667"/>
    <w:rsid w:val="00980D55"/>
    <w:rsid w:val="009926EC"/>
    <w:rsid w:val="00992CAF"/>
    <w:rsid w:val="0099315C"/>
    <w:rsid w:val="00997F73"/>
    <w:rsid w:val="009A1008"/>
    <w:rsid w:val="009A1EC2"/>
    <w:rsid w:val="009A4262"/>
    <w:rsid w:val="009A713F"/>
    <w:rsid w:val="009B0D77"/>
    <w:rsid w:val="009B2374"/>
    <w:rsid w:val="009C2F59"/>
    <w:rsid w:val="009C3E2B"/>
    <w:rsid w:val="009C4F5B"/>
    <w:rsid w:val="009C72E4"/>
    <w:rsid w:val="009C7D1D"/>
    <w:rsid w:val="009D13D0"/>
    <w:rsid w:val="009D1961"/>
    <w:rsid w:val="009D2815"/>
    <w:rsid w:val="009D47DF"/>
    <w:rsid w:val="009D788E"/>
    <w:rsid w:val="009E0B89"/>
    <w:rsid w:val="009E29B6"/>
    <w:rsid w:val="009E30C7"/>
    <w:rsid w:val="009E4976"/>
    <w:rsid w:val="009E4BD7"/>
    <w:rsid w:val="009E5652"/>
    <w:rsid w:val="009F1C02"/>
    <w:rsid w:val="009F1E46"/>
    <w:rsid w:val="009F2665"/>
    <w:rsid w:val="009F5805"/>
    <w:rsid w:val="009F760C"/>
    <w:rsid w:val="00A003B9"/>
    <w:rsid w:val="00A014F1"/>
    <w:rsid w:val="00A0572F"/>
    <w:rsid w:val="00A06311"/>
    <w:rsid w:val="00A13BAA"/>
    <w:rsid w:val="00A13C21"/>
    <w:rsid w:val="00A145A4"/>
    <w:rsid w:val="00A2180D"/>
    <w:rsid w:val="00A27042"/>
    <w:rsid w:val="00A436B4"/>
    <w:rsid w:val="00A469B6"/>
    <w:rsid w:val="00A474EC"/>
    <w:rsid w:val="00A5283F"/>
    <w:rsid w:val="00A55672"/>
    <w:rsid w:val="00A57EC1"/>
    <w:rsid w:val="00A61304"/>
    <w:rsid w:val="00A63970"/>
    <w:rsid w:val="00A64F4C"/>
    <w:rsid w:val="00A65079"/>
    <w:rsid w:val="00A676FA"/>
    <w:rsid w:val="00A7179A"/>
    <w:rsid w:val="00A73CC7"/>
    <w:rsid w:val="00A76225"/>
    <w:rsid w:val="00A76622"/>
    <w:rsid w:val="00A83871"/>
    <w:rsid w:val="00A845CA"/>
    <w:rsid w:val="00A902E5"/>
    <w:rsid w:val="00A919BD"/>
    <w:rsid w:val="00A96EDB"/>
    <w:rsid w:val="00AA0175"/>
    <w:rsid w:val="00AA0780"/>
    <w:rsid w:val="00AA0A65"/>
    <w:rsid w:val="00AA3302"/>
    <w:rsid w:val="00AA37B2"/>
    <w:rsid w:val="00AA408C"/>
    <w:rsid w:val="00AA6977"/>
    <w:rsid w:val="00AA73E2"/>
    <w:rsid w:val="00AB1C65"/>
    <w:rsid w:val="00AB3C5A"/>
    <w:rsid w:val="00AB5343"/>
    <w:rsid w:val="00AB75BA"/>
    <w:rsid w:val="00AC094E"/>
    <w:rsid w:val="00AC0B09"/>
    <w:rsid w:val="00AC0E5D"/>
    <w:rsid w:val="00AC3D8F"/>
    <w:rsid w:val="00AC5D14"/>
    <w:rsid w:val="00AD2B6D"/>
    <w:rsid w:val="00AD4B04"/>
    <w:rsid w:val="00AD6A29"/>
    <w:rsid w:val="00AE0D19"/>
    <w:rsid w:val="00AE4D51"/>
    <w:rsid w:val="00AE616F"/>
    <w:rsid w:val="00AE71CC"/>
    <w:rsid w:val="00AF1C2E"/>
    <w:rsid w:val="00AF6181"/>
    <w:rsid w:val="00B006AA"/>
    <w:rsid w:val="00B013C5"/>
    <w:rsid w:val="00B04475"/>
    <w:rsid w:val="00B07FFA"/>
    <w:rsid w:val="00B13710"/>
    <w:rsid w:val="00B13AB0"/>
    <w:rsid w:val="00B2250F"/>
    <w:rsid w:val="00B233D8"/>
    <w:rsid w:val="00B27573"/>
    <w:rsid w:val="00B3018B"/>
    <w:rsid w:val="00B332E3"/>
    <w:rsid w:val="00B351D8"/>
    <w:rsid w:val="00B352D9"/>
    <w:rsid w:val="00B358EB"/>
    <w:rsid w:val="00B37A4B"/>
    <w:rsid w:val="00B45EDA"/>
    <w:rsid w:val="00B50558"/>
    <w:rsid w:val="00B533E0"/>
    <w:rsid w:val="00B54D6F"/>
    <w:rsid w:val="00B55615"/>
    <w:rsid w:val="00B57F12"/>
    <w:rsid w:val="00B60298"/>
    <w:rsid w:val="00B6224C"/>
    <w:rsid w:val="00B62440"/>
    <w:rsid w:val="00B626BE"/>
    <w:rsid w:val="00B63371"/>
    <w:rsid w:val="00B66A00"/>
    <w:rsid w:val="00B7139F"/>
    <w:rsid w:val="00B74B98"/>
    <w:rsid w:val="00B807A5"/>
    <w:rsid w:val="00B81D54"/>
    <w:rsid w:val="00B87B69"/>
    <w:rsid w:val="00B87D53"/>
    <w:rsid w:val="00B94FD5"/>
    <w:rsid w:val="00B95D7B"/>
    <w:rsid w:val="00B95EE7"/>
    <w:rsid w:val="00B96A0B"/>
    <w:rsid w:val="00BA01A6"/>
    <w:rsid w:val="00BA50BE"/>
    <w:rsid w:val="00BA56D3"/>
    <w:rsid w:val="00BA6F63"/>
    <w:rsid w:val="00BA7131"/>
    <w:rsid w:val="00BB03C4"/>
    <w:rsid w:val="00BC0181"/>
    <w:rsid w:val="00BC1FB7"/>
    <w:rsid w:val="00BC4A46"/>
    <w:rsid w:val="00BC61A3"/>
    <w:rsid w:val="00BD02B5"/>
    <w:rsid w:val="00BD3539"/>
    <w:rsid w:val="00BE16D9"/>
    <w:rsid w:val="00BE7D92"/>
    <w:rsid w:val="00BF0F66"/>
    <w:rsid w:val="00BF294C"/>
    <w:rsid w:val="00BF5027"/>
    <w:rsid w:val="00BF5D4C"/>
    <w:rsid w:val="00C011D6"/>
    <w:rsid w:val="00C01433"/>
    <w:rsid w:val="00C057A8"/>
    <w:rsid w:val="00C0765A"/>
    <w:rsid w:val="00C10D21"/>
    <w:rsid w:val="00C14637"/>
    <w:rsid w:val="00C20882"/>
    <w:rsid w:val="00C21368"/>
    <w:rsid w:val="00C22F31"/>
    <w:rsid w:val="00C23680"/>
    <w:rsid w:val="00C24E1B"/>
    <w:rsid w:val="00C26D19"/>
    <w:rsid w:val="00C308CB"/>
    <w:rsid w:val="00C31579"/>
    <w:rsid w:val="00C31D8E"/>
    <w:rsid w:val="00C34DAE"/>
    <w:rsid w:val="00C3562F"/>
    <w:rsid w:val="00C36779"/>
    <w:rsid w:val="00C40849"/>
    <w:rsid w:val="00C43740"/>
    <w:rsid w:val="00C43853"/>
    <w:rsid w:val="00C46C70"/>
    <w:rsid w:val="00C51D95"/>
    <w:rsid w:val="00C56DC3"/>
    <w:rsid w:val="00C6027A"/>
    <w:rsid w:val="00C607C1"/>
    <w:rsid w:val="00C60DAD"/>
    <w:rsid w:val="00C619B5"/>
    <w:rsid w:val="00C62270"/>
    <w:rsid w:val="00C63A3B"/>
    <w:rsid w:val="00C64BEE"/>
    <w:rsid w:val="00C659AB"/>
    <w:rsid w:val="00C65D56"/>
    <w:rsid w:val="00C66462"/>
    <w:rsid w:val="00C70013"/>
    <w:rsid w:val="00C73F0D"/>
    <w:rsid w:val="00C75145"/>
    <w:rsid w:val="00C80D84"/>
    <w:rsid w:val="00C845D6"/>
    <w:rsid w:val="00C91B80"/>
    <w:rsid w:val="00C95BB9"/>
    <w:rsid w:val="00C95FEF"/>
    <w:rsid w:val="00CA1E99"/>
    <w:rsid w:val="00CA751D"/>
    <w:rsid w:val="00CB1860"/>
    <w:rsid w:val="00CB6294"/>
    <w:rsid w:val="00CC53BF"/>
    <w:rsid w:val="00CC597E"/>
    <w:rsid w:val="00CC7911"/>
    <w:rsid w:val="00CD4398"/>
    <w:rsid w:val="00CD4E5E"/>
    <w:rsid w:val="00CD571E"/>
    <w:rsid w:val="00CE2180"/>
    <w:rsid w:val="00CE4FE2"/>
    <w:rsid w:val="00CE588C"/>
    <w:rsid w:val="00CE6EEA"/>
    <w:rsid w:val="00CF0406"/>
    <w:rsid w:val="00CF7B50"/>
    <w:rsid w:val="00D009DD"/>
    <w:rsid w:val="00D0288E"/>
    <w:rsid w:val="00D04D26"/>
    <w:rsid w:val="00D05BBA"/>
    <w:rsid w:val="00D06817"/>
    <w:rsid w:val="00D16121"/>
    <w:rsid w:val="00D20DDE"/>
    <w:rsid w:val="00D24B3D"/>
    <w:rsid w:val="00D25C7D"/>
    <w:rsid w:val="00D26341"/>
    <w:rsid w:val="00D27509"/>
    <w:rsid w:val="00D2760C"/>
    <w:rsid w:val="00D30021"/>
    <w:rsid w:val="00D306C2"/>
    <w:rsid w:val="00D32538"/>
    <w:rsid w:val="00D3424E"/>
    <w:rsid w:val="00D35132"/>
    <w:rsid w:val="00D35D7D"/>
    <w:rsid w:val="00D40022"/>
    <w:rsid w:val="00D4210F"/>
    <w:rsid w:val="00D447D3"/>
    <w:rsid w:val="00D450FB"/>
    <w:rsid w:val="00D45B05"/>
    <w:rsid w:val="00D467FD"/>
    <w:rsid w:val="00D52457"/>
    <w:rsid w:val="00D60AD4"/>
    <w:rsid w:val="00D627CD"/>
    <w:rsid w:val="00D643EF"/>
    <w:rsid w:val="00D6508E"/>
    <w:rsid w:val="00D66709"/>
    <w:rsid w:val="00D71DE7"/>
    <w:rsid w:val="00D76B8E"/>
    <w:rsid w:val="00D77442"/>
    <w:rsid w:val="00D817F1"/>
    <w:rsid w:val="00D86F68"/>
    <w:rsid w:val="00D94356"/>
    <w:rsid w:val="00D95483"/>
    <w:rsid w:val="00D97CF1"/>
    <w:rsid w:val="00D97DF4"/>
    <w:rsid w:val="00DA2505"/>
    <w:rsid w:val="00DA6061"/>
    <w:rsid w:val="00DA61E5"/>
    <w:rsid w:val="00DB3F35"/>
    <w:rsid w:val="00DB45B6"/>
    <w:rsid w:val="00DB7E49"/>
    <w:rsid w:val="00DC173A"/>
    <w:rsid w:val="00DC1742"/>
    <w:rsid w:val="00DC22B8"/>
    <w:rsid w:val="00DC38C2"/>
    <w:rsid w:val="00DC4394"/>
    <w:rsid w:val="00DC528C"/>
    <w:rsid w:val="00DC52C8"/>
    <w:rsid w:val="00DD4D13"/>
    <w:rsid w:val="00DE229C"/>
    <w:rsid w:val="00DE23D8"/>
    <w:rsid w:val="00DE78FD"/>
    <w:rsid w:val="00DF26E7"/>
    <w:rsid w:val="00DF3D7B"/>
    <w:rsid w:val="00DF4BF9"/>
    <w:rsid w:val="00DF57DD"/>
    <w:rsid w:val="00DF6A6F"/>
    <w:rsid w:val="00E01931"/>
    <w:rsid w:val="00E01E87"/>
    <w:rsid w:val="00E043ED"/>
    <w:rsid w:val="00E04EF7"/>
    <w:rsid w:val="00E06528"/>
    <w:rsid w:val="00E06A60"/>
    <w:rsid w:val="00E075AA"/>
    <w:rsid w:val="00E11EC4"/>
    <w:rsid w:val="00E13074"/>
    <w:rsid w:val="00E13397"/>
    <w:rsid w:val="00E14403"/>
    <w:rsid w:val="00E22EB0"/>
    <w:rsid w:val="00E24A77"/>
    <w:rsid w:val="00E2748A"/>
    <w:rsid w:val="00E31EFA"/>
    <w:rsid w:val="00E3264B"/>
    <w:rsid w:val="00E32696"/>
    <w:rsid w:val="00E46845"/>
    <w:rsid w:val="00E477C3"/>
    <w:rsid w:val="00E556A0"/>
    <w:rsid w:val="00E633D8"/>
    <w:rsid w:val="00E64170"/>
    <w:rsid w:val="00E6627C"/>
    <w:rsid w:val="00E76009"/>
    <w:rsid w:val="00E8247B"/>
    <w:rsid w:val="00E845BB"/>
    <w:rsid w:val="00E85AAD"/>
    <w:rsid w:val="00E87196"/>
    <w:rsid w:val="00E90629"/>
    <w:rsid w:val="00E90FE6"/>
    <w:rsid w:val="00E91309"/>
    <w:rsid w:val="00E921AB"/>
    <w:rsid w:val="00EA03F3"/>
    <w:rsid w:val="00EA4487"/>
    <w:rsid w:val="00EA6709"/>
    <w:rsid w:val="00EA78BD"/>
    <w:rsid w:val="00EB2CCF"/>
    <w:rsid w:val="00EB462B"/>
    <w:rsid w:val="00EB4BD7"/>
    <w:rsid w:val="00EB62C5"/>
    <w:rsid w:val="00EC220B"/>
    <w:rsid w:val="00EC432A"/>
    <w:rsid w:val="00ED2B9C"/>
    <w:rsid w:val="00ED3041"/>
    <w:rsid w:val="00ED38F3"/>
    <w:rsid w:val="00ED4734"/>
    <w:rsid w:val="00ED7C96"/>
    <w:rsid w:val="00EE0DE0"/>
    <w:rsid w:val="00EE1E11"/>
    <w:rsid w:val="00EE37E5"/>
    <w:rsid w:val="00EE3B08"/>
    <w:rsid w:val="00EE534B"/>
    <w:rsid w:val="00EE53D1"/>
    <w:rsid w:val="00EE701F"/>
    <w:rsid w:val="00EE770E"/>
    <w:rsid w:val="00EF3592"/>
    <w:rsid w:val="00EF6815"/>
    <w:rsid w:val="00EF747E"/>
    <w:rsid w:val="00F04C92"/>
    <w:rsid w:val="00F0513E"/>
    <w:rsid w:val="00F05F6D"/>
    <w:rsid w:val="00F143DA"/>
    <w:rsid w:val="00F1456D"/>
    <w:rsid w:val="00F179F9"/>
    <w:rsid w:val="00F204EB"/>
    <w:rsid w:val="00F20C70"/>
    <w:rsid w:val="00F229B4"/>
    <w:rsid w:val="00F23CCD"/>
    <w:rsid w:val="00F24646"/>
    <w:rsid w:val="00F259A5"/>
    <w:rsid w:val="00F27399"/>
    <w:rsid w:val="00F274F8"/>
    <w:rsid w:val="00F322E9"/>
    <w:rsid w:val="00F370D1"/>
    <w:rsid w:val="00F4231D"/>
    <w:rsid w:val="00F47E3F"/>
    <w:rsid w:val="00F51BE0"/>
    <w:rsid w:val="00F538BB"/>
    <w:rsid w:val="00F5461D"/>
    <w:rsid w:val="00F57687"/>
    <w:rsid w:val="00F6072C"/>
    <w:rsid w:val="00F612BD"/>
    <w:rsid w:val="00F6153A"/>
    <w:rsid w:val="00F63CBA"/>
    <w:rsid w:val="00F674D2"/>
    <w:rsid w:val="00F70281"/>
    <w:rsid w:val="00F735CA"/>
    <w:rsid w:val="00F744BE"/>
    <w:rsid w:val="00F74A55"/>
    <w:rsid w:val="00F817BF"/>
    <w:rsid w:val="00F81836"/>
    <w:rsid w:val="00F81B4A"/>
    <w:rsid w:val="00F9013F"/>
    <w:rsid w:val="00F90469"/>
    <w:rsid w:val="00F92426"/>
    <w:rsid w:val="00F92AA0"/>
    <w:rsid w:val="00F95A50"/>
    <w:rsid w:val="00F971E0"/>
    <w:rsid w:val="00F9772E"/>
    <w:rsid w:val="00FA17AC"/>
    <w:rsid w:val="00FA1D3B"/>
    <w:rsid w:val="00FA542A"/>
    <w:rsid w:val="00FB1646"/>
    <w:rsid w:val="00FB4BEB"/>
    <w:rsid w:val="00FB4C42"/>
    <w:rsid w:val="00FB54CE"/>
    <w:rsid w:val="00FB5915"/>
    <w:rsid w:val="00FC2EEA"/>
    <w:rsid w:val="00FC5C22"/>
    <w:rsid w:val="00FD17DA"/>
    <w:rsid w:val="00FD1B18"/>
    <w:rsid w:val="00FD2E87"/>
    <w:rsid w:val="00FD36B2"/>
    <w:rsid w:val="00FD7B60"/>
    <w:rsid w:val="00FE0925"/>
    <w:rsid w:val="00FE1AD6"/>
    <w:rsid w:val="00FE4BCB"/>
    <w:rsid w:val="00FE61EA"/>
    <w:rsid w:val="00FF1811"/>
    <w:rsid w:val="00FF45A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3399E"/>
    <w:pPr>
      <w:spacing w:before="220" w:after="220" w:line="280" w:lineRule="exact"/>
    </w:pPr>
  </w:style>
  <w:style w:type="paragraph" w:styleId="Heading1">
    <w:name w:val="heading 1"/>
    <w:aliases w:val="numbered"/>
    <w:basedOn w:val="Normal"/>
    <w:next w:val="Normal"/>
    <w:link w:val="Heading1Char"/>
    <w:qFormat/>
    <w:rsid w:val="000B0846"/>
    <w:pPr>
      <w:keepNext/>
      <w:keepLines/>
      <w:spacing w:before="7600" w:after="480"/>
      <w:jc w:val="right"/>
      <w:outlineLvl w:val="0"/>
    </w:pPr>
    <w:rPr>
      <w:rFonts w:ascii="Arial Narrow" w:eastAsiaTheme="majorEastAsia" w:hAnsi="Arial Narrow" w:cstheme="majorBidi"/>
      <w:smallCaps/>
      <w:sz w:val="42"/>
      <w:szCs w:val="32"/>
    </w:rPr>
  </w:style>
  <w:style w:type="paragraph" w:styleId="Heading2">
    <w:name w:val="heading 2"/>
    <w:basedOn w:val="Normal"/>
    <w:next w:val="Normal"/>
    <w:link w:val="Heading2Char"/>
    <w:autoRedefine/>
    <w:uiPriority w:val="9"/>
    <w:unhideWhenUsed/>
    <w:qFormat/>
    <w:rsid w:val="00AC094E"/>
    <w:pPr>
      <w:keepNext/>
      <w:keepLines/>
      <w:spacing w:before="320" w:after="320" w:line="280" w:lineRule="atLeast"/>
      <w:outlineLvl w:val="1"/>
    </w:pPr>
    <w:rPr>
      <w:rFonts w:ascii="Arial Narrow" w:eastAsia="Times New Roman" w:hAnsi="Arial Narrow" w:cstheme="majorBidi"/>
      <w:smallCaps/>
      <w:kern w:val="32"/>
      <w:sz w:val="44"/>
      <w:szCs w:val="44"/>
    </w:rPr>
  </w:style>
  <w:style w:type="paragraph" w:styleId="Heading3">
    <w:name w:val="heading 3"/>
    <w:basedOn w:val="Normal"/>
    <w:next w:val="Normal"/>
    <w:link w:val="Heading3Char"/>
    <w:uiPriority w:val="9"/>
    <w:unhideWhenUsed/>
    <w:qFormat/>
    <w:rsid w:val="0021195E"/>
    <w:pPr>
      <w:keepNext/>
      <w:keepLines/>
      <w:spacing w:before="240" w:after="240"/>
      <w:outlineLvl w:val="2"/>
    </w:pPr>
    <w:rPr>
      <w:rFonts w:ascii="Arial Narrow" w:eastAsiaTheme="majorEastAsia" w:hAnsi="Arial Narrow" w:cstheme="majorBidi"/>
      <w:smallCaps/>
      <w:sz w:val="30"/>
      <w:szCs w:val="24"/>
    </w:rPr>
  </w:style>
  <w:style w:type="paragraph" w:styleId="Heading4">
    <w:name w:val="heading 4"/>
    <w:basedOn w:val="Normal"/>
    <w:next w:val="Normal"/>
    <w:link w:val="Heading4Char"/>
    <w:uiPriority w:val="9"/>
    <w:unhideWhenUsed/>
    <w:qFormat/>
    <w:rsid w:val="000C30A9"/>
    <w:pPr>
      <w:keepNext/>
      <w:keepLines/>
      <w:spacing w:before="240" w:after="240"/>
      <w:outlineLvl w:val="3"/>
    </w:pPr>
    <w:rPr>
      <w:rFonts w:ascii="Arial Narrow" w:eastAsiaTheme="majorEastAsia" w:hAnsi="Arial Narrow" w:cstheme="majorBidi"/>
      <w:b/>
      <w:iCs/>
      <w:smallCaps/>
      <w:sz w:val="26"/>
    </w:rPr>
  </w:style>
  <w:style w:type="paragraph" w:styleId="Heading5">
    <w:name w:val="heading 5"/>
    <w:basedOn w:val="Heading6"/>
    <w:next w:val="Normal"/>
    <w:link w:val="Heading5Char"/>
    <w:autoRedefine/>
    <w:uiPriority w:val="9"/>
    <w:unhideWhenUsed/>
    <w:qFormat/>
    <w:rsid w:val="0010659A"/>
    <w:pPr>
      <w:outlineLvl w:val="4"/>
    </w:pPr>
    <w:rPr>
      <w:rFonts w:ascii="Arial Narrow" w:eastAsia="Times New Roman" w:hAnsi="Arial Narrow"/>
      <w:i w:val="0"/>
      <w:smallCaps/>
      <w:szCs w:val="24"/>
    </w:rPr>
  </w:style>
  <w:style w:type="paragraph" w:styleId="Heading6">
    <w:name w:val="heading 6"/>
    <w:basedOn w:val="Heading7"/>
    <w:next w:val="Normal"/>
    <w:link w:val="Heading6Char"/>
    <w:uiPriority w:val="9"/>
    <w:unhideWhenUsed/>
    <w:qFormat/>
    <w:rsid w:val="005C7610"/>
    <w:pPr>
      <w:spacing w:before="220" w:after="220"/>
      <w:outlineLvl w:val="5"/>
    </w:pPr>
    <w:rPr>
      <w:rFonts w:ascii="Calibri" w:hAnsi="Calibri"/>
      <w:i/>
      <w:smallCaps w:val="0"/>
    </w:rPr>
  </w:style>
  <w:style w:type="paragraph" w:styleId="Heading7">
    <w:name w:val="heading 7"/>
    <w:basedOn w:val="Normal"/>
    <w:next w:val="Normal"/>
    <w:link w:val="Heading7Char"/>
    <w:uiPriority w:val="9"/>
    <w:unhideWhenUsed/>
    <w:rsid w:val="00B27573"/>
    <w:pPr>
      <w:keepNext/>
      <w:keepLines/>
      <w:spacing w:before="240" w:after="240"/>
      <w:outlineLvl w:val="6"/>
    </w:pPr>
    <w:rPr>
      <w:rFonts w:eastAsiaTheme="majorEastAsia" w:cstheme="majorBidi"/>
      <w:iCs/>
      <w:smallCaps/>
    </w:rPr>
  </w:style>
  <w:style w:type="paragraph" w:styleId="Heading8">
    <w:name w:val="heading 8"/>
    <w:basedOn w:val="Normal"/>
    <w:next w:val="Normal"/>
    <w:link w:val="Heading8Char"/>
    <w:uiPriority w:val="9"/>
    <w:semiHidden/>
    <w:unhideWhenUsed/>
    <w:rsid w:val="00713E5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13E5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846"/>
  </w:style>
  <w:style w:type="paragraph" w:styleId="Footer">
    <w:name w:val="footer"/>
    <w:basedOn w:val="Normal"/>
    <w:link w:val="FooterChar"/>
    <w:uiPriority w:val="99"/>
    <w:unhideWhenUsed/>
    <w:rsid w:val="000B08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846"/>
  </w:style>
  <w:style w:type="character" w:customStyle="1" w:styleId="Heading1Char">
    <w:name w:val="Heading 1 Char"/>
    <w:aliases w:val="numbered Char"/>
    <w:basedOn w:val="DefaultParagraphFont"/>
    <w:link w:val="Heading1"/>
    <w:uiPriority w:val="9"/>
    <w:rsid w:val="000B0846"/>
    <w:rPr>
      <w:rFonts w:ascii="Arial Narrow" w:eastAsiaTheme="majorEastAsia" w:hAnsi="Arial Narrow" w:cstheme="majorBidi"/>
      <w:smallCaps/>
      <w:sz w:val="42"/>
      <w:szCs w:val="32"/>
    </w:rPr>
  </w:style>
  <w:style w:type="character" w:customStyle="1" w:styleId="Heading2Char">
    <w:name w:val="Heading 2 Char"/>
    <w:basedOn w:val="DefaultParagraphFont"/>
    <w:link w:val="Heading2"/>
    <w:uiPriority w:val="9"/>
    <w:rsid w:val="00AC094E"/>
    <w:rPr>
      <w:rFonts w:ascii="Arial Narrow" w:eastAsia="Times New Roman" w:hAnsi="Arial Narrow" w:cstheme="majorBidi"/>
      <w:smallCaps/>
      <w:kern w:val="32"/>
      <w:sz w:val="44"/>
      <w:szCs w:val="44"/>
    </w:rPr>
  </w:style>
  <w:style w:type="character" w:customStyle="1" w:styleId="Heading3Char">
    <w:name w:val="Heading 3 Char"/>
    <w:basedOn w:val="DefaultParagraphFont"/>
    <w:link w:val="Heading3"/>
    <w:uiPriority w:val="9"/>
    <w:rsid w:val="0021195E"/>
    <w:rPr>
      <w:rFonts w:ascii="Arial Narrow" w:eastAsiaTheme="majorEastAsia" w:hAnsi="Arial Narrow" w:cstheme="majorBidi"/>
      <w:smallCaps/>
      <w:sz w:val="30"/>
      <w:szCs w:val="24"/>
    </w:rPr>
  </w:style>
  <w:style w:type="paragraph" w:styleId="ListParagraph">
    <w:name w:val="List Paragraph"/>
    <w:basedOn w:val="Normal"/>
    <w:uiPriority w:val="34"/>
    <w:qFormat/>
    <w:rsid w:val="00F6072C"/>
    <w:pPr>
      <w:ind w:left="720"/>
      <w:contextualSpacing/>
    </w:pPr>
  </w:style>
  <w:style w:type="paragraph" w:styleId="BalloonText">
    <w:name w:val="Balloon Text"/>
    <w:basedOn w:val="Normal"/>
    <w:link w:val="BalloonTextChar"/>
    <w:uiPriority w:val="99"/>
    <w:semiHidden/>
    <w:unhideWhenUsed/>
    <w:rsid w:val="00713E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E5C"/>
    <w:rPr>
      <w:rFonts w:ascii="Segoe UI" w:hAnsi="Segoe UI" w:cs="Segoe UI"/>
      <w:sz w:val="18"/>
      <w:szCs w:val="18"/>
    </w:rPr>
  </w:style>
  <w:style w:type="paragraph" w:styleId="Bibliography">
    <w:name w:val="Bibliography"/>
    <w:basedOn w:val="Normal"/>
    <w:next w:val="Normal"/>
    <w:uiPriority w:val="37"/>
    <w:semiHidden/>
    <w:unhideWhenUsed/>
    <w:rsid w:val="00713E5C"/>
  </w:style>
  <w:style w:type="paragraph" w:styleId="BlockText">
    <w:name w:val="Block Text"/>
    <w:basedOn w:val="Normal"/>
    <w:uiPriority w:val="99"/>
    <w:semiHidden/>
    <w:unhideWhenUsed/>
    <w:rsid w:val="00713E5C"/>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713E5C"/>
    <w:pPr>
      <w:spacing w:after="120"/>
    </w:pPr>
  </w:style>
  <w:style w:type="character" w:customStyle="1" w:styleId="BodyTextChar">
    <w:name w:val="Body Text Char"/>
    <w:basedOn w:val="DefaultParagraphFont"/>
    <w:link w:val="BodyText"/>
    <w:uiPriority w:val="99"/>
    <w:semiHidden/>
    <w:rsid w:val="00713E5C"/>
  </w:style>
  <w:style w:type="paragraph" w:styleId="BodyText2">
    <w:name w:val="Body Text 2"/>
    <w:basedOn w:val="Normal"/>
    <w:link w:val="BodyText2Char"/>
    <w:uiPriority w:val="99"/>
    <w:semiHidden/>
    <w:unhideWhenUsed/>
    <w:rsid w:val="00713E5C"/>
    <w:pPr>
      <w:spacing w:after="120" w:line="480" w:lineRule="auto"/>
    </w:pPr>
  </w:style>
  <w:style w:type="character" w:customStyle="1" w:styleId="BodyText2Char">
    <w:name w:val="Body Text 2 Char"/>
    <w:basedOn w:val="DefaultParagraphFont"/>
    <w:link w:val="BodyText2"/>
    <w:uiPriority w:val="99"/>
    <w:semiHidden/>
    <w:rsid w:val="00713E5C"/>
  </w:style>
  <w:style w:type="paragraph" w:styleId="BodyText3">
    <w:name w:val="Body Text 3"/>
    <w:basedOn w:val="Normal"/>
    <w:link w:val="BodyText3Char"/>
    <w:uiPriority w:val="99"/>
    <w:semiHidden/>
    <w:unhideWhenUsed/>
    <w:rsid w:val="00713E5C"/>
    <w:pPr>
      <w:spacing w:after="120"/>
    </w:pPr>
    <w:rPr>
      <w:sz w:val="16"/>
      <w:szCs w:val="16"/>
    </w:rPr>
  </w:style>
  <w:style w:type="character" w:customStyle="1" w:styleId="BodyText3Char">
    <w:name w:val="Body Text 3 Char"/>
    <w:basedOn w:val="DefaultParagraphFont"/>
    <w:link w:val="BodyText3"/>
    <w:uiPriority w:val="99"/>
    <w:semiHidden/>
    <w:rsid w:val="00713E5C"/>
    <w:rPr>
      <w:sz w:val="16"/>
      <w:szCs w:val="16"/>
    </w:rPr>
  </w:style>
  <w:style w:type="paragraph" w:styleId="BodyTextFirstIndent">
    <w:name w:val="Body Text First Indent"/>
    <w:basedOn w:val="BodyText"/>
    <w:link w:val="BodyTextFirstIndentChar"/>
    <w:uiPriority w:val="99"/>
    <w:semiHidden/>
    <w:unhideWhenUsed/>
    <w:rsid w:val="00713E5C"/>
    <w:pPr>
      <w:spacing w:after="160"/>
      <w:ind w:firstLine="360"/>
    </w:pPr>
  </w:style>
  <w:style w:type="character" w:customStyle="1" w:styleId="BodyTextFirstIndentChar">
    <w:name w:val="Body Text First Indent Char"/>
    <w:basedOn w:val="BodyTextChar"/>
    <w:link w:val="BodyTextFirstIndent"/>
    <w:uiPriority w:val="99"/>
    <w:semiHidden/>
    <w:rsid w:val="00713E5C"/>
  </w:style>
  <w:style w:type="paragraph" w:styleId="BodyTextIndent">
    <w:name w:val="Body Text Indent"/>
    <w:basedOn w:val="Normal"/>
    <w:link w:val="BodyTextIndentChar"/>
    <w:uiPriority w:val="99"/>
    <w:semiHidden/>
    <w:unhideWhenUsed/>
    <w:rsid w:val="00713E5C"/>
    <w:pPr>
      <w:spacing w:after="120"/>
      <w:ind w:left="283"/>
    </w:pPr>
  </w:style>
  <w:style w:type="character" w:customStyle="1" w:styleId="BodyTextIndentChar">
    <w:name w:val="Body Text Indent Char"/>
    <w:basedOn w:val="DefaultParagraphFont"/>
    <w:link w:val="BodyTextIndent"/>
    <w:uiPriority w:val="99"/>
    <w:semiHidden/>
    <w:rsid w:val="00713E5C"/>
  </w:style>
  <w:style w:type="paragraph" w:styleId="BodyTextFirstIndent2">
    <w:name w:val="Body Text First Indent 2"/>
    <w:basedOn w:val="BodyTextIndent"/>
    <w:link w:val="BodyTextFirstIndent2Char"/>
    <w:uiPriority w:val="99"/>
    <w:semiHidden/>
    <w:unhideWhenUsed/>
    <w:rsid w:val="00713E5C"/>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713E5C"/>
  </w:style>
  <w:style w:type="paragraph" w:styleId="BodyTextIndent2">
    <w:name w:val="Body Text Indent 2"/>
    <w:basedOn w:val="Normal"/>
    <w:link w:val="BodyTextIndent2Char"/>
    <w:uiPriority w:val="99"/>
    <w:semiHidden/>
    <w:unhideWhenUsed/>
    <w:rsid w:val="00713E5C"/>
    <w:pPr>
      <w:spacing w:after="120" w:line="480" w:lineRule="auto"/>
      <w:ind w:left="283"/>
    </w:pPr>
  </w:style>
  <w:style w:type="character" w:customStyle="1" w:styleId="BodyTextIndent2Char">
    <w:name w:val="Body Text Indent 2 Char"/>
    <w:basedOn w:val="DefaultParagraphFont"/>
    <w:link w:val="BodyTextIndent2"/>
    <w:uiPriority w:val="99"/>
    <w:semiHidden/>
    <w:rsid w:val="00713E5C"/>
  </w:style>
  <w:style w:type="paragraph" w:styleId="BodyTextIndent3">
    <w:name w:val="Body Text Indent 3"/>
    <w:basedOn w:val="Normal"/>
    <w:link w:val="BodyTextIndent3Char"/>
    <w:uiPriority w:val="99"/>
    <w:semiHidden/>
    <w:unhideWhenUsed/>
    <w:rsid w:val="00713E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13E5C"/>
    <w:rPr>
      <w:sz w:val="16"/>
      <w:szCs w:val="16"/>
    </w:rPr>
  </w:style>
  <w:style w:type="paragraph" w:styleId="Caption">
    <w:name w:val="caption"/>
    <w:basedOn w:val="Normal"/>
    <w:next w:val="Normal"/>
    <w:uiPriority w:val="35"/>
    <w:semiHidden/>
    <w:unhideWhenUsed/>
    <w:qFormat/>
    <w:rsid w:val="00713E5C"/>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713E5C"/>
    <w:pPr>
      <w:spacing w:after="0" w:line="240" w:lineRule="auto"/>
      <w:ind w:left="4252"/>
    </w:pPr>
  </w:style>
  <w:style w:type="character" w:customStyle="1" w:styleId="ClosingChar">
    <w:name w:val="Closing Char"/>
    <w:basedOn w:val="DefaultParagraphFont"/>
    <w:link w:val="Closing"/>
    <w:uiPriority w:val="99"/>
    <w:semiHidden/>
    <w:rsid w:val="00713E5C"/>
  </w:style>
  <w:style w:type="paragraph" w:styleId="CommentText">
    <w:name w:val="annotation text"/>
    <w:basedOn w:val="Normal"/>
    <w:link w:val="CommentTextChar"/>
    <w:uiPriority w:val="99"/>
    <w:semiHidden/>
    <w:unhideWhenUsed/>
    <w:rsid w:val="00713E5C"/>
    <w:pPr>
      <w:spacing w:line="240" w:lineRule="auto"/>
    </w:pPr>
    <w:rPr>
      <w:sz w:val="20"/>
      <w:szCs w:val="20"/>
    </w:rPr>
  </w:style>
  <w:style w:type="character" w:customStyle="1" w:styleId="CommentTextChar">
    <w:name w:val="Comment Text Char"/>
    <w:basedOn w:val="DefaultParagraphFont"/>
    <w:link w:val="CommentText"/>
    <w:uiPriority w:val="99"/>
    <w:semiHidden/>
    <w:rsid w:val="00713E5C"/>
    <w:rPr>
      <w:sz w:val="20"/>
      <w:szCs w:val="20"/>
    </w:rPr>
  </w:style>
  <w:style w:type="paragraph" w:styleId="CommentSubject">
    <w:name w:val="annotation subject"/>
    <w:basedOn w:val="CommentText"/>
    <w:next w:val="CommentText"/>
    <w:link w:val="CommentSubjectChar"/>
    <w:uiPriority w:val="99"/>
    <w:semiHidden/>
    <w:unhideWhenUsed/>
    <w:rsid w:val="00713E5C"/>
    <w:rPr>
      <w:b/>
      <w:bCs/>
    </w:rPr>
  </w:style>
  <w:style w:type="character" w:customStyle="1" w:styleId="CommentSubjectChar">
    <w:name w:val="Comment Subject Char"/>
    <w:basedOn w:val="CommentTextChar"/>
    <w:link w:val="CommentSubject"/>
    <w:uiPriority w:val="99"/>
    <w:semiHidden/>
    <w:rsid w:val="00713E5C"/>
    <w:rPr>
      <w:b/>
      <w:bCs/>
      <w:sz w:val="20"/>
      <w:szCs w:val="20"/>
    </w:rPr>
  </w:style>
  <w:style w:type="paragraph" w:styleId="Date">
    <w:name w:val="Date"/>
    <w:basedOn w:val="Normal"/>
    <w:next w:val="Normal"/>
    <w:link w:val="DateChar"/>
    <w:uiPriority w:val="99"/>
    <w:semiHidden/>
    <w:unhideWhenUsed/>
    <w:rsid w:val="00713E5C"/>
  </w:style>
  <w:style w:type="character" w:customStyle="1" w:styleId="DateChar">
    <w:name w:val="Date Char"/>
    <w:basedOn w:val="DefaultParagraphFont"/>
    <w:link w:val="Date"/>
    <w:uiPriority w:val="99"/>
    <w:semiHidden/>
    <w:rsid w:val="00713E5C"/>
  </w:style>
  <w:style w:type="paragraph" w:styleId="DocumentMap">
    <w:name w:val="Document Map"/>
    <w:basedOn w:val="Normal"/>
    <w:link w:val="DocumentMapChar"/>
    <w:uiPriority w:val="99"/>
    <w:semiHidden/>
    <w:unhideWhenUsed/>
    <w:rsid w:val="00713E5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13E5C"/>
    <w:rPr>
      <w:rFonts w:ascii="Segoe UI" w:hAnsi="Segoe UI" w:cs="Segoe UI"/>
      <w:sz w:val="16"/>
      <w:szCs w:val="16"/>
    </w:rPr>
  </w:style>
  <w:style w:type="paragraph" w:styleId="E-mailSignature">
    <w:name w:val="E-mail Signature"/>
    <w:basedOn w:val="Normal"/>
    <w:link w:val="E-mailSignatureChar"/>
    <w:uiPriority w:val="99"/>
    <w:semiHidden/>
    <w:unhideWhenUsed/>
    <w:rsid w:val="00713E5C"/>
    <w:pPr>
      <w:spacing w:after="0" w:line="240" w:lineRule="auto"/>
    </w:pPr>
  </w:style>
  <w:style w:type="character" w:customStyle="1" w:styleId="E-mailSignatureChar">
    <w:name w:val="E-mail Signature Char"/>
    <w:basedOn w:val="DefaultParagraphFont"/>
    <w:link w:val="E-mailSignature"/>
    <w:uiPriority w:val="99"/>
    <w:semiHidden/>
    <w:rsid w:val="00713E5C"/>
  </w:style>
  <w:style w:type="paragraph" w:styleId="EndnoteText">
    <w:name w:val="endnote text"/>
    <w:basedOn w:val="Normal"/>
    <w:link w:val="EndnoteTextChar"/>
    <w:uiPriority w:val="99"/>
    <w:semiHidden/>
    <w:unhideWhenUsed/>
    <w:rsid w:val="00713E5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3E5C"/>
    <w:rPr>
      <w:sz w:val="20"/>
      <w:szCs w:val="20"/>
    </w:rPr>
  </w:style>
  <w:style w:type="paragraph" w:styleId="EnvelopeAddress">
    <w:name w:val="envelope address"/>
    <w:basedOn w:val="Normal"/>
    <w:uiPriority w:val="99"/>
    <w:semiHidden/>
    <w:unhideWhenUsed/>
    <w:rsid w:val="00713E5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13E5C"/>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713E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3E5C"/>
    <w:rPr>
      <w:sz w:val="20"/>
      <w:szCs w:val="20"/>
    </w:rPr>
  </w:style>
  <w:style w:type="character" w:customStyle="1" w:styleId="Heading4Char">
    <w:name w:val="Heading 4 Char"/>
    <w:basedOn w:val="DefaultParagraphFont"/>
    <w:link w:val="Heading4"/>
    <w:uiPriority w:val="9"/>
    <w:rsid w:val="000C30A9"/>
    <w:rPr>
      <w:rFonts w:ascii="Arial Narrow" w:eastAsiaTheme="majorEastAsia" w:hAnsi="Arial Narrow" w:cstheme="majorBidi"/>
      <w:b/>
      <w:iCs/>
      <w:smallCaps/>
      <w:sz w:val="26"/>
    </w:rPr>
  </w:style>
  <w:style w:type="character" w:customStyle="1" w:styleId="Heading5Char">
    <w:name w:val="Heading 5 Char"/>
    <w:basedOn w:val="DefaultParagraphFont"/>
    <w:link w:val="Heading5"/>
    <w:uiPriority w:val="9"/>
    <w:rsid w:val="0010659A"/>
    <w:rPr>
      <w:rFonts w:ascii="Arial Narrow" w:eastAsia="Times New Roman" w:hAnsi="Arial Narrow" w:cstheme="majorBidi"/>
      <w:iCs/>
      <w:smallCaps/>
      <w:szCs w:val="24"/>
    </w:rPr>
  </w:style>
  <w:style w:type="character" w:customStyle="1" w:styleId="Heading6Char">
    <w:name w:val="Heading 6 Char"/>
    <w:basedOn w:val="DefaultParagraphFont"/>
    <w:link w:val="Heading6"/>
    <w:uiPriority w:val="9"/>
    <w:rsid w:val="005C7610"/>
    <w:rPr>
      <w:rFonts w:ascii="Calibri" w:eastAsiaTheme="majorEastAsia" w:hAnsi="Calibri" w:cstheme="majorBidi"/>
      <w:i/>
      <w:iCs/>
    </w:rPr>
  </w:style>
  <w:style w:type="character" w:customStyle="1" w:styleId="Heading7Char">
    <w:name w:val="Heading 7 Char"/>
    <w:basedOn w:val="DefaultParagraphFont"/>
    <w:link w:val="Heading7"/>
    <w:uiPriority w:val="9"/>
    <w:rsid w:val="00B27573"/>
    <w:rPr>
      <w:rFonts w:eastAsiaTheme="majorEastAsia" w:cstheme="majorBidi"/>
      <w:iCs/>
      <w:smallCaps/>
    </w:rPr>
  </w:style>
  <w:style w:type="character" w:customStyle="1" w:styleId="Heading8Char">
    <w:name w:val="Heading 8 Char"/>
    <w:basedOn w:val="DefaultParagraphFont"/>
    <w:link w:val="Heading8"/>
    <w:uiPriority w:val="9"/>
    <w:semiHidden/>
    <w:rsid w:val="00713E5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13E5C"/>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713E5C"/>
    <w:pPr>
      <w:spacing w:after="0" w:line="240" w:lineRule="auto"/>
    </w:pPr>
    <w:rPr>
      <w:i/>
      <w:iCs/>
    </w:rPr>
  </w:style>
  <w:style w:type="character" w:customStyle="1" w:styleId="HTMLAddressChar">
    <w:name w:val="HTML Address Char"/>
    <w:basedOn w:val="DefaultParagraphFont"/>
    <w:link w:val="HTMLAddress"/>
    <w:uiPriority w:val="99"/>
    <w:semiHidden/>
    <w:rsid w:val="00713E5C"/>
    <w:rPr>
      <w:i/>
      <w:iCs/>
    </w:rPr>
  </w:style>
  <w:style w:type="paragraph" w:styleId="HTMLPreformatted">
    <w:name w:val="HTML Preformatted"/>
    <w:basedOn w:val="Normal"/>
    <w:link w:val="HTMLPreformattedChar"/>
    <w:uiPriority w:val="99"/>
    <w:semiHidden/>
    <w:unhideWhenUsed/>
    <w:rsid w:val="00713E5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13E5C"/>
    <w:rPr>
      <w:rFonts w:ascii="Consolas" w:hAnsi="Consolas" w:cs="Consolas"/>
      <w:sz w:val="20"/>
      <w:szCs w:val="20"/>
    </w:rPr>
  </w:style>
  <w:style w:type="paragraph" w:styleId="Index1">
    <w:name w:val="index 1"/>
    <w:basedOn w:val="Normal"/>
    <w:next w:val="Normal"/>
    <w:autoRedefine/>
    <w:uiPriority w:val="99"/>
    <w:semiHidden/>
    <w:unhideWhenUsed/>
    <w:rsid w:val="00713E5C"/>
    <w:pPr>
      <w:spacing w:after="0" w:line="240" w:lineRule="auto"/>
      <w:ind w:left="220" w:hanging="220"/>
    </w:pPr>
  </w:style>
  <w:style w:type="paragraph" w:styleId="Index2">
    <w:name w:val="index 2"/>
    <w:basedOn w:val="Normal"/>
    <w:next w:val="Normal"/>
    <w:autoRedefine/>
    <w:uiPriority w:val="99"/>
    <w:semiHidden/>
    <w:unhideWhenUsed/>
    <w:rsid w:val="00713E5C"/>
    <w:pPr>
      <w:spacing w:after="0" w:line="240" w:lineRule="auto"/>
      <w:ind w:left="440" w:hanging="220"/>
    </w:pPr>
  </w:style>
  <w:style w:type="paragraph" w:styleId="Index3">
    <w:name w:val="index 3"/>
    <w:basedOn w:val="Normal"/>
    <w:next w:val="Normal"/>
    <w:autoRedefine/>
    <w:uiPriority w:val="99"/>
    <w:semiHidden/>
    <w:unhideWhenUsed/>
    <w:rsid w:val="00713E5C"/>
    <w:pPr>
      <w:spacing w:after="0" w:line="240" w:lineRule="auto"/>
      <w:ind w:left="660" w:hanging="220"/>
    </w:pPr>
  </w:style>
  <w:style w:type="paragraph" w:styleId="Index4">
    <w:name w:val="index 4"/>
    <w:basedOn w:val="Normal"/>
    <w:next w:val="Normal"/>
    <w:autoRedefine/>
    <w:uiPriority w:val="99"/>
    <w:semiHidden/>
    <w:unhideWhenUsed/>
    <w:rsid w:val="00713E5C"/>
    <w:pPr>
      <w:spacing w:after="0" w:line="240" w:lineRule="auto"/>
      <w:ind w:left="880" w:hanging="220"/>
    </w:pPr>
  </w:style>
  <w:style w:type="paragraph" w:styleId="Index5">
    <w:name w:val="index 5"/>
    <w:basedOn w:val="Normal"/>
    <w:next w:val="Normal"/>
    <w:autoRedefine/>
    <w:uiPriority w:val="99"/>
    <w:semiHidden/>
    <w:unhideWhenUsed/>
    <w:rsid w:val="00713E5C"/>
    <w:pPr>
      <w:spacing w:after="0" w:line="240" w:lineRule="auto"/>
      <w:ind w:left="1100" w:hanging="220"/>
    </w:pPr>
  </w:style>
  <w:style w:type="paragraph" w:styleId="Index6">
    <w:name w:val="index 6"/>
    <w:basedOn w:val="Normal"/>
    <w:next w:val="Normal"/>
    <w:autoRedefine/>
    <w:uiPriority w:val="99"/>
    <w:semiHidden/>
    <w:unhideWhenUsed/>
    <w:rsid w:val="00713E5C"/>
    <w:pPr>
      <w:spacing w:after="0" w:line="240" w:lineRule="auto"/>
      <w:ind w:left="1320" w:hanging="220"/>
    </w:pPr>
  </w:style>
  <w:style w:type="paragraph" w:styleId="Index7">
    <w:name w:val="index 7"/>
    <w:basedOn w:val="Normal"/>
    <w:next w:val="Normal"/>
    <w:autoRedefine/>
    <w:uiPriority w:val="99"/>
    <w:semiHidden/>
    <w:unhideWhenUsed/>
    <w:rsid w:val="00713E5C"/>
    <w:pPr>
      <w:spacing w:after="0" w:line="240" w:lineRule="auto"/>
      <w:ind w:left="1540" w:hanging="220"/>
    </w:pPr>
  </w:style>
  <w:style w:type="paragraph" w:styleId="Index8">
    <w:name w:val="index 8"/>
    <w:basedOn w:val="Normal"/>
    <w:next w:val="Normal"/>
    <w:autoRedefine/>
    <w:uiPriority w:val="99"/>
    <w:semiHidden/>
    <w:unhideWhenUsed/>
    <w:rsid w:val="00713E5C"/>
    <w:pPr>
      <w:spacing w:after="0" w:line="240" w:lineRule="auto"/>
      <w:ind w:left="1760" w:hanging="220"/>
    </w:pPr>
  </w:style>
  <w:style w:type="paragraph" w:styleId="Index9">
    <w:name w:val="index 9"/>
    <w:basedOn w:val="Normal"/>
    <w:next w:val="Normal"/>
    <w:autoRedefine/>
    <w:uiPriority w:val="99"/>
    <w:semiHidden/>
    <w:unhideWhenUsed/>
    <w:rsid w:val="00713E5C"/>
    <w:pPr>
      <w:spacing w:after="0" w:line="240" w:lineRule="auto"/>
      <w:ind w:left="1980" w:hanging="220"/>
    </w:pPr>
  </w:style>
  <w:style w:type="paragraph" w:styleId="IndexHeading">
    <w:name w:val="index heading"/>
    <w:basedOn w:val="Normal"/>
    <w:next w:val="Index1"/>
    <w:uiPriority w:val="99"/>
    <w:semiHidden/>
    <w:unhideWhenUsed/>
    <w:rsid w:val="00713E5C"/>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713E5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13E5C"/>
    <w:rPr>
      <w:i/>
      <w:iCs/>
      <w:color w:val="5B9BD5" w:themeColor="accent1"/>
    </w:rPr>
  </w:style>
  <w:style w:type="paragraph" w:styleId="List">
    <w:name w:val="List"/>
    <w:basedOn w:val="Normal"/>
    <w:uiPriority w:val="99"/>
    <w:semiHidden/>
    <w:unhideWhenUsed/>
    <w:rsid w:val="00713E5C"/>
    <w:pPr>
      <w:ind w:left="283" w:hanging="283"/>
      <w:contextualSpacing/>
    </w:pPr>
  </w:style>
  <w:style w:type="paragraph" w:styleId="List2">
    <w:name w:val="List 2"/>
    <w:basedOn w:val="Normal"/>
    <w:uiPriority w:val="99"/>
    <w:semiHidden/>
    <w:unhideWhenUsed/>
    <w:rsid w:val="00713E5C"/>
    <w:pPr>
      <w:ind w:left="566" w:hanging="283"/>
      <w:contextualSpacing/>
    </w:pPr>
  </w:style>
  <w:style w:type="paragraph" w:styleId="List3">
    <w:name w:val="List 3"/>
    <w:basedOn w:val="Normal"/>
    <w:uiPriority w:val="99"/>
    <w:semiHidden/>
    <w:unhideWhenUsed/>
    <w:rsid w:val="00713E5C"/>
    <w:pPr>
      <w:ind w:left="849" w:hanging="283"/>
      <w:contextualSpacing/>
    </w:pPr>
  </w:style>
  <w:style w:type="paragraph" w:styleId="List4">
    <w:name w:val="List 4"/>
    <w:basedOn w:val="Normal"/>
    <w:uiPriority w:val="99"/>
    <w:semiHidden/>
    <w:unhideWhenUsed/>
    <w:rsid w:val="00713E5C"/>
    <w:pPr>
      <w:ind w:left="1132" w:hanging="283"/>
      <w:contextualSpacing/>
    </w:pPr>
  </w:style>
  <w:style w:type="paragraph" w:styleId="List5">
    <w:name w:val="List 5"/>
    <w:basedOn w:val="Normal"/>
    <w:uiPriority w:val="99"/>
    <w:semiHidden/>
    <w:unhideWhenUsed/>
    <w:rsid w:val="00713E5C"/>
    <w:pPr>
      <w:ind w:left="1415" w:hanging="283"/>
      <w:contextualSpacing/>
    </w:pPr>
  </w:style>
  <w:style w:type="paragraph" w:styleId="ListBullet">
    <w:name w:val="List Bullet"/>
    <w:basedOn w:val="Normal"/>
    <w:uiPriority w:val="99"/>
    <w:semiHidden/>
    <w:unhideWhenUsed/>
    <w:rsid w:val="00713E5C"/>
    <w:pPr>
      <w:numPr>
        <w:numId w:val="1"/>
      </w:numPr>
      <w:contextualSpacing/>
    </w:pPr>
  </w:style>
  <w:style w:type="paragraph" w:styleId="ListBullet2">
    <w:name w:val="List Bullet 2"/>
    <w:basedOn w:val="Normal"/>
    <w:uiPriority w:val="99"/>
    <w:semiHidden/>
    <w:unhideWhenUsed/>
    <w:rsid w:val="00713E5C"/>
    <w:pPr>
      <w:numPr>
        <w:numId w:val="2"/>
      </w:numPr>
      <w:contextualSpacing/>
    </w:pPr>
  </w:style>
  <w:style w:type="paragraph" w:styleId="ListBullet3">
    <w:name w:val="List Bullet 3"/>
    <w:basedOn w:val="Normal"/>
    <w:uiPriority w:val="99"/>
    <w:semiHidden/>
    <w:unhideWhenUsed/>
    <w:rsid w:val="00713E5C"/>
    <w:pPr>
      <w:numPr>
        <w:numId w:val="3"/>
      </w:numPr>
      <w:contextualSpacing/>
    </w:pPr>
  </w:style>
  <w:style w:type="paragraph" w:styleId="ListBullet4">
    <w:name w:val="List Bullet 4"/>
    <w:basedOn w:val="Normal"/>
    <w:uiPriority w:val="99"/>
    <w:semiHidden/>
    <w:unhideWhenUsed/>
    <w:rsid w:val="00713E5C"/>
    <w:pPr>
      <w:numPr>
        <w:numId w:val="4"/>
      </w:numPr>
      <w:contextualSpacing/>
    </w:pPr>
  </w:style>
  <w:style w:type="paragraph" w:styleId="ListBullet5">
    <w:name w:val="List Bullet 5"/>
    <w:basedOn w:val="Normal"/>
    <w:uiPriority w:val="99"/>
    <w:semiHidden/>
    <w:unhideWhenUsed/>
    <w:rsid w:val="00713E5C"/>
    <w:pPr>
      <w:numPr>
        <w:numId w:val="5"/>
      </w:numPr>
      <w:contextualSpacing/>
    </w:pPr>
  </w:style>
  <w:style w:type="paragraph" w:styleId="ListContinue">
    <w:name w:val="List Continue"/>
    <w:basedOn w:val="Normal"/>
    <w:uiPriority w:val="99"/>
    <w:semiHidden/>
    <w:unhideWhenUsed/>
    <w:rsid w:val="00713E5C"/>
    <w:pPr>
      <w:spacing w:after="120"/>
      <w:ind w:left="283"/>
      <w:contextualSpacing/>
    </w:pPr>
  </w:style>
  <w:style w:type="paragraph" w:styleId="ListContinue2">
    <w:name w:val="List Continue 2"/>
    <w:basedOn w:val="Normal"/>
    <w:uiPriority w:val="99"/>
    <w:semiHidden/>
    <w:unhideWhenUsed/>
    <w:rsid w:val="00713E5C"/>
    <w:pPr>
      <w:spacing w:after="120"/>
      <w:ind w:left="566"/>
      <w:contextualSpacing/>
    </w:pPr>
  </w:style>
  <w:style w:type="paragraph" w:styleId="ListContinue3">
    <w:name w:val="List Continue 3"/>
    <w:basedOn w:val="Normal"/>
    <w:uiPriority w:val="99"/>
    <w:semiHidden/>
    <w:unhideWhenUsed/>
    <w:rsid w:val="00713E5C"/>
    <w:pPr>
      <w:spacing w:after="120"/>
      <w:ind w:left="849"/>
      <w:contextualSpacing/>
    </w:pPr>
  </w:style>
  <w:style w:type="paragraph" w:styleId="ListContinue4">
    <w:name w:val="List Continue 4"/>
    <w:basedOn w:val="Normal"/>
    <w:uiPriority w:val="99"/>
    <w:semiHidden/>
    <w:unhideWhenUsed/>
    <w:rsid w:val="00713E5C"/>
    <w:pPr>
      <w:spacing w:after="120"/>
      <w:ind w:left="1132"/>
      <w:contextualSpacing/>
    </w:pPr>
  </w:style>
  <w:style w:type="paragraph" w:styleId="ListContinue5">
    <w:name w:val="List Continue 5"/>
    <w:basedOn w:val="Normal"/>
    <w:uiPriority w:val="99"/>
    <w:semiHidden/>
    <w:unhideWhenUsed/>
    <w:rsid w:val="00713E5C"/>
    <w:pPr>
      <w:spacing w:after="120"/>
      <w:ind w:left="1415"/>
      <w:contextualSpacing/>
    </w:pPr>
  </w:style>
  <w:style w:type="paragraph" w:styleId="ListNumber">
    <w:name w:val="List Number"/>
    <w:basedOn w:val="Normal"/>
    <w:uiPriority w:val="99"/>
    <w:semiHidden/>
    <w:unhideWhenUsed/>
    <w:rsid w:val="00713E5C"/>
    <w:pPr>
      <w:numPr>
        <w:numId w:val="6"/>
      </w:numPr>
      <w:contextualSpacing/>
    </w:pPr>
  </w:style>
  <w:style w:type="paragraph" w:styleId="ListNumber2">
    <w:name w:val="List Number 2"/>
    <w:basedOn w:val="Normal"/>
    <w:uiPriority w:val="99"/>
    <w:semiHidden/>
    <w:unhideWhenUsed/>
    <w:rsid w:val="00713E5C"/>
    <w:pPr>
      <w:numPr>
        <w:numId w:val="7"/>
      </w:numPr>
      <w:contextualSpacing/>
    </w:pPr>
  </w:style>
  <w:style w:type="paragraph" w:styleId="ListNumber3">
    <w:name w:val="List Number 3"/>
    <w:basedOn w:val="Normal"/>
    <w:uiPriority w:val="99"/>
    <w:semiHidden/>
    <w:unhideWhenUsed/>
    <w:rsid w:val="00713E5C"/>
    <w:pPr>
      <w:numPr>
        <w:numId w:val="8"/>
      </w:numPr>
      <w:contextualSpacing/>
    </w:pPr>
  </w:style>
  <w:style w:type="paragraph" w:styleId="ListNumber4">
    <w:name w:val="List Number 4"/>
    <w:basedOn w:val="Normal"/>
    <w:uiPriority w:val="99"/>
    <w:semiHidden/>
    <w:unhideWhenUsed/>
    <w:rsid w:val="00713E5C"/>
    <w:pPr>
      <w:numPr>
        <w:numId w:val="9"/>
      </w:numPr>
      <w:contextualSpacing/>
    </w:pPr>
  </w:style>
  <w:style w:type="paragraph" w:styleId="ListNumber5">
    <w:name w:val="List Number 5"/>
    <w:basedOn w:val="Normal"/>
    <w:uiPriority w:val="99"/>
    <w:semiHidden/>
    <w:unhideWhenUsed/>
    <w:rsid w:val="00713E5C"/>
    <w:pPr>
      <w:numPr>
        <w:numId w:val="10"/>
      </w:numPr>
      <w:contextualSpacing/>
    </w:pPr>
  </w:style>
  <w:style w:type="paragraph" w:styleId="MacroText">
    <w:name w:val="macro"/>
    <w:link w:val="MacroTextChar"/>
    <w:uiPriority w:val="99"/>
    <w:semiHidden/>
    <w:unhideWhenUsed/>
    <w:rsid w:val="00713E5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713E5C"/>
    <w:rPr>
      <w:rFonts w:ascii="Consolas" w:hAnsi="Consolas" w:cs="Consolas"/>
      <w:sz w:val="20"/>
      <w:szCs w:val="20"/>
    </w:rPr>
  </w:style>
  <w:style w:type="paragraph" w:styleId="MessageHeader">
    <w:name w:val="Message Header"/>
    <w:basedOn w:val="Normal"/>
    <w:link w:val="MessageHeaderChar"/>
    <w:uiPriority w:val="99"/>
    <w:semiHidden/>
    <w:unhideWhenUsed/>
    <w:rsid w:val="00713E5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13E5C"/>
    <w:rPr>
      <w:rFonts w:asciiTheme="majorHAnsi" w:eastAsiaTheme="majorEastAsia" w:hAnsiTheme="majorHAnsi" w:cstheme="majorBidi"/>
      <w:sz w:val="24"/>
      <w:szCs w:val="24"/>
      <w:shd w:val="pct20" w:color="auto" w:fill="auto"/>
    </w:rPr>
  </w:style>
  <w:style w:type="paragraph" w:styleId="NoSpacing">
    <w:name w:val="No Spacing"/>
    <w:uiPriority w:val="1"/>
    <w:rsid w:val="00713E5C"/>
    <w:pPr>
      <w:spacing w:after="0" w:line="240" w:lineRule="auto"/>
    </w:pPr>
  </w:style>
  <w:style w:type="paragraph" w:styleId="NormalWeb">
    <w:name w:val="Normal (Web)"/>
    <w:basedOn w:val="Normal"/>
    <w:uiPriority w:val="99"/>
    <w:semiHidden/>
    <w:unhideWhenUsed/>
    <w:rsid w:val="00713E5C"/>
    <w:rPr>
      <w:rFonts w:ascii="Times New Roman" w:hAnsi="Times New Roman" w:cs="Times New Roman"/>
      <w:sz w:val="24"/>
      <w:szCs w:val="24"/>
    </w:rPr>
  </w:style>
  <w:style w:type="paragraph" w:styleId="NormalIndent">
    <w:name w:val="Normal Indent"/>
    <w:basedOn w:val="Normal"/>
    <w:uiPriority w:val="99"/>
    <w:semiHidden/>
    <w:unhideWhenUsed/>
    <w:rsid w:val="00713E5C"/>
    <w:pPr>
      <w:ind w:left="720"/>
    </w:pPr>
  </w:style>
  <w:style w:type="paragraph" w:styleId="NoteHeading">
    <w:name w:val="Note Heading"/>
    <w:basedOn w:val="Normal"/>
    <w:next w:val="Normal"/>
    <w:link w:val="NoteHeadingChar"/>
    <w:uiPriority w:val="99"/>
    <w:semiHidden/>
    <w:unhideWhenUsed/>
    <w:rsid w:val="00713E5C"/>
    <w:pPr>
      <w:spacing w:after="0" w:line="240" w:lineRule="auto"/>
    </w:pPr>
  </w:style>
  <w:style w:type="character" w:customStyle="1" w:styleId="NoteHeadingChar">
    <w:name w:val="Note Heading Char"/>
    <w:basedOn w:val="DefaultParagraphFont"/>
    <w:link w:val="NoteHeading"/>
    <w:uiPriority w:val="99"/>
    <w:semiHidden/>
    <w:rsid w:val="00713E5C"/>
  </w:style>
  <w:style w:type="paragraph" w:styleId="PlainText">
    <w:name w:val="Plain Text"/>
    <w:basedOn w:val="Normal"/>
    <w:link w:val="PlainTextChar"/>
    <w:uiPriority w:val="99"/>
    <w:semiHidden/>
    <w:unhideWhenUsed/>
    <w:rsid w:val="00713E5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713E5C"/>
    <w:rPr>
      <w:rFonts w:ascii="Consolas" w:hAnsi="Consolas" w:cs="Consolas"/>
      <w:sz w:val="21"/>
      <w:szCs w:val="21"/>
    </w:rPr>
  </w:style>
  <w:style w:type="paragraph" w:styleId="Quote">
    <w:name w:val="Quote"/>
    <w:basedOn w:val="Normal"/>
    <w:next w:val="Normal"/>
    <w:link w:val="QuoteChar"/>
    <w:uiPriority w:val="29"/>
    <w:qFormat/>
    <w:rsid w:val="00ED4734"/>
    <w:pPr>
      <w:ind w:left="709"/>
    </w:pPr>
  </w:style>
  <w:style w:type="character" w:customStyle="1" w:styleId="QuoteChar">
    <w:name w:val="Quote Char"/>
    <w:basedOn w:val="DefaultParagraphFont"/>
    <w:link w:val="Quote"/>
    <w:uiPriority w:val="29"/>
    <w:rsid w:val="00ED4734"/>
  </w:style>
  <w:style w:type="paragraph" w:styleId="Salutation">
    <w:name w:val="Salutation"/>
    <w:basedOn w:val="Normal"/>
    <w:next w:val="Normal"/>
    <w:link w:val="SalutationChar"/>
    <w:uiPriority w:val="99"/>
    <w:semiHidden/>
    <w:unhideWhenUsed/>
    <w:rsid w:val="00713E5C"/>
  </w:style>
  <w:style w:type="character" w:customStyle="1" w:styleId="SalutationChar">
    <w:name w:val="Salutation Char"/>
    <w:basedOn w:val="DefaultParagraphFont"/>
    <w:link w:val="Salutation"/>
    <w:uiPriority w:val="99"/>
    <w:semiHidden/>
    <w:rsid w:val="00713E5C"/>
  </w:style>
  <w:style w:type="paragraph" w:styleId="Signature">
    <w:name w:val="Signature"/>
    <w:basedOn w:val="Normal"/>
    <w:link w:val="SignatureChar"/>
    <w:uiPriority w:val="99"/>
    <w:semiHidden/>
    <w:unhideWhenUsed/>
    <w:rsid w:val="00713E5C"/>
    <w:pPr>
      <w:spacing w:after="0" w:line="240" w:lineRule="auto"/>
      <w:ind w:left="4252"/>
    </w:pPr>
  </w:style>
  <w:style w:type="character" w:customStyle="1" w:styleId="SignatureChar">
    <w:name w:val="Signature Char"/>
    <w:basedOn w:val="DefaultParagraphFont"/>
    <w:link w:val="Signature"/>
    <w:uiPriority w:val="99"/>
    <w:semiHidden/>
    <w:rsid w:val="00713E5C"/>
  </w:style>
  <w:style w:type="paragraph" w:styleId="Subtitle">
    <w:name w:val="Subtitle"/>
    <w:basedOn w:val="Normal"/>
    <w:next w:val="Normal"/>
    <w:link w:val="SubtitleChar"/>
    <w:uiPriority w:val="11"/>
    <w:rsid w:val="00713E5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13E5C"/>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713E5C"/>
    <w:pPr>
      <w:spacing w:after="0"/>
      <w:ind w:left="220" w:hanging="220"/>
    </w:pPr>
  </w:style>
  <w:style w:type="paragraph" w:styleId="TableofFigures">
    <w:name w:val="table of figures"/>
    <w:basedOn w:val="Normal"/>
    <w:next w:val="Normal"/>
    <w:uiPriority w:val="99"/>
    <w:semiHidden/>
    <w:unhideWhenUsed/>
    <w:rsid w:val="00713E5C"/>
    <w:pPr>
      <w:spacing w:after="0"/>
    </w:pPr>
  </w:style>
  <w:style w:type="paragraph" w:styleId="Title">
    <w:name w:val="Title"/>
    <w:basedOn w:val="Normal"/>
    <w:next w:val="Normal"/>
    <w:link w:val="TitleChar"/>
    <w:uiPriority w:val="10"/>
    <w:rsid w:val="00713E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3E5C"/>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713E5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AA408C"/>
    <w:pPr>
      <w:tabs>
        <w:tab w:val="right" w:leader="dot" w:pos="9061"/>
      </w:tabs>
      <w:spacing w:before="240" w:after="40" w:line="312" w:lineRule="auto"/>
      <w:ind w:left="288" w:hanging="288"/>
    </w:pPr>
    <w:rPr>
      <w:rFonts w:ascii="Calibri" w:eastAsia="Times New Roman" w:hAnsi="Calibri" w:cs="Times New Roman"/>
      <w:b/>
      <w:bCs/>
      <w:smallCaps/>
      <w:spacing w:val="40"/>
      <w:sz w:val="28"/>
      <w:szCs w:val="28"/>
    </w:rPr>
  </w:style>
  <w:style w:type="paragraph" w:styleId="TOC2">
    <w:name w:val="toc 2"/>
    <w:basedOn w:val="Normal"/>
    <w:next w:val="Normal"/>
    <w:autoRedefine/>
    <w:uiPriority w:val="39"/>
    <w:unhideWhenUsed/>
    <w:rsid w:val="00AA408C"/>
    <w:pPr>
      <w:tabs>
        <w:tab w:val="right" w:leader="dot" w:pos="9061"/>
      </w:tabs>
      <w:spacing w:before="180" w:after="0" w:line="240" w:lineRule="auto"/>
      <w:ind w:left="850" w:hanging="562"/>
    </w:pPr>
    <w:rPr>
      <w:rFonts w:ascii="Calibri" w:eastAsia="Times New Roman" w:hAnsi="Calibri" w:cs="Times New Roman"/>
      <w:b/>
      <w:sz w:val="24"/>
      <w:szCs w:val="24"/>
    </w:rPr>
  </w:style>
  <w:style w:type="paragraph" w:styleId="TOC3">
    <w:name w:val="toc 3"/>
    <w:basedOn w:val="Normal"/>
    <w:next w:val="Normal"/>
    <w:autoRedefine/>
    <w:uiPriority w:val="39"/>
    <w:unhideWhenUsed/>
    <w:rsid w:val="00AA408C"/>
    <w:pPr>
      <w:tabs>
        <w:tab w:val="right" w:leader="dot" w:pos="9016"/>
      </w:tabs>
      <w:spacing w:before="180" w:after="180" w:line="240" w:lineRule="auto"/>
      <w:ind w:left="446"/>
    </w:pPr>
    <w:rPr>
      <w:rFonts w:eastAsia="Times New Roman"/>
      <w:b/>
      <w:smallCaps/>
      <w:noProof/>
    </w:rPr>
  </w:style>
  <w:style w:type="paragraph" w:styleId="TOC4">
    <w:name w:val="toc 4"/>
    <w:basedOn w:val="Normal"/>
    <w:next w:val="Normal"/>
    <w:autoRedefine/>
    <w:uiPriority w:val="39"/>
    <w:unhideWhenUsed/>
    <w:rsid w:val="0097778C"/>
    <w:pPr>
      <w:tabs>
        <w:tab w:val="right" w:leader="dot" w:pos="9016"/>
      </w:tabs>
      <w:spacing w:beforeLines="100" w:afterLines="100" w:line="240" w:lineRule="auto"/>
      <w:ind w:left="658"/>
    </w:pPr>
    <w:rPr>
      <w:rFonts w:ascii="Arial Narrow" w:hAnsi="Arial Narrow"/>
      <w:b/>
      <w:noProof/>
      <w:sz w:val="24"/>
    </w:rPr>
  </w:style>
  <w:style w:type="paragraph" w:styleId="TOC5">
    <w:name w:val="toc 5"/>
    <w:basedOn w:val="Normal"/>
    <w:next w:val="Normal"/>
    <w:autoRedefine/>
    <w:uiPriority w:val="39"/>
    <w:semiHidden/>
    <w:unhideWhenUsed/>
    <w:rsid w:val="00713E5C"/>
    <w:pPr>
      <w:spacing w:after="100"/>
      <w:ind w:left="880"/>
    </w:pPr>
  </w:style>
  <w:style w:type="paragraph" w:styleId="TOC6">
    <w:name w:val="toc 6"/>
    <w:basedOn w:val="Normal"/>
    <w:next w:val="Normal"/>
    <w:autoRedefine/>
    <w:uiPriority w:val="39"/>
    <w:semiHidden/>
    <w:unhideWhenUsed/>
    <w:rsid w:val="00713E5C"/>
    <w:pPr>
      <w:spacing w:after="100"/>
      <w:ind w:left="1100"/>
    </w:pPr>
  </w:style>
  <w:style w:type="paragraph" w:styleId="TOC7">
    <w:name w:val="toc 7"/>
    <w:basedOn w:val="Normal"/>
    <w:next w:val="Normal"/>
    <w:autoRedefine/>
    <w:uiPriority w:val="39"/>
    <w:semiHidden/>
    <w:unhideWhenUsed/>
    <w:rsid w:val="00713E5C"/>
    <w:pPr>
      <w:spacing w:after="100"/>
      <w:ind w:left="1320"/>
    </w:pPr>
  </w:style>
  <w:style w:type="paragraph" w:styleId="TOC8">
    <w:name w:val="toc 8"/>
    <w:basedOn w:val="Normal"/>
    <w:next w:val="Normal"/>
    <w:autoRedefine/>
    <w:uiPriority w:val="39"/>
    <w:semiHidden/>
    <w:unhideWhenUsed/>
    <w:rsid w:val="00713E5C"/>
    <w:pPr>
      <w:spacing w:after="100"/>
      <w:ind w:left="1540"/>
    </w:pPr>
  </w:style>
  <w:style w:type="paragraph" w:styleId="TOC9">
    <w:name w:val="toc 9"/>
    <w:basedOn w:val="Normal"/>
    <w:next w:val="Normal"/>
    <w:autoRedefine/>
    <w:uiPriority w:val="39"/>
    <w:semiHidden/>
    <w:unhideWhenUsed/>
    <w:rsid w:val="00713E5C"/>
    <w:pPr>
      <w:spacing w:after="100"/>
      <w:ind w:left="1760"/>
    </w:pPr>
  </w:style>
  <w:style w:type="paragraph" w:styleId="TOCHeading">
    <w:name w:val="TOC Heading"/>
    <w:basedOn w:val="Heading1"/>
    <w:next w:val="Normal"/>
    <w:uiPriority w:val="39"/>
    <w:unhideWhenUsed/>
    <w:qFormat/>
    <w:rsid w:val="00116E9B"/>
    <w:pPr>
      <w:spacing w:before="240" w:after="240"/>
      <w:jc w:val="left"/>
      <w:outlineLvl w:val="9"/>
    </w:pPr>
    <w:rPr>
      <w:smallCaps w:val="0"/>
      <w:sz w:val="30"/>
    </w:rPr>
  </w:style>
  <w:style w:type="character" w:styleId="Hyperlink">
    <w:name w:val="Hyperlink"/>
    <w:basedOn w:val="DefaultParagraphFont"/>
    <w:uiPriority w:val="99"/>
    <w:unhideWhenUsed/>
    <w:rsid w:val="00DC528C"/>
    <w:rPr>
      <w:color w:val="0000FF"/>
      <w:u w:val="single"/>
    </w:rPr>
  </w:style>
  <w:style w:type="character" w:styleId="FootnoteReference">
    <w:name w:val="footnote reference"/>
    <w:aliases w:val="Footnote number,Footnotes refss"/>
    <w:basedOn w:val="DefaultParagraphFont"/>
    <w:uiPriority w:val="99"/>
    <w:unhideWhenUsed/>
    <w:rsid w:val="006013DE"/>
    <w:rPr>
      <w:vertAlign w:val="superscript"/>
    </w:rPr>
  </w:style>
  <w:style w:type="character" w:styleId="Strong">
    <w:name w:val="Strong"/>
    <w:basedOn w:val="DefaultParagraphFont"/>
    <w:uiPriority w:val="22"/>
    <w:qFormat/>
    <w:rsid w:val="00034ADC"/>
    <w:rPr>
      <w:b/>
      <w:bCs/>
    </w:rPr>
  </w:style>
  <w:style w:type="paragraph" w:customStyle="1" w:styleId="Bodycopy">
    <w:name w:val="Body copy"/>
    <w:qFormat/>
    <w:rsid w:val="00133AB1"/>
    <w:pPr>
      <w:widowControl w:val="0"/>
      <w:tabs>
        <w:tab w:val="left" w:pos="1276"/>
      </w:tabs>
      <w:spacing w:before="240" w:after="240" w:line="300" w:lineRule="exact"/>
    </w:pPr>
    <w:rPr>
      <w:rFonts w:ascii="Calibri" w:eastAsia="Calibri" w:hAnsi="Calibri" w:cs="Calibri"/>
      <w:color w:val="000000"/>
      <w:szCs w:val="20"/>
      <w:lang w:eastAsia="en-AU"/>
    </w:rPr>
  </w:style>
  <w:style w:type="character" w:styleId="FollowedHyperlink">
    <w:name w:val="FollowedHyperlink"/>
    <w:basedOn w:val="DefaultParagraphFont"/>
    <w:uiPriority w:val="99"/>
    <w:semiHidden/>
    <w:unhideWhenUsed/>
    <w:rsid w:val="00670CBD"/>
    <w:rPr>
      <w:color w:val="954F72" w:themeColor="followedHyperlink"/>
      <w:u w:val="single"/>
    </w:rPr>
  </w:style>
  <w:style w:type="paragraph" w:customStyle="1" w:styleId="Amain">
    <w:name w:val="A main"/>
    <w:basedOn w:val="Normal"/>
    <w:rsid w:val="00833A3B"/>
    <w:pPr>
      <w:tabs>
        <w:tab w:val="right" w:pos="900"/>
        <w:tab w:val="left" w:pos="1100"/>
      </w:tabs>
      <w:spacing w:before="140" w:after="0" w:line="240" w:lineRule="auto"/>
      <w:ind w:left="1100" w:hanging="1100"/>
      <w:jc w:val="both"/>
      <w:outlineLvl w:val="5"/>
    </w:pPr>
    <w:rPr>
      <w:rFonts w:ascii="Times New Roman" w:eastAsia="Times New Roman" w:hAnsi="Times New Roman" w:cs="Times New Roman"/>
      <w:sz w:val="24"/>
      <w:szCs w:val="20"/>
    </w:rPr>
  </w:style>
  <w:style w:type="paragraph" w:customStyle="1" w:styleId="Apara">
    <w:name w:val="A para"/>
    <w:basedOn w:val="Normal"/>
    <w:rsid w:val="00833A3B"/>
    <w:pPr>
      <w:tabs>
        <w:tab w:val="right" w:pos="1400"/>
        <w:tab w:val="left" w:pos="1600"/>
      </w:tabs>
      <w:spacing w:before="140" w:after="0" w:line="240" w:lineRule="auto"/>
      <w:ind w:left="1600" w:hanging="1600"/>
      <w:jc w:val="both"/>
      <w:outlineLvl w:val="6"/>
    </w:pPr>
    <w:rPr>
      <w:rFonts w:ascii="Times New Roman" w:eastAsia="Times New Roman" w:hAnsi="Times New Roman" w:cs="Times New Roman"/>
      <w:sz w:val="24"/>
      <w:szCs w:val="20"/>
    </w:rPr>
  </w:style>
  <w:style w:type="paragraph" w:customStyle="1" w:styleId="Asubpara">
    <w:name w:val="A subpara"/>
    <w:basedOn w:val="Normal"/>
    <w:rsid w:val="00833A3B"/>
    <w:pPr>
      <w:tabs>
        <w:tab w:val="right" w:pos="1900"/>
        <w:tab w:val="left" w:pos="2100"/>
      </w:tabs>
      <w:spacing w:before="140" w:after="0" w:line="240" w:lineRule="auto"/>
      <w:ind w:left="2100" w:hanging="2100"/>
      <w:jc w:val="both"/>
      <w:outlineLvl w:val="7"/>
    </w:pPr>
    <w:rPr>
      <w:rFonts w:ascii="Times New Roman" w:eastAsia="Times New Roman" w:hAnsi="Times New Roman" w:cs="Times New Roman"/>
      <w:sz w:val="24"/>
      <w:szCs w:val="20"/>
    </w:rPr>
  </w:style>
  <w:style w:type="character" w:customStyle="1" w:styleId="charItals">
    <w:name w:val="charItals"/>
    <w:basedOn w:val="DefaultParagraphFont"/>
    <w:rsid w:val="00833A3B"/>
    <w:rPr>
      <w:rFonts w:cs="Times New Roman"/>
      <w:i/>
    </w:rPr>
  </w:style>
  <w:style w:type="paragraph" w:customStyle="1" w:styleId="aNotepar">
    <w:name w:val="aNotepar"/>
    <w:basedOn w:val="Normal"/>
    <w:next w:val="Normal"/>
    <w:rsid w:val="00833A3B"/>
    <w:pPr>
      <w:spacing w:before="140" w:after="0" w:line="240" w:lineRule="auto"/>
      <w:ind w:left="2400" w:hanging="800"/>
      <w:jc w:val="both"/>
    </w:pPr>
    <w:rPr>
      <w:rFonts w:ascii="Times New Roman" w:eastAsia="Times New Roman" w:hAnsi="Times New Roman" w:cs="Times New Roman"/>
      <w:sz w:val="20"/>
      <w:szCs w:val="20"/>
    </w:rPr>
  </w:style>
  <w:style w:type="character" w:customStyle="1" w:styleId="charCitHyperlinkAbbrev">
    <w:name w:val="charCitHyperlinkAbbrev"/>
    <w:basedOn w:val="Hyperlink"/>
    <w:uiPriority w:val="1"/>
    <w:rsid w:val="00833A3B"/>
    <w:rPr>
      <w:rFonts w:cs="Times New Roman"/>
      <w:color w:val="0563C1" w:themeColor="hyperlink"/>
      <w:u w:val="none"/>
    </w:rPr>
  </w:style>
  <w:style w:type="paragraph" w:customStyle="1" w:styleId="Amainreturn">
    <w:name w:val="A main return"/>
    <w:basedOn w:val="Normal"/>
    <w:link w:val="AmainreturnChar"/>
    <w:rsid w:val="00BC1FB7"/>
    <w:pPr>
      <w:spacing w:before="140" w:after="0" w:line="240" w:lineRule="auto"/>
      <w:ind w:left="1100"/>
      <w:jc w:val="both"/>
    </w:pPr>
    <w:rPr>
      <w:rFonts w:ascii="Times New Roman" w:eastAsia="Times New Roman" w:hAnsi="Times New Roman" w:cs="Times New Roman"/>
      <w:sz w:val="24"/>
      <w:szCs w:val="20"/>
    </w:rPr>
  </w:style>
  <w:style w:type="paragraph" w:customStyle="1" w:styleId="aNote">
    <w:name w:val="aNote"/>
    <w:basedOn w:val="Normal"/>
    <w:link w:val="aNoteChar"/>
    <w:rsid w:val="00BC1FB7"/>
    <w:pPr>
      <w:spacing w:before="140" w:after="0" w:line="240" w:lineRule="auto"/>
      <w:ind w:left="1900" w:hanging="800"/>
      <w:jc w:val="both"/>
    </w:pPr>
    <w:rPr>
      <w:rFonts w:ascii="Times New Roman" w:eastAsia="Times New Roman" w:hAnsi="Times New Roman" w:cs="Times New Roman"/>
      <w:sz w:val="20"/>
      <w:szCs w:val="20"/>
    </w:rPr>
  </w:style>
  <w:style w:type="paragraph" w:customStyle="1" w:styleId="IH5Sec">
    <w:name w:val="I H5 Sec"/>
    <w:basedOn w:val="Normal"/>
    <w:next w:val="Normal"/>
    <w:rsid w:val="00BC1FB7"/>
    <w:pPr>
      <w:keepNext/>
      <w:tabs>
        <w:tab w:val="left" w:pos="1100"/>
      </w:tabs>
      <w:spacing w:before="240" w:after="0" w:line="240" w:lineRule="auto"/>
      <w:ind w:left="1100" w:hanging="1100"/>
    </w:pPr>
    <w:rPr>
      <w:rFonts w:ascii="Arial" w:eastAsia="Times New Roman" w:hAnsi="Arial" w:cs="Times New Roman"/>
      <w:b/>
      <w:sz w:val="24"/>
      <w:szCs w:val="20"/>
    </w:rPr>
  </w:style>
  <w:style w:type="paragraph" w:customStyle="1" w:styleId="Ipara">
    <w:name w:val="I para"/>
    <w:basedOn w:val="Apara"/>
    <w:rsid w:val="00BC1FB7"/>
    <w:pPr>
      <w:outlineLvl w:val="9"/>
    </w:pPr>
  </w:style>
  <w:style w:type="paragraph" w:customStyle="1" w:styleId="PenaltyPara">
    <w:name w:val="PenaltyPara"/>
    <w:basedOn w:val="Normal"/>
    <w:rsid w:val="00BC1FB7"/>
    <w:pPr>
      <w:tabs>
        <w:tab w:val="left" w:pos="0"/>
        <w:tab w:val="right" w:pos="1360"/>
      </w:tabs>
      <w:spacing w:before="60" w:after="0" w:line="240" w:lineRule="auto"/>
      <w:ind w:left="1600" w:hanging="1600"/>
      <w:jc w:val="both"/>
    </w:pPr>
    <w:rPr>
      <w:rFonts w:ascii="Times New Roman" w:eastAsia="Times New Roman" w:hAnsi="Times New Roman" w:cs="Times New Roman"/>
      <w:sz w:val="24"/>
      <w:szCs w:val="20"/>
    </w:rPr>
  </w:style>
  <w:style w:type="paragraph" w:customStyle="1" w:styleId="Penalty">
    <w:name w:val="Penalty"/>
    <w:basedOn w:val="Amainreturn"/>
    <w:rsid w:val="00BC1FB7"/>
  </w:style>
  <w:style w:type="character" w:customStyle="1" w:styleId="aNoteChar">
    <w:name w:val="aNote Char"/>
    <w:basedOn w:val="DefaultParagraphFont"/>
    <w:link w:val="aNote"/>
    <w:locked/>
    <w:rsid w:val="00BC1FB7"/>
    <w:rPr>
      <w:rFonts w:ascii="Times New Roman" w:eastAsia="Times New Roman" w:hAnsi="Times New Roman" w:cs="Times New Roman"/>
      <w:sz w:val="20"/>
      <w:szCs w:val="20"/>
    </w:rPr>
  </w:style>
  <w:style w:type="character" w:customStyle="1" w:styleId="AmainreturnChar">
    <w:name w:val="A main return Char"/>
    <w:basedOn w:val="DefaultParagraphFont"/>
    <w:link w:val="Amainreturn"/>
    <w:locked/>
    <w:rsid w:val="00BC1FB7"/>
    <w:rPr>
      <w:rFonts w:ascii="Times New Roman" w:eastAsia="Times New Roman" w:hAnsi="Times New Roman" w:cs="Times New Roman"/>
      <w:sz w:val="24"/>
      <w:szCs w:val="20"/>
    </w:rPr>
  </w:style>
  <w:style w:type="paragraph" w:customStyle="1" w:styleId="Headiong5">
    <w:name w:val="Headiong 5"/>
    <w:basedOn w:val="Normal"/>
    <w:rsid w:val="007F6E9B"/>
    <w:pPr>
      <w:keepNext/>
      <w:keepLines/>
      <w:outlineLvl w:val="4"/>
    </w:pPr>
    <w:rPr>
      <w:rFonts w:ascii="Arial Narrow" w:eastAsia="Times New Roman" w:hAnsi="Arial Narrow" w:cs="Times New Roman"/>
      <w:iCs/>
      <w:smallCaps/>
      <w:szCs w:val="24"/>
    </w:rPr>
  </w:style>
  <w:style w:type="paragraph" w:customStyle="1" w:styleId="Paper">
    <w:name w:val="Paper"/>
    <w:rsid w:val="00434745"/>
    <w:pPr>
      <w:spacing w:after="120" w:line="240" w:lineRule="auto"/>
    </w:pPr>
    <w:rPr>
      <w:rFonts w:ascii="Times New Roman" w:eastAsia="Times New Roman" w:hAnsi="Times New Roman" w:cs="Times New Roman"/>
      <w:sz w:val="24"/>
      <w:szCs w:val="20"/>
    </w:rPr>
  </w:style>
  <w:style w:type="paragraph" w:customStyle="1" w:styleId="Hyper">
    <w:name w:val="Hyper"/>
    <w:basedOn w:val="Normal"/>
    <w:rsid w:val="0093399E"/>
    <w:pPr>
      <w:spacing w:line="280" w:lineRule="atLeast"/>
    </w:pPr>
    <w:rPr>
      <w:rFonts w:ascii="Calibri" w:eastAsia="Times New Roman" w:hAnsi="Calibri" w:cs="Calibri"/>
      <w:color w:val="1F3864" w:themeColor="accent5" w:themeShade="80"/>
    </w:rPr>
  </w:style>
  <w:style w:type="paragraph" w:customStyle="1" w:styleId="Bodycopynumbered">
    <w:name w:val="Body copy numbered"/>
    <w:rsid w:val="00196028"/>
    <w:pPr>
      <w:keepNext/>
      <w:widowControl w:val="0"/>
      <w:spacing w:before="240" w:after="100" w:line="300" w:lineRule="exact"/>
      <w:ind w:left="567" w:hanging="567"/>
      <w:outlineLvl w:val="1"/>
    </w:pPr>
    <w:rPr>
      <w:rFonts w:ascii="Calibri" w:eastAsia="Calibri" w:hAnsi="Calibri" w:cs="Arial"/>
      <w:bCs/>
      <w:kern w:val="32"/>
      <w:szCs w:val="20"/>
    </w:rPr>
  </w:style>
</w:styles>
</file>

<file path=word/webSettings.xml><?xml version="1.0" encoding="utf-8"?>
<w:webSettings xmlns:r="http://schemas.openxmlformats.org/officeDocument/2006/relationships" xmlns:w="http://schemas.openxmlformats.org/wordprocessingml/2006/main">
  <w:divs>
    <w:div w:id="665597187">
      <w:bodyDiv w:val="1"/>
      <w:marLeft w:val="0"/>
      <w:marRight w:val="0"/>
      <w:marTop w:val="0"/>
      <w:marBottom w:val="0"/>
      <w:divBdr>
        <w:top w:val="none" w:sz="0" w:space="0" w:color="auto"/>
        <w:left w:val="none" w:sz="0" w:space="0" w:color="auto"/>
        <w:bottom w:val="none" w:sz="0" w:space="0" w:color="auto"/>
        <w:right w:val="none" w:sz="0" w:space="0" w:color="auto"/>
      </w:divBdr>
    </w:div>
    <w:div w:id="669332373">
      <w:bodyDiv w:val="1"/>
      <w:marLeft w:val="0"/>
      <w:marRight w:val="0"/>
      <w:marTop w:val="0"/>
      <w:marBottom w:val="0"/>
      <w:divBdr>
        <w:top w:val="none" w:sz="0" w:space="0" w:color="auto"/>
        <w:left w:val="none" w:sz="0" w:space="0" w:color="auto"/>
        <w:bottom w:val="none" w:sz="0" w:space="0" w:color="auto"/>
        <w:right w:val="none" w:sz="0" w:space="0" w:color="auto"/>
      </w:divBdr>
    </w:div>
    <w:div w:id="709569828">
      <w:bodyDiv w:val="1"/>
      <w:marLeft w:val="0"/>
      <w:marRight w:val="0"/>
      <w:marTop w:val="0"/>
      <w:marBottom w:val="0"/>
      <w:divBdr>
        <w:top w:val="none" w:sz="0" w:space="0" w:color="auto"/>
        <w:left w:val="none" w:sz="0" w:space="0" w:color="auto"/>
        <w:bottom w:val="none" w:sz="0" w:space="0" w:color="auto"/>
        <w:right w:val="none" w:sz="0" w:space="0" w:color="auto"/>
      </w:divBdr>
    </w:div>
    <w:div w:id="1288320872">
      <w:bodyDiv w:val="1"/>
      <w:marLeft w:val="0"/>
      <w:marRight w:val="0"/>
      <w:marTop w:val="0"/>
      <w:marBottom w:val="0"/>
      <w:divBdr>
        <w:top w:val="none" w:sz="0" w:space="0" w:color="auto"/>
        <w:left w:val="none" w:sz="0" w:space="0" w:color="auto"/>
        <w:bottom w:val="none" w:sz="0" w:space="0" w:color="auto"/>
        <w:right w:val="none" w:sz="0" w:space="0" w:color="auto"/>
      </w:divBdr>
    </w:div>
    <w:div w:id="1311326864">
      <w:bodyDiv w:val="1"/>
      <w:marLeft w:val="0"/>
      <w:marRight w:val="0"/>
      <w:marTop w:val="0"/>
      <w:marBottom w:val="0"/>
      <w:divBdr>
        <w:top w:val="none" w:sz="0" w:space="0" w:color="auto"/>
        <w:left w:val="none" w:sz="0" w:space="0" w:color="auto"/>
        <w:bottom w:val="none" w:sz="0" w:space="0" w:color="auto"/>
        <w:right w:val="none" w:sz="0" w:space="0" w:color="auto"/>
      </w:divBdr>
    </w:div>
    <w:div w:id="144900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s://www.parliament.act.gov.au/__data/assets/pdf_file/0007/434347/Subordinate-Legislation-Technical-and-Stylistic-Standards.pdf" TargetMode="Externa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parliament.act.gov.au/__data/assets/pdf_file/0007/434347/Subordinate-Legislation-Technical-and-Stylistic-Standards.pdf" TargetMode="External"/><Relationship Id="rId2" Type="http://schemas.openxmlformats.org/officeDocument/2006/relationships/customXml" Target="../customXml/item2.xml"/><Relationship Id="rId16" Type="http://schemas.openxmlformats.org/officeDocument/2006/relationships/hyperlink" Target="https://www.parliament.act.gov.au/__data/assets/pdf_file/0007/434347/Subordinate-Legislation-Technical-and-Stylistic-Standards.pdf"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parliament.act.gov.au/in-committees/standing-committees-current-assembly/standing-committee-on-justice-and-community-safety-legislative-scrutiny-role/response-to-comments-on-subordinate-legislation"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B71D5-18B5-42FC-84DA-93F7D5A7DEB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7B4FD02-97DD-44A6-9FE1-396A6429A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17</Pages>
  <Words>4716</Words>
  <Characters>26318</Characters>
  <Application>Microsoft Office Word</Application>
  <DocSecurity>0</DocSecurity>
  <Lines>461</Lines>
  <Paragraphs>258</Paragraphs>
  <ScaleCrop>false</ScaleCrop>
  <HeadingPairs>
    <vt:vector size="2" baseType="variant">
      <vt:variant>
        <vt:lpstr>Title</vt:lpstr>
      </vt:variant>
      <vt:variant>
        <vt:i4>1</vt:i4>
      </vt:variant>
    </vt:vector>
  </HeadingPairs>
  <TitlesOfParts>
    <vt:vector size="1" baseType="lpstr">
      <vt:lpstr>Scrutiny Report 22—16 October 2018</vt:lpstr>
    </vt:vector>
  </TitlesOfParts>
  <Company>ACT Government</Company>
  <LinksUpToDate>false</LinksUpToDate>
  <CharactersWithSpaces>30776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Scrutiny Report 23—29 October 2018</dc:title>
  <dc:creator>anne shannon</dc:creator>
  <cp:lastModifiedBy>anne shannon</cp:lastModifiedBy>
  <cp:revision>24</cp:revision>
  <cp:lastPrinted>2018-10-25T22:51:00Z</cp:lastPrinted>
  <dcterms:created xsi:type="dcterms:W3CDTF">2018-10-22T00:48:00Z</dcterms:created>
  <dcterms:modified xsi:type="dcterms:W3CDTF">2018-10-29T01:46:00Z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b062b889-f5f7-442f-9491-24ddcba30a21</vt:lpwstr>
  </property>
  <property fmtid="{D5CDD505-2E9C-101B-9397-08002B2CF9AE}" pid="3" name="bjSaver">
    <vt:lpwstr>ZwE+/ToLrPDfvyrx1nh9MyjXnSm5Wksu</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