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BC" w:rsidRDefault="009B5804" w:rsidP="009B5804">
      <w:pPr>
        <w:pStyle w:val="Prelimminorheading"/>
        <w:numPr>
          <w:ilvl w:val="0"/>
          <w:numId w:val="0"/>
        </w:numPr>
        <w:tabs>
          <w:tab w:val="clear" w:pos="567"/>
          <w:tab w:val="left" w:pos="8085"/>
        </w:tabs>
        <w:spacing w:after="8400"/>
      </w:pPr>
      <w:r>
        <w:tab/>
      </w:r>
    </w:p>
    <w:p w:rsidR="008909CB" w:rsidRDefault="00FD085E" w:rsidP="00F74CED">
      <w:pPr>
        <w:pStyle w:val="Reporttitle"/>
      </w:pPr>
      <w:r>
        <w:t>Inquiry into Vocational Education and Youth T</w:t>
      </w:r>
      <w:r w:rsidR="00172BD7">
        <w:t xml:space="preserve">raining </w:t>
      </w:r>
      <w:r w:rsidR="00172BD7" w:rsidRPr="0075728A">
        <w:t>in the ACT</w:t>
      </w:r>
      <w:r w:rsidR="00740BA8" w:rsidRPr="0075728A">
        <w:t xml:space="preserve"> – Final Report</w:t>
      </w:r>
    </w:p>
    <w:p w:rsidR="001D795B" w:rsidRPr="001D795B" w:rsidRDefault="00BC1937" w:rsidP="001D795B">
      <w:pPr>
        <w:pStyle w:val="Committeename"/>
      </w:pPr>
      <w:r>
        <w:t>June</w:t>
      </w:r>
      <w:r w:rsidR="001D795B" w:rsidRPr="007508E2">
        <w:t xml:space="preserve"> 2016</w:t>
      </w:r>
    </w:p>
    <w:p w:rsidR="008909CB" w:rsidRDefault="00FD085E" w:rsidP="00F22201">
      <w:pPr>
        <w:pStyle w:val="Committeename"/>
        <w:spacing w:before="480" w:after="480"/>
      </w:pPr>
      <w:r>
        <w:t>Standing Committee on Education, Training and Youth A</w:t>
      </w:r>
      <w:r w:rsidR="00172BD7">
        <w:t>ffairs</w:t>
      </w:r>
    </w:p>
    <w:p w:rsidR="008909CB" w:rsidRDefault="008909CB" w:rsidP="00F22201">
      <w:pPr>
        <w:pStyle w:val="Reportnumber"/>
        <w:spacing w:before="720"/>
      </w:pPr>
      <w:r>
        <w:t xml:space="preserve">Report </w:t>
      </w:r>
      <w:r w:rsidR="00BC1937">
        <w:t>6</w:t>
      </w:r>
    </w:p>
    <w:p w:rsidR="008909CB" w:rsidRDefault="008909CB">
      <w:pPr>
        <w:pStyle w:val="Prelimminorheading"/>
        <w:numPr>
          <w:ilvl w:val="0"/>
          <w:numId w:val="0"/>
        </w:numPr>
        <w:sectPr w:rsidR="008909CB" w:rsidSect="009D46B6">
          <w:headerReference w:type="even" r:id="rId9"/>
          <w:headerReference w:type="default" r:id="rId10"/>
          <w:footerReference w:type="even" r:id="rId11"/>
          <w:footerReference w:type="default" r:id="rId12"/>
          <w:headerReference w:type="first" r:id="rId13"/>
          <w:footerReference w:type="first" r:id="rId14"/>
          <w:pgSz w:w="11907" w:h="16840" w:code="9"/>
          <w:pgMar w:top="1588" w:right="1418" w:bottom="425" w:left="1418" w:header="720" w:footer="851" w:gutter="0"/>
          <w:pgNumType w:fmt="lowerRoman"/>
          <w:cols w:space="720"/>
          <w:titlePg/>
          <w:docGrid w:linePitch="360"/>
        </w:sectPr>
      </w:pPr>
    </w:p>
    <w:p w:rsidR="00AD1971" w:rsidRDefault="00AD1971" w:rsidP="002E676A">
      <w:pPr>
        <w:pStyle w:val="Prelimminorheading"/>
        <w:numPr>
          <w:ilvl w:val="0"/>
          <w:numId w:val="0"/>
        </w:numPr>
        <w:rPr>
          <w:spacing w:val="4"/>
          <w:sz w:val="30"/>
          <w:szCs w:val="30"/>
        </w:rPr>
        <w:sectPr w:rsidR="00AD1971" w:rsidSect="00060064">
          <w:headerReference w:type="even" r:id="rId15"/>
          <w:headerReference w:type="default" r:id="rId16"/>
          <w:footerReference w:type="even" r:id="rId17"/>
          <w:headerReference w:type="first" r:id="rId18"/>
          <w:pgSz w:w="11907" w:h="16840" w:code="9"/>
          <w:pgMar w:top="1588" w:right="1418" w:bottom="1418" w:left="1418" w:header="720" w:footer="851" w:gutter="0"/>
          <w:pgNumType w:fmt="lowerRoman"/>
          <w:cols w:space="720"/>
          <w:docGrid w:linePitch="360"/>
        </w:sectPr>
      </w:pPr>
      <w:bookmarkStart w:id="0" w:name="_Toc170711045"/>
      <w:bookmarkStart w:id="1" w:name="_Toc341433411"/>
      <w:bookmarkStart w:id="2" w:name="_Toc341687854"/>
    </w:p>
    <w:p w:rsidR="002E676A" w:rsidRPr="00BD6446" w:rsidRDefault="00AF784F" w:rsidP="002E676A">
      <w:pPr>
        <w:pStyle w:val="Prelimminorheading"/>
        <w:numPr>
          <w:ilvl w:val="0"/>
          <w:numId w:val="0"/>
        </w:numPr>
        <w:rPr>
          <w:spacing w:val="4"/>
          <w:sz w:val="30"/>
          <w:szCs w:val="30"/>
        </w:rPr>
      </w:pPr>
      <w:bookmarkStart w:id="3" w:name="_Toc453157517"/>
      <w:r w:rsidRPr="00BD6446">
        <w:rPr>
          <w:spacing w:val="4"/>
          <w:sz w:val="30"/>
          <w:szCs w:val="30"/>
        </w:rPr>
        <w:lastRenderedPageBreak/>
        <w:t>Committee m</w:t>
      </w:r>
      <w:r w:rsidR="002E676A" w:rsidRPr="00BD6446">
        <w:rPr>
          <w:spacing w:val="4"/>
          <w:sz w:val="30"/>
          <w:szCs w:val="30"/>
        </w:rPr>
        <w:t>embership</w:t>
      </w:r>
      <w:bookmarkEnd w:id="0"/>
      <w:bookmarkEnd w:id="1"/>
      <w:bookmarkEnd w:id="2"/>
      <w:bookmarkEnd w:id="3"/>
    </w:p>
    <w:p w:rsidR="00BA7B74" w:rsidRDefault="00BA7B74" w:rsidP="00BA7B74">
      <w:pPr>
        <w:pStyle w:val="Bodytextnonumbering"/>
        <w:keepNext w:val="0"/>
      </w:pPr>
      <w:bookmarkStart w:id="4" w:name="_Toc341433412"/>
      <w:bookmarkStart w:id="5" w:name="_Toc341687855"/>
      <w:r w:rsidRPr="0075728A">
        <w:t>M</w:t>
      </w:r>
      <w:r w:rsidR="00740BA8" w:rsidRPr="0075728A">
        <w:t>r Jayson Hinder</w:t>
      </w:r>
      <w:r w:rsidRPr="0075728A">
        <w:t xml:space="preserve"> MLA (Chair</w:t>
      </w:r>
      <w:r w:rsidR="00740BA8" w:rsidRPr="0075728A">
        <w:t xml:space="preserve"> from 9 March 2016)</w:t>
      </w:r>
    </w:p>
    <w:p w:rsidR="00BA7B74" w:rsidRDefault="00BA7B74" w:rsidP="00BA7B74">
      <w:pPr>
        <w:pStyle w:val="Bodytextnonumbering"/>
        <w:keepNext w:val="0"/>
      </w:pPr>
      <w:r>
        <w:t>Mr Steve Doszpot MLA (</w:t>
      </w:r>
      <w:r w:rsidRPr="00013D92">
        <w:t>Deputy Chair</w:t>
      </w:r>
      <w:r>
        <w:t>)</w:t>
      </w:r>
      <w:r w:rsidRPr="00013D92">
        <w:t xml:space="preserve"> </w:t>
      </w:r>
    </w:p>
    <w:p w:rsidR="003756F4" w:rsidRPr="00013D92" w:rsidRDefault="003756F4" w:rsidP="003756F4">
      <w:pPr>
        <w:pStyle w:val="Bodytextnonumbering"/>
        <w:keepNext w:val="0"/>
      </w:pPr>
      <w:r>
        <w:t>Mrs Giulia Jones MLA</w:t>
      </w:r>
      <w:r w:rsidRPr="00013D92">
        <w:t xml:space="preserve"> (</w:t>
      </w:r>
      <w:r>
        <w:t>on leave from</w:t>
      </w:r>
      <w:r w:rsidRPr="00013D92">
        <w:t xml:space="preserve"> 17 March </w:t>
      </w:r>
      <w:r>
        <w:t xml:space="preserve">to 4 August </w:t>
      </w:r>
      <w:r w:rsidRPr="00013D92">
        <w:t>2015)</w:t>
      </w:r>
    </w:p>
    <w:p w:rsidR="003756F4" w:rsidRDefault="003756F4" w:rsidP="003756F4">
      <w:pPr>
        <w:pStyle w:val="Bodytextnonumbering"/>
        <w:keepNext w:val="0"/>
      </w:pPr>
      <w:r>
        <w:t>Ms Joy Burch MLA (Member from 9 February 2016)</w:t>
      </w:r>
    </w:p>
    <w:p w:rsidR="00740BA8" w:rsidRPr="00013D92" w:rsidRDefault="00740BA8" w:rsidP="003756F4">
      <w:pPr>
        <w:pStyle w:val="Bodytextnonumbering"/>
        <w:keepNext w:val="0"/>
      </w:pPr>
      <w:r w:rsidRPr="0075728A">
        <w:t xml:space="preserve">Ms Mary Porter AM MLA (Chair to </w:t>
      </w:r>
      <w:r w:rsidR="0075728A" w:rsidRPr="0075728A">
        <w:t>19 February 2016</w:t>
      </w:r>
      <w:r w:rsidRPr="0075728A">
        <w:t>)</w:t>
      </w:r>
    </w:p>
    <w:p w:rsidR="00BA7B74" w:rsidRPr="00013D92" w:rsidRDefault="00BA7B74" w:rsidP="00BA7B74">
      <w:pPr>
        <w:pStyle w:val="Bodytextnonumbering"/>
        <w:keepNext w:val="0"/>
      </w:pPr>
      <w:r w:rsidRPr="00013D92">
        <w:t>Ms Yvette Berry MLA (</w:t>
      </w:r>
      <w:r>
        <w:t xml:space="preserve">Member </w:t>
      </w:r>
      <w:r w:rsidRPr="00013D92">
        <w:t>to 10 February 2015)</w:t>
      </w:r>
    </w:p>
    <w:p w:rsidR="00BA7B74" w:rsidRDefault="00BA7B74" w:rsidP="00BA7B74">
      <w:pPr>
        <w:pStyle w:val="Bodytextnonumbering"/>
        <w:keepNext w:val="0"/>
      </w:pPr>
      <w:r w:rsidRPr="00013D92">
        <w:t>Ms Meegan Fitzharris MLA (</w:t>
      </w:r>
      <w:r>
        <w:t xml:space="preserve">Member </w:t>
      </w:r>
      <w:r w:rsidR="00234606">
        <w:t>(</w:t>
      </w:r>
      <w:r w:rsidRPr="00013D92">
        <w:t>from 10 February 2015</w:t>
      </w:r>
      <w:r w:rsidR="00234606">
        <w:t xml:space="preserve"> to 9 February 2016</w:t>
      </w:r>
      <w:r w:rsidRPr="00013D92">
        <w:t>)</w:t>
      </w:r>
    </w:p>
    <w:bookmarkEnd w:id="4"/>
    <w:bookmarkEnd w:id="5"/>
    <w:p w:rsidR="00BA7B74" w:rsidRDefault="00BA7B74" w:rsidP="00BA7B74">
      <w:pPr>
        <w:pStyle w:val="Bodytextnonumbering"/>
        <w:keepNext w:val="0"/>
      </w:pPr>
      <w:r w:rsidRPr="000228A4">
        <w:t>Mr Alistair Coe MLA (</w:t>
      </w:r>
      <w:r>
        <w:t>Member from 17 March to 4 August 2015)</w:t>
      </w:r>
    </w:p>
    <w:p w:rsidR="002E676A" w:rsidRDefault="002E676A" w:rsidP="002E676A">
      <w:pPr>
        <w:pStyle w:val="Prelimminorheading"/>
        <w:numPr>
          <w:ilvl w:val="0"/>
          <w:numId w:val="0"/>
        </w:numPr>
      </w:pPr>
    </w:p>
    <w:p w:rsidR="002E676A" w:rsidRPr="00F14364" w:rsidRDefault="002E676A" w:rsidP="00EB4D32">
      <w:pPr>
        <w:pStyle w:val="Secretariat"/>
      </w:pPr>
      <w:bookmarkStart w:id="6" w:name="_Toc170711046"/>
      <w:bookmarkStart w:id="7" w:name="_Toc341433413"/>
      <w:bookmarkStart w:id="8" w:name="_Toc341687856"/>
      <w:bookmarkStart w:id="9" w:name="_Toc453157518"/>
      <w:r w:rsidRPr="00F74C60">
        <w:t>Secretariat</w:t>
      </w:r>
      <w:bookmarkEnd w:id="6"/>
      <w:bookmarkEnd w:id="7"/>
      <w:bookmarkEnd w:id="8"/>
      <w:bookmarkEnd w:id="9"/>
    </w:p>
    <w:p w:rsidR="001C746F" w:rsidRDefault="00401666" w:rsidP="001C746F">
      <w:pPr>
        <w:pStyle w:val="Bodytextnonumbering"/>
        <w:keepNext w:val="0"/>
      </w:pPr>
      <w:r>
        <w:t xml:space="preserve">Secretary: </w:t>
      </w:r>
      <w:r>
        <w:tab/>
      </w:r>
      <w:r>
        <w:tab/>
      </w:r>
      <w:r w:rsidR="005B1B69">
        <w:t xml:space="preserve">Mr </w:t>
      </w:r>
      <w:r>
        <w:t>Andrew Snedden</w:t>
      </w:r>
    </w:p>
    <w:p w:rsidR="00401666" w:rsidRDefault="00401666" w:rsidP="001C746F">
      <w:pPr>
        <w:pStyle w:val="Bodytextnonumbering"/>
        <w:keepNext w:val="0"/>
      </w:pPr>
      <w:r>
        <w:t xml:space="preserve">Administration: </w:t>
      </w:r>
      <w:r>
        <w:tab/>
      </w:r>
      <w:r w:rsidR="005B1B69">
        <w:t xml:space="preserve">Ms </w:t>
      </w:r>
      <w:r>
        <w:t>Lydia Chung</w:t>
      </w:r>
    </w:p>
    <w:p w:rsidR="00AF784F" w:rsidRDefault="00AF784F" w:rsidP="002E676A">
      <w:pPr>
        <w:pStyle w:val="Prelimminorheading"/>
        <w:numPr>
          <w:ilvl w:val="0"/>
          <w:numId w:val="0"/>
        </w:numPr>
      </w:pPr>
    </w:p>
    <w:p w:rsidR="002E676A" w:rsidRPr="00F14364" w:rsidRDefault="00AF784F" w:rsidP="00EB4D32">
      <w:pPr>
        <w:pStyle w:val="Contactinformation"/>
      </w:pPr>
      <w:bookmarkStart w:id="10" w:name="_Toc162949737"/>
      <w:bookmarkStart w:id="11" w:name="_Toc170711047"/>
      <w:bookmarkStart w:id="12" w:name="_Toc341433415"/>
      <w:bookmarkStart w:id="13" w:name="_Toc341687858"/>
      <w:bookmarkStart w:id="14" w:name="_Toc453157519"/>
      <w:r w:rsidRPr="00F14364">
        <w:t xml:space="preserve">Contact </w:t>
      </w:r>
      <w:r w:rsidRPr="00F74C60">
        <w:t>i</w:t>
      </w:r>
      <w:r w:rsidR="002E676A" w:rsidRPr="00F74C60">
        <w:t>nformation</w:t>
      </w:r>
      <w:bookmarkEnd w:id="10"/>
      <w:bookmarkEnd w:id="11"/>
      <w:bookmarkEnd w:id="12"/>
      <w:bookmarkEnd w:id="13"/>
      <w:bookmarkEnd w:id="14"/>
    </w:p>
    <w:p w:rsidR="00AF784F" w:rsidRPr="00EC5178" w:rsidRDefault="00AF784F" w:rsidP="00EC5178">
      <w:pPr>
        <w:pStyle w:val="StyleBodytextnonumberingBefore0ptAfter0ptLinesp"/>
      </w:pPr>
    </w:p>
    <w:p w:rsidR="002E676A" w:rsidRDefault="009458A5" w:rsidP="00D50ADD">
      <w:pPr>
        <w:pStyle w:val="StyleBodytextnonumberingBefore0ptAfter0ptLinesp"/>
      </w:pPr>
      <w:bookmarkStart w:id="15" w:name="_Toc341433416"/>
      <w:bookmarkStart w:id="16" w:name="_Toc341687859"/>
      <w:r>
        <w:t>Telephone</w:t>
      </w:r>
      <w:r>
        <w:tab/>
        <w:t xml:space="preserve">02 6205 </w:t>
      </w:r>
      <w:bookmarkEnd w:id="15"/>
      <w:bookmarkEnd w:id="16"/>
      <w:r w:rsidR="00401666">
        <w:t>0199</w:t>
      </w:r>
    </w:p>
    <w:p w:rsidR="002E676A" w:rsidRDefault="002E676A" w:rsidP="00D50ADD">
      <w:pPr>
        <w:pStyle w:val="StyleBodytextnonumberingBefore0ptAfter0ptLinesp"/>
      </w:pPr>
      <w:bookmarkStart w:id="17" w:name="_Toc341433417"/>
      <w:bookmarkStart w:id="18" w:name="_Toc341687860"/>
      <w:r>
        <w:t>Facsimile</w:t>
      </w:r>
      <w:r>
        <w:tab/>
        <w:t>02 6205 0432</w:t>
      </w:r>
      <w:bookmarkEnd w:id="17"/>
      <w:bookmarkEnd w:id="18"/>
    </w:p>
    <w:p w:rsidR="005B60C2" w:rsidRDefault="005B60C2" w:rsidP="00D50ADD">
      <w:pPr>
        <w:pStyle w:val="StyleBodytextnonumberingBefore0ptAfter0ptLinesp"/>
      </w:pPr>
      <w:bookmarkStart w:id="19" w:name="_Toc341433418"/>
      <w:bookmarkStart w:id="20" w:name="_Toc341687861"/>
      <w:r>
        <w:t>Post</w:t>
      </w:r>
      <w:r>
        <w:tab/>
      </w:r>
      <w:r w:rsidR="00D50ADD">
        <w:tab/>
      </w:r>
      <w:r>
        <w:t>GPO Box 1020, CANBERRA ACT 2601</w:t>
      </w:r>
      <w:bookmarkEnd w:id="19"/>
      <w:bookmarkEnd w:id="20"/>
    </w:p>
    <w:p w:rsidR="00AD6F8E" w:rsidRPr="005B60C2" w:rsidRDefault="002E676A" w:rsidP="00D50ADD">
      <w:pPr>
        <w:pStyle w:val="StyleBodytextnonumberingBefore0ptAfter0ptLinesp"/>
      </w:pPr>
      <w:bookmarkStart w:id="21" w:name="_Toc341433419"/>
      <w:bookmarkStart w:id="22" w:name="_Toc341687862"/>
      <w:r>
        <w:t>Email</w:t>
      </w:r>
      <w:r>
        <w:tab/>
      </w:r>
      <w:r w:rsidR="00D50ADD">
        <w:tab/>
      </w:r>
      <w:hyperlink r:id="rId19" w:history="1">
        <w:r w:rsidRPr="005B60C2">
          <w:rPr>
            <w:rStyle w:val="Hyperlink"/>
            <w:color w:val="auto"/>
            <w:u w:val="none"/>
          </w:rPr>
          <w:t>committees@parliament.act.gov.au</w:t>
        </w:r>
        <w:bookmarkEnd w:id="21"/>
        <w:bookmarkEnd w:id="22"/>
      </w:hyperlink>
      <w:r w:rsidR="00AD6F8E">
        <w:t xml:space="preserve"> </w:t>
      </w:r>
    </w:p>
    <w:p w:rsidR="002E676A" w:rsidRPr="005B60C2" w:rsidRDefault="002E676A" w:rsidP="00D50ADD">
      <w:pPr>
        <w:pStyle w:val="StyleBodytextnonumberingBefore0ptAfter0ptLinesp"/>
      </w:pPr>
      <w:bookmarkStart w:id="23" w:name="_Toc341433420"/>
      <w:bookmarkStart w:id="24" w:name="_Toc341687863"/>
      <w:r w:rsidRPr="005B60C2">
        <w:t>Website</w:t>
      </w:r>
      <w:r w:rsidRPr="005B60C2">
        <w:tab/>
      </w:r>
      <w:hyperlink r:id="rId20" w:history="1">
        <w:r w:rsidRPr="005B60C2">
          <w:rPr>
            <w:rStyle w:val="Hyperlink"/>
            <w:color w:val="auto"/>
            <w:u w:val="none"/>
          </w:rPr>
          <w:t>www.parliament.act.gov.au</w:t>
        </w:r>
        <w:bookmarkEnd w:id="23"/>
        <w:bookmarkEnd w:id="24"/>
      </w:hyperlink>
      <w:r w:rsidRPr="005B60C2">
        <w:t xml:space="preserve"> </w:t>
      </w:r>
    </w:p>
    <w:p w:rsidR="005E1D74" w:rsidRDefault="005E1D74" w:rsidP="002E676A">
      <w:pPr>
        <w:pStyle w:val="Prelimminorheading"/>
        <w:numPr>
          <w:ilvl w:val="0"/>
          <w:numId w:val="0"/>
        </w:numPr>
        <w:rPr>
          <w:sz w:val="30"/>
          <w:szCs w:val="30"/>
        </w:rPr>
        <w:sectPr w:rsidR="005E1D74" w:rsidSect="00FA1DC9">
          <w:headerReference w:type="even" r:id="rId21"/>
          <w:headerReference w:type="default" r:id="rId22"/>
          <w:footerReference w:type="even" r:id="rId23"/>
          <w:footerReference w:type="default" r:id="rId24"/>
          <w:headerReference w:type="first" r:id="rId25"/>
          <w:pgSz w:w="11907" w:h="16840" w:code="9"/>
          <w:pgMar w:top="1588" w:right="1418" w:bottom="1418" w:left="1418" w:header="720" w:footer="851" w:gutter="0"/>
          <w:pgNumType w:fmt="lowerRoman" w:start="1"/>
          <w:cols w:space="720"/>
          <w:docGrid w:linePitch="360"/>
        </w:sectPr>
      </w:pPr>
      <w:bookmarkStart w:id="25" w:name="_Toc162949738"/>
      <w:bookmarkStart w:id="26" w:name="_Toc170711048"/>
      <w:bookmarkStart w:id="27" w:name="_Toc341433421"/>
      <w:bookmarkStart w:id="28" w:name="_Toc341687864"/>
    </w:p>
    <w:p w:rsidR="002E676A" w:rsidRPr="00C2492A" w:rsidRDefault="00AF784F" w:rsidP="002E676A">
      <w:pPr>
        <w:pStyle w:val="Prelimminorheading"/>
        <w:numPr>
          <w:ilvl w:val="0"/>
          <w:numId w:val="0"/>
        </w:numPr>
        <w:rPr>
          <w:sz w:val="30"/>
          <w:szCs w:val="30"/>
        </w:rPr>
      </w:pPr>
      <w:bookmarkStart w:id="29" w:name="_Toc453157520"/>
      <w:r w:rsidRPr="00C2492A">
        <w:rPr>
          <w:sz w:val="30"/>
          <w:szCs w:val="30"/>
        </w:rPr>
        <w:t>Resolution of a</w:t>
      </w:r>
      <w:r w:rsidR="002E676A" w:rsidRPr="00C2492A">
        <w:rPr>
          <w:sz w:val="30"/>
          <w:szCs w:val="30"/>
        </w:rPr>
        <w:t>ppointment</w:t>
      </w:r>
      <w:bookmarkEnd w:id="25"/>
      <w:bookmarkEnd w:id="26"/>
      <w:bookmarkEnd w:id="27"/>
      <w:bookmarkEnd w:id="28"/>
      <w:bookmarkEnd w:id="29"/>
    </w:p>
    <w:p w:rsidR="002E676A" w:rsidRDefault="00172BD7" w:rsidP="00764425">
      <w:pPr>
        <w:pStyle w:val="Bodytextnonumbering"/>
      </w:pPr>
      <w:r>
        <w:t>To examine matters related to early childhood education and care, primary, secondary, post secondary and tertiary education and vocational training, non-government education, youth and family services, technology, arts and culture, sport and recreation.</w:t>
      </w:r>
    </w:p>
    <w:p w:rsidR="002E676A" w:rsidRDefault="002E676A" w:rsidP="00D50ADD">
      <w:pPr>
        <w:pStyle w:val="StyleBodytextnonumberingBefore0ptAfter0ptLinesp"/>
      </w:pPr>
    </w:p>
    <w:p w:rsidR="002E676A" w:rsidRPr="00C2492A" w:rsidRDefault="00AF784F" w:rsidP="002E676A">
      <w:pPr>
        <w:pStyle w:val="Prelimminorheading"/>
        <w:numPr>
          <w:ilvl w:val="0"/>
          <w:numId w:val="0"/>
        </w:numPr>
        <w:rPr>
          <w:sz w:val="30"/>
          <w:szCs w:val="30"/>
        </w:rPr>
      </w:pPr>
      <w:bookmarkStart w:id="30" w:name="_Toc162949739"/>
      <w:bookmarkStart w:id="31" w:name="_Toc170711049"/>
      <w:bookmarkStart w:id="32" w:name="_Toc341433422"/>
      <w:bookmarkStart w:id="33" w:name="_Toc341687866"/>
      <w:bookmarkStart w:id="34" w:name="_Toc453157521"/>
      <w:r w:rsidRPr="00C2492A">
        <w:rPr>
          <w:sz w:val="30"/>
          <w:szCs w:val="30"/>
        </w:rPr>
        <w:t>Terms of r</w:t>
      </w:r>
      <w:r w:rsidR="002E676A" w:rsidRPr="00C2492A">
        <w:rPr>
          <w:sz w:val="30"/>
          <w:szCs w:val="30"/>
        </w:rPr>
        <w:t>eference</w:t>
      </w:r>
      <w:bookmarkEnd w:id="30"/>
      <w:bookmarkEnd w:id="31"/>
      <w:bookmarkEnd w:id="32"/>
      <w:bookmarkEnd w:id="33"/>
      <w:bookmarkEnd w:id="34"/>
    </w:p>
    <w:p w:rsidR="00172BD7" w:rsidRPr="00172BD7" w:rsidRDefault="00172BD7" w:rsidP="00172BD7">
      <w:pPr>
        <w:pStyle w:val="Bodytextnonumbering"/>
      </w:pPr>
      <w:r w:rsidRPr="00172BD7">
        <w:t>On 29 May 2013, the Standing Committee on Education, Training and Youth Affairs adopted the following terms of reference:</w:t>
      </w:r>
    </w:p>
    <w:p w:rsidR="00172BD7" w:rsidRPr="00172BD7" w:rsidRDefault="00172BD7" w:rsidP="00172BD7">
      <w:pPr>
        <w:pStyle w:val="Bodytextnonumbering"/>
      </w:pPr>
      <w:r w:rsidRPr="00172BD7">
        <w:t>To inquire into and report on all aspects of current vocational education and youth training programs, strategies and resourcing in the ACT with particular reference to:</w:t>
      </w:r>
    </w:p>
    <w:p w:rsidR="00172BD7" w:rsidRPr="00172BD7" w:rsidRDefault="00AD6F8E" w:rsidP="00F11E99">
      <w:pPr>
        <w:pStyle w:val="ListBullet"/>
      </w:pPr>
      <w:r>
        <w:t>I</w:t>
      </w:r>
      <w:r w:rsidR="00172BD7" w:rsidRPr="00172BD7">
        <w:t xml:space="preserve">mplementation of current ACT programs, including national programs for youth training and education; </w:t>
      </w:r>
    </w:p>
    <w:p w:rsidR="00172BD7" w:rsidRPr="00172BD7" w:rsidRDefault="00AD6F8E" w:rsidP="00F11E99">
      <w:pPr>
        <w:pStyle w:val="ListBullet"/>
      </w:pPr>
      <w:r>
        <w:t>T</w:t>
      </w:r>
      <w:r w:rsidR="00172BD7" w:rsidRPr="00172BD7">
        <w:t xml:space="preserve">he effectiveness of current youth training programs and strategies; </w:t>
      </w:r>
    </w:p>
    <w:p w:rsidR="00172BD7" w:rsidRPr="00172BD7" w:rsidRDefault="00AD6F8E" w:rsidP="00F11E99">
      <w:pPr>
        <w:pStyle w:val="ListBullet"/>
      </w:pPr>
      <w:r>
        <w:t>C</w:t>
      </w:r>
      <w:r w:rsidR="00172BD7" w:rsidRPr="00172BD7">
        <w:t xml:space="preserve">urrent programs available through ACT secondary colleges, vocational training programs and tertiary institutions; </w:t>
      </w:r>
    </w:p>
    <w:p w:rsidR="00172BD7" w:rsidRPr="00172BD7" w:rsidRDefault="00AD6F8E" w:rsidP="00F11E99">
      <w:pPr>
        <w:pStyle w:val="ListBullet"/>
      </w:pPr>
      <w:r>
        <w:t>T</w:t>
      </w:r>
      <w:r w:rsidR="00172BD7" w:rsidRPr="00172BD7">
        <w:t>he role and programs conducted by a</w:t>
      </w:r>
      <w:r w:rsidR="00742347">
        <w:t xml:space="preserve">ll Registered Training </w:t>
      </w:r>
      <w:r w:rsidR="00F846FE">
        <w:t>Organis</w:t>
      </w:r>
      <w:r w:rsidR="00742347" w:rsidRPr="00742347">
        <w:t>ations</w:t>
      </w:r>
      <w:r w:rsidR="00172BD7" w:rsidRPr="00172BD7">
        <w:t xml:space="preserve"> (RTOs); </w:t>
      </w:r>
    </w:p>
    <w:p w:rsidR="00172BD7" w:rsidRPr="00172BD7" w:rsidRDefault="00AD6F8E" w:rsidP="00F11E99">
      <w:pPr>
        <w:pStyle w:val="ListBullet"/>
      </w:pPr>
      <w:r>
        <w:t>P</w:t>
      </w:r>
      <w:r w:rsidR="00172BD7" w:rsidRPr="00172BD7">
        <w:t xml:space="preserve">rovision of vocational education and training to culturally and linguistically diverse students; </w:t>
      </w:r>
    </w:p>
    <w:p w:rsidR="00172BD7" w:rsidRPr="00172BD7" w:rsidRDefault="004335C6" w:rsidP="00F11E99">
      <w:pPr>
        <w:pStyle w:val="ListBullet"/>
      </w:pPr>
      <w:r>
        <w:t>R</w:t>
      </w:r>
      <w:r w:rsidR="00172BD7" w:rsidRPr="00172BD7">
        <w:t xml:space="preserve">elevant experiences and learnings from Australian State, Commonwealth and International jurisdictions; and </w:t>
      </w:r>
    </w:p>
    <w:p w:rsidR="00172BD7" w:rsidRPr="00172BD7" w:rsidRDefault="004335C6" w:rsidP="00F11E99">
      <w:pPr>
        <w:pStyle w:val="ListBullet"/>
      </w:pPr>
      <w:r w:rsidRPr="00172BD7">
        <w:t>Any</w:t>
      </w:r>
      <w:r w:rsidR="00172BD7" w:rsidRPr="00172BD7">
        <w:t xml:space="preserve"> other relevant matter. </w:t>
      </w:r>
    </w:p>
    <w:p w:rsidR="001D1138" w:rsidRDefault="001D1138" w:rsidP="008962D3">
      <w:pPr>
        <w:pStyle w:val="TOCheading"/>
        <w:spacing w:before="600"/>
        <w:rPr>
          <w:b/>
        </w:rPr>
        <w:sectPr w:rsidR="001D1138" w:rsidSect="005E1D74">
          <w:type w:val="oddPage"/>
          <w:pgSz w:w="11907" w:h="16840" w:code="9"/>
          <w:pgMar w:top="1588" w:right="1418" w:bottom="1418" w:left="1418" w:header="720" w:footer="851" w:gutter="0"/>
          <w:pgNumType w:fmt="lowerRoman"/>
          <w:cols w:space="720"/>
          <w:docGrid w:linePitch="360"/>
        </w:sectPr>
      </w:pPr>
      <w:bookmarkStart w:id="35" w:name="_Toc341433423"/>
      <w:bookmarkStart w:id="36" w:name="_Toc341687868"/>
    </w:p>
    <w:p w:rsidR="00D561BC" w:rsidRPr="00740BA8" w:rsidRDefault="00D561BC" w:rsidP="005E1D74">
      <w:pPr>
        <w:pStyle w:val="TOCheading"/>
        <w:spacing w:before="1080"/>
        <w:rPr>
          <w:b/>
        </w:rPr>
      </w:pPr>
      <w:r w:rsidRPr="00740BA8">
        <w:rPr>
          <w:b/>
        </w:rPr>
        <w:t>Table of contents</w:t>
      </w:r>
      <w:bookmarkEnd w:id="35"/>
      <w:bookmarkEnd w:id="36"/>
      <w:r w:rsidRPr="00740BA8">
        <w:rPr>
          <w:b/>
        </w:rPr>
        <w:t xml:space="preserve"> </w:t>
      </w:r>
    </w:p>
    <w:p w:rsidR="005E1D74" w:rsidRDefault="00951C9A">
      <w:pPr>
        <w:pStyle w:val="TOC3"/>
        <w:rPr>
          <w:rFonts w:asciiTheme="minorHAnsi" w:eastAsiaTheme="minorEastAsia" w:hAnsiTheme="minorHAnsi" w:cstheme="minorBidi"/>
          <w:b w:val="0"/>
          <w:szCs w:val="22"/>
          <w:lang w:eastAsia="zh-TW"/>
        </w:rPr>
      </w:pPr>
      <w:r w:rsidRPr="00951C9A">
        <w:fldChar w:fldCharType="begin"/>
      </w:r>
      <w:r w:rsidR="00D561BC">
        <w:instrText xml:space="preserve"> TOC \o "3-3" \h \z \t "Heading 1,1,Heading 2,2,Prelim major heading,1,Appendix Heading 1,1,Heading level 2,2" </w:instrText>
      </w:r>
      <w:r w:rsidRPr="00951C9A">
        <w:fldChar w:fldCharType="separate"/>
      </w:r>
      <w:hyperlink w:anchor="_Toc453157517" w:history="1">
        <w:r w:rsidR="005E1D74" w:rsidRPr="007A09A6">
          <w:rPr>
            <w:rStyle w:val="Hyperlink"/>
            <w:spacing w:val="4"/>
          </w:rPr>
          <w:t>Committee membership</w:t>
        </w:r>
        <w:r w:rsidR="005E1D74">
          <w:rPr>
            <w:webHidden/>
          </w:rPr>
          <w:tab/>
        </w:r>
        <w:r>
          <w:rPr>
            <w:webHidden/>
          </w:rPr>
          <w:fldChar w:fldCharType="begin"/>
        </w:r>
        <w:r w:rsidR="005E1D74">
          <w:rPr>
            <w:webHidden/>
          </w:rPr>
          <w:instrText xml:space="preserve"> PAGEREF _Toc453157517 \h </w:instrText>
        </w:r>
        <w:r>
          <w:rPr>
            <w:webHidden/>
          </w:rPr>
        </w:r>
        <w:r>
          <w:rPr>
            <w:webHidden/>
          </w:rPr>
          <w:fldChar w:fldCharType="separate"/>
        </w:r>
        <w:r w:rsidR="00BF72AB">
          <w:rPr>
            <w:webHidden/>
          </w:rPr>
          <w:t>i</w:t>
        </w:r>
        <w:r>
          <w:rPr>
            <w:webHidden/>
          </w:rPr>
          <w:fldChar w:fldCharType="end"/>
        </w:r>
      </w:hyperlink>
    </w:p>
    <w:p w:rsidR="005E1D74" w:rsidRDefault="00951C9A">
      <w:pPr>
        <w:pStyle w:val="TOC3"/>
        <w:rPr>
          <w:rFonts w:asciiTheme="minorHAnsi" w:eastAsiaTheme="minorEastAsia" w:hAnsiTheme="minorHAnsi" w:cstheme="minorBidi"/>
          <w:b w:val="0"/>
          <w:szCs w:val="22"/>
          <w:lang w:eastAsia="zh-TW"/>
        </w:rPr>
      </w:pPr>
      <w:hyperlink w:anchor="_Toc453157518" w:history="1">
        <w:r w:rsidR="005E1D74" w:rsidRPr="007A09A6">
          <w:rPr>
            <w:rStyle w:val="Hyperlink"/>
          </w:rPr>
          <w:t>Secretariat</w:t>
        </w:r>
        <w:r w:rsidR="005E1D74">
          <w:rPr>
            <w:webHidden/>
          </w:rPr>
          <w:tab/>
        </w:r>
        <w:r>
          <w:rPr>
            <w:webHidden/>
          </w:rPr>
          <w:fldChar w:fldCharType="begin"/>
        </w:r>
        <w:r w:rsidR="005E1D74">
          <w:rPr>
            <w:webHidden/>
          </w:rPr>
          <w:instrText xml:space="preserve"> PAGEREF _Toc453157518 \h </w:instrText>
        </w:r>
        <w:r>
          <w:rPr>
            <w:webHidden/>
          </w:rPr>
        </w:r>
        <w:r>
          <w:rPr>
            <w:webHidden/>
          </w:rPr>
          <w:fldChar w:fldCharType="separate"/>
        </w:r>
        <w:r w:rsidR="00BF72AB">
          <w:rPr>
            <w:webHidden/>
          </w:rPr>
          <w:t>i</w:t>
        </w:r>
        <w:r>
          <w:rPr>
            <w:webHidden/>
          </w:rPr>
          <w:fldChar w:fldCharType="end"/>
        </w:r>
      </w:hyperlink>
    </w:p>
    <w:p w:rsidR="005E1D74" w:rsidRDefault="00951C9A">
      <w:pPr>
        <w:pStyle w:val="TOC3"/>
        <w:rPr>
          <w:rFonts w:asciiTheme="minorHAnsi" w:eastAsiaTheme="minorEastAsia" w:hAnsiTheme="minorHAnsi" w:cstheme="minorBidi"/>
          <w:b w:val="0"/>
          <w:szCs w:val="22"/>
          <w:lang w:eastAsia="zh-TW"/>
        </w:rPr>
      </w:pPr>
      <w:hyperlink w:anchor="_Toc453157519" w:history="1">
        <w:r w:rsidR="005E1D74" w:rsidRPr="007A09A6">
          <w:rPr>
            <w:rStyle w:val="Hyperlink"/>
          </w:rPr>
          <w:t>Contact information</w:t>
        </w:r>
        <w:r w:rsidR="005E1D74">
          <w:rPr>
            <w:webHidden/>
          </w:rPr>
          <w:tab/>
        </w:r>
        <w:r>
          <w:rPr>
            <w:webHidden/>
          </w:rPr>
          <w:fldChar w:fldCharType="begin"/>
        </w:r>
        <w:r w:rsidR="005E1D74">
          <w:rPr>
            <w:webHidden/>
          </w:rPr>
          <w:instrText xml:space="preserve"> PAGEREF _Toc453157519 \h </w:instrText>
        </w:r>
        <w:r>
          <w:rPr>
            <w:webHidden/>
          </w:rPr>
        </w:r>
        <w:r>
          <w:rPr>
            <w:webHidden/>
          </w:rPr>
          <w:fldChar w:fldCharType="separate"/>
        </w:r>
        <w:r w:rsidR="00BF72AB">
          <w:rPr>
            <w:webHidden/>
          </w:rPr>
          <w:t>i</w:t>
        </w:r>
        <w:r>
          <w:rPr>
            <w:webHidden/>
          </w:rPr>
          <w:fldChar w:fldCharType="end"/>
        </w:r>
      </w:hyperlink>
    </w:p>
    <w:p w:rsidR="005E1D74" w:rsidRDefault="00951C9A">
      <w:pPr>
        <w:pStyle w:val="TOC3"/>
        <w:rPr>
          <w:rFonts w:asciiTheme="minorHAnsi" w:eastAsiaTheme="minorEastAsia" w:hAnsiTheme="minorHAnsi" w:cstheme="minorBidi"/>
          <w:b w:val="0"/>
          <w:szCs w:val="22"/>
          <w:lang w:eastAsia="zh-TW"/>
        </w:rPr>
      </w:pPr>
      <w:hyperlink w:anchor="_Toc453157520" w:history="1">
        <w:r w:rsidR="005E1D74" w:rsidRPr="007A09A6">
          <w:rPr>
            <w:rStyle w:val="Hyperlink"/>
          </w:rPr>
          <w:t>Resolution of appointment</w:t>
        </w:r>
        <w:r w:rsidR="005E1D74">
          <w:rPr>
            <w:webHidden/>
          </w:rPr>
          <w:tab/>
        </w:r>
        <w:r>
          <w:rPr>
            <w:webHidden/>
          </w:rPr>
          <w:fldChar w:fldCharType="begin"/>
        </w:r>
        <w:r w:rsidR="005E1D74">
          <w:rPr>
            <w:webHidden/>
          </w:rPr>
          <w:instrText xml:space="preserve"> PAGEREF _Toc453157520 \h </w:instrText>
        </w:r>
        <w:r>
          <w:rPr>
            <w:webHidden/>
          </w:rPr>
        </w:r>
        <w:r>
          <w:rPr>
            <w:webHidden/>
          </w:rPr>
          <w:fldChar w:fldCharType="separate"/>
        </w:r>
        <w:r w:rsidR="00BF72AB">
          <w:rPr>
            <w:webHidden/>
          </w:rPr>
          <w:t>iii</w:t>
        </w:r>
        <w:r>
          <w:rPr>
            <w:webHidden/>
          </w:rPr>
          <w:fldChar w:fldCharType="end"/>
        </w:r>
      </w:hyperlink>
    </w:p>
    <w:p w:rsidR="005E1D74" w:rsidRDefault="00951C9A">
      <w:pPr>
        <w:pStyle w:val="TOC3"/>
        <w:rPr>
          <w:rFonts w:asciiTheme="minorHAnsi" w:eastAsiaTheme="minorEastAsia" w:hAnsiTheme="minorHAnsi" w:cstheme="minorBidi"/>
          <w:b w:val="0"/>
          <w:szCs w:val="22"/>
          <w:lang w:eastAsia="zh-TW"/>
        </w:rPr>
      </w:pPr>
      <w:hyperlink w:anchor="_Toc453157521" w:history="1">
        <w:r w:rsidR="005E1D74" w:rsidRPr="007A09A6">
          <w:rPr>
            <w:rStyle w:val="Hyperlink"/>
          </w:rPr>
          <w:t>Terms of reference</w:t>
        </w:r>
        <w:r w:rsidR="005E1D74">
          <w:rPr>
            <w:webHidden/>
          </w:rPr>
          <w:tab/>
        </w:r>
        <w:r>
          <w:rPr>
            <w:webHidden/>
          </w:rPr>
          <w:fldChar w:fldCharType="begin"/>
        </w:r>
        <w:r w:rsidR="005E1D74">
          <w:rPr>
            <w:webHidden/>
          </w:rPr>
          <w:instrText xml:space="preserve"> PAGEREF _Toc453157521 \h </w:instrText>
        </w:r>
        <w:r>
          <w:rPr>
            <w:webHidden/>
          </w:rPr>
        </w:r>
        <w:r>
          <w:rPr>
            <w:webHidden/>
          </w:rPr>
          <w:fldChar w:fldCharType="separate"/>
        </w:r>
        <w:r w:rsidR="00BF72AB">
          <w:rPr>
            <w:webHidden/>
          </w:rPr>
          <w:t>iii</w:t>
        </w:r>
        <w:r>
          <w:rPr>
            <w:webHidden/>
          </w:rPr>
          <w:fldChar w:fldCharType="end"/>
        </w:r>
      </w:hyperlink>
    </w:p>
    <w:p w:rsidR="005E1D74" w:rsidRDefault="00951C9A">
      <w:pPr>
        <w:pStyle w:val="TOC1"/>
        <w:rPr>
          <w:rFonts w:asciiTheme="minorHAnsi" w:eastAsiaTheme="minorEastAsia" w:hAnsiTheme="minorHAnsi" w:cstheme="minorBidi"/>
          <w:b w:val="0"/>
          <w:smallCaps w:val="0"/>
          <w:spacing w:val="0"/>
          <w:sz w:val="22"/>
          <w:lang w:eastAsia="zh-TW"/>
        </w:rPr>
      </w:pPr>
      <w:hyperlink w:anchor="_Toc453157522" w:history="1">
        <w:r w:rsidR="005E1D74" w:rsidRPr="007A09A6">
          <w:rPr>
            <w:rStyle w:val="Hyperlink"/>
          </w:rPr>
          <w:t>Recommendation</w:t>
        </w:r>
        <w:r w:rsidR="005E1D74" w:rsidRPr="007A09A6">
          <w:rPr>
            <w:rStyle w:val="Hyperlink"/>
          </w:rPr>
          <w:t>s</w:t>
        </w:r>
        <w:r w:rsidR="005E1D74">
          <w:rPr>
            <w:webHidden/>
          </w:rPr>
          <w:tab/>
        </w:r>
        <w:r>
          <w:rPr>
            <w:webHidden/>
          </w:rPr>
          <w:fldChar w:fldCharType="begin"/>
        </w:r>
        <w:r w:rsidR="005E1D74">
          <w:rPr>
            <w:webHidden/>
          </w:rPr>
          <w:instrText xml:space="preserve"> PAGEREF _Toc453157522 \h </w:instrText>
        </w:r>
        <w:r>
          <w:rPr>
            <w:webHidden/>
          </w:rPr>
        </w:r>
        <w:r>
          <w:rPr>
            <w:webHidden/>
          </w:rPr>
          <w:fldChar w:fldCharType="separate"/>
        </w:r>
        <w:r w:rsidR="00BF72AB">
          <w:rPr>
            <w:webHidden/>
          </w:rPr>
          <w:t>vii</w:t>
        </w:r>
        <w:r>
          <w:rPr>
            <w:webHidden/>
          </w:rPr>
          <w:fldChar w:fldCharType="end"/>
        </w:r>
      </w:hyperlink>
    </w:p>
    <w:p w:rsidR="005E1D74" w:rsidRDefault="00951C9A">
      <w:pPr>
        <w:pStyle w:val="TOC1"/>
        <w:tabs>
          <w:tab w:val="left" w:pos="1588"/>
        </w:tabs>
        <w:rPr>
          <w:rFonts w:asciiTheme="minorHAnsi" w:eastAsiaTheme="minorEastAsia" w:hAnsiTheme="minorHAnsi" w:cstheme="minorBidi"/>
          <w:b w:val="0"/>
          <w:smallCaps w:val="0"/>
          <w:spacing w:val="0"/>
          <w:sz w:val="22"/>
          <w:lang w:eastAsia="zh-TW"/>
        </w:rPr>
      </w:pPr>
      <w:hyperlink w:anchor="_Toc453157523" w:history="1">
        <w:r w:rsidR="005E1D74" w:rsidRPr="007A09A6">
          <w:rPr>
            <w:rStyle w:val="Hyperlink"/>
          </w:rPr>
          <w:t>1</w:t>
        </w:r>
        <w:r w:rsidR="005E1D74">
          <w:rPr>
            <w:rFonts w:asciiTheme="minorHAnsi" w:eastAsiaTheme="minorEastAsia" w:hAnsiTheme="minorHAnsi" w:cstheme="minorBidi"/>
            <w:b w:val="0"/>
            <w:smallCaps w:val="0"/>
            <w:spacing w:val="0"/>
            <w:sz w:val="22"/>
            <w:lang w:eastAsia="zh-TW"/>
          </w:rPr>
          <w:tab/>
        </w:r>
        <w:r w:rsidR="005E1D74" w:rsidRPr="007A09A6">
          <w:rPr>
            <w:rStyle w:val="Hyperlink"/>
          </w:rPr>
          <w:t>Final Report</w:t>
        </w:r>
        <w:r w:rsidR="005E1D74">
          <w:rPr>
            <w:webHidden/>
          </w:rPr>
          <w:tab/>
        </w:r>
        <w:r>
          <w:rPr>
            <w:webHidden/>
          </w:rPr>
          <w:fldChar w:fldCharType="begin"/>
        </w:r>
        <w:r w:rsidR="005E1D74">
          <w:rPr>
            <w:webHidden/>
          </w:rPr>
          <w:instrText xml:space="preserve"> PAGEREF _Toc453157523 \h </w:instrText>
        </w:r>
        <w:r>
          <w:rPr>
            <w:webHidden/>
          </w:rPr>
        </w:r>
        <w:r>
          <w:rPr>
            <w:webHidden/>
          </w:rPr>
          <w:fldChar w:fldCharType="separate"/>
        </w:r>
        <w:r w:rsidR="00BF72AB">
          <w:rPr>
            <w:webHidden/>
          </w:rPr>
          <w:t>1</w:t>
        </w:r>
        <w:r>
          <w:rPr>
            <w:webHidden/>
          </w:rPr>
          <w:fldChar w:fldCharType="end"/>
        </w:r>
      </w:hyperlink>
    </w:p>
    <w:p w:rsidR="005E1D74" w:rsidRDefault="00951C9A">
      <w:pPr>
        <w:pStyle w:val="TOC2"/>
        <w:rPr>
          <w:rFonts w:asciiTheme="minorHAnsi" w:eastAsiaTheme="minorEastAsia" w:hAnsiTheme="minorHAnsi" w:cstheme="minorBidi"/>
          <w:b w:val="0"/>
          <w:szCs w:val="22"/>
          <w:lang w:eastAsia="zh-TW"/>
        </w:rPr>
      </w:pPr>
      <w:hyperlink w:anchor="_Toc453157524" w:history="1">
        <w:r w:rsidR="005E1D74" w:rsidRPr="007A09A6">
          <w:rPr>
            <w:rStyle w:val="Hyperlink"/>
          </w:rPr>
          <w:t>Government Response to Committee Recommendations 4 &amp; 5 from Interim Report</w:t>
        </w:r>
        <w:r w:rsidR="005E1D74">
          <w:rPr>
            <w:webHidden/>
          </w:rPr>
          <w:tab/>
        </w:r>
        <w:r>
          <w:rPr>
            <w:webHidden/>
          </w:rPr>
          <w:fldChar w:fldCharType="begin"/>
        </w:r>
        <w:r w:rsidR="005E1D74">
          <w:rPr>
            <w:webHidden/>
          </w:rPr>
          <w:instrText xml:space="preserve"> PAGEREF _Toc453157524 \h </w:instrText>
        </w:r>
        <w:r>
          <w:rPr>
            <w:webHidden/>
          </w:rPr>
        </w:r>
        <w:r>
          <w:rPr>
            <w:webHidden/>
          </w:rPr>
          <w:fldChar w:fldCharType="separate"/>
        </w:r>
        <w:r w:rsidR="00BF72AB">
          <w:rPr>
            <w:webHidden/>
          </w:rPr>
          <w:t>1</w:t>
        </w:r>
        <w:r>
          <w:rPr>
            <w:webHidden/>
          </w:rPr>
          <w:fldChar w:fldCharType="end"/>
        </w:r>
      </w:hyperlink>
    </w:p>
    <w:p w:rsidR="005E1D74" w:rsidRDefault="00951C9A">
      <w:pPr>
        <w:pStyle w:val="TOC1"/>
        <w:tabs>
          <w:tab w:val="left" w:pos="2329"/>
        </w:tabs>
        <w:rPr>
          <w:rFonts w:asciiTheme="minorHAnsi" w:eastAsiaTheme="minorEastAsia" w:hAnsiTheme="minorHAnsi" w:cstheme="minorBidi"/>
          <w:b w:val="0"/>
          <w:smallCaps w:val="0"/>
          <w:spacing w:val="0"/>
          <w:sz w:val="22"/>
          <w:lang w:eastAsia="zh-TW"/>
        </w:rPr>
      </w:pPr>
      <w:hyperlink w:anchor="_Toc453157525" w:history="1">
        <w:r w:rsidR="005E1D74" w:rsidRPr="007A09A6">
          <w:rPr>
            <w:rStyle w:val="Hyperlink"/>
          </w:rPr>
          <w:t>Appendix A</w:t>
        </w:r>
        <w:r w:rsidR="005E1D74">
          <w:rPr>
            <w:rFonts w:asciiTheme="minorHAnsi" w:eastAsiaTheme="minorEastAsia" w:hAnsiTheme="minorHAnsi" w:cstheme="minorBidi"/>
            <w:b w:val="0"/>
            <w:smallCaps w:val="0"/>
            <w:spacing w:val="0"/>
            <w:sz w:val="22"/>
            <w:lang w:eastAsia="zh-TW"/>
          </w:rPr>
          <w:tab/>
        </w:r>
        <w:r w:rsidR="005E1D74" w:rsidRPr="007A09A6">
          <w:rPr>
            <w:rStyle w:val="Hyperlink"/>
          </w:rPr>
          <w:t>Interim Report</w:t>
        </w:r>
        <w:r w:rsidR="005E1D74">
          <w:rPr>
            <w:webHidden/>
          </w:rPr>
          <w:tab/>
        </w:r>
        <w:r>
          <w:rPr>
            <w:webHidden/>
          </w:rPr>
          <w:fldChar w:fldCharType="begin"/>
        </w:r>
        <w:r w:rsidR="005E1D74">
          <w:rPr>
            <w:webHidden/>
          </w:rPr>
          <w:instrText xml:space="preserve"> PAGEREF _Toc453157525 \h </w:instrText>
        </w:r>
        <w:r>
          <w:rPr>
            <w:webHidden/>
          </w:rPr>
        </w:r>
        <w:r>
          <w:rPr>
            <w:webHidden/>
          </w:rPr>
          <w:fldChar w:fldCharType="separate"/>
        </w:r>
        <w:r w:rsidR="00BF72AB">
          <w:rPr>
            <w:webHidden/>
          </w:rPr>
          <w:t>5</w:t>
        </w:r>
        <w:r>
          <w:rPr>
            <w:webHidden/>
          </w:rPr>
          <w:fldChar w:fldCharType="end"/>
        </w:r>
      </w:hyperlink>
    </w:p>
    <w:p w:rsidR="005E1D74" w:rsidRDefault="00951C9A">
      <w:pPr>
        <w:pStyle w:val="TOC2"/>
        <w:rPr>
          <w:rFonts w:asciiTheme="minorHAnsi" w:eastAsiaTheme="minorEastAsia" w:hAnsiTheme="minorHAnsi" w:cstheme="minorBidi"/>
          <w:b w:val="0"/>
          <w:szCs w:val="22"/>
          <w:lang w:eastAsia="zh-TW"/>
        </w:rPr>
      </w:pPr>
      <w:hyperlink w:anchor="_Toc453157526" w:history="1">
        <w:r w:rsidR="005E1D74" w:rsidRPr="007A09A6">
          <w:rPr>
            <w:rStyle w:val="Hyperlink"/>
          </w:rPr>
          <w:t>Interim Report by the Committee on this Inquiry tabled on 17 February 2016</w:t>
        </w:r>
        <w:r w:rsidR="005E1D74">
          <w:rPr>
            <w:webHidden/>
          </w:rPr>
          <w:tab/>
        </w:r>
        <w:r>
          <w:rPr>
            <w:webHidden/>
          </w:rPr>
          <w:fldChar w:fldCharType="begin"/>
        </w:r>
        <w:r w:rsidR="005E1D74">
          <w:rPr>
            <w:webHidden/>
          </w:rPr>
          <w:instrText xml:space="preserve"> PAGEREF _Toc453157526 \h </w:instrText>
        </w:r>
        <w:r>
          <w:rPr>
            <w:webHidden/>
          </w:rPr>
        </w:r>
        <w:r>
          <w:rPr>
            <w:webHidden/>
          </w:rPr>
          <w:fldChar w:fldCharType="separate"/>
        </w:r>
        <w:r w:rsidR="00BF72AB">
          <w:rPr>
            <w:webHidden/>
          </w:rPr>
          <w:t>5</w:t>
        </w:r>
        <w:r>
          <w:rPr>
            <w:webHidden/>
          </w:rPr>
          <w:fldChar w:fldCharType="end"/>
        </w:r>
      </w:hyperlink>
    </w:p>
    <w:p w:rsidR="00AD1971" w:rsidRDefault="00951C9A" w:rsidP="00AD1971">
      <w:pPr>
        <w:pStyle w:val="Prelimmajorheading"/>
        <w:keepNext w:val="0"/>
        <w:pageBreakBefore w:val="0"/>
        <w:sectPr w:rsidR="00AD1971" w:rsidSect="001D1138">
          <w:type w:val="oddPage"/>
          <w:pgSz w:w="11907" w:h="16840" w:code="9"/>
          <w:pgMar w:top="1588" w:right="1418" w:bottom="1418" w:left="1418" w:header="720" w:footer="851" w:gutter="0"/>
          <w:pgNumType w:fmt="lowerRoman"/>
          <w:cols w:space="720"/>
          <w:docGrid w:linePitch="360"/>
        </w:sectPr>
      </w:pPr>
      <w:r>
        <w:rPr>
          <w:rFonts w:ascii="Arial" w:hAnsi="Arial" w:cs="Times New Roman"/>
          <w:bCs w:val="0"/>
          <w:spacing w:val="0"/>
          <w:kern w:val="0"/>
          <w:sz w:val="20"/>
          <w:szCs w:val="20"/>
        </w:rPr>
        <w:fldChar w:fldCharType="end"/>
      </w:r>
      <w:bookmarkStart w:id="37" w:name="_Toc341433424"/>
      <w:bookmarkStart w:id="38" w:name="_Toc341687869"/>
    </w:p>
    <w:p w:rsidR="00D561BC" w:rsidRDefault="00D561BC" w:rsidP="0075728A">
      <w:pPr>
        <w:pStyle w:val="Prelimmajorheading"/>
        <w:keepNext w:val="0"/>
        <w:pageBreakBefore w:val="0"/>
        <w:tabs>
          <w:tab w:val="clear" w:pos="567"/>
          <w:tab w:val="left" w:pos="426"/>
        </w:tabs>
        <w:spacing w:after="480"/>
        <w:ind w:left="426"/>
      </w:pPr>
      <w:bookmarkStart w:id="39" w:name="_Toc453157522"/>
      <w:r>
        <w:t>Recommendations</w:t>
      </w:r>
      <w:bookmarkEnd w:id="37"/>
      <w:bookmarkEnd w:id="38"/>
      <w:bookmarkEnd w:id="39"/>
    </w:p>
    <w:p w:rsidR="00740BA8" w:rsidRPr="00740BA8" w:rsidRDefault="00740BA8" w:rsidP="008962D3">
      <w:pPr>
        <w:pStyle w:val="TOC2"/>
        <w:numPr>
          <w:ilvl w:val="2"/>
          <w:numId w:val="8"/>
        </w:numPr>
        <w:rPr>
          <w:rFonts w:asciiTheme="minorHAnsi" w:eastAsiaTheme="minorEastAsia" w:hAnsiTheme="minorHAnsi" w:cstheme="minorBidi"/>
          <w:sz w:val="28"/>
          <w:szCs w:val="28"/>
          <w:lang w:eastAsia="zh-TW"/>
        </w:rPr>
      </w:pPr>
      <w:r w:rsidRPr="00740BA8">
        <w:rPr>
          <w:rFonts w:asciiTheme="minorHAnsi" w:eastAsiaTheme="minorEastAsia" w:hAnsiTheme="minorHAnsi" w:cstheme="minorBidi"/>
          <w:sz w:val="28"/>
          <w:szCs w:val="28"/>
          <w:lang w:eastAsia="zh-TW"/>
        </w:rPr>
        <w:t>Recommendation F1</w:t>
      </w:r>
    </w:p>
    <w:p w:rsidR="00BF72AB" w:rsidRDefault="00951C9A">
      <w:pPr>
        <w:pStyle w:val="TOC2"/>
        <w:rPr>
          <w:rStyle w:val="Hyperlink"/>
        </w:rPr>
      </w:pPr>
      <w:r w:rsidRPr="00951C9A">
        <w:rPr>
          <w:b w:val="0"/>
          <w:bCs/>
        </w:rPr>
        <w:fldChar w:fldCharType="begin"/>
      </w:r>
      <w:r w:rsidR="007A5CB5">
        <w:rPr>
          <w:b w:val="0"/>
          <w:bCs/>
        </w:rPr>
        <w:instrText xml:space="preserve"> TOC \n \p " " \h \z \t "Recommendation,1,Recommendation Text,2,Recommendation Bullet,3" </w:instrText>
      </w:r>
      <w:r w:rsidRPr="00951C9A">
        <w:rPr>
          <w:b w:val="0"/>
          <w:bCs/>
        </w:rPr>
        <w:fldChar w:fldCharType="separate"/>
      </w:r>
      <w:hyperlink w:anchor="_Toc453236485" w:history="1">
        <w:r w:rsidR="00BF72AB" w:rsidRPr="00DF3135">
          <w:rPr>
            <w:rStyle w:val="Hyperlink"/>
          </w:rPr>
          <w:t>1.11</w:t>
        </w:r>
        <w:r w:rsidR="00BF72AB">
          <w:rPr>
            <w:rFonts w:asciiTheme="minorHAnsi" w:eastAsiaTheme="minorEastAsia" w:hAnsiTheme="minorHAnsi" w:cstheme="minorBidi"/>
            <w:b w:val="0"/>
            <w:szCs w:val="22"/>
            <w:lang w:eastAsia="zh-TW"/>
          </w:rPr>
          <w:tab/>
        </w:r>
        <w:r w:rsidR="00BF72AB" w:rsidRPr="00DF3135">
          <w:rPr>
            <w:rStyle w:val="Hyperlink"/>
          </w:rPr>
          <w:t>The Committee recommends that the Minister for Higher Education and Training compel CIT to review each electrical trade graduate and provide an assurance that combined courses set up following the unexpected combining of the ElectroSkills and CIT course resulted in all students completing all mandatory components or units to obtain the electrical trade qualifications they were awarded.</w:t>
        </w:r>
      </w:hyperlink>
    </w:p>
    <w:p w:rsidR="00BF72AB" w:rsidRPr="00BF72AB" w:rsidRDefault="00BF72AB" w:rsidP="00BF72AB">
      <w:pPr>
        <w:pStyle w:val="TOC2"/>
        <w:numPr>
          <w:ilvl w:val="2"/>
          <w:numId w:val="8"/>
        </w:numPr>
        <w:rPr>
          <w:rFonts w:asciiTheme="minorHAnsi" w:eastAsiaTheme="minorEastAsia" w:hAnsiTheme="minorHAnsi" w:cstheme="minorBidi"/>
          <w:sz w:val="28"/>
          <w:szCs w:val="28"/>
          <w:lang w:eastAsia="zh-TW"/>
        </w:rPr>
      </w:pPr>
      <w:r w:rsidRPr="00BF72AB">
        <w:rPr>
          <w:rFonts w:asciiTheme="minorHAnsi" w:eastAsiaTheme="minorEastAsia" w:hAnsiTheme="minorHAnsi" w:cstheme="minorBidi"/>
          <w:sz w:val="28"/>
          <w:szCs w:val="28"/>
          <w:lang w:eastAsia="zh-TW"/>
        </w:rPr>
        <w:t>Recommendation F2</w:t>
      </w:r>
    </w:p>
    <w:p w:rsidR="00BF72AB" w:rsidRDefault="00BF72AB">
      <w:pPr>
        <w:pStyle w:val="TOC2"/>
        <w:rPr>
          <w:rStyle w:val="Hyperlink"/>
        </w:rPr>
      </w:pPr>
      <w:hyperlink w:anchor="_Toc453236486" w:history="1">
        <w:r w:rsidRPr="00DF3135">
          <w:rPr>
            <w:rStyle w:val="Hyperlink"/>
          </w:rPr>
          <w:t>1.12</w:t>
        </w:r>
        <w:r>
          <w:rPr>
            <w:rFonts w:asciiTheme="minorHAnsi" w:eastAsiaTheme="minorEastAsia" w:hAnsiTheme="minorHAnsi" w:cstheme="minorBidi"/>
            <w:b w:val="0"/>
            <w:szCs w:val="22"/>
            <w:lang w:eastAsia="zh-TW"/>
          </w:rPr>
          <w:tab/>
        </w:r>
        <w:r w:rsidRPr="00DF3135">
          <w:rPr>
            <w:rStyle w:val="Hyperlink"/>
          </w:rPr>
          <w:t>The Committee recommends that, following the review recommended in recommendation F1, should any deficiencies be identified , CIT ensure a catch-up or complementary course of training is completed by these graduates.</w:t>
        </w:r>
      </w:hyperlink>
    </w:p>
    <w:p w:rsidR="00BF72AB" w:rsidRPr="00BF72AB" w:rsidRDefault="00BF72AB" w:rsidP="00BF72AB">
      <w:pPr>
        <w:pStyle w:val="TOC2"/>
        <w:numPr>
          <w:ilvl w:val="2"/>
          <w:numId w:val="8"/>
        </w:numPr>
        <w:rPr>
          <w:rFonts w:asciiTheme="minorHAnsi" w:eastAsiaTheme="minorEastAsia" w:hAnsiTheme="minorHAnsi" w:cstheme="minorBidi"/>
          <w:sz w:val="28"/>
          <w:szCs w:val="28"/>
          <w:lang w:eastAsia="zh-TW"/>
        </w:rPr>
      </w:pPr>
      <w:r w:rsidRPr="00BF72AB">
        <w:rPr>
          <w:rFonts w:asciiTheme="minorHAnsi" w:eastAsiaTheme="minorEastAsia" w:hAnsiTheme="minorHAnsi" w:cstheme="minorBidi"/>
          <w:sz w:val="28"/>
          <w:szCs w:val="28"/>
          <w:lang w:eastAsia="zh-TW"/>
        </w:rPr>
        <w:t>Recommendation F3</w:t>
      </w:r>
    </w:p>
    <w:p w:rsidR="00BF72AB" w:rsidRDefault="00BF72AB">
      <w:pPr>
        <w:pStyle w:val="TOC2"/>
        <w:rPr>
          <w:rStyle w:val="Hyperlink"/>
        </w:rPr>
      </w:pPr>
      <w:hyperlink w:anchor="_Toc453236487" w:history="1">
        <w:r w:rsidRPr="00DF3135">
          <w:rPr>
            <w:rStyle w:val="Hyperlink"/>
          </w:rPr>
          <w:t>1.15</w:t>
        </w:r>
        <w:r>
          <w:rPr>
            <w:rFonts w:asciiTheme="minorHAnsi" w:eastAsiaTheme="minorEastAsia" w:hAnsiTheme="minorHAnsi" w:cstheme="minorBidi"/>
            <w:b w:val="0"/>
            <w:szCs w:val="22"/>
            <w:lang w:eastAsia="zh-TW"/>
          </w:rPr>
          <w:tab/>
        </w:r>
        <w:r w:rsidRPr="00DF3135">
          <w:rPr>
            <w:rStyle w:val="Hyperlink"/>
          </w:rPr>
          <w:t>Given some perceived resistance by CIT to the Committee’s various  correspondence , the Committee recommends that CIT identify processes and assessments it has taken to ensure all Electrotechnology apprentices who completed their Capstone exam (</w:t>
        </w:r>
        <w:r w:rsidRPr="00DF3135">
          <w:rPr>
            <w:rStyle w:val="Hyperlink"/>
            <w:lang w:val="en-GB"/>
          </w:rPr>
          <w:t>Electrical Systems Safety) have adequately demonstrated the skills and understanding to have become qualified after being transferred from the ElectroSkills Centre to the CIT.  The Committee further recommends that should the Minister not be satisfied with CIT’s response, that an audit be conducted by an independent appropriately certified assessor or organisation. In addition, the Minister should respond to this Committee as soon as possible regarding this recommendation, but in any event by the first sitting day of the Assembly in August 2016.</w:t>
        </w:r>
      </w:hyperlink>
    </w:p>
    <w:p w:rsidR="00BF72AB" w:rsidRPr="00BF72AB" w:rsidRDefault="00BF72AB" w:rsidP="00BF72AB">
      <w:pPr>
        <w:pStyle w:val="TOC2"/>
        <w:numPr>
          <w:ilvl w:val="2"/>
          <w:numId w:val="8"/>
        </w:numPr>
        <w:rPr>
          <w:rFonts w:asciiTheme="minorHAnsi" w:eastAsiaTheme="minorEastAsia" w:hAnsiTheme="minorHAnsi" w:cstheme="minorBidi"/>
          <w:sz w:val="28"/>
          <w:szCs w:val="28"/>
          <w:lang w:eastAsia="zh-TW"/>
        </w:rPr>
      </w:pPr>
      <w:r w:rsidRPr="00BF72AB">
        <w:rPr>
          <w:rFonts w:asciiTheme="minorHAnsi" w:eastAsiaTheme="minorEastAsia" w:hAnsiTheme="minorHAnsi" w:cstheme="minorBidi"/>
          <w:sz w:val="28"/>
          <w:szCs w:val="28"/>
          <w:lang w:eastAsia="zh-TW"/>
        </w:rPr>
        <w:t>Recommendation F4</w:t>
      </w:r>
    </w:p>
    <w:p w:rsidR="00BF72AB" w:rsidRDefault="00BF72AB">
      <w:pPr>
        <w:pStyle w:val="TOC2"/>
        <w:rPr>
          <w:rFonts w:asciiTheme="minorHAnsi" w:eastAsiaTheme="minorEastAsia" w:hAnsiTheme="minorHAnsi" w:cstheme="minorBidi"/>
          <w:b w:val="0"/>
          <w:szCs w:val="22"/>
          <w:lang w:eastAsia="zh-TW"/>
        </w:rPr>
      </w:pPr>
      <w:hyperlink w:anchor="_Toc453236488" w:history="1">
        <w:r w:rsidRPr="00DF3135">
          <w:rPr>
            <w:rStyle w:val="Hyperlink"/>
          </w:rPr>
          <w:t>1.16</w:t>
        </w:r>
        <w:r>
          <w:rPr>
            <w:rFonts w:asciiTheme="minorHAnsi" w:eastAsiaTheme="minorEastAsia" w:hAnsiTheme="minorHAnsi" w:cstheme="minorBidi"/>
            <w:b w:val="0"/>
            <w:szCs w:val="22"/>
            <w:lang w:eastAsia="zh-TW"/>
          </w:rPr>
          <w:tab/>
        </w:r>
        <w:r w:rsidRPr="00DF3135">
          <w:rPr>
            <w:rStyle w:val="Hyperlink"/>
          </w:rPr>
          <w:t>The Committee recommends that CIT put in place a contingency plan to ensure continuity of tuition is available to all students should CIT be required to integrate large numbers of students into any of its courses in the future.</w:t>
        </w:r>
      </w:hyperlink>
    </w:p>
    <w:p w:rsidR="00BF72AB" w:rsidRDefault="00BF72AB">
      <w:pPr>
        <w:pStyle w:val="TOC2"/>
        <w:rPr>
          <w:rFonts w:asciiTheme="minorHAnsi" w:eastAsiaTheme="minorEastAsia" w:hAnsiTheme="minorHAnsi" w:cstheme="minorBidi"/>
          <w:b w:val="0"/>
          <w:szCs w:val="22"/>
          <w:lang w:eastAsia="zh-TW"/>
        </w:rPr>
      </w:pPr>
      <w:hyperlink w:anchor="_Toc453236489" w:history="1">
        <w:r w:rsidRPr="00DF3135">
          <w:rPr>
            <w:rStyle w:val="Hyperlink"/>
          </w:rPr>
          <w:t>1.17</w:t>
        </w:r>
        <w:r>
          <w:rPr>
            <w:rFonts w:asciiTheme="minorHAnsi" w:eastAsiaTheme="minorEastAsia" w:hAnsiTheme="minorHAnsi" w:cstheme="minorBidi"/>
            <w:b w:val="0"/>
            <w:szCs w:val="22"/>
            <w:lang w:eastAsia="zh-TW"/>
          </w:rPr>
          <w:tab/>
        </w:r>
        <w:r w:rsidRPr="00DF3135">
          <w:rPr>
            <w:rStyle w:val="Hyperlink"/>
          </w:rPr>
          <w:t>Further, the Committee recommends The Minister for Higher Education and Training satisfy herself that the steps CIT takes to put in place a plan or protocol for the proposals put by the Committee in this report are adequate.</w:t>
        </w:r>
      </w:hyperlink>
    </w:p>
    <w:p w:rsidR="008962D3" w:rsidRDefault="00951C9A" w:rsidP="008962D3">
      <w:pPr>
        <w:pStyle w:val="Heading1"/>
        <w:keepNext w:val="0"/>
        <w:pageBreakBefore w:val="0"/>
        <w:numPr>
          <w:ilvl w:val="0"/>
          <w:numId w:val="0"/>
        </w:numPr>
        <w:ind w:left="567"/>
        <w:sectPr w:rsidR="008962D3" w:rsidSect="00AD1971">
          <w:headerReference w:type="even" r:id="rId26"/>
          <w:footerReference w:type="default" r:id="rId27"/>
          <w:headerReference w:type="first" r:id="rId28"/>
          <w:type w:val="oddPage"/>
          <w:pgSz w:w="11907" w:h="16840" w:code="9"/>
          <w:pgMar w:top="1588" w:right="1418" w:bottom="1418" w:left="1418" w:header="720" w:footer="851" w:gutter="0"/>
          <w:pgNumType w:fmt="lowerRoman"/>
          <w:cols w:space="720"/>
          <w:docGrid w:linePitch="360"/>
        </w:sectPr>
      </w:pPr>
      <w:r>
        <w:rPr>
          <w:rFonts w:ascii="Calibri" w:hAnsi="Calibri" w:cs="Calibri"/>
          <w:b/>
          <w:bCs w:val="0"/>
          <w:noProof/>
          <w:kern w:val="0"/>
          <w:sz w:val="24"/>
          <w:szCs w:val="22"/>
        </w:rPr>
        <w:fldChar w:fldCharType="end"/>
      </w:r>
    </w:p>
    <w:p w:rsidR="00D561BC" w:rsidRPr="008962D3" w:rsidRDefault="00AF31F1" w:rsidP="008962D3">
      <w:pPr>
        <w:pStyle w:val="Heading1"/>
        <w:numPr>
          <w:ilvl w:val="0"/>
          <w:numId w:val="0"/>
        </w:numPr>
        <w:tabs>
          <w:tab w:val="clear" w:pos="567"/>
        </w:tabs>
      </w:pPr>
      <w:bookmarkStart w:id="40" w:name="_Toc453157523"/>
      <w:r w:rsidRPr="008962D3">
        <w:t>1</w:t>
      </w:r>
      <w:r w:rsidRPr="008962D3">
        <w:tab/>
      </w:r>
      <w:r w:rsidR="0075728A">
        <w:t>Final Report</w:t>
      </w:r>
      <w:bookmarkEnd w:id="40"/>
    </w:p>
    <w:p w:rsidR="00BC1937" w:rsidRPr="00BC1937" w:rsidRDefault="00BC1937" w:rsidP="00BC1937">
      <w:pPr>
        <w:pStyle w:val="Bodytext"/>
      </w:pPr>
      <w:r w:rsidRPr="00BC1937">
        <w:t>The Committee tabled its Interim Report on this reference on 17 February 2016.</w:t>
      </w:r>
    </w:p>
    <w:p w:rsidR="00BC1937" w:rsidRPr="00BC1937" w:rsidRDefault="00BC1937" w:rsidP="00BC1937">
      <w:pPr>
        <w:pStyle w:val="Bodytext"/>
      </w:pPr>
      <w:r w:rsidRPr="00BC1937">
        <w:t>The Committee Interim Report, inter alia, discussed a narrative relating to matters that were raised with the Committee in 2015 regarding the administration of the Electrotechnology Course at (CIT),  in particular the period following the incorporation of trainee electricians from ElectroSkills, a private training institution into the CIT course.</w:t>
      </w:r>
    </w:p>
    <w:p w:rsidR="00BC1937" w:rsidRPr="00BC1937" w:rsidRDefault="00BC1937" w:rsidP="00BC1937">
      <w:pPr>
        <w:pStyle w:val="Bodytext"/>
      </w:pPr>
      <w:r w:rsidRPr="00BC1937">
        <w:t>The Interim Report contained a number of recommendations including Recommendation 4 required the review of the Electrotechnology Course conducted by the Australian Skills Quality Authority (ASQA) in late 2015 be tabled by the Minister for Higher Education and Training and made available to the Committee.  The Committee notes that the ASQA report of that review was subsequently tabled by the Minister on 7 April 2016.</w:t>
      </w:r>
    </w:p>
    <w:p w:rsidR="00BC1937" w:rsidRPr="00BC1937" w:rsidRDefault="00BC1937" w:rsidP="00BC1937">
      <w:pPr>
        <w:pStyle w:val="Bodytext"/>
      </w:pPr>
      <w:r w:rsidRPr="00BC1937">
        <w:t>Recommendation 5 related to CIT’s processes to ensure that students met minimum training standards.</w:t>
      </w:r>
    </w:p>
    <w:p w:rsidR="00BC1937" w:rsidRPr="00BC1937" w:rsidRDefault="00BC1937" w:rsidP="00BC1937">
      <w:pPr>
        <w:pStyle w:val="Bodytext"/>
      </w:pPr>
      <w:r w:rsidRPr="00BC1937">
        <w:t>The Committee’s Interim Report is attached as</w:t>
      </w:r>
      <w:r w:rsidR="0075728A">
        <w:t xml:space="preserve"> </w:t>
      </w:r>
      <w:r w:rsidRPr="00BC1937">
        <w:rPr>
          <w:u w:val="single"/>
        </w:rPr>
        <w:t>Appendix A</w:t>
      </w:r>
      <w:r w:rsidRPr="00BC1937">
        <w:t>.</w:t>
      </w:r>
    </w:p>
    <w:p w:rsidR="00BC1937" w:rsidRPr="0075728A" w:rsidRDefault="00BC1937" w:rsidP="0075728A">
      <w:pPr>
        <w:pStyle w:val="Headinglevel2"/>
        <w:numPr>
          <w:ilvl w:val="0"/>
          <w:numId w:val="0"/>
        </w:numPr>
      </w:pPr>
      <w:bookmarkStart w:id="41" w:name="_Toc453157524"/>
      <w:r w:rsidRPr="0075728A">
        <w:t>Government Response to Committee Recommendations 4 &amp; 5 from Interim Report</w:t>
      </w:r>
      <w:bookmarkEnd w:id="41"/>
    </w:p>
    <w:p w:rsidR="00BC1937" w:rsidRPr="00BC1937" w:rsidRDefault="00BC1937" w:rsidP="0075728A">
      <w:pPr>
        <w:pStyle w:val="Headinglevel4"/>
      </w:pPr>
      <w:r w:rsidRPr="00BC1937">
        <w:t>Government Response to Committee Recommendation 4</w:t>
      </w:r>
    </w:p>
    <w:p w:rsidR="00BC1937" w:rsidRPr="00BC1937" w:rsidRDefault="00BC1937" w:rsidP="00BC1937">
      <w:pPr>
        <w:pStyle w:val="Bodytext"/>
      </w:pPr>
      <w:r w:rsidRPr="00BC1937">
        <w:t xml:space="preserve">In her tabling statement, the Minister for Higher Education and Training drew attention to a number of matters which resulted from the ASQA Review and report. They were – </w:t>
      </w:r>
    </w:p>
    <w:p w:rsidR="00BC1937" w:rsidRPr="00BC1937" w:rsidRDefault="00BC1937" w:rsidP="008962D3">
      <w:pPr>
        <w:numPr>
          <w:ilvl w:val="0"/>
          <w:numId w:val="10"/>
        </w:numPr>
        <w:spacing w:before="60" w:after="80" w:line="288" w:lineRule="auto"/>
        <w:outlineLvl w:val="1"/>
        <w:rPr>
          <w:rFonts w:cs="Arial"/>
          <w:iCs/>
        </w:rPr>
      </w:pPr>
      <w:r w:rsidRPr="00BC1937">
        <w:rPr>
          <w:rFonts w:cs="Arial"/>
          <w:iCs/>
        </w:rPr>
        <w:t>The National Centre for Vocational Education Research has recently released data showing that nationally the number of apprentices and trainees in training as at 30 September 2015 has decreased 13.7 per cent from 30 September 2014. This decline was also reflected in ACT apprentice and trainee data, but CIT is bucking this trend with apprentice numbers holding steady.</w:t>
      </w:r>
    </w:p>
    <w:p w:rsidR="00BC1937" w:rsidRPr="00BC1937" w:rsidRDefault="00BC1937" w:rsidP="008962D3">
      <w:pPr>
        <w:numPr>
          <w:ilvl w:val="0"/>
          <w:numId w:val="10"/>
        </w:numPr>
        <w:spacing w:before="60" w:after="80" w:line="288" w:lineRule="auto"/>
        <w:outlineLvl w:val="1"/>
        <w:rPr>
          <w:rFonts w:cs="Arial"/>
          <w:iCs/>
        </w:rPr>
      </w:pPr>
      <w:r w:rsidRPr="00BC1937">
        <w:rPr>
          <w:rFonts w:cs="Arial"/>
          <w:iCs/>
        </w:rPr>
        <w:t>CIT trains 72 per cent of the ACT's apprentices. Reflected in student satisfaction rates of 93 per cent and employer satisfaction rates of 87 per cent, both of which are considerably above target.</w:t>
      </w:r>
    </w:p>
    <w:p w:rsidR="00BC1937" w:rsidRPr="00BC1937" w:rsidRDefault="00BC1937" w:rsidP="008962D3">
      <w:pPr>
        <w:numPr>
          <w:ilvl w:val="0"/>
          <w:numId w:val="10"/>
        </w:numPr>
        <w:spacing w:before="60" w:after="80" w:line="288" w:lineRule="auto"/>
        <w:outlineLvl w:val="1"/>
        <w:rPr>
          <w:rFonts w:cs="Arial"/>
          <w:iCs/>
        </w:rPr>
      </w:pPr>
      <w:r w:rsidRPr="00BC1937">
        <w:rPr>
          <w:rFonts w:cs="Arial"/>
          <w:iCs/>
        </w:rPr>
        <w:t xml:space="preserve">In May 2015 CIT committed to an improvement strategy through the Australian Apprenticeship Quality Improvement and Sustainability project. </w:t>
      </w:r>
    </w:p>
    <w:p w:rsidR="00BC1937" w:rsidRPr="00BC1937" w:rsidRDefault="00BC1937" w:rsidP="008962D3">
      <w:pPr>
        <w:numPr>
          <w:ilvl w:val="0"/>
          <w:numId w:val="10"/>
        </w:numPr>
        <w:spacing w:before="60" w:after="80" w:line="288" w:lineRule="auto"/>
        <w:outlineLvl w:val="1"/>
        <w:rPr>
          <w:rFonts w:cs="Arial"/>
          <w:iCs/>
        </w:rPr>
      </w:pPr>
      <w:r w:rsidRPr="00BC1937">
        <w:rPr>
          <w:rFonts w:cs="Arial"/>
          <w:iCs/>
        </w:rPr>
        <w:t>Electrotechnology is a key industry for the ACT and will be increasingly so with the ACT government's focus on renewable energy. It has been a priority focus area for this quality improvement project which has been informed by researching good practice in five TAFEs across four states and in consultation with ACT employers and apprentices.</w:t>
      </w:r>
    </w:p>
    <w:p w:rsidR="00BC1937" w:rsidRPr="00BC1937" w:rsidRDefault="00BC1937" w:rsidP="008962D3">
      <w:pPr>
        <w:numPr>
          <w:ilvl w:val="0"/>
          <w:numId w:val="10"/>
        </w:numPr>
        <w:spacing w:before="60" w:after="80" w:line="288" w:lineRule="auto"/>
        <w:outlineLvl w:val="1"/>
        <w:rPr>
          <w:rFonts w:cs="Arial"/>
          <w:iCs/>
        </w:rPr>
      </w:pPr>
      <w:r w:rsidRPr="00BC1937">
        <w:rPr>
          <w:rFonts w:cs="Arial"/>
          <w:iCs/>
        </w:rPr>
        <w:t>CIT has conducted a number of electrical trade employer forums which have resulted in improvements to the enrolment process and the reporting of student issues and student progress back to employers. Increased engagement with employers is formalised with regularly scheduled meetings to gather intelligence on changes in industry that CIT needs to incorporate into its educational delivery.</w:t>
      </w:r>
    </w:p>
    <w:p w:rsidR="00BC1937" w:rsidRPr="00BC1937" w:rsidRDefault="00BC1937" w:rsidP="008962D3">
      <w:pPr>
        <w:numPr>
          <w:ilvl w:val="0"/>
          <w:numId w:val="10"/>
        </w:numPr>
        <w:spacing w:before="60" w:after="80" w:line="288" w:lineRule="auto"/>
        <w:outlineLvl w:val="1"/>
        <w:rPr>
          <w:rFonts w:cs="Arial"/>
          <w:iCs/>
        </w:rPr>
      </w:pPr>
      <w:r w:rsidRPr="00BC1937">
        <w:rPr>
          <w:rFonts w:cs="Arial"/>
          <w:iCs/>
        </w:rPr>
        <w:t xml:space="preserve">ASQA initiated and conducted a compliance audit on 26 November 2015 on two competencies from the certificate III in electrotechnology electrician. </w:t>
      </w:r>
    </w:p>
    <w:p w:rsidR="00BC1937" w:rsidRPr="00BC1937" w:rsidRDefault="00BC1937" w:rsidP="008962D3">
      <w:pPr>
        <w:numPr>
          <w:ilvl w:val="0"/>
          <w:numId w:val="10"/>
        </w:numPr>
        <w:spacing w:before="60" w:after="80" w:line="288" w:lineRule="auto"/>
        <w:outlineLvl w:val="1"/>
        <w:rPr>
          <w:rFonts w:cs="Arial"/>
          <w:iCs/>
        </w:rPr>
      </w:pPr>
      <w:r w:rsidRPr="00BC1937">
        <w:rPr>
          <w:rFonts w:cs="Arial"/>
          <w:iCs/>
        </w:rPr>
        <w:t xml:space="preserve">CIT was advised by ASQA that the audit was only in response to media attention about the delivery and assessment of this qualification at CIT. I think it is important for members to note that ASQA were not in receipt of a direct complaint in relation to CIT. </w:t>
      </w:r>
    </w:p>
    <w:p w:rsidR="00BC1937" w:rsidRPr="00BC1937" w:rsidRDefault="00BC1937" w:rsidP="008962D3">
      <w:pPr>
        <w:numPr>
          <w:ilvl w:val="0"/>
          <w:numId w:val="10"/>
        </w:numPr>
        <w:spacing w:before="60" w:after="80" w:line="288" w:lineRule="auto"/>
        <w:outlineLvl w:val="1"/>
        <w:rPr>
          <w:rFonts w:cs="Arial"/>
          <w:iCs/>
        </w:rPr>
      </w:pPr>
      <w:r w:rsidRPr="00BC1937">
        <w:rPr>
          <w:rFonts w:cs="Arial"/>
          <w:iCs/>
        </w:rPr>
        <w:t xml:space="preserve">ASQA provided its interim audit findings to CIT on 17 December 2015, and further evidence was submitted by CIT on 22 January 2016. </w:t>
      </w:r>
    </w:p>
    <w:p w:rsidR="00BC1937" w:rsidRPr="00BC1937" w:rsidRDefault="00BC1937" w:rsidP="008962D3">
      <w:pPr>
        <w:numPr>
          <w:ilvl w:val="0"/>
          <w:numId w:val="10"/>
        </w:numPr>
        <w:spacing w:before="60" w:after="80" w:line="288" w:lineRule="auto"/>
        <w:outlineLvl w:val="1"/>
        <w:rPr>
          <w:rFonts w:cs="Arial"/>
          <w:iCs/>
        </w:rPr>
      </w:pPr>
      <w:r w:rsidRPr="00BC1937">
        <w:rPr>
          <w:rFonts w:cs="Arial"/>
          <w:iCs/>
        </w:rPr>
        <w:t>ASQA's report was finalised and provided to the CEO of CIT on 16 February 2016.</w:t>
      </w:r>
    </w:p>
    <w:p w:rsidR="00BC1937" w:rsidRPr="00BC1937" w:rsidRDefault="00BC1937" w:rsidP="008962D3">
      <w:pPr>
        <w:numPr>
          <w:ilvl w:val="0"/>
          <w:numId w:val="10"/>
        </w:numPr>
        <w:spacing w:before="60" w:after="80" w:line="288" w:lineRule="auto"/>
        <w:outlineLvl w:val="1"/>
        <w:rPr>
          <w:rFonts w:cs="Arial"/>
          <w:iCs/>
        </w:rPr>
      </w:pPr>
      <w:r w:rsidRPr="00BC1937">
        <w:rPr>
          <w:rFonts w:cs="Arial"/>
          <w:iCs/>
        </w:rPr>
        <w:t>There are references to "non-compliance" in the audit and it is important to put these in context.</w:t>
      </w:r>
    </w:p>
    <w:p w:rsidR="00BC1937" w:rsidRPr="00BC1937" w:rsidRDefault="00BC1937" w:rsidP="008962D3">
      <w:pPr>
        <w:numPr>
          <w:ilvl w:val="0"/>
          <w:numId w:val="10"/>
        </w:numPr>
        <w:spacing w:before="60" w:after="80" w:line="288" w:lineRule="auto"/>
        <w:outlineLvl w:val="1"/>
        <w:rPr>
          <w:rFonts w:cs="Arial"/>
          <w:iCs/>
        </w:rPr>
      </w:pPr>
      <w:r w:rsidRPr="00BC1937">
        <w:rPr>
          <w:rFonts w:cs="Arial"/>
          <w:iCs/>
        </w:rPr>
        <w:t>"Non-compliance" in these circumstances essentially means that on the evidence provided on 26 November there was a risk the organisation was non-compliant. More evidence was then provided on 22 January 2016, similar to a prima facie case to answer in a court case. In this case, once the evidence was produced and tested, CIT was found to be compliant.</w:t>
      </w:r>
    </w:p>
    <w:p w:rsidR="00BC1937" w:rsidRPr="00BC1937" w:rsidRDefault="00BC1937" w:rsidP="008962D3">
      <w:pPr>
        <w:numPr>
          <w:ilvl w:val="0"/>
          <w:numId w:val="10"/>
        </w:numPr>
        <w:spacing w:before="60" w:after="80" w:line="288" w:lineRule="auto"/>
        <w:outlineLvl w:val="1"/>
        <w:rPr>
          <w:rFonts w:cs="Arial"/>
          <w:iCs/>
        </w:rPr>
      </w:pPr>
      <w:r w:rsidRPr="00BC1937">
        <w:rPr>
          <w:rFonts w:cs="Arial"/>
          <w:iCs/>
        </w:rPr>
        <w:t>The final ASQA report finding on the compliance audit highlighted CIT's ongoing compliance with the VET quality framework as relevant to the scope of the audit. ASQA also maintained CIT's low-risk status. No further response to ASQA from CIT in relation to the compliance audit is required.</w:t>
      </w:r>
    </w:p>
    <w:p w:rsidR="00BC1937" w:rsidRPr="00BC1937" w:rsidRDefault="00BC1937" w:rsidP="0075728A">
      <w:pPr>
        <w:pStyle w:val="Headinglevel4"/>
      </w:pPr>
      <w:r w:rsidRPr="00BC1937">
        <w:t>Committee Comment</w:t>
      </w:r>
      <w:r>
        <w:t xml:space="preserve"> </w:t>
      </w:r>
      <w:r w:rsidRPr="00BC1937">
        <w:t>- the ASQA Review report</w:t>
      </w:r>
    </w:p>
    <w:p w:rsidR="00BC1937" w:rsidRPr="00BC1937" w:rsidRDefault="00BC1937" w:rsidP="00BC1937">
      <w:pPr>
        <w:pStyle w:val="Bodytext"/>
      </w:pPr>
      <w:r w:rsidRPr="00BC1937">
        <w:t>The Committee has considered the ASQA Review Report and the Minister’s statement to the Assembly of 7 April 2016, and makes a number of observations:</w:t>
      </w:r>
    </w:p>
    <w:p w:rsidR="00BC1937" w:rsidRPr="00BC1937" w:rsidRDefault="00BC1937" w:rsidP="008962D3">
      <w:pPr>
        <w:numPr>
          <w:ilvl w:val="0"/>
          <w:numId w:val="10"/>
        </w:numPr>
        <w:spacing w:before="60" w:after="80" w:line="288" w:lineRule="auto"/>
        <w:outlineLvl w:val="1"/>
        <w:rPr>
          <w:rFonts w:cs="Arial"/>
          <w:iCs/>
        </w:rPr>
      </w:pPr>
      <w:r w:rsidRPr="00BC1937">
        <w:rPr>
          <w:rFonts w:cs="Arial"/>
          <w:iCs/>
        </w:rPr>
        <w:t>It appears clear to the Committee the courses that were audited by ASQA on 21 November 2015 may not have been all of the courses undertaken by students enrolled in the Electrotechnology Course (both at CIT and at Electro Skills).</w:t>
      </w:r>
    </w:p>
    <w:p w:rsidR="00BC1937" w:rsidRPr="00BC1937" w:rsidRDefault="00BC1937" w:rsidP="008962D3">
      <w:pPr>
        <w:numPr>
          <w:ilvl w:val="0"/>
          <w:numId w:val="10"/>
        </w:numPr>
        <w:spacing w:before="60" w:after="80" w:line="288" w:lineRule="auto"/>
        <w:outlineLvl w:val="1"/>
        <w:rPr>
          <w:rFonts w:cs="Arial"/>
          <w:iCs/>
        </w:rPr>
      </w:pPr>
      <w:r w:rsidRPr="00BC1937">
        <w:rPr>
          <w:rFonts w:cs="Arial"/>
          <w:iCs/>
        </w:rPr>
        <w:t>The Committee is concerned it remains unclear from the evidence presented as to whether the conclusion that graduates of CIT have fulfilled the requirements of the Electrotechnology course and a successful Capstone assessment for electrical trade qualification, was warranted.</w:t>
      </w:r>
    </w:p>
    <w:p w:rsidR="00BC1937" w:rsidRPr="00BC1937" w:rsidRDefault="00BC1937" w:rsidP="00BC1937">
      <w:pPr>
        <w:pStyle w:val="Bodytext"/>
      </w:pPr>
      <w:r w:rsidRPr="00BC1937">
        <w:t xml:space="preserve">With regards to CIT, the concerns raised in submissions and evidence to this Committee in the earlier part of this inquiry - which are highlighted and dealt with in the Committee’s Interim Report at Appendix A - focused on the management and administration of the UEE11 Electrotechnology package. The central issue identified in submissions and evidence to the Committee was CIT handling of approximately 300 electrical apprentices that were transferred from the Electrotech Skills Centre (ElectroSkills) </w:t>
      </w:r>
    </w:p>
    <w:p w:rsidR="00BC1937" w:rsidRPr="00BC1937" w:rsidRDefault="00BC1937" w:rsidP="00BC1937">
      <w:pPr>
        <w:pStyle w:val="Bodytext"/>
      </w:pPr>
      <w:r w:rsidRPr="00BC1937">
        <w:t>The Committee also notes that the Minister’s statement to the Assembly acknowledged the role played by CIT in addressing problems for the cohort of students affected by the ElectroSkills/CIT courses ‘amalgamation’.</w:t>
      </w:r>
    </w:p>
    <w:p w:rsidR="00BC1937" w:rsidRPr="00BC1937" w:rsidRDefault="00BC1937" w:rsidP="00BC1937">
      <w:pPr>
        <w:spacing w:before="240" w:after="100" w:line="288" w:lineRule="auto"/>
        <w:ind w:left="567"/>
      </w:pPr>
      <w:r w:rsidRPr="00BC1937">
        <w:t>In preparing this report, the Committee contacted ASQA about two matters related to the review:</w:t>
      </w:r>
    </w:p>
    <w:p w:rsidR="00BC1937" w:rsidRPr="00BC1937" w:rsidRDefault="00BC1937" w:rsidP="008962D3">
      <w:pPr>
        <w:numPr>
          <w:ilvl w:val="0"/>
          <w:numId w:val="9"/>
        </w:numPr>
        <w:spacing w:before="60" w:after="80" w:line="288" w:lineRule="auto"/>
        <w:outlineLvl w:val="1"/>
        <w:rPr>
          <w:rFonts w:cs="Arial"/>
          <w:iCs/>
        </w:rPr>
      </w:pPr>
      <w:r w:rsidRPr="00BC1937">
        <w:rPr>
          <w:rFonts w:cs="Arial"/>
          <w:iCs/>
        </w:rPr>
        <w:t xml:space="preserve">To confirm that the sole reason the audit review was undertaken was the media report in the </w:t>
      </w:r>
      <w:r w:rsidRPr="00BC1937">
        <w:rPr>
          <w:rFonts w:cs="Arial"/>
          <w:i/>
          <w:iCs/>
        </w:rPr>
        <w:t>The Canberra Times</w:t>
      </w:r>
      <w:r w:rsidRPr="00BC1937">
        <w:rPr>
          <w:rFonts w:cs="Arial"/>
          <w:iCs/>
        </w:rPr>
        <w:t xml:space="preserve"> of 9 September 2015 ; and,</w:t>
      </w:r>
    </w:p>
    <w:p w:rsidR="00BC1937" w:rsidRPr="00BC1937" w:rsidRDefault="00BC1937" w:rsidP="008962D3">
      <w:pPr>
        <w:numPr>
          <w:ilvl w:val="0"/>
          <w:numId w:val="9"/>
        </w:numPr>
        <w:spacing w:before="60" w:after="80" w:line="288" w:lineRule="auto"/>
        <w:outlineLvl w:val="1"/>
        <w:rPr>
          <w:rFonts w:cs="Arial"/>
          <w:iCs/>
        </w:rPr>
      </w:pPr>
      <w:r w:rsidRPr="00BC1937">
        <w:rPr>
          <w:rFonts w:cs="Arial"/>
          <w:iCs/>
        </w:rPr>
        <w:t>To ascertain whether any audit or review of courses undertaken as part of their training by the Electroskills trainees transferring to CIT were in compliance with applicable standards, and whether all students had undertaken appropriate level of courses.</w:t>
      </w:r>
    </w:p>
    <w:p w:rsidR="00BC1937" w:rsidRPr="0075728A" w:rsidRDefault="00BC1937" w:rsidP="00BC1937">
      <w:pPr>
        <w:spacing w:before="240" w:after="100" w:line="288" w:lineRule="auto"/>
        <w:ind w:left="567"/>
      </w:pPr>
      <w:r w:rsidRPr="0075728A">
        <w:t>The Committee has not received a response to its queries at the time of tabling this report.</w:t>
      </w:r>
    </w:p>
    <w:p w:rsidR="00BC1937" w:rsidRPr="00BC1937" w:rsidRDefault="00BC1937" w:rsidP="0075728A">
      <w:pPr>
        <w:pStyle w:val="Headinglevel4"/>
      </w:pPr>
      <w:r w:rsidRPr="00BC1937">
        <w:t>Matters raised by the ASQA Review</w:t>
      </w:r>
    </w:p>
    <w:p w:rsidR="00BC1937" w:rsidRDefault="00BC1937" w:rsidP="00BC1937">
      <w:pPr>
        <w:pStyle w:val="Bodytext"/>
      </w:pPr>
      <w:r>
        <w:t>In examining these matters, the Committee remains concerned that – in a dangerous technical course – public and industry confidence is retained following the difficult circumstances that followed the unexpected and unplanned amalgamation of two Electrotechnology Courses - one conducted by a private Registered Training Organisation (RTO), ElectroSkills -being merged with into the CIT course, late in the curriculum.</w:t>
      </w:r>
    </w:p>
    <w:p w:rsidR="00BC1937" w:rsidRPr="00BC1937" w:rsidRDefault="00BC1937" w:rsidP="008962D3">
      <w:pPr>
        <w:keepNext/>
        <w:widowControl w:val="0"/>
        <w:numPr>
          <w:ilvl w:val="2"/>
          <w:numId w:val="8"/>
        </w:numPr>
        <w:tabs>
          <w:tab w:val="left" w:pos="567"/>
        </w:tabs>
        <w:spacing w:before="320" w:after="100" w:line="312" w:lineRule="auto"/>
        <w:ind w:left="567" w:hanging="567"/>
        <w:rPr>
          <w:rFonts w:ascii="Arial Narrow" w:hAnsi="Arial Narrow" w:cs="Arial"/>
          <w:b/>
          <w:smallCaps/>
          <w:spacing w:val="20"/>
          <w:sz w:val="30"/>
          <w:szCs w:val="28"/>
        </w:rPr>
      </w:pPr>
      <w:r w:rsidRPr="00BC1937">
        <w:rPr>
          <w:rFonts w:ascii="Arial Narrow" w:hAnsi="Arial Narrow" w:cs="Arial"/>
          <w:b/>
          <w:smallCaps/>
          <w:spacing w:val="20"/>
          <w:sz w:val="30"/>
          <w:szCs w:val="28"/>
        </w:rPr>
        <w:t>Recommendation F1</w:t>
      </w:r>
    </w:p>
    <w:p w:rsidR="00BC1937" w:rsidRPr="00BC1937" w:rsidRDefault="00BC1937" w:rsidP="00740BA8">
      <w:pPr>
        <w:pStyle w:val="RecommendationText"/>
      </w:pPr>
      <w:bookmarkStart w:id="42" w:name="_Toc453236485"/>
      <w:r w:rsidRPr="00BC1937">
        <w:t>The Committee recommends that the Minister for Higher Education and Training compel CIT to review each electrical trade graduate and provide an assurance that combined courses set up following the unexpected combining of the ElectroSkills and CIT course resulted in all students completing all mandatory components or units to obtain the electrical trade qualifications they were awarded.</w:t>
      </w:r>
      <w:bookmarkEnd w:id="42"/>
      <w:r w:rsidRPr="00BC1937">
        <w:t xml:space="preserve"> </w:t>
      </w:r>
    </w:p>
    <w:p w:rsidR="00BC1937" w:rsidRPr="00BC1937" w:rsidRDefault="00BC1937" w:rsidP="008962D3">
      <w:pPr>
        <w:keepNext/>
        <w:widowControl w:val="0"/>
        <w:numPr>
          <w:ilvl w:val="2"/>
          <w:numId w:val="8"/>
        </w:numPr>
        <w:tabs>
          <w:tab w:val="left" w:pos="567"/>
        </w:tabs>
        <w:spacing w:before="320" w:after="100" w:line="312" w:lineRule="auto"/>
        <w:ind w:left="567" w:hanging="567"/>
        <w:rPr>
          <w:rFonts w:ascii="Arial Narrow" w:hAnsi="Arial Narrow" w:cs="Arial"/>
          <w:b/>
          <w:smallCaps/>
          <w:spacing w:val="20"/>
          <w:sz w:val="30"/>
          <w:szCs w:val="28"/>
        </w:rPr>
      </w:pPr>
      <w:r w:rsidRPr="00BC1937">
        <w:rPr>
          <w:rFonts w:ascii="Arial Narrow" w:hAnsi="Arial Narrow" w:cs="Arial"/>
          <w:b/>
          <w:smallCaps/>
          <w:spacing w:val="20"/>
          <w:sz w:val="30"/>
          <w:szCs w:val="28"/>
        </w:rPr>
        <w:t xml:space="preserve">Recommendation F2 </w:t>
      </w:r>
    </w:p>
    <w:p w:rsidR="00BC1937" w:rsidRPr="00BC1937" w:rsidRDefault="00BC1937" w:rsidP="00740BA8">
      <w:pPr>
        <w:pStyle w:val="RecommendationText"/>
      </w:pPr>
      <w:bookmarkStart w:id="43" w:name="_Toc453236486"/>
      <w:r w:rsidRPr="00BC1937">
        <w:t>The Committee recommends that, following the review recommended in recommendation F1, should any deficiencies be identified , CIT ensure a catch-up or complementary course of training is completed by these graduates.</w:t>
      </w:r>
      <w:bookmarkEnd w:id="43"/>
    </w:p>
    <w:p w:rsidR="00AD1971" w:rsidRDefault="00AD1971">
      <w:pPr>
        <w:rPr>
          <w:rFonts w:ascii="Arial Narrow" w:hAnsi="Arial Narrow" w:cs="Arial"/>
          <w:smallCaps/>
          <w:spacing w:val="20"/>
          <w:sz w:val="26"/>
        </w:rPr>
      </w:pPr>
      <w:r>
        <w:rPr>
          <w:rFonts w:ascii="Arial Narrow" w:hAnsi="Arial Narrow" w:cs="Arial"/>
          <w:smallCaps/>
          <w:spacing w:val="20"/>
          <w:sz w:val="26"/>
        </w:rPr>
        <w:br w:type="page"/>
      </w:r>
    </w:p>
    <w:p w:rsidR="00BC1937" w:rsidRPr="00BC1937" w:rsidRDefault="00BC1937" w:rsidP="0075728A">
      <w:pPr>
        <w:pStyle w:val="Headinglevel4"/>
      </w:pPr>
      <w:r w:rsidRPr="00BC1937">
        <w:t>CIT Response to Committee Recommendation 5</w:t>
      </w:r>
    </w:p>
    <w:p w:rsidR="00BC1937" w:rsidRPr="0075728A" w:rsidRDefault="00BC1937" w:rsidP="00740ED6">
      <w:pPr>
        <w:numPr>
          <w:ilvl w:val="5"/>
          <w:numId w:val="0"/>
        </w:numPr>
        <w:spacing w:after="100" w:line="288" w:lineRule="auto"/>
        <w:ind w:left="567" w:hanging="567"/>
      </w:pPr>
      <w:r w:rsidRPr="0075728A">
        <w:t>Recommendation 5 of the Interim Report is as follows:</w:t>
      </w:r>
    </w:p>
    <w:p w:rsidR="00BC1937" w:rsidRPr="00BC1937" w:rsidRDefault="00BC1937" w:rsidP="00740BA8">
      <w:pPr>
        <w:pStyle w:val="Bodytext"/>
      </w:pPr>
      <w:r w:rsidRPr="00BC1937">
        <w:t>The Committee recommends that, in its response to the ASQA audit report, the Canberra Institute of Technology identify procedures it has taken to ensure all Electrotechnology apprentices who completed their Capstone have become appropriately qualified after being transferred from the Electrotech Skills Centre to the Canberra Institute of Technology. Furthermore, the Canberra Institute of Technology should provide this information to this Committee by 31 May 2016.</w:t>
      </w:r>
    </w:p>
    <w:p w:rsidR="00BC1937" w:rsidRPr="00BC1937" w:rsidRDefault="00BC1937" w:rsidP="00740BA8">
      <w:pPr>
        <w:pStyle w:val="Bodytext"/>
      </w:pPr>
      <w:r w:rsidRPr="00BC1937">
        <w:t>The Committee is disappointed, given several assurances provided to the Committee by CIT that a reply to the Committee’s queries regarding a response to Recommendation 5 was pending, that no response has been received from CIT or the Minister on this recommendation at the time of tabling this report.</w:t>
      </w:r>
    </w:p>
    <w:p w:rsidR="00BC1937" w:rsidRPr="005E1D74" w:rsidRDefault="00BC1937" w:rsidP="00BC1937">
      <w:pPr>
        <w:keepNext/>
        <w:spacing w:before="400" w:after="60" w:line="312" w:lineRule="auto"/>
        <w:ind w:left="567"/>
        <w:rPr>
          <w:rFonts w:ascii="Arial Narrow" w:hAnsi="Arial Narrow"/>
          <w:b/>
          <w:bCs/>
          <w:i/>
          <w:smallCaps/>
          <w:spacing w:val="20"/>
          <w:kern w:val="26"/>
          <w:sz w:val="32"/>
          <w:szCs w:val="32"/>
        </w:rPr>
      </w:pPr>
      <w:r w:rsidRPr="005E1D74">
        <w:rPr>
          <w:rFonts w:ascii="Arial Narrow" w:hAnsi="Arial Narrow"/>
          <w:b/>
          <w:bCs/>
          <w:smallCaps/>
          <w:spacing w:val="20"/>
          <w:kern w:val="26"/>
          <w:sz w:val="32"/>
          <w:szCs w:val="32"/>
        </w:rPr>
        <w:t>Recommendation F3</w:t>
      </w:r>
    </w:p>
    <w:p w:rsidR="00BC1937" w:rsidRPr="005E1D74" w:rsidRDefault="00BC1937" w:rsidP="00740BA8">
      <w:pPr>
        <w:pStyle w:val="RecommendationText"/>
        <w:rPr>
          <w:i/>
        </w:rPr>
      </w:pPr>
      <w:bookmarkStart w:id="44" w:name="_Toc453236487"/>
      <w:r w:rsidRPr="005E1D74">
        <w:t xml:space="preserve">Given some perceived resistance by CIT to the Committee’s </w:t>
      </w:r>
      <w:r w:rsidR="00D279FA" w:rsidRPr="005E1D74">
        <w:t xml:space="preserve">various </w:t>
      </w:r>
      <w:r w:rsidRPr="005E1D74">
        <w:t xml:space="preserve"> correspondence , the Committee recommends that CIT identify processes and assessments it has taken to ensure all Electrotechnology apprentices who completed their Capstone exam (</w:t>
      </w:r>
      <w:r w:rsidRPr="005E1D74">
        <w:rPr>
          <w:lang w:val="en-GB"/>
        </w:rPr>
        <w:t xml:space="preserve">Electrical Systems Safety) have adequately demonstrated the skills and understanding to have become qualified after being transferred from the ElectroSkills Centre to the CIT.  </w:t>
      </w:r>
      <w:r w:rsidR="0075728A" w:rsidRPr="005E1D74">
        <w:rPr>
          <w:lang w:val="en-GB"/>
        </w:rPr>
        <w:t xml:space="preserve">The Committee further recommends that </w:t>
      </w:r>
      <w:r w:rsidR="00494BDE">
        <w:rPr>
          <w:lang w:val="en-GB"/>
        </w:rPr>
        <w:t xml:space="preserve">should the Minister not be satisfied with CIT’s response, that </w:t>
      </w:r>
      <w:r w:rsidR="0075728A" w:rsidRPr="005E1D74">
        <w:rPr>
          <w:lang w:val="en-GB"/>
        </w:rPr>
        <w:t>an audit be conducted by an independent appropriately certified assessor or organisation. In addition</w:t>
      </w:r>
      <w:r w:rsidRPr="005E1D74">
        <w:rPr>
          <w:lang w:val="en-GB"/>
        </w:rPr>
        <w:t xml:space="preserve">, the Minister should </w:t>
      </w:r>
      <w:r w:rsidR="00D279FA" w:rsidRPr="005E1D74">
        <w:rPr>
          <w:lang w:val="en-GB"/>
        </w:rPr>
        <w:t xml:space="preserve">respond </w:t>
      </w:r>
      <w:r w:rsidRPr="005E1D74">
        <w:rPr>
          <w:lang w:val="en-GB"/>
        </w:rPr>
        <w:t>to this Committee as soon as possible</w:t>
      </w:r>
      <w:r w:rsidR="00D279FA" w:rsidRPr="005E1D74">
        <w:rPr>
          <w:lang w:val="en-GB"/>
        </w:rPr>
        <w:t xml:space="preserve"> regarding this recommendation</w:t>
      </w:r>
      <w:r w:rsidRPr="005E1D74">
        <w:rPr>
          <w:lang w:val="en-GB"/>
        </w:rPr>
        <w:t>, but in any event by the first sitting day of the Assembly in August 2016.</w:t>
      </w:r>
      <w:bookmarkEnd w:id="44"/>
      <w:r w:rsidRPr="005E1D74">
        <w:rPr>
          <w:lang w:val="en-GB"/>
        </w:rPr>
        <w:t xml:space="preserve"> </w:t>
      </w:r>
    </w:p>
    <w:p w:rsidR="00BC1937" w:rsidRPr="005E1D74" w:rsidRDefault="00BC1937" w:rsidP="00BC1937">
      <w:pPr>
        <w:keepNext/>
        <w:spacing w:before="400" w:after="60" w:line="312" w:lineRule="auto"/>
        <w:ind w:left="567"/>
        <w:rPr>
          <w:rFonts w:ascii="Arial Narrow" w:hAnsi="Arial Narrow"/>
          <w:b/>
          <w:bCs/>
          <w:smallCaps/>
          <w:spacing w:val="20"/>
          <w:kern w:val="26"/>
          <w:sz w:val="32"/>
          <w:szCs w:val="32"/>
          <w:lang w:val="en-GB"/>
        </w:rPr>
      </w:pPr>
      <w:r w:rsidRPr="005E1D74">
        <w:rPr>
          <w:rFonts w:ascii="Arial Narrow" w:hAnsi="Arial Narrow"/>
          <w:b/>
          <w:bCs/>
          <w:smallCaps/>
          <w:spacing w:val="20"/>
          <w:kern w:val="26"/>
          <w:sz w:val="32"/>
          <w:szCs w:val="32"/>
          <w:lang w:val="en-GB"/>
        </w:rPr>
        <w:t>Recommendation F4</w:t>
      </w:r>
    </w:p>
    <w:p w:rsidR="00BC1937" w:rsidRPr="005E1D74" w:rsidRDefault="00BC1937" w:rsidP="00740BA8">
      <w:pPr>
        <w:pStyle w:val="RecommendationText"/>
      </w:pPr>
      <w:bookmarkStart w:id="45" w:name="_Toc453236488"/>
      <w:r w:rsidRPr="005E1D74">
        <w:t>The Committee recommends that CIT put in place a contingency plan to ensure continuity of tuition is available to all students should CIT be required to integrate large numbers of students into any of its courses in the future.</w:t>
      </w:r>
      <w:bookmarkEnd w:id="45"/>
    </w:p>
    <w:p w:rsidR="00BC1937" w:rsidRPr="00BC1937" w:rsidRDefault="00BC1937" w:rsidP="005E1D74">
      <w:pPr>
        <w:pStyle w:val="RecommendationText"/>
      </w:pPr>
      <w:bookmarkStart w:id="46" w:name="_Toc453236489"/>
      <w:r w:rsidRPr="005E1D74">
        <w:t>Further, the Committee recommends The Minister for Higher Education and Training satisfy herself that the steps CIT takes to put in place a plan or protocol for the proposals put by the Committee in this report are adequate.</w:t>
      </w:r>
      <w:bookmarkEnd w:id="46"/>
    </w:p>
    <w:p w:rsidR="00AD1971" w:rsidRDefault="00AD1971" w:rsidP="007D52B5">
      <w:pPr>
        <w:pStyle w:val="Bodytext"/>
        <w:numPr>
          <w:ilvl w:val="0"/>
          <w:numId w:val="0"/>
        </w:numPr>
        <w:ind w:left="567"/>
      </w:pPr>
    </w:p>
    <w:p w:rsidR="00740ED6" w:rsidRDefault="00740ED6" w:rsidP="007D52B5">
      <w:pPr>
        <w:pStyle w:val="Bodytext"/>
        <w:numPr>
          <w:ilvl w:val="0"/>
          <w:numId w:val="0"/>
        </w:numPr>
        <w:ind w:left="567"/>
      </w:pPr>
    </w:p>
    <w:p w:rsidR="008B3353" w:rsidRDefault="00BC1937" w:rsidP="00740BA8">
      <w:pPr>
        <w:pStyle w:val="Bodytext"/>
        <w:numPr>
          <w:ilvl w:val="0"/>
          <w:numId w:val="0"/>
        </w:numPr>
        <w:spacing w:before="0" w:after="0"/>
        <w:ind w:left="567"/>
      </w:pPr>
      <w:r>
        <w:t xml:space="preserve">Jayson Hinder </w:t>
      </w:r>
      <w:r w:rsidR="00717171">
        <w:t>MLA</w:t>
      </w:r>
    </w:p>
    <w:p w:rsidR="007D52B5" w:rsidRDefault="007D52B5" w:rsidP="00740BA8">
      <w:pPr>
        <w:pStyle w:val="Bodytext"/>
        <w:numPr>
          <w:ilvl w:val="0"/>
          <w:numId w:val="0"/>
        </w:numPr>
        <w:spacing w:before="0" w:after="0"/>
        <w:ind w:left="567"/>
      </w:pPr>
      <w:r w:rsidRPr="007D52B5">
        <w:t>Chair</w:t>
      </w:r>
    </w:p>
    <w:p w:rsidR="00740BA8" w:rsidRDefault="007D52B5" w:rsidP="00740BA8">
      <w:pPr>
        <w:pStyle w:val="Bodytext"/>
        <w:numPr>
          <w:ilvl w:val="0"/>
          <w:numId w:val="0"/>
        </w:numPr>
        <w:spacing w:before="0" w:after="0"/>
        <w:ind w:left="567"/>
        <w:sectPr w:rsidR="00740BA8" w:rsidSect="001D1138">
          <w:headerReference w:type="even" r:id="rId29"/>
          <w:headerReference w:type="default" r:id="rId30"/>
          <w:footerReference w:type="even" r:id="rId31"/>
          <w:footerReference w:type="default" r:id="rId32"/>
          <w:headerReference w:type="first" r:id="rId33"/>
          <w:type w:val="oddPage"/>
          <w:pgSz w:w="11907" w:h="16840" w:code="9"/>
          <w:pgMar w:top="1588" w:right="1275" w:bottom="1418" w:left="1418" w:header="720" w:footer="851" w:gutter="0"/>
          <w:pgNumType w:start="1"/>
          <w:cols w:space="720"/>
          <w:docGrid w:linePitch="360"/>
        </w:sectPr>
      </w:pPr>
      <w:r w:rsidRPr="007D52B5">
        <w:t xml:space="preserve">   </w:t>
      </w:r>
      <w:r w:rsidR="007762B4">
        <w:t xml:space="preserve"> </w:t>
      </w:r>
      <w:r w:rsidRPr="007D52B5">
        <w:t xml:space="preserve"> </w:t>
      </w:r>
      <w:r w:rsidR="00BC1937">
        <w:t xml:space="preserve">June </w:t>
      </w:r>
      <w:r w:rsidRPr="007D52B5">
        <w:t>2016</w:t>
      </w:r>
    </w:p>
    <w:bookmarkStart w:id="47" w:name="_Toc453157525"/>
    <w:p w:rsidR="00D561BC" w:rsidRPr="0075728A" w:rsidRDefault="00951C9A" w:rsidP="0075728A">
      <w:pPr>
        <w:pStyle w:val="AppendixHeading1"/>
      </w:pPr>
      <w:r>
        <w:fldChar w:fldCharType="begin"/>
      </w:r>
      <w:r w:rsidR="00740ED6">
        <w:instrText xml:space="preserve"> HYPERLINK "http://www.parliament.act.gov.au/in-committees/standing_committees/Education,-Training-and-Youth-Affairs/inquiry-into-vocational-education-and-youth-training-in-the-act/reports?inquiry=457739" </w:instrText>
      </w:r>
      <w:r>
        <w:fldChar w:fldCharType="separate"/>
      </w:r>
      <w:r w:rsidR="00BC1937" w:rsidRPr="00740ED6">
        <w:rPr>
          <w:rStyle w:val="Hyperlink"/>
        </w:rPr>
        <w:t>Interim Report</w:t>
      </w:r>
      <w:bookmarkEnd w:id="47"/>
      <w:r>
        <w:fldChar w:fldCharType="end"/>
      </w:r>
    </w:p>
    <w:p w:rsidR="0075728A" w:rsidRPr="0075728A" w:rsidRDefault="0075728A" w:rsidP="00417900">
      <w:pPr>
        <w:pStyle w:val="Headinglevel2"/>
        <w:numPr>
          <w:ilvl w:val="0"/>
          <w:numId w:val="0"/>
        </w:numPr>
      </w:pPr>
      <w:bookmarkStart w:id="48" w:name="_Toc453157526"/>
      <w:r w:rsidRPr="0075728A">
        <w:t>Interim Report by the Committee on this Inquiry tabled on 17 February 2016</w:t>
      </w:r>
      <w:bookmarkEnd w:id="48"/>
    </w:p>
    <w:sectPr w:rsidR="0075728A" w:rsidRPr="0075728A" w:rsidSect="00740BA8">
      <w:type w:val="oddPage"/>
      <w:pgSz w:w="11907" w:h="16840" w:code="9"/>
      <w:pgMar w:top="1588" w:right="1418" w:bottom="1418" w:left="1418"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D9B" w:rsidRDefault="003A3D9B">
      <w:r>
        <w:separator/>
      </w:r>
    </w:p>
    <w:p w:rsidR="003A3D9B" w:rsidRDefault="003A3D9B"/>
    <w:p w:rsidR="003A3D9B" w:rsidRDefault="003A3D9B"/>
    <w:p w:rsidR="003A3D9B" w:rsidRDefault="003A3D9B"/>
  </w:endnote>
  <w:endnote w:type="continuationSeparator" w:id="0">
    <w:p w:rsidR="003A3D9B" w:rsidRDefault="003A3D9B">
      <w:r>
        <w:continuationSeparator/>
      </w:r>
    </w:p>
    <w:p w:rsidR="003A3D9B" w:rsidRDefault="003A3D9B"/>
    <w:p w:rsidR="003A3D9B" w:rsidRDefault="003A3D9B"/>
    <w:p w:rsidR="003A3D9B" w:rsidRDefault="003A3D9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LT Std 45 Light">
    <w:panose1 w:val="00000000000000000000"/>
    <w:charset w:val="00"/>
    <w:family w:val="swiss"/>
    <w:notTrueType/>
    <w:pitch w:val="variable"/>
    <w:sig w:usb0="800000AF" w:usb1="4000204A" w:usb2="00000000" w:usb3="00000000" w:csb0="00000001" w:csb1="00000000"/>
  </w:font>
  <w:font w:name="Univers LT Std 55">
    <w:panose1 w:val="020B0603020202020204"/>
    <w:charset w:val="00"/>
    <w:family w:val="swiss"/>
    <w:notTrueType/>
    <w:pitch w:val="variable"/>
    <w:sig w:usb0="800000AF" w:usb1="4000204A" w:usb2="00000000" w:usb3="00000000" w:csb0="00000001" w:csb1="00000000"/>
  </w:font>
  <w:font w:name="新細明體">
    <w:charset w:val="51"/>
    <w:family w:val="auto"/>
    <w:pitch w:val="variable"/>
    <w:sig w:usb0="00000001" w:usb1="00000000" w:usb2="01000408"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971" w:rsidRDefault="00951C9A">
    <w:pPr>
      <w:pStyle w:val="Footer"/>
    </w:pPr>
    <w:fldSimple w:instr=" PAGE   \* MERGEFORMAT ">
      <w:r w:rsidR="001D1138">
        <w:rPr>
          <w:noProof/>
        </w:rPr>
        <w:t>ii</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973" w:rsidRDefault="00951C9A" w:rsidP="007F2DDA">
    <w:pPr>
      <w:pStyle w:val="Footer"/>
      <w:framePr w:wrap="around" w:vAnchor="text" w:hAnchor="margin" w:xAlign="outside" w:y="1"/>
      <w:rPr>
        <w:rStyle w:val="PageNumber"/>
      </w:rPr>
    </w:pPr>
    <w:r>
      <w:rPr>
        <w:rStyle w:val="PageNumber"/>
      </w:rPr>
      <w:fldChar w:fldCharType="begin"/>
    </w:r>
    <w:r w:rsidR="00843973">
      <w:rPr>
        <w:rStyle w:val="PageNumber"/>
      </w:rPr>
      <w:instrText xml:space="preserve">PAGE  </w:instrText>
    </w:r>
    <w:r>
      <w:rPr>
        <w:rStyle w:val="PageNumber"/>
      </w:rPr>
      <w:fldChar w:fldCharType="separate"/>
    </w:r>
    <w:r w:rsidR="005E1D74">
      <w:rPr>
        <w:rStyle w:val="PageNumber"/>
        <w:noProof/>
      </w:rPr>
      <w:t>i</w:t>
    </w:r>
    <w:r>
      <w:rPr>
        <w:rStyle w:val="PageNumber"/>
      </w:rPr>
      <w:fldChar w:fldCharType="end"/>
    </w:r>
  </w:p>
  <w:p w:rsidR="00843973" w:rsidRDefault="00843973" w:rsidP="005E670D">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2AB" w:rsidRDefault="00BF72A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38" w:rsidRPr="00FA1DC9" w:rsidRDefault="001D1138" w:rsidP="00FA1DC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DC9" w:rsidRPr="00FA1DC9" w:rsidRDefault="00951C9A" w:rsidP="00FA1DC9">
    <w:pPr>
      <w:pStyle w:val="Footer"/>
    </w:pPr>
    <w:fldSimple w:instr=" PAGE   \* MERGEFORMAT ">
      <w:r w:rsidR="00BF72AB">
        <w:rPr>
          <w:noProof/>
        </w:rPr>
        <w:t>vi</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2D3" w:rsidRDefault="00951C9A" w:rsidP="001D1138">
    <w:pPr>
      <w:pStyle w:val="Footer"/>
      <w:ind w:right="360" w:firstLine="360"/>
      <w:jc w:val="right"/>
    </w:pPr>
    <w:fldSimple w:instr=" PAGE   \* MERGEFORMAT ">
      <w:r w:rsidR="00BF72AB">
        <w:rPr>
          <w:noProof/>
        </w:rPr>
        <w:t>v</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971" w:rsidRDefault="00951C9A" w:rsidP="001D1138">
    <w:pPr>
      <w:pStyle w:val="Footer"/>
      <w:ind w:right="360" w:firstLine="360"/>
      <w:jc w:val="right"/>
    </w:pPr>
    <w:fldSimple w:instr=" PAGE   \* MERGEFORMAT ">
      <w:r w:rsidR="00BF72AB">
        <w:rPr>
          <w:noProof/>
        </w:rPr>
        <w:t>vii</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971" w:rsidRPr="00740ED6" w:rsidRDefault="00AD1971" w:rsidP="00740ED6">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971" w:rsidRPr="00AD1971" w:rsidRDefault="00AD1971" w:rsidP="00AD19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D9B" w:rsidRDefault="003A3D9B">
      <w:r>
        <w:separator/>
      </w:r>
    </w:p>
    <w:p w:rsidR="003A3D9B" w:rsidRDefault="003A3D9B"/>
    <w:p w:rsidR="003A3D9B" w:rsidRDefault="003A3D9B"/>
    <w:p w:rsidR="003A3D9B" w:rsidRDefault="003A3D9B"/>
  </w:footnote>
  <w:footnote w:type="continuationSeparator" w:id="0">
    <w:p w:rsidR="003A3D9B" w:rsidRDefault="003A3D9B">
      <w:r>
        <w:continuationSeparator/>
      </w:r>
    </w:p>
    <w:p w:rsidR="003A3D9B" w:rsidRDefault="003A3D9B"/>
    <w:p w:rsidR="003A3D9B" w:rsidRDefault="003A3D9B"/>
    <w:p w:rsidR="003A3D9B" w:rsidRDefault="003A3D9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973" w:rsidRDefault="00843973" w:rsidP="00A8688C">
    <w:pPr>
      <w:pStyle w:val="Header"/>
      <w:ind w:left="0" w:right="357" w:firstLine="6"/>
    </w:pPr>
  </w:p>
  <w:p w:rsidR="00843973" w:rsidRDefault="00843973"/>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843" w:rsidRDefault="00C6784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843" w:rsidRDefault="00C67843">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38" w:rsidRPr="00167DF1" w:rsidRDefault="00951C9A" w:rsidP="00AD1971">
    <w:pPr>
      <w:pStyle w:val="Header"/>
      <w:ind w:left="142" w:right="360" w:firstLine="4"/>
    </w:pPr>
    <w:fldSimple w:instr=" PAGE   \* MERGEFORMAT ">
      <w:r w:rsidR="00BF72AB">
        <w:rPr>
          <w:noProof/>
        </w:rPr>
        <w:t>4</w:t>
      </w:r>
    </w:fldSimple>
    <w:r w:rsidR="001D1138">
      <w:t xml:space="preserve"> </w:t>
    </w:r>
    <w:r w:rsidR="007762B4">
      <w:t xml:space="preserve"> </w:t>
    </w:r>
    <w:fldSimple w:instr=" STYLEREF  &quot;Committee name&quot;  \* MERGEFORMAT ">
      <w:r w:rsidR="00BF72AB" w:rsidRPr="00BF72AB">
        <w:rPr>
          <w:bCs/>
          <w:noProof/>
          <w:lang w:val="en-US"/>
        </w:rPr>
        <w:t>Standing</w:t>
      </w:r>
      <w:r w:rsidR="00BF72AB">
        <w:rPr>
          <w:noProof/>
        </w:rPr>
        <w:t xml:space="preserve"> Committee on Education, Training and Youth Affairs</w:t>
      </w:r>
    </w:fldSimple>
  </w:p>
  <w:p w:rsidR="001D1138" w:rsidRDefault="00951C9A" w:rsidP="008B14C2">
    <w:pPr>
      <w:pStyle w:val="Header"/>
      <w:ind w:left="142" w:right="360" w:firstLine="4"/>
    </w:pPr>
    <w:r>
      <w:pict>
        <v:rect id="_x0000_i1028" style="width:0;height:1.5pt" o:hralign="center" o:hrstd="t" o:hr="t" fillcolor="gray" stroked="f"/>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971" w:rsidRDefault="00951C9A" w:rsidP="00AD1971">
    <w:pPr>
      <w:pStyle w:val="Header"/>
      <w:tabs>
        <w:tab w:val="clear" w:pos="8640"/>
      </w:tabs>
      <w:ind w:right="-1" w:firstLine="360"/>
      <w:jc w:val="right"/>
      <w:rPr>
        <w:rStyle w:val="PageNumber"/>
      </w:rPr>
    </w:pPr>
    <w:fldSimple w:instr=" STYLEREF  &quot;Report title&quot; ">
      <w:r w:rsidR="00BF72AB">
        <w:rPr>
          <w:noProof/>
        </w:rPr>
        <w:t>Inquiry into Vocational Education and Youth Training in the ACT – Final Report</w:t>
      </w:r>
    </w:fldSimple>
    <w:r w:rsidR="00AD1971">
      <w:rPr>
        <w:rStyle w:val="PageNumber"/>
      </w:rPr>
      <w:t xml:space="preserve"> </w:t>
    </w:r>
    <w:r w:rsidR="005E1D74">
      <w:rPr>
        <w:rStyle w:val="PageNumber"/>
      </w:rPr>
      <w:t xml:space="preserve"> </w:t>
    </w:r>
    <w:r w:rsidRPr="001D1138">
      <w:rPr>
        <w:rStyle w:val="PageNumber"/>
      </w:rPr>
      <w:fldChar w:fldCharType="begin"/>
    </w:r>
    <w:r w:rsidR="001D1138" w:rsidRPr="001D1138">
      <w:rPr>
        <w:rStyle w:val="PageNumber"/>
      </w:rPr>
      <w:instrText xml:space="preserve"> PAGE   \* MERGEFORMAT </w:instrText>
    </w:r>
    <w:r w:rsidRPr="001D1138">
      <w:rPr>
        <w:rStyle w:val="PageNumber"/>
      </w:rPr>
      <w:fldChar w:fldCharType="separate"/>
    </w:r>
    <w:r w:rsidR="00BF72AB">
      <w:rPr>
        <w:rStyle w:val="PageNumber"/>
        <w:noProof/>
      </w:rPr>
      <w:t>5</w:t>
    </w:r>
    <w:r w:rsidRPr="001D1138">
      <w:rPr>
        <w:rStyle w:val="PageNumber"/>
      </w:rPr>
      <w:fldChar w:fldCharType="end"/>
    </w:r>
    <w:r w:rsidR="00AD1971">
      <w:rPr>
        <w:rStyle w:val="PageNumber"/>
      </w:rPr>
      <w:t xml:space="preserve"> </w:t>
    </w:r>
  </w:p>
  <w:p w:rsidR="00AD1971" w:rsidRDefault="00951C9A" w:rsidP="00AC22A0">
    <w:pPr>
      <w:pStyle w:val="Header"/>
      <w:ind w:left="0" w:firstLine="0"/>
      <w:jc w:val="right"/>
    </w:pPr>
    <w:r>
      <w:pict>
        <v:rect id="_x0000_i1029" style="width:0;height:1.5pt" o:hralign="center" o:hrstd="t" o:hr="t" fillcolor="gray" stroked="f"/>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843" w:rsidRDefault="00C678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973" w:rsidRDefault="00951C9A">
    <w:pPr>
      <w:pStyle w:val="Header"/>
      <w:jc w:val="right"/>
    </w:pPr>
    <w:fldSimple w:instr=" STYLEREF  &quot;Report title&quot; ">
      <w:r w:rsidR="00BF72AB">
        <w:rPr>
          <w:noProof/>
        </w:rPr>
        <w:t>Inquiry into Vocational Education and Youth Training in the ACT – Final Report</w:t>
      </w:r>
    </w:fldSimple>
    <w:r w:rsidR="00843973">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2AB" w:rsidRDefault="00BF72A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843" w:rsidRDefault="00C6784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973" w:rsidRDefault="00951C9A" w:rsidP="00AD1971">
    <w:pPr>
      <w:pStyle w:val="Header"/>
      <w:tabs>
        <w:tab w:val="clear" w:pos="8640"/>
      </w:tabs>
      <w:ind w:right="-1" w:firstLine="360"/>
      <w:jc w:val="right"/>
      <w:rPr>
        <w:rStyle w:val="PageNumber"/>
      </w:rPr>
    </w:pPr>
    <w:fldSimple w:instr=" STYLEREF  &quot;Report title&quot; ">
      <w:r w:rsidR="00BF72AB">
        <w:rPr>
          <w:noProof/>
        </w:rPr>
        <w:t>Inquiry into Vocational Education and Youth Training in the ACT – Final Report</w:t>
      </w:r>
    </w:fldSimple>
    <w:r w:rsidR="00843973">
      <w:rPr>
        <w:rStyle w:val="PageNumber"/>
      </w:rPr>
      <w:t xml:space="preserve">  </w:t>
    </w:r>
  </w:p>
  <w:p w:rsidR="00843973" w:rsidRDefault="00951C9A" w:rsidP="00AC22A0">
    <w:pPr>
      <w:pStyle w:val="Header"/>
      <w:ind w:left="0" w:firstLine="0"/>
      <w:jc w:val="right"/>
    </w:pPr>
    <w:r>
      <w:pict>
        <v:rect id="_x0000_i1025" style="width:0;height:1.5pt" o:hralign="center" o:hrstd="t" o:hr="t" fillcolor="gray"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973" w:rsidRDefault="0084397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A8" w:rsidRPr="00167DF1" w:rsidRDefault="00951C9A" w:rsidP="00AD1971">
    <w:pPr>
      <w:pStyle w:val="Header"/>
      <w:ind w:left="142" w:right="360" w:firstLine="4"/>
    </w:pPr>
    <w:fldSimple w:instr=" STYLEREF  &quot;Committee name&quot;  \* MERGEFORMAT ">
      <w:r w:rsidR="00BF72AB" w:rsidRPr="00BF72AB">
        <w:rPr>
          <w:bCs/>
          <w:noProof/>
          <w:lang w:val="en-US"/>
        </w:rPr>
        <w:t>Standing</w:t>
      </w:r>
      <w:r w:rsidR="00BF72AB">
        <w:rPr>
          <w:noProof/>
        </w:rPr>
        <w:t xml:space="preserve"> Committee on Education, Training and Youth Affairs</w:t>
      </w:r>
    </w:fldSimple>
  </w:p>
  <w:p w:rsidR="00740BA8" w:rsidRDefault="00951C9A" w:rsidP="008B14C2">
    <w:pPr>
      <w:pStyle w:val="Header"/>
      <w:ind w:left="142" w:right="360" w:firstLine="4"/>
    </w:pPr>
    <w:r>
      <w:pict>
        <v:rect id="_x0000_i1026" style="width:0;height:1.5pt" o:hralign="center" o:hrstd="t" o:hr="t" fillcolor="gray" stroked="f"/>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74" w:rsidRDefault="00951C9A" w:rsidP="005E1D74">
    <w:pPr>
      <w:pStyle w:val="Header"/>
      <w:ind w:left="0" w:firstLine="0"/>
      <w:jc w:val="right"/>
    </w:pPr>
    <w:fldSimple w:instr=" STYLEREF  &quot;Report title&quot; ">
      <w:r w:rsidR="00BF72AB">
        <w:rPr>
          <w:noProof/>
        </w:rPr>
        <w:t>Inquiry into Vocational Education and Youth Training in the ACT – Final Report</w:t>
      </w:r>
    </w:fldSimple>
    <w:r>
      <w:pict>
        <v:rect id="_x0000_i1027" style="width:0;height:1.5pt" o:hralign="center" o:hrstd="t" o:hr="t" fillcolor="gray" stroked="f"/>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843" w:rsidRDefault="00C678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48434C"/>
    <w:lvl w:ilvl="0">
      <w:start w:val="1"/>
      <w:numFmt w:val="bullet"/>
      <w:pStyle w:val="ListBullet2"/>
      <w:lvlText w:val=""/>
      <w:lvlJc w:val="left"/>
      <w:pPr>
        <w:tabs>
          <w:tab w:val="num" w:pos="1247"/>
        </w:tabs>
        <w:ind w:left="1247" w:hanging="283"/>
      </w:pPr>
      <w:rPr>
        <w:rFonts w:ascii="Symbol" w:hAnsi="Symbol" w:hint="default"/>
        <w:color w:val="999999"/>
        <w:sz w:val="20"/>
        <w:szCs w:val="20"/>
      </w:rPr>
    </w:lvl>
  </w:abstractNum>
  <w:abstractNum w:abstractNumId="1">
    <w:nsid w:val="FFFFFF89"/>
    <w:multiLevelType w:val="singleLevel"/>
    <w:tmpl w:val="26FA9A0A"/>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2">
    <w:nsid w:val="0DE96607"/>
    <w:multiLevelType w:val="hybridMultilevel"/>
    <w:tmpl w:val="CE3087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7B11FB6"/>
    <w:multiLevelType w:val="multilevel"/>
    <w:tmpl w:val="71A89AE4"/>
    <w:styleLink w:val="test1"/>
    <w:lvl w:ilvl="0">
      <w:start w:val="1"/>
      <w:numFmt w:val="decimal"/>
      <w:pStyle w:val="Heading1"/>
      <w:lvlText w:val="%1"/>
      <w:lvlJc w:val="left"/>
      <w:pPr>
        <w:tabs>
          <w:tab w:val="num" w:pos="680"/>
        </w:tabs>
        <w:ind w:left="567" w:hanging="567"/>
      </w:pPr>
      <w:rPr>
        <w:rFonts w:ascii="Arial Narrow" w:hAnsi="Arial Narrow" w:hint="default"/>
        <w:b/>
        <w:i w:val="0"/>
        <w:sz w:val="44"/>
      </w:rPr>
    </w:lvl>
    <w:lvl w:ilvl="1">
      <w:start w:val="1"/>
      <w:numFmt w:val="none"/>
      <w:lvlRestart w:val="0"/>
      <w:pStyle w:val="Headinglevel2"/>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pStyle w:val="Headinglevel3"/>
      <w:lvlText w:val=""/>
      <w:lvlJc w:val="left"/>
      <w:pPr>
        <w:tabs>
          <w:tab w:val="num" w:pos="720"/>
        </w:tabs>
        <w:ind w:left="454" w:hanging="454"/>
      </w:pPr>
      <w:rPr>
        <w:rFonts w:hint="default"/>
      </w:rPr>
    </w:lvl>
    <w:lvl w:ilvl="3">
      <w:start w:val="1"/>
      <w:numFmt w:val="none"/>
      <w:lvlRestart w:val="0"/>
      <w:pStyle w:val="Headinglevel4"/>
      <w:lvlText w:val=""/>
      <w:lvlJc w:val="left"/>
      <w:pPr>
        <w:tabs>
          <w:tab w:val="num" w:pos="864"/>
        </w:tabs>
        <w:ind w:left="340" w:hanging="340"/>
      </w:pPr>
      <w:rPr>
        <w:rFonts w:hint="default"/>
      </w:rPr>
    </w:lvl>
    <w:lvl w:ilvl="4">
      <w:start w:val="1"/>
      <w:numFmt w:val="none"/>
      <w:lvlRestart w:val="0"/>
      <w:pStyle w:val="Headinglevel5"/>
      <w:lvlText w:val=""/>
      <w:lvlJc w:val="left"/>
      <w:pPr>
        <w:tabs>
          <w:tab w:val="num" w:pos="1008"/>
        </w:tabs>
        <w:ind w:left="340" w:hanging="340"/>
      </w:pPr>
      <w:rPr>
        <w:rFonts w:hint="default"/>
      </w:rPr>
    </w:lvl>
    <w:lvl w:ilvl="5">
      <w:start w:val="1"/>
      <w:numFmt w:val="decimal"/>
      <w:lvlRestart w:val="1"/>
      <w:pStyle w:val="Bodytext"/>
      <w:lvlText w:val="%1.%6"/>
      <w:lvlJc w:val="left"/>
      <w:pPr>
        <w:ind w:left="567" w:hanging="567"/>
      </w:pPr>
      <w:rPr>
        <w:rFonts w:ascii="Calibri" w:hAnsi="Calibri" w:hint="default"/>
        <w:sz w:val="22"/>
      </w:rPr>
    </w:lvl>
    <w:lvl w:ilvl="6">
      <w:start w:val="1"/>
      <w:numFmt w:val="decimal"/>
      <w:lvlRestart w:val="0"/>
      <w:pStyle w:val="Recommendation"/>
      <w:lvlText w:val="Recommendation %7"/>
      <w:lvlJc w:val="left"/>
      <w:pPr>
        <w:ind w:left="142" w:firstLine="0"/>
      </w:pPr>
      <w:rPr>
        <w:rFonts w:ascii="Arial Narrow" w:hAnsi="Arial Narrow" w:hint="default"/>
        <w:b/>
        <w:i w:val="0"/>
        <w:sz w:val="28"/>
      </w:rPr>
    </w:lvl>
    <w:lvl w:ilvl="7">
      <w:start w:val="1"/>
      <w:numFmt w:val="upperLetter"/>
      <w:pStyle w:val="AppendixHeading1"/>
      <w:lvlText w:val="Appendix %8"/>
      <w:lvlJc w:val="left"/>
      <w:pPr>
        <w:tabs>
          <w:tab w:val="num" w:pos="7536"/>
        </w:tabs>
        <w:ind w:left="7536"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4">
    <w:nsid w:val="1E222A15"/>
    <w:multiLevelType w:val="hybridMultilevel"/>
    <w:tmpl w:val="620A783C"/>
    <w:lvl w:ilvl="0" w:tplc="FC3C580E">
      <w:start w:val="1"/>
      <w:numFmt w:val="bullet"/>
      <w:pStyle w:val="BulletedTextKM"/>
      <w:lvlText w:val="•"/>
      <w:lvlJc w:val="left"/>
      <w:pPr>
        <w:tabs>
          <w:tab w:val="num" w:pos="1247"/>
        </w:tabs>
        <w:ind w:left="1247" w:hanging="567"/>
      </w:pPr>
      <w:rPr>
        <w:rFonts w:ascii="Arial" w:hAnsi="Arial" w:hint="default"/>
        <w:color w:val="000000"/>
        <w:sz w:val="28"/>
        <w:szCs w:val="28"/>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5">
    <w:nsid w:val="325344C7"/>
    <w:multiLevelType w:val="multilevel"/>
    <w:tmpl w:val="6F8CB9FC"/>
    <w:name w:val="new2"/>
    <w:lvl w:ilvl="0">
      <w:start w:val="1"/>
      <w:numFmt w:val="decimal"/>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6">
    <w:nsid w:val="4A805768"/>
    <w:multiLevelType w:val="multilevel"/>
    <w:tmpl w:val="286AAF76"/>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ascii="Palatino Linotype" w:hAnsi="Palatino Linotype" w:hint="default"/>
        <w:b w:val="0"/>
        <w:i w:val="0"/>
        <w:caps w:val="0"/>
        <w:vanish w:val="0"/>
        <w:w w:val="95"/>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4EA373C"/>
    <w:multiLevelType w:val="hybridMultilevel"/>
    <w:tmpl w:val="4EB04FE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77CD465E"/>
    <w:multiLevelType w:val="multilevel"/>
    <w:tmpl w:val="B02867B4"/>
    <w:styleLink w:val="test14"/>
    <w:lvl w:ilvl="0">
      <w:start w:val="1"/>
      <w:numFmt w:val="bullet"/>
      <w:pStyle w:val="ListNumber3"/>
      <w:lvlText w:val=""/>
      <w:lvlJc w:val="left"/>
      <w:pPr>
        <w:tabs>
          <w:tab w:val="num" w:pos="964"/>
        </w:tabs>
        <w:ind w:left="964" w:hanging="284"/>
      </w:pPr>
      <w:rPr>
        <w:rFonts w:ascii="Wingdings" w:hAnsi="Wingdings" w:hint="default"/>
        <w:sz w:val="24"/>
        <w:szCs w:val="24"/>
      </w:rPr>
    </w:lvl>
    <w:lvl w:ilvl="1">
      <w:start w:val="1"/>
      <w:numFmt w:val="bullet"/>
      <w:pStyle w:val="ListNumber3"/>
      <w:lvlText w:val=""/>
      <w:lvlJc w:val="left"/>
      <w:pPr>
        <w:tabs>
          <w:tab w:val="num" w:pos="284"/>
        </w:tabs>
        <w:ind w:left="284" w:hanging="284"/>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1"/>
  </w:num>
  <w:num w:numId="3">
    <w:abstractNumId w:val="0"/>
  </w:num>
  <w:num w:numId="4">
    <w:abstractNumId w:val="6"/>
  </w:num>
  <w:num w:numId="5">
    <w:abstractNumId w:val="4"/>
  </w:num>
  <w:num w:numId="6">
    <w:abstractNumId w:val="5"/>
  </w:num>
  <w:num w:numId="7">
    <w:abstractNumId w:val="3"/>
    <w:lvlOverride w:ilvl="0">
      <w:lvl w:ilvl="0">
        <w:numFmt w:val="decimal"/>
        <w:pStyle w:val="Heading1"/>
        <w:lvlText w:val=""/>
        <w:lvlJc w:val="left"/>
      </w:lvl>
    </w:lvlOverride>
    <w:lvlOverride w:ilvl="1">
      <w:lvl w:ilvl="1">
        <w:numFmt w:val="decimal"/>
        <w:pStyle w:val="Headinglevel2"/>
        <w:lvlText w:val=""/>
        <w:lvlJc w:val="left"/>
      </w:lvl>
    </w:lvlOverride>
    <w:lvlOverride w:ilvl="2">
      <w:lvl w:ilvl="2">
        <w:numFmt w:val="decimal"/>
        <w:pStyle w:val="Headinglevel3"/>
        <w:lvlText w:val=""/>
        <w:lvlJc w:val="left"/>
      </w:lvl>
    </w:lvlOverride>
    <w:lvlOverride w:ilvl="3">
      <w:lvl w:ilvl="3">
        <w:numFmt w:val="decimal"/>
        <w:pStyle w:val="Headinglevel4"/>
        <w:lvlText w:val=""/>
        <w:lvlJc w:val="left"/>
      </w:lvl>
    </w:lvlOverride>
    <w:lvlOverride w:ilvl="4">
      <w:lvl w:ilvl="4">
        <w:numFmt w:val="decimal"/>
        <w:pStyle w:val="Headinglevel5"/>
        <w:lvlText w:val=""/>
        <w:lvlJc w:val="left"/>
      </w:lvl>
    </w:lvlOverride>
    <w:lvlOverride w:ilvl="5">
      <w:lvl w:ilvl="5">
        <w:start w:val="1"/>
        <w:numFmt w:val="decimal"/>
        <w:lvlRestart w:val="1"/>
        <w:pStyle w:val="Bodytext"/>
        <w:lvlText w:val="%1.%6"/>
        <w:lvlJc w:val="left"/>
        <w:pPr>
          <w:ind w:left="567" w:hanging="567"/>
        </w:pPr>
        <w:rPr>
          <w:rFonts w:ascii="Calibri" w:hAnsi="Calibri" w:hint="default"/>
          <w:i w:val="0"/>
          <w:sz w:val="22"/>
        </w:rPr>
      </w:lvl>
    </w:lvlOverride>
    <w:lvlOverride w:ilvl="6">
      <w:lvl w:ilvl="6">
        <w:start w:val="1"/>
        <w:numFmt w:val="decimal"/>
        <w:lvlRestart w:val="0"/>
        <w:pStyle w:val="Recommendation"/>
        <w:lvlText w:val="Recommendation %7"/>
        <w:lvlJc w:val="left"/>
        <w:pPr>
          <w:ind w:left="142"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8">
    <w:abstractNumId w:val="3"/>
  </w:num>
  <w:num w:numId="9">
    <w:abstractNumId w:val="2"/>
  </w:num>
  <w:num w:numId="10">
    <w:abstractNumId w:val="7"/>
  </w:num>
  <w:num w:numId="11">
    <w:abstractNumId w:val="3"/>
  </w:num>
  <w:num w:numId="12">
    <w:abstractNumId w:val="3"/>
  </w:num>
  <w:num w:numId="13">
    <w:abstractNumId w:val="3"/>
    <w:lvlOverride w:ilvl="0">
      <w:lvl w:ilvl="0">
        <w:numFmt w:val="decimal"/>
        <w:pStyle w:val="Heading1"/>
        <w:lvlText w:val=""/>
        <w:lvlJc w:val="left"/>
      </w:lvl>
    </w:lvlOverride>
    <w:lvlOverride w:ilvl="1">
      <w:lvl w:ilvl="1">
        <w:numFmt w:val="decimal"/>
        <w:pStyle w:val="Headinglevel2"/>
        <w:lvlText w:val=""/>
        <w:lvlJc w:val="left"/>
      </w:lvl>
    </w:lvlOverride>
    <w:lvlOverride w:ilvl="2">
      <w:lvl w:ilvl="2">
        <w:numFmt w:val="decimal"/>
        <w:pStyle w:val="Headinglevel3"/>
        <w:lvlText w:val=""/>
        <w:lvlJc w:val="left"/>
      </w:lvl>
    </w:lvlOverride>
    <w:lvlOverride w:ilvl="3">
      <w:lvl w:ilvl="3">
        <w:numFmt w:val="decimal"/>
        <w:pStyle w:val="Headinglevel4"/>
        <w:lvlText w:val=""/>
        <w:lvlJc w:val="left"/>
      </w:lvl>
    </w:lvlOverride>
    <w:lvlOverride w:ilvl="4">
      <w:lvl w:ilvl="4">
        <w:numFmt w:val="decimal"/>
        <w:pStyle w:val="Headinglevel5"/>
        <w:lvlText w:val=""/>
        <w:lvlJc w:val="left"/>
      </w:lvl>
    </w:lvlOverride>
    <w:lvlOverride w:ilvl="5">
      <w:lvl w:ilvl="5">
        <w:start w:val="1"/>
        <w:numFmt w:val="decimal"/>
        <w:lvlRestart w:val="1"/>
        <w:pStyle w:val="Bodytext"/>
        <w:lvlText w:val="%1.%6"/>
        <w:lvlJc w:val="left"/>
        <w:pPr>
          <w:ind w:left="567" w:hanging="567"/>
        </w:pPr>
        <w:rPr>
          <w:rFonts w:ascii="Calibri" w:hAnsi="Calibri" w:hint="default"/>
          <w:i w:val="0"/>
          <w:sz w:val="22"/>
        </w:rPr>
      </w:lvl>
    </w:lvlOverride>
    <w:lvlOverride w:ilvl="6">
      <w:lvl w:ilvl="6">
        <w:start w:val="1"/>
        <w:numFmt w:val="decimal"/>
        <w:lvlRestart w:val="0"/>
        <w:pStyle w:val="Recommendation"/>
        <w:lvlText w:val="Recommendation %7"/>
        <w:lvlJc w:val="left"/>
        <w:pPr>
          <w:ind w:left="142"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4">
    <w:abstractNumId w:val="3"/>
    <w:lvlOverride w:ilvl="0">
      <w:lvl w:ilvl="0">
        <w:numFmt w:val="decimal"/>
        <w:pStyle w:val="Heading1"/>
        <w:lvlText w:val=""/>
        <w:lvlJc w:val="left"/>
      </w:lvl>
    </w:lvlOverride>
    <w:lvlOverride w:ilvl="1">
      <w:lvl w:ilvl="1">
        <w:numFmt w:val="decimal"/>
        <w:pStyle w:val="Headinglevel2"/>
        <w:lvlText w:val=""/>
        <w:lvlJc w:val="left"/>
      </w:lvl>
    </w:lvlOverride>
    <w:lvlOverride w:ilvl="2">
      <w:lvl w:ilvl="2">
        <w:numFmt w:val="decimal"/>
        <w:pStyle w:val="Headinglevel3"/>
        <w:lvlText w:val=""/>
        <w:lvlJc w:val="left"/>
      </w:lvl>
    </w:lvlOverride>
    <w:lvlOverride w:ilvl="3">
      <w:lvl w:ilvl="3">
        <w:numFmt w:val="decimal"/>
        <w:pStyle w:val="Headinglevel4"/>
        <w:lvlText w:val=""/>
        <w:lvlJc w:val="left"/>
      </w:lvl>
    </w:lvlOverride>
    <w:lvlOverride w:ilvl="4">
      <w:lvl w:ilvl="4">
        <w:numFmt w:val="decimal"/>
        <w:pStyle w:val="Headinglevel5"/>
        <w:lvlText w:val=""/>
        <w:lvlJc w:val="left"/>
      </w:lvl>
    </w:lvlOverride>
    <w:lvlOverride w:ilvl="5">
      <w:lvl w:ilvl="5">
        <w:start w:val="1"/>
        <w:numFmt w:val="decimal"/>
        <w:lvlRestart w:val="1"/>
        <w:pStyle w:val="Bodytext"/>
        <w:lvlText w:val="%1.%6"/>
        <w:lvlJc w:val="left"/>
        <w:pPr>
          <w:ind w:left="567" w:hanging="567"/>
        </w:pPr>
        <w:rPr>
          <w:rFonts w:ascii="Calibri" w:hAnsi="Calibri" w:hint="default"/>
          <w:i w:val="0"/>
          <w:sz w:val="22"/>
        </w:rPr>
      </w:lvl>
    </w:lvlOverride>
    <w:lvlOverride w:ilvl="6">
      <w:lvl w:ilvl="6">
        <w:start w:val="1"/>
        <w:numFmt w:val="decimal"/>
        <w:lvlRestart w:val="0"/>
        <w:pStyle w:val="Recommendation"/>
        <w:lvlText w:val="Recommendation %7"/>
        <w:lvlJc w:val="left"/>
        <w:pPr>
          <w:ind w:left="142"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TrueTypeFonts/>
  <w:saveSubsetFonts/>
  <w:attachedTemplate r:id="rId1"/>
  <w:stylePaneFormatFilter w:val="3F01"/>
  <w:defaultTabStop w:val="720"/>
  <w:evenAndOddHeaders/>
  <w:drawingGridHorizontalSpacing w:val="110"/>
  <w:displayHorizontalDrawingGridEvery w:val="2"/>
  <w:noPunctuationKerning/>
  <w:characterSpacingControl w:val="doNotCompress"/>
  <w:hdrShapeDefaults>
    <o:shapedefaults v:ext="edit" spidmax="4102"/>
  </w:hdrShapeDefaults>
  <w:footnotePr>
    <w:footnote w:id="-1"/>
    <w:footnote w:id="0"/>
  </w:footnotePr>
  <w:endnotePr>
    <w:endnote w:id="-1"/>
    <w:endnote w:id="0"/>
  </w:endnotePr>
  <w:compat/>
  <w:rsids>
    <w:rsidRoot w:val="00C3713F"/>
    <w:rsid w:val="00000A74"/>
    <w:rsid w:val="00002730"/>
    <w:rsid w:val="00007C00"/>
    <w:rsid w:val="0001170F"/>
    <w:rsid w:val="000122DA"/>
    <w:rsid w:val="000135E9"/>
    <w:rsid w:val="000161FB"/>
    <w:rsid w:val="00016513"/>
    <w:rsid w:val="00017D52"/>
    <w:rsid w:val="00020BB5"/>
    <w:rsid w:val="00022DFF"/>
    <w:rsid w:val="00024877"/>
    <w:rsid w:val="000253AB"/>
    <w:rsid w:val="0002797A"/>
    <w:rsid w:val="00030B03"/>
    <w:rsid w:val="00032658"/>
    <w:rsid w:val="00037305"/>
    <w:rsid w:val="00040DB1"/>
    <w:rsid w:val="00041396"/>
    <w:rsid w:val="00042ACA"/>
    <w:rsid w:val="000432BF"/>
    <w:rsid w:val="00043DA1"/>
    <w:rsid w:val="00052B3D"/>
    <w:rsid w:val="00052FEF"/>
    <w:rsid w:val="00054EEF"/>
    <w:rsid w:val="000557F4"/>
    <w:rsid w:val="000563C4"/>
    <w:rsid w:val="00057122"/>
    <w:rsid w:val="0005767E"/>
    <w:rsid w:val="00060064"/>
    <w:rsid w:val="000610B6"/>
    <w:rsid w:val="00061B39"/>
    <w:rsid w:val="00064A8A"/>
    <w:rsid w:val="00065951"/>
    <w:rsid w:val="00067950"/>
    <w:rsid w:val="00067993"/>
    <w:rsid w:val="000765F4"/>
    <w:rsid w:val="00080FEC"/>
    <w:rsid w:val="00082134"/>
    <w:rsid w:val="0008221E"/>
    <w:rsid w:val="0008291D"/>
    <w:rsid w:val="00083AFB"/>
    <w:rsid w:val="0008705A"/>
    <w:rsid w:val="000903BC"/>
    <w:rsid w:val="00091F66"/>
    <w:rsid w:val="00096E3A"/>
    <w:rsid w:val="000A0657"/>
    <w:rsid w:val="000A0C4F"/>
    <w:rsid w:val="000A0E17"/>
    <w:rsid w:val="000A2597"/>
    <w:rsid w:val="000A2C48"/>
    <w:rsid w:val="000A77A3"/>
    <w:rsid w:val="000B0E71"/>
    <w:rsid w:val="000B2B62"/>
    <w:rsid w:val="000B3892"/>
    <w:rsid w:val="000B4094"/>
    <w:rsid w:val="000B4457"/>
    <w:rsid w:val="000B7E15"/>
    <w:rsid w:val="000C4EFA"/>
    <w:rsid w:val="000C5DE9"/>
    <w:rsid w:val="000C684D"/>
    <w:rsid w:val="000C75A2"/>
    <w:rsid w:val="000D2895"/>
    <w:rsid w:val="000D3E58"/>
    <w:rsid w:val="000D67E9"/>
    <w:rsid w:val="000E2EF4"/>
    <w:rsid w:val="000E5511"/>
    <w:rsid w:val="000E7567"/>
    <w:rsid w:val="000F726F"/>
    <w:rsid w:val="001002D4"/>
    <w:rsid w:val="00101EF0"/>
    <w:rsid w:val="0010533B"/>
    <w:rsid w:val="00105BB5"/>
    <w:rsid w:val="001105FE"/>
    <w:rsid w:val="00110FA4"/>
    <w:rsid w:val="00112C24"/>
    <w:rsid w:val="00113E77"/>
    <w:rsid w:val="0011795D"/>
    <w:rsid w:val="0012342E"/>
    <w:rsid w:val="00123676"/>
    <w:rsid w:val="00123C42"/>
    <w:rsid w:val="00124F8D"/>
    <w:rsid w:val="00125E8B"/>
    <w:rsid w:val="00133FFD"/>
    <w:rsid w:val="00134BB2"/>
    <w:rsid w:val="00136F9A"/>
    <w:rsid w:val="00140AB6"/>
    <w:rsid w:val="00141886"/>
    <w:rsid w:val="00150735"/>
    <w:rsid w:val="001511D4"/>
    <w:rsid w:val="00153FD4"/>
    <w:rsid w:val="0015423C"/>
    <w:rsid w:val="0015584A"/>
    <w:rsid w:val="001566DA"/>
    <w:rsid w:val="001576B7"/>
    <w:rsid w:val="0015794F"/>
    <w:rsid w:val="001647BE"/>
    <w:rsid w:val="00167854"/>
    <w:rsid w:val="00167DF1"/>
    <w:rsid w:val="00170046"/>
    <w:rsid w:val="001705A0"/>
    <w:rsid w:val="00171085"/>
    <w:rsid w:val="001716E4"/>
    <w:rsid w:val="00172BD7"/>
    <w:rsid w:val="00172E87"/>
    <w:rsid w:val="00173749"/>
    <w:rsid w:val="001752DC"/>
    <w:rsid w:val="0017599E"/>
    <w:rsid w:val="00177046"/>
    <w:rsid w:val="00183FBF"/>
    <w:rsid w:val="00184070"/>
    <w:rsid w:val="00185A6C"/>
    <w:rsid w:val="00192F29"/>
    <w:rsid w:val="0019658C"/>
    <w:rsid w:val="001A0DBE"/>
    <w:rsid w:val="001A5DB1"/>
    <w:rsid w:val="001A6804"/>
    <w:rsid w:val="001B2B71"/>
    <w:rsid w:val="001B4172"/>
    <w:rsid w:val="001B4476"/>
    <w:rsid w:val="001B5C94"/>
    <w:rsid w:val="001B5F6D"/>
    <w:rsid w:val="001C0E97"/>
    <w:rsid w:val="001C1F78"/>
    <w:rsid w:val="001C49DC"/>
    <w:rsid w:val="001C5149"/>
    <w:rsid w:val="001C5B15"/>
    <w:rsid w:val="001C746F"/>
    <w:rsid w:val="001D0020"/>
    <w:rsid w:val="001D009F"/>
    <w:rsid w:val="001D1138"/>
    <w:rsid w:val="001D17CF"/>
    <w:rsid w:val="001D3DB5"/>
    <w:rsid w:val="001D63A8"/>
    <w:rsid w:val="001D6404"/>
    <w:rsid w:val="001D795B"/>
    <w:rsid w:val="001E10FE"/>
    <w:rsid w:val="001E2D30"/>
    <w:rsid w:val="001E3A56"/>
    <w:rsid w:val="001E3BD9"/>
    <w:rsid w:val="001E43A5"/>
    <w:rsid w:val="001E5C00"/>
    <w:rsid w:val="001E68B2"/>
    <w:rsid w:val="001F15C3"/>
    <w:rsid w:val="001F1963"/>
    <w:rsid w:val="001F58CC"/>
    <w:rsid w:val="0020076E"/>
    <w:rsid w:val="00204CF9"/>
    <w:rsid w:val="00205E6F"/>
    <w:rsid w:val="00206078"/>
    <w:rsid w:val="00206713"/>
    <w:rsid w:val="0020680D"/>
    <w:rsid w:val="00206894"/>
    <w:rsid w:val="00211DBE"/>
    <w:rsid w:val="002161E9"/>
    <w:rsid w:val="00216795"/>
    <w:rsid w:val="0022381D"/>
    <w:rsid w:val="0022469E"/>
    <w:rsid w:val="00230D24"/>
    <w:rsid w:val="00230E40"/>
    <w:rsid w:val="00231145"/>
    <w:rsid w:val="00231535"/>
    <w:rsid w:val="00232EED"/>
    <w:rsid w:val="00234606"/>
    <w:rsid w:val="00234702"/>
    <w:rsid w:val="002379A5"/>
    <w:rsid w:val="002404CD"/>
    <w:rsid w:val="00241286"/>
    <w:rsid w:val="00243BBE"/>
    <w:rsid w:val="00245795"/>
    <w:rsid w:val="00250120"/>
    <w:rsid w:val="00250C57"/>
    <w:rsid w:val="00252540"/>
    <w:rsid w:val="002527F3"/>
    <w:rsid w:val="002529CA"/>
    <w:rsid w:val="00255739"/>
    <w:rsid w:val="00260F29"/>
    <w:rsid w:val="002613F2"/>
    <w:rsid w:val="002634A3"/>
    <w:rsid w:val="0026439E"/>
    <w:rsid w:val="002659EC"/>
    <w:rsid w:val="00265F91"/>
    <w:rsid w:val="002733B8"/>
    <w:rsid w:val="00276E64"/>
    <w:rsid w:val="00282FAE"/>
    <w:rsid w:val="0028660C"/>
    <w:rsid w:val="002868FF"/>
    <w:rsid w:val="002904E2"/>
    <w:rsid w:val="002906F1"/>
    <w:rsid w:val="0029347E"/>
    <w:rsid w:val="00294480"/>
    <w:rsid w:val="00297B11"/>
    <w:rsid w:val="002A49C7"/>
    <w:rsid w:val="002A5FF5"/>
    <w:rsid w:val="002A64FA"/>
    <w:rsid w:val="002A66A4"/>
    <w:rsid w:val="002A6EC3"/>
    <w:rsid w:val="002B1F09"/>
    <w:rsid w:val="002B5C68"/>
    <w:rsid w:val="002B5CC2"/>
    <w:rsid w:val="002B5D24"/>
    <w:rsid w:val="002B7AD1"/>
    <w:rsid w:val="002B7B8B"/>
    <w:rsid w:val="002C467E"/>
    <w:rsid w:val="002C4E6E"/>
    <w:rsid w:val="002C5654"/>
    <w:rsid w:val="002C7DE8"/>
    <w:rsid w:val="002D0BC9"/>
    <w:rsid w:val="002D1F26"/>
    <w:rsid w:val="002D3AA4"/>
    <w:rsid w:val="002D3C8C"/>
    <w:rsid w:val="002D5959"/>
    <w:rsid w:val="002D5FCE"/>
    <w:rsid w:val="002E17EA"/>
    <w:rsid w:val="002E1A91"/>
    <w:rsid w:val="002E36A8"/>
    <w:rsid w:val="002E4841"/>
    <w:rsid w:val="002E676A"/>
    <w:rsid w:val="002E7FA6"/>
    <w:rsid w:val="002F0561"/>
    <w:rsid w:val="002F0B2F"/>
    <w:rsid w:val="002F193E"/>
    <w:rsid w:val="002F1E2F"/>
    <w:rsid w:val="002F6BFA"/>
    <w:rsid w:val="002F7CD8"/>
    <w:rsid w:val="00300A7C"/>
    <w:rsid w:val="00301919"/>
    <w:rsid w:val="003037A7"/>
    <w:rsid w:val="0030547A"/>
    <w:rsid w:val="003057E2"/>
    <w:rsid w:val="0030750A"/>
    <w:rsid w:val="00310AF7"/>
    <w:rsid w:val="00310F55"/>
    <w:rsid w:val="00311C80"/>
    <w:rsid w:val="003138AA"/>
    <w:rsid w:val="00314276"/>
    <w:rsid w:val="00314DF9"/>
    <w:rsid w:val="003158A2"/>
    <w:rsid w:val="003161A0"/>
    <w:rsid w:val="00327F83"/>
    <w:rsid w:val="00330953"/>
    <w:rsid w:val="003319E5"/>
    <w:rsid w:val="003340D9"/>
    <w:rsid w:val="0033446E"/>
    <w:rsid w:val="00335935"/>
    <w:rsid w:val="0033717E"/>
    <w:rsid w:val="003374BA"/>
    <w:rsid w:val="00341478"/>
    <w:rsid w:val="003456F8"/>
    <w:rsid w:val="00345D55"/>
    <w:rsid w:val="00346148"/>
    <w:rsid w:val="00346616"/>
    <w:rsid w:val="00347AF5"/>
    <w:rsid w:val="00351C79"/>
    <w:rsid w:val="003536AD"/>
    <w:rsid w:val="00355217"/>
    <w:rsid w:val="003557A9"/>
    <w:rsid w:val="00355CF2"/>
    <w:rsid w:val="00357533"/>
    <w:rsid w:val="003606E5"/>
    <w:rsid w:val="00360848"/>
    <w:rsid w:val="00366B0C"/>
    <w:rsid w:val="003670BC"/>
    <w:rsid w:val="003673B1"/>
    <w:rsid w:val="00370C68"/>
    <w:rsid w:val="0037147F"/>
    <w:rsid w:val="0037411B"/>
    <w:rsid w:val="003750E8"/>
    <w:rsid w:val="003756F4"/>
    <w:rsid w:val="00376905"/>
    <w:rsid w:val="00380BCF"/>
    <w:rsid w:val="00380EDB"/>
    <w:rsid w:val="0038248A"/>
    <w:rsid w:val="00384CD9"/>
    <w:rsid w:val="00385BAA"/>
    <w:rsid w:val="0038734F"/>
    <w:rsid w:val="00392FBF"/>
    <w:rsid w:val="00394186"/>
    <w:rsid w:val="003956CC"/>
    <w:rsid w:val="00397124"/>
    <w:rsid w:val="003A3D9B"/>
    <w:rsid w:val="003A4417"/>
    <w:rsid w:val="003A6486"/>
    <w:rsid w:val="003B00EA"/>
    <w:rsid w:val="003B13F7"/>
    <w:rsid w:val="003B5507"/>
    <w:rsid w:val="003B5A9F"/>
    <w:rsid w:val="003B6A00"/>
    <w:rsid w:val="003B7E6A"/>
    <w:rsid w:val="003C4E99"/>
    <w:rsid w:val="003C5271"/>
    <w:rsid w:val="003C53D5"/>
    <w:rsid w:val="003C7C2C"/>
    <w:rsid w:val="003D1ADD"/>
    <w:rsid w:val="003D2372"/>
    <w:rsid w:val="003D239F"/>
    <w:rsid w:val="003D40AE"/>
    <w:rsid w:val="003D52D6"/>
    <w:rsid w:val="003D6666"/>
    <w:rsid w:val="003E02DD"/>
    <w:rsid w:val="003E0CF7"/>
    <w:rsid w:val="003E2B5E"/>
    <w:rsid w:val="003E346B"/>
    <w:rsid w:val="003E3B4C"/>
    <w:rsid w:val="003E540F"/>
    <w:rsid w:val="003E694F"/>
    <w:rsid w:val="003E6F53"/>
    <w:rsid w:val="003E7EED"/>
    <w:rsid w:val="003F1098"/>
    <w:rsid w:val="003F387C"/>
    <w:rsid w:val="003F5593"/>
    <w:rsid w:val="003F563A"/>
    <w:rsid w:val="003F679A"/>
    <w:rsid w:val="003F6EA1"/>
    <w:rsid w:val="00400249"/>
    <w:rsid w:val="00401666"/>
    <w:rsid w:val="004035A5"/>
    <w:rsid w:val="0040507E"/>
    <w:rsid w:val="00411FEC"/>
    <w:rsid w:val="00415731"/>
    <w:rsid w:val="00415CDF"/>
    <w:rsid w:val="00415EF1"/>
    <w:rsid w:val="00416520"/>
    <w:rsid w:val="00417798"/>
    <w:rsid w:val="00417900"/>
    <w:rsid w:val="0042117A"/>
    <w:rsid w:val="004239EA"/>
    <w:rsid w:val="00424B6E"/>
    <w:rsid w:val="00424B89"/>
    <w:rsid w:val="00425160"/>
    <w:rsid w:val="00431888"/>
    <w:rsid w:val="004327E3"/>
    <w:rsid w:val="004335B9"/>
    <w:rsid w:val="004335C6"/>
    <w:rsid w:val="00434025"/>
    <w:rsid w:val="00434E39"/>
    <w:rsid w:val="00440232"/>
    <w:rsid w:val="00450878"/>
    <w:rsid w:val="00451316"/>
    <w:rsid w:val="0045212F"/>
    <w:rsid w:val="00454452"/>
    <w:rsid w:val="00455882"/>
    <w:rsid w:val="00456339"/>
    <w:rsid w:val="0045754B"/>
    <w:rsid w:val="0046058F"/>
    <w:rsid w:val="00460A33"/>
    <w:rsid w:val="00462F49"/>
    <w:rsid w:val="004640B5"/>
    <w:rsid w:val="004669D4"/>
    <w:rsid w:val="00467835"/>
    <w:rsid w:val="00470CE9"/>
    <w:rsid w:val="00472519"/>
    <w:rsid w:val="00475450"/>
    <w:rsid w:val="004767F0"/>
    <w:rsid w:val="00477F4F"/>
    <w:rsid w:val="004802B6"/>
    <w:rsid w:val="00481DFB"/>
    <w:rsid w:val="004924BD"/>
    <w:rsid w:val="00494BDE"/>
    <w:rsid w:val="004A31E4"/>
    <w:rsid w:val="004A6A09"/>
    <w:rsid w:val="004A7E14"/>
    <w:rsid w:val="004B2C4E"/>
    <w:rsid w:val="004B37C2"/>
    <w:rsid w:val="004B46B0"/>
    <w:rsid w:val="004C001F"/>
    <w:rsid w:val="004C03A9"/>
    <w:rsid w:val="004C5F28"/>
    <w:rsid w:val="004C71BD"/>
    <w:rsid w:val="004D2CD2"/>
    <w:rsid w:val="004D3265"/>
    <w:rsid w:val="004D3D6C"/>
    <w:rsid w:val="004D510E"/>
    <w:rsid w:val="004D5217"/>
    <w:rsid w:val="004D70EE"/>
    <w:rsid w:val="004E16CA"/>
    <w:rsid w:val="004E38C6"/>
    <w:rsid w:val="004E41BD"/>
    <w:rsid w:val="004E4259"/>
    <w:rsid w:val="004E4990"/>
    <w:rsid w:val="004E575D"/>
    <w:rsid w:val="004E7559"/>
    <w:rsid w:val="004E78B4"/>
    <w:rsid w:val="004F2014"/>
    <w:rsid w:val="004F6925"/>
    <w:rsid w:val="005005A6"/>
    <w:rsid w:val="00500D4E"/>
    <w:rsid w:val="00503A08"/>
    <w:rsid w:val="00504711"/>
    <w:rsid w:val="00505904"/>
    <w:rsid w:val="005059B3"/>
    <w:rsid w:val="00506C1D"/>
    <w:rsid w:val="005072C5"/>
    <w:rsid w:val="005103C9"/>
    <w:rsid w:val="0051778C"/>
    <w:rsid w:val="005227D9"/>
    <w:rsid w:val="005237F6"/>
    <w:rsid w:val="00526A4B"/>
    <w:rsid w:val="00527265"/>
    <w:rsid w:val="00530C60"/>
    <w:rsid w:val="00531A03"/>
    <w:rsid w:val="00533697"/>
    <w:rsid w:val="00535908"/>
    <w:rsid w:val="00536444"/>
    <w:rsid w:val="00540D7C"/>
    <w:rsid w:val="00542FA6"/>
    <w:rsid w:val="00543954"/>
    <w:rsid w:val="0055405A"/>
    <w:rsid w:val="005563BB"/>
    <w:rsid w:val="005635C4"/>
    <w:rsid w:val="005649D9"/>
    <w:rsid w:val="00564B3E"/>
    <w:rsid w:val="00566897"/>
    <w:rsid w:val="00566E6D"/>
    <w:rsid w:val="005670AA"/>
    <w:rsid w:val="00567B9C"/>
    <w:rsid w:val="00572DC5"/>
    <w:rsid w:val="005731A8"/>
    <w:rsid w:val="00576CB3"/>
    <w:rsid w:val="00581185"/>
    <w:rsid w:val="00581A4E"/>
    <w:rsid w:val="005829E8"/>
    <w:rsid w:val="005834B1"/>
    <w:rsid w:val="00584492"/>
    <w:rsid w:val="005845D0"/>
    <w:rsid w:val="00584A5A"/>
    <w:rsid w:val="00585337"/>
    <w:rsid w:val="005876D5"/>
    <w:rsid w:val="00587859"/>
    <w:rsid w:val="005903E6"/>
    <w:rsid w:val="00590D54"/>
    <w:rsid w:val="005910B3"/>
    <w:rsid w:val="00592E57"/>
    <w:rsid w:val="0059361E"/>
    <w:rsid w:val="00593912"/>
    <w:rsid w:val="00597C27"/>
    <w:rsid w:val="005A08A9"/>
    <w:rsid w:val="005A10A8"/>
    <w:rsid w:val="005A50D4"/>
    <w:rsid w:val="005A74F5"/>
    <w:rsid w:val="005B17C1"/>
    <w:rsid w:val="005B1B69"/>
    <w:rsid w:val="005B424B"/>
    <w:rsid w:val="005B4562"/>
    <w:rsid w:val="005B60C2"/>
    <w:rsid w:val="005C13EA"/>
    <w:rsid w:val="005C1855"/>
    <w:rsid w:val="005C1AF5"/>
    <w:rsid w:val="005C6A2D"/>
    <w:rsid w:val="005C7958"/>
    <w:rsid w:val="005D087B"/>
    <w:rsid w:val="005D18FD"/>
    <w:rsid w:val="005D214C"/>
    <w:rsid w:val="005D4865"/>
    <w:rsid w:val="005D5AB2"/>
    <w:rsid w:val="005D5FEC"/>
    <w:rsid w:val="005E0EF2"/>
    <w:rsid w:val="005E1417"/>
    <w:rsid w:val="005E1D74"/>
    <w:rsid w:val="005E61BD"/>
    <w:rsid w:val="005E645B"/>
    <w:rsid w:val="005E64A4"/>
    <w:rsid w:val="005E670D"/>
    <w:rsid w:val="005E74F9"/>
    <w:rsid w:val="005F2A8C"/>
    <w:rsid w:val="005F2C11"/>
    <w:rsid w:val="005F3848"/>
    <w:rsid w:val="005F4508"/>
    <w:rsid w:val="005F6CF7"/>
    <w:rsid w:val="00601ABF"/>
    <w:rsid w:val="006050F3"/>
    <w:rsid w:val="006060B0"/>
    <w:rsid w:val="00606255"/>
    <w:rsid w:val="006079E4"/>
    <w:rsid w:val="00610B5E"/>
    <w:rsid w:val="00611074"/>
    <w:rsid w:val="006145C9"/>
    <w:rsid w:val="00617C19"/>
    <w:rsid w:val="00620D78"/>
    <w:rsid w:val="00621267"/>
    <w:rsid w:val="00624062"/>
    <w:rsid w:val="006257F6"/>
    <w:rsid w:val="00630D93"/>
    <w:rsid w:val="00631199"/>
    <w:rsid w:val="00631F14"/>
    <w:rsid w:val="006323F2"/>
    <w:rsid w:val="006332BB"/>
    <w:rsid w:val="00635F9E"/>
    <w:rsid w:val="00635FB2"/>
    <w:rsid w:val="0064020A"/>
    <w:rsid w:val="00641C3A"/>
    <w:rsid w:val="00642EE7"/>
    <w:rsid w:val="006456AC"/>
    <w:rsid w:val="00645A88"/>
    <w:rsid w:val="00645D86"/>
    <w:rsid w:val="006464A3"/>
    <w:rsid w:val="00647F7B"/>
    <w:rsid w:val="00650BDC"/>
    <w:rsid w:val="006510E2"/>
    <w:rsid w:val="006534B0"/>
    <w:rsid w:val="00661DF6"/>
    <w:rsid w:val="0066313F"/>
    <w:rsid w:val="00664C35"/>
    <w:rsid w:val="00670BB3"/>
    <w:rsid w:val="00671D2A"/>
    <w:rsid w:val="00672013"/>
    <w:rsid w:val="00672199"/>
    <w:rsid w:val="006728CC"/>
    <w:rsid w:val="00685851"/>
    <w:rsid w:val="00685F4E"/>
    <w:rsid w:val="0069078D"/>
    <w:rsid w:val="00690DD2"/>
    <w:rsid w:val="00693538"/>
    <w:rsid w:val="0069585C"/>
    <w:rsid w:val="006973B1"/>
    <w:rsid w:val="00697906"/>
    <w:rsid w:val="006A0AF7"/>
    <w:rsid w:val="006A2CFF"/>
    <w:rsid w:val="006A3382"/>
    <w:rsid w:val="006A36DE"/>
    <w:rsid w:val="006A3F21"/>
    <w:rsid w:val="006A4375"/>
    <w:rsid w:val="006A4B87"/>
    <w:rsid w:val="006A5D41"/>
    <w:rsid w:val="006A63E6"/>
    <w:rsid w:val="006A668E"/>
    <w:rsid w:val="006A6AC0"/>
    <w:rsid w:val="006A6D63"/>
    <w:rsid w:val="006A75DB"/>
    <w:rsid w:val="006A7783"/>
    <w:rsid w:val="006B392D"/>
    <w:rsid w:val="006B485B"/>
    <w:rsid w:val="006B503F"/>
    <w:rsid w:val="006B66F4"/>
    <w:rsid w:val="006B793D"/>
    <w:rsid w:val="006C3923"/>
    <w:rsid w:val="006C3A29"/>
    <w:rsid w:val="006C4FF2"/>
    <w:rsid w:val="006D3051"/>
    <w:rsid w:val="006D4BFC"/>
    <w:rsid w:val="006E06BE"/>
    <w:rsid w:val="006E4E33"/>
    <w:rsid w:val="006E50CD"/>
    <w:rsid w:val="006E52F4"/>
    <w:rsid w:val="006E62A5"/>
    <w:rsid w:val="006E6931"/>
    <w:rsid w:val="006F01F3"/>
    <w:rsid w:val="006F41E1"/>
    <w:rsid w:val="006F4495"/>
    <w:rsid w:val="006F4748"/>
    <w:rsid w:val="006F4FF1"/>
    <w:rsid w:val="006F68F2"/>
    <w:rsid w:val="006F7292"/>
    <w:rsid w:val="007017A9"/>
    <w:rsid w:val="00701C96"/>
    <w:rsid w:val="0070316D"/>
    <w:rsid w:val="007044E6"/>
    <w:rsid w:val="00704ABE"/>
    <w:rsid w:val="00710641"/>
    <w:rsid w:val="0071414B"/>
    <w:rsid w:val="00715A96"/>
    <w:rsid w:val="007160C4"/>
    <w:rsid w:val="00717171"/>
    <w:rsid w:val="0071763B"/>
    <w:rsid w:val="00720BD1"/>
    <w:rsid w:val="00720CE9"/>
    <w:rsid w:val="0072288F"/>
    <w:rsid w:val="00723976"/>
    <w:rsid w:val="00732C0C"/>
    <w:rsid w:val="00735B32"/>
    <w:rsid w:val="00740BA8"/>
    <w:rsid w:val="00740ED6"/>
    <w:rsid w:val="007415C3"/>
    <w:rsid w:val="00742347"/>
    <w:rsid w:val="007433A6"/>
    <w:rsid w:val="0074429A"/>
    <w:rsid w:val="00744725"/>
    <w:rsid w:val="007463D3"/>
    <w:rsid w:val="00746A72"/>
    <w:rsid w:val="0074751E"/>
    <w:rsid w:val="00747803"/>
    <w:rsid w:val="007508E2"/>
    <w:rsid w:val="00753B2C"/>
    <w:rsid w:val="00753DAD"/>
    <w:rsid w:val="007552DB"/>
    <w:rsid w:val="00756C46"/>
    <w:rsid w:val="00756C62"/>
    <w:rsid w:val="0075728A"/>
    <w:rsid w:val="00757EBF"/>
    <w:rsid w:val="00757F3B"/>
    <w:rsid w:val="00760EBD"/>
    <w:rsid w:val="0076272E"/>
    <w:rsid w:val="00762A00"/>
    <w:rsid w:val="00764425"/>
    <w:rsid w:val="0076515C"/>
    <w:rsid w:val="00765708"/>
    <w:rsid w:val="0076632C"/>
    <w:rsid w:val="007677F1"/>
    <w:rsid w:val="00773585"/>
    <w:rsid w:val="00773A9E"/>
    <w:rsid w:val="00775065"/>
    <w:rsid w:val="00775C30"/>
    <w:rsid w:val="007762B4"/>
    <w:rsid w:val="00780B47"/>
    <w:rsid w:val="007829D7"/>
    <w:rsid w:val="0078602D"/>
    <w:rsid w:val="00786C81"/>
    <w:rsid w:val="00790965"/>
    <w:rsid w:val="00793F05"/>
    <w:rsid w:val="00795F3F"/>
    <w:rsid w:val="00796E14"/>
    <w:rsid w:val="007A0441"/>
    <w:rsid w:val="007A2573"/>
    <w:rsid w:val="007A3B15"/>
    <w:rsid w:val="007A3BDC"/>
    <w:rsid w:val="007A598F"/>
    <w:rsid w:val="007A5CB5"/>
    <w:rsid w:val="007B0E50"/>
    <w:rsid w:val="007B12F1"/>
    <w:rsid w:val="007B1FD2"/>
    <w:rsid w:val="007B2155"/>
    <w:rsid w:val="007B31F6"/>
    <w:rsid w:val="007B394F"/>
    <w:rsid w:val="007B51E3"/>
    <w:rsid w:val="007B5AD9"/>
    <w:rsid w:val="007B7771"/>
    <w:rsid w:val="007C287B"/>
    <w:rsid w:val="007C64EB"/>
    <w:rsid w:val="007D13B2"/>
    <w:rsid w:val="007D52B5"/>
    <w:rsid w:val="007D54F3"/>
    <w:rsid w:val="007D661C"/>
    <w:rsid w:val="007D6856"/>
    <w:rsid w:val="007D7485"/>
    <w:rsid w:val="007E0F3A"/>
    <w:rsid w:val="007E1340"/>
    <w:rsid w:val="007E2472"/>
    <w:rsid w:val="007E3668"/>
    <w:rsid w:val="007E6B58"/>
    <w:rsid w:val="007F0B48"/>
    <w:rsid w:val="007F135C"/>
    <w:rsid w:val="007F2475"/>
    <w:rsid w:val="007F2DDA"/>
    <w:rsid w:val="007F5E40"/>
    <w:rsid w:val="007F5F7D"/>
    <w:rsid w:val="007F791A"/>
    <w:rsid w:val="008010DA"/>
    <w:rsid w:val="00801269"/>
    <w:rsid w:val="00801B16"/>
    <w:rsid w:val="00801BCE"/>
    <w:rsid w:val="0080327B"/>
    <w:rsid w:val="008129D6"/>
    <w:rsid w:val="008134A6"/>
    <w:rsid w:val="00814874"/>
    <w:rsid w:val="00814B73"/>
    <w:rsid w:val="00817D23"/>
    <w:rsid w:val="0082177F"/>
    <w:rsid w:val="00822976"/>
    <w:rsid w:val="00826EAB"/>
    <w:rsid w:val="008302FE"/>
    <w:rsid w:val="0083184F"/>
    <w:rsid w:val="00833FB2"/>
    <w:rsid w:val="00835FD5"/>
    <w:rsid w:val="008403A1"/>
    <w:rsid w:val="008425B3"/>
    <w:rsid w:val="00843973"/>
    <w:rsid w:val="00846D9B"/>
    <w:rsid w:val="00853964"/>
    <w:rsid w:val="00856026"/>
    <w:rsid w:val="00860758"/>
    <w:rsid w:val="00861EFE"/>
    <w:rsid w:val="00864654"/>
    <w:rsid w:val="00867CC7"/>
    <w:rsid w:val="008706A7"/>
    <w:rsid w:val="00872993"/>
    <w:rsid w:val="00872B07"/>
    <w:rsid w:val="00876181"/>
    <w:rsid w:val="00880431"/>
    <w:rsid w:val="00880526"/>
    <w:rsid w:val="0088163A"/>
    <w:rsid w:val="00884D8A"/>
    <w:rsid w:val="00885DF2"/>
    <w:rsid w:val="0088671E"/>
    <w:rsid w:val="00887D19"/>
    <w:rsid w:val="0089000A"/>
    <w:rsid w:val="00890126"/>
    <w:rsid w:val="0089019F"/>
    <w:rsid w:val="008909CB"/>
    <w:rsid w:val="00895092"/>
    <w:rsid w:val="008960BB"/>
    <w:rsid w:val="008962D3"/>
    <w:rsid w:val="008964CB"/>
    <w:rsid w:val="00897B13"/>
    <w:rsid w:val="008A3298"/>
    <w:rsid w:val="008A64B2"/>
    <w:rsid w:val="008A65FE"/>
    <w:rsid w:val="008B14C2"/>
    <w:rsid w:val="008B3353"/>
    <w:rsid w:val="008B35C5"/>
    <w:rsid w:val="008B3A8A"/>
    <w:rsid w:val="008B77F2"/>
    <w:rsid w:val="008B7EF1"/>
    <w:rsid w:val="008C5DBB"/>
    <w:rsid w:val="008C6CB1"/>
    <w:rsid w:val="008D0BC6"/>
    <w:rsid w:val="008D1176"/>
    <w:rsid w:val="008D7814"/>
    <w:rsid w:val="008E001D"/>
    <w:rsid w:val="008E2131"/>
    <w:rsid w:val="008E382F"/>
    <w:rsid w:val="008E4CFC"/>
    <w:rsid w:val="008F0E1A"/>
    <w:rsid w:val="008F41AB"/>
    <w:rsid w:val="008F4215"/>
    <w:rsid w:val="00900D61"/>
    <w:rsid w:val="00901044"/>
    <w:rsid w:val="009040DF"/>
    <w:rsid w:val="00904C5D"/>
    <w:rsid w:val="00910431"/>
    <w:rsid w:val="009104D3"/>
    <w:rsid w:val="00910A70"/>
    <w:rsid w:val="00914EEE"/>
    <w:rsid w:val="00915616"/>
    <w:rsid w:val="00917543"/>
    <w:rsid w:val="0092162F"/>
    <w:rsid w:val="009216BA"/>
    <w:rsid w:val="00921B34"/>
    <w:rsid w:val="00921D1C"/>
    <w:rsid w:val="00923EA4"/>
    <w:rsid w:val="00923EC9"/>
    <w:rsid w:val="00923FFF"/>
    <w:rsid w:val="009276BF"/>
    <w:rsid w:val="00933810"/>
    <w:rsid w:val="009339E8"/>
    <w:rsid w:val="00941712"/>
    <w:rsid w:val="00942F8F"/>
    <w:rsid w:val="00944390"/>
    <w:rsid w:val="00945888"/>
    <w:rsid w:val="009458A5"/>
    <w:rsid w:val="00946797"/>
    <w:rsid w:val="00946CE1"/>
    <w:rsid w:val="009510CB"/>
    <w:rsid w:val="00951C9A"/>
    <w:rsid w:val="00951FE8"/>
    <w:rsid w:val="00952455"/>
    <w:rsid w:val="00953F90"/>
    <w:rsid w:val="00954592"/>
    <w:rsid w:val="00955B14"/>
    <w:rsid w:val="00957111"/>
    <w:rsid w:val="00960A09"/>
    <w:rsid w:val="009625F3"/>
    <w:rsid w:val="00962A9F"/>
    <w:rsid w:val="00964733"/>
    <w:rsid w:val="009653B2"/>
    <w:rsid w:val="00965621"/>
    <w:rsid w:val="00965A4D"/>
    <w:rsid w:val="00967112"/>
    <w:rsid w:val="009717C3"/>
    <w:rsid w:val="00974AD4"/>
    <w:rsid w:val="00974E02"/>
    <w:rsid w:val="00976EF5"/>
    <w:rsid w:val="009776CD"/>
    <w:rsid w:val="00977B34"/>
    <w:rsid w:val="00981335"/>
    <w:rsid w:val="00981CB7"/>
    <w:rsid w:val="00981ECC"/>
    <w:rsid w:val="0098227F"/>
    <w:rsid w:val="00983EB0"/>
    <w:rsid w:val="00985703"/>
    <w:rsid w:val="009857BF"/>
    <w:rsid w:val="0098654A"/>
    <w:rsid w:val="009903F3"/>
    <w:rsid w:val="0099041E"/>
    <w:rsid w:val="009906DA"/>
    <w:rsid w:val="00990F5C"/>
    <w:rsid w:val="00993F9F"/>
    <w:rsid w:val="00997027"/>
    <w:rsid w:val="009A1CB2"/>
    <w:rsid w:val="009A2091"/>
    <w:rsid w:val="009A2191"/>
    <w:rsid w:val="009A34FC"/>
    <w:rsid w:val="009A58FC"/>
    <w:rsid w:val="009A60F8"/>
    <w:rsid w:val="009A7466"/>
    <w:rsid w:val="009B0874"/>
    <w:rsid w:val="009B172D"/>
    <w:rsid w:val="009B2C7B"/>
    <w:rsid w:val="009B3F14"/>
    <w:rsid w:val="009B50E3"/>
    <w:rsid w:val="009B5804"/>
    <w:rsid w:val="009B79F2"/>
    <w:rsid w:val="009C20F3"/>
    <w:rsid w:val="009C56A7"/>
    <w:rsid w:val="009C5BB3"/>
    <w:rsid w:val="009D1FD5"/>
    <w:rsid w:val="009D46B6"/>
    <w:rsid w:val="009D55FD"/>
    <w:rsid w:val="009D717C"/>
    <w:rsid w:val="009E03E2"/>
    <w:rsid w:val="009E0F2B"/>
    <w:rsid w:val="009E301B"/>
    <w:rsid w:val="009E4A24"/>
    <w:rsid w:val="009E559B"/>
    <w:rsid w:val="009F46BB"/>
    <w:rsid w:val="009F5319"/>
    <w:rsid w:val="009F73F4"/>
    <w:rsid w:val="00A01019"/>
    <w:rsid w:val="00A034AF"/>
    <w:rsid w:val="00A0743A"/>
    <w:rsid w:val="00A1146D"/>
    <w:rsid w:val="00A17E86"/>
    <w:rsid w:val="00A20F27"/>
    <w:rsid w:val="00A26432"/>
    <w:rsid w:val="00A26E7D"/>
    <w:rsid w:val="00A27A9F"/>
    <w:rsid w:val="00A27ECA"/>
    <w:rsid w:val="00A30361"/>
    <w:rsid w:val="00A32B35"/>
    <w:rsid w:val="00A369CB"/>
    <w:rsid w:val="00A36E0A"/>
    <w:rsid w:val="00A42389"/>
    <w:rsid w:val="00A42B77"/>
    <w:rsid w:val="00A54473"/>
    <w:rsid w:val="00A55C73"/>
    <w:rsid w:val="00A57F6F"/>
    <w:rsid w:val="00A62068"/>
    <w:rsid w:val="00A62182"/>
    <w:rsid w:val="00A70D25"/>
    <w:rsid w:val="00A725D0"/>
    <w:rsid w:val="00A74B3E"/>
    <w:rsid w:val="00A865EF"/>
    <w:rsid w:val="00A8688C"/>
    <w:rsid w:val="00A92229"/>
    <w:rsid w:val="00A93542"/>
    <w:rsid w:val="00A93612"/>
    <w:rsid w:val="00AA2CB0"/>
    <w:rsid w:val="00AA3A15"/>
    <w:rsid w:val="00AA426E"/>
    <w:rsid w:val="00AA4566"/>
    <w:rsid w:val="00AA4B39"/>
    <w:rsid w:val="00AB00EF"/>
    <w:rsid w:val="00AB0310"/>
    <w:rsid w:val="00AB2E14"/>
    <w:rsid w:val="00AC0995"/>
    <w:rsid w:val="00AC0E97"/>
    <w:rsid w:val="00AC22A0"/>
    <w:rsid w:val="00AC3B26"/>
    <w:rsid w:val="00AC4476"/>
    <w:rsid w:val="00AC4D54"/>
    <w:rsid w:val="00AC71C4"/>
    <w:rsid w:val="00AD0604"/>
    <w:rsid w:val="00AD1971"/>
    <w:rsid w:val="00AD2420"/>
    <w:rsid w:val="00AD29B8"/>
    <w:rsid w:val="00AD3CFC"/>
    <w:rsid w:val="00AD4279"/>
    <w:rsid w:val="00AD55BE"/>
    <w:rsid w:val="00AD685C"/>
    <w:rsid w:val="00AD6C0C"/>
    <w:rsid w:val="00AD6F11"/>
    <w:rsid w:val="00AD6F8E"/>
    <w:rsid w:val="00AE08A7"/>
    <w:rsid w:val="00AE4148"/>
    <w:rsid w:val="00AE4C6A"/>
    <w:rsid w:val="00AE7B6C"/>
    <w:rsid w:val="00AF31F1"/>
    <w:rsid w:val="00AF65B7"/>
    <w:rsid w:val="00AF784F"/>
    <w:rsid w:val="00AF7D15"/>
    <w:rsid w:val="00B00848"/>
    <w:rsid w:val="00B00C4A"/>
    <w:rsid w:val="00B02869"/>
    <w:rsid w:val="00B04B27"/>
    <w:rsid w:val="00B0632B"/>
    <w:rsid w:val="00B06694"/>
    <w:rsid w:val="00B06869"/>
    <w:rsid w:val="00B10EFC"/>
    <w:rsid w:val="00B12ED7"/>
    <w:rsid w:val="00B1333D"/>
    <w:rsid w:val="00B13FE4"/>
    <w:rsid w:val="00B20091"/>
    <w:rsid w:val="00B21233"/>
    <w:rsid w:val="00B214A7"/>
    <w:rsid w:val="00B21509"/>
    <w:rsid w:val="00B27424"/>
    <w:rsid w:val="00B32E87"/>
    <w:rsid w:val="00B349CC"/>
    <w:rsid w:val="00B36FAF"/>
    <w:rsid w:val="00B4193C"/>
    <w:rsid w:val="00B441C4"/>
    <w:rsid w:val="00B4452B"/>
    <w:rsid w:val="00B44B39"/>
    <w:rsid w:val="00B472F6"/>
    <w:rsid w:val="00B532CB"/>
    <w:rsid w:val="00B53303"/>
    <w:rsid w:val="00B561F0"/>
    <w:rsid w:val="00B57A95"/>
    <w:rsid w:val="00B6001D"/>
    <w:rsid w:val="00B604DE"/>
    <w:rsid w:val="00B62206"/>
    <w:rsid w:val="00B627BA"/>
    <w:rsid w:val="00B6409B"/>
    <w:rsid w:val="00B64B34"/>
    <w:rsid w:val="00B664CB"/>
    <w:rsid w:val="00B66ECA"/>
    <w:rsid w:val="00B67225"/>
    <w:rsid w:val="00B6792D"/>
    <w:rsid w:val="00B7073F"/>
    <w:rsid w:val="00B72630"/>
    <w:rsid w:val="00B74669"/>
    <w:rsid w:val="00B77D37"/>
    <w:rsid w:val="00B815E3"/>
    <w:rsid w:val="00B8439D"/>
    <w:rsid w:val="00B84959"/>
    <w:rsid w:val="00B84A1E"/>
    <w:rsid w:val="00B85C8B"/>
    <w:rsid w:val="00B94284"/>
    <w:rsid w:val="00B95DAB"/>
    <w:rsid w:val="00B96FA9"/>
    <w:rsid w:val="00B9717D"/>
    <w:rsid w:val="00B973F5"/>
    <w:rsid w:val="00BA2EB6"/>
    <w:rsid w:val="00BA405E"/>
    <w:rsid w:val="00BA5175"/>
    <w:rsid w:val="00BA5EFD"/>
    <w:rsid w:val="00BA64EA"/>
    <w:rsid w:val="00BA6F99"/>
    <w:rsid w:val="00BA7B74"/>
    <w:rsid w:val="00BB15DC"/>
    <w:rsid w:val="00BB6351"/>
    <w:rsid w:val="00BB6A15"/>
    <w:rsid w:val="00BC1937"/>
    <w:rsid w:val="00BC3AE2"/>
    <w:rsid w:val="00BC61A5"/>
    <w:rsid w:val="00BC6440"/>
    <w:rsid w:val="00BC7303"/>
    <w:rsid w:val="00BD08A1"/>
    <w:rsid w:val="00BD0E67"/>
    <w:rsid w:val="00BD16CF"/>
    <w:rsid w:val="00BD200F"/>
    <w:rsid w:val="00BD21D2"/>
    <w:rsid w:val="00BD28A1"/>
    <w:rsid w:val="00BD3FC7"/>
    <w:rsid w:val="00BD6446"/>
    <w:rsid w:val="00BE0EF8"/>
    <w:rsid w:val="00BE2A56"/>
    <w:rsid w:val="00BE3510"/>
    <w:rsid w:val="00BE4091"/>
    <w:rsid w:val="00BE4BFD"/>
    <w:rsid w:val="00BE592B"/>
    <w:rsid w:val="00BE6713"/>
    <w:rsid w:val="00BF146D"/>
    <w:rsid w:val="00BF2B48"/>
    <w:rsid w:val="00BF4832"/>
    <w:rsid w:val="00BF72AB"/>
    <w:rsid w:val="00BF7688"/>
    <w:rsid w:val="00C01738"/>
    <w:rsid w:val="00C02ACC"/>
    <w:rsid w:val="00C05A0A"/>
    <w:rsid w:val="00C06ABE"/>
    <w:rsid w:val="00C07CC5"/>
    <w:rsid w:val="00C10DB1"/>
    <w:rsid w:val="00C10F49"/>
    <w:rsid w:val="00C1187A"/>
    <w:rsid w:val="00C148DF"/>
    <w:rsid w:val="00C15FE3"/>
    <w:rsid w:val="00C16C96"/>
    <w:rsid w:val="00C23420"/>
    <w:rsid w:val="00C23A83"/>
    <w:rsid w:val="00C2492A"/>
    <w:rsid w:val="00C25516"/>
    <w:rsid w:val="00C3275A"/>
    <w:rsid w:val="00C32A89"/>
    <w:rsid w:val="00C356E0"/>
    <w:rsid w:val="00C36FEC"/>
    <w:rsid w:val="00C3713F"/>
    <w:rsid w:val="00C40268"/>
    <w:rsid w:val="00C40E94"/>
    <w:rsid w:val="00C4202D"/>
    <w:rsid w:val="00C4385D"/>
    <w:rsid w:val="00C455B3"/>
    <w:rsid w:val="00C46C76"/>
    <w:rsid w:val="00C47818"/>
    <w:rsid w:val="00C55D23"/>
    <w:rsid w:val="00C6059A"/>
    <w:rsid w:val="00C608E1"/>
    <w:rsid w:val="00C618E9"/>
    <w:rsid w:val="00C65B71"/>
    <w:rsid w:val="00C6739D"/>
    <w:rsid w:val="00C67843"/>
    <w:rsid w:val="00C70063"/>
    <w:rsid w:val="00C7523D"/>
    <w:rsid w:val="00C770D3"/>
    <w:rsid w:val="00C803DF"/>
    <w:rsid w:val="00C80E31"/>
    <w:rsid w:val="00C8245A"/>
    <w:rsid w:val="00C82E5F"/>
    <w:rsid w:val="00C9208D"/>
    <w:rsid w:val="00C92C65"/>
    <w:rsid w:val="00C94C14"/>
    <w:rsid w:val="00C961EE"/>
    <w:rsid w:val="00CA4EA5"/>
    <w:rsid w:val="00CA76C7"/>
    <w:rsid w:val="00CA771C"/>
    <w:rsid w:val="00CB0EAE"/>
    <w:rsid w:val="00CB1E60"/>
    <w:rsid w:val="00CB367B"/>
    <w:rsid w:val="00CB3A71"/>
    <w:rsid w:val="00CB5D29"/>
    <w:rsid w:val="00CB5DBA"/>
    <w:rsid w:val="00CB653E"/>
    <w:rsid w:val="00CC03D8"/>
    <w:rsid w:val="00CC32A0"/>
    <w:rsid w:val="00CC44A4"/>
    <w:rsid w:val="00CC59DE"/>
    <w:rsid w:val="00CC5A2F"/>
    <w:rsid w:val="00CC5C64"/>
    <w:rsid w:val="00CC77FD"/>
    <w:rsid w:val="00CD02BB"/>
    <w:rsid w:val="00CD036F"/>
    <w:rsid w:val="00CD0ED0"/>
    <w:rsid w:val="00CE05CD"/>
    <w:rsid w:val="00CE0E17"/>
    <w:rsid w:val="00CE1A47"/>
    <w:rsid w:val="00CE415B"/>
    <w:rsid w:val="00CE41EE"/>
    <w:rsid w:val="00CE5F30"/>
    <w:rsid w:val="00CE70FE"/>
    <w:rsid w:val="00CE7C67"/>
    <w:rsid w:val="00CF0C82"/>
    <w:rsid w:val="00CF20CD"/>
    <w:rsid w:val="00D000AD"/>
    <w:rsid w:val="00D0012A"/>
    <w:rsid w:val="00D01448"/>
    <w:rsid w:val="00D01D8A"/>
    <w:rsid w:val="00D0240D"/>
    <w:rsid w:val="00D143C0"/>
    <w:rsid w:val="00D164C1"/>
    <w:rsid w:val="00D172D3"/>
    <w:rsid w:val="00D21DD7"/>
    <w:rsid w:val="00D2216B"/>
    <w:rsid w:val="00D23930"/>
    <w:rsid w:val="00D275E7"/>
    <w:rsid w:val="00D279FA"/>
    <w:rsid w:val="00D31B32"/>
    <w:rsid w:val="00D32414"/>
    <w:rsid w:val="00D32787"/>
    <w:rsid w:val="00D330BC"/>
    <w:rsid w:val="00D33F96"/>
    <w:rsid w:val="00D340CC"/>
    <w:rsid w:val="00D365A7"/>
    <w:rsid w:val="00D378F6"/>
    <w:rsid w:val="00D41CEC"/>
    <w:rsid w:val="00D42485"/>
    <w:rsid w:val="00D430A9"/>
    <w:rsid w:val="00D44C88"/>
    <w:rsid w:val="00D4626C"/>
    <w:rsid w:val="00D466C4"/>
    <w:rsid w:val="00D4706C"/>
    <w:rsid w:val="00D47416"/>
    <w:rsid w:val="00D50ADD"/>
    <w:rsid w:val="00D50D1B"/>
    <w:rsid w:val="00D5213A"/>
    <w:rsid w:val="00D54849"/>
    <w:rsid w:val="00D54AFE"/>
    <w:rsid w:val="00D55DC4"/>
    <w:rsid w:val="00D561BC"/>
    <w:rsid w:val="00D564BB"/>
    <w:rsid w:val="00D569A8"/>
    <w:rsid w:val="00D62A3A"/>
    <w:rsid w:val="00D70D0C"/>
    <w:rsid w:val="00D71348"/>
    <w:rsid w:val="00D731EE"/>
    <w:rsid w:val="00D733BA"/>
    <w:rsid w:val="00D73442"/>
    <w:rsid w:val="00D75533"/>
    <w:rsid w:val="00D76217"/>
    <w:rsid w:val="00D76A08"/>
    <w:rsid w:val="00D807DC"/>
    <w:rsid w:val="00D813E9"/>
    <w:rsid w:val="00D821B1"/>
    <w:rsid w:val="00D82490"/>
    <w:rsid w:val="00D8293C"/>
    <w:rsid w:val="00D835BE"/>
    <w:rsid w:val="00D8576F"/>
    <w:rsid w:val="00D85DA1"/>
    <w:rsid w:val="00D86534"/>
    <w:rsid w:val="00D870CD"/>
    <w:rsid w:val="00D87101"/>
    <w:rsid w:val="00D9320E"/>
    <w:rsid w:val="00D93EF3"/>
    <w:rsid w:val="00D9527E"/>
    <w:rsid w:val="00D9791E"/>
    <w:rsid w:val="00DA1A30"/>
    <w:rsid w:val="00DA1A49"/>
    <w:rsid w:val="00DA3336"/>
    <w:rsid w:val="00DA382C"/>
    <w:rsid w:val="00DA5BC8"/>
    <w:rsid w:val="00DA7832"/>
    <w:rsid w:val="00DB31A9"/>
    <w:rsid w:val="00DB3C02"/>
    <w:rsid w:val="00DB60C3"/>
    <w:rsid w:val="00DB63FB"/>
    <w:rsid w:val="00DB6926"/>
    <w:rsid w:val="00DB71B9"/>
    <w:rsid w:val="00DB7328"/>
    <w:rsid w:val="00DC6155"/>
    <w:rsid w:val="00DD2036"/>
    <w:rsid w:val="00DD4317"/>
    <w:rsid w:val="00DD4CD6"/>
    <w:rsid w:val="00DD76D8"/>
    <w:rsid w:val="00DE02FD"/>
    <w:rsid w:val="00DE4C11"/>
    <w:rsid w:val="00DF05E2"/>
    <w:rsid w:val="00DF1340"/>
    <w:rsid w:val="00DF1F48"/>
    <w:rsid w:val="00DF23BC"/>
    <w:rsid w:val="00DF38D5"/>
    <w:rsid w:val="00DF518C"/>
    <w:rsid w:val="00DF79AF"/>
    <w:rsid w:val="00DF7AD7"/>
    <w:rsid w:val="00DF7F19"/>
    <w:rsid w:val="00E00051"/>
    <w:rsid w:val="00E01866"/>
    <w:rsid w:val="00E04AA0"/>
    <w:rsid w:val="00E05705"/>
    <w:rsid w:val="00E1157E"/>
    <w:rsid w:val="00E11FAC"/>
    <w:rsid w:val="00E137B3"/>
    <w:rsid w:val="00E13F34"/>
    <w:rsid w:val="00E14B73"/>
    <w:rsid w:val="00E156A6"/>
    <w:rsid w:val="00E24745"/>
    <w:rsid w:val="00E3091E"/>
    <w:rsid w:val="00E3204D"/>
    <w:rsid w:val="00E32720"/>
    <w:rsid w:val="00E32DD8"/>
    <w:rsid w:val="00E3595D"/>
    <w:rsid w:val="00E41DB8"/>
    <w:rsid w:val="00E47CFB"/>
    <w:rsid w:val="00E517B9"/>
    <w:rsid w:val="00E53BF3"/>
    <w:rsid w:val="00E53D16"/>
    <w:rsid w:val="00E55AFF"/>
    <w:rsid w:val="00E629E2"/>
    <w:rsid w:val="00E643BA"/>
    <w:rsid w:val="00E65E3A"/>
    <w:rsid w:val="00E708A7"/>
    <w:rsid w:val="00E7218C"/>
    <w:rsid w:val="00E7317D"/>
    <w:rsid w:val="00E74AE6"/>
    <w:rsid w:val="00E76C38"/>
    <w:rsid w:val="00E77B74"/>
    <w:rsid w:val="00E77FCE"/>
    <w:rsid w:val="00E80B03"/>
    <w:rsid w:val="00E82E29"/>
    <w:rsid w:val="00E82E2E"/>
    <w:rsid w:val="00E860AD"/>
    <w:rsid w:val="00E8651F"/>
    <w:rsid w:val="00E865BF"/>
    <w:rsid w:val="00E876CE"/>
    <w:rsid w:val="00E96B8C"/>
    <w:rsid w:val="00E9757C"/>
    <w:rsid w:val="00EA0378"/>
    <w:rsid w:val="00EA06D8"/>
    <w:rsid w:val="00EA0E8B"/>
    <w:rsid w:val="00EA26AE"/>
    <w:rsid w:val="00EA3423"/>
    <w:rsid w:val="00EA3573"/>
    <w:rsid w:val="00EA4D2A"/>
    <w:rsid w:val="00EA7B79"/>
    <w:rsid w:val="00EA7C66"/>
    <w:rsid w:val="00EA7F67"/>
    <w:rsid w:val="00EB15E2"/>
    <w:rsid w:val="00EB193C"/>
    <w:rsid w:val="00EB46D3"/>
    <w:rsid w:val="00EB4D32"/>
    <w:rsid w:val="00EB78AB"/>
    <w:rsid w:val="00EC3D05"/>
    <w:rsid w:val="00EC3D09"/>
    <w:rsid w:val="00EC5178"/>
    <w:rsid w:val="00EC73C6"/>
    <w:rsid w:val="00EC789B"/>
    <w:rsid w:val="00EC7982"/>
    <w:rsid w:val="00ED4FC7"/>
    <w:rsid w:val="00ED523B"/>
    <w:rsid w:val="00ED5249"/>
    <w:rsid w:val="00ED6FC7"/>
    <w:rsid w:val="00EE06F9"/>
    <w:rsid w:val="00EE49AC"/>
    <w:rsid w:val="00EE4D4B"/>
    <w:rsid w:val="00EE6D74"/>
    <w:rsid w:val="00EF0A9F"/>
    <w:rsid w:val="00EF1E3E"/>
    <w:rsid w:val="00EF256C"/>
    <w:rsid w:val="00EF294C"/>
    <w:rsid w:val="00F00E0B"/>
    <w:rsid w:val="00F01649"/>
    <w:rsid w:val="00F032FB"/>
    <w:rsid w:val="00F03A41"/>
    <w:rsid w:val="00F053BA"/>
    <w:rsid w:val="00F0612C"/>
    <w:rsid w:val="00F06F5C"/>
    <w:rsid w:val="00F07596"/>
    <w:rsid w:val="00F07B03"/>
    <w:rsid w:val="00F07D5A"/>
    <w:rsid w:val="00F10AD3"/>
    <w:rsid w:val="00F10EE2"/>
    <w:rsid w:val="00F11E99"/>
    <w:rsid w:val="00F128C9"/>
    <w:rsid w:val="00F14364"/>
    <w:rsid w:val="00F167CC"/>
    <w:rsid w:val="00F17B69"/>
    <w:rsid w:val="00F21D4F"/>
    <w:rsid w:val="00F22201"/>
    <w:rsid w:val="00F2274E"/>
    <w:rsid w:val="00F2605E"/>
    <w:rsid w:val="00F30BE3"/>
    <w:rsid w:val="00F3273F"/>
    <w:rsid w:val="00F33739"/>
    <w:rsid w:val="00F357E3"/>
    <w:rsid w:val="00F35DC7"/>
    <w:rsid w:val="00F43B6C"/>
    <w:rsid w:val="00F46C52"/>
    <w:rsid w:val="00F47B94"/>
    <w:rsid w:val="00F51EA9"/>
    <w:rsid w:val="00F54129"/>
    <w:rsid w:val="00F703ED"/>
    <w:rsid w:val="00F709CD"/>
    <w:rsid w:val="00F71190"/>
    <w:rsid w:val="00F71C47"/>
    <w:rsid w:val="00F74C60"/>
    <w:rsid w:val="00F74CED"/>
    <w:rsid w:val="00F74FFB"/>
    <w:rsid w:val="00F807C4"/>
    <w:rsid w:val="00F810D8"/>
    <w:rsid w:val="00F81BAF"/>
    <w:rsid w:val="00F84126"/>
    <w:rsid w:val="00F846FE"/>
    <w:rsid w:val="00F86EDD"/>
    <w:rsid w:val="00F87286"/>
    <w:rsid w:val="00F87592"/>
    <w:rsid w:val="00F916AF"/>
    <w:rsid w:val="00F91CE4"/>
    <w:rsid w:val="00F96ACC"/>
    <w:rsid w:val="00FA01F7"/>
    <w:rsid w:val="00FA18A1"/>
    <w:rsid w:val="00FA1C44"/>
    <w:rsid w:val="00FA1DC9"/>
    <w:rsid w:val="00FA3B37"/>
    <w:rsid w:val="00FA3BCC"/>
    <w:rsid w:val="00FA6226"/>
    <w:rsid w:val="00FA6836"/>
    <w:rsid w:val="00FA6BF1"/>
    <w:rsid w:val="00FA79BE"/>
    <w:rsid w:val="00FB2672"/>
    <w:rsid w:val="00FB3D56"/>
    <w:rsid w:val="00FB4C03"/>
    <w:rsid w:val="00FB668B"/>
    <w:rsid w:val="00FB7A1D"/>
    <w:rsid w:val="00FC41EA"/>
    <w:rsid w:val="00FC4B97"/>
    <w:rsid w:val="00FC4C1B"/>
    <w:rsid w:val="00FC65EB"/>
    <w:rsid w:val="00FC6E28"/>
    <w:rsid w:val="00FC76A9"/>
    <w:rsid w:val="00FD085E"/>
    <w:rsid w:val="00FD0D34"/>
    <w:rsid w:val="00FD0F5E"/>
    <w:rsid w:val="00FD1702"/>
    <w:rsid w:val="00FD1862"/>
    <w:rsid w:val="00FD4954"/>
    <w:rsid w:val="00FD606B"/>
    <w:rsid w:val="00FD6C8A"/>
    <w:rsid w:val="00FE2B99"/>
    <w:rsid w:val="00FE3985"/>
    <w:rsid w:val="00FE3A28"/>
    <w:rsid w:val="00FE551F"/>
    <w:rsid w:val="00FF0D1A"/>
    <w:rsid w:val="00FF3A8E"/>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F49"/>
    <w:rPr>
      <w:rFonts w:ascii="Calibri" w:hAnsi="Calibri"/>
      <w:sz w:val="22"/>
      <w:szCs w:val="24"/>
      <w:lang w:eastAsia="en-US"/>
    </w:rPr>
  </w:style>
  <w:style w:type="paragraph" w:styleId="Heading1">
    <w:name w:val="heading 1"/>
    <w:next w:val="Bodytext"/>
    <w:link w:val="Heading1Char"/>
    <w:qFormat/>
    <w:rsid w:val="00FA18A1"/>
    <w:pPr>
      <w:keepNext/>
      <w:pageBreakBefore/>
      <w:widowControl w:val="0"/>
      <w:numPr>
        <w:numId w:val="7"/>
      </w:numPr>
      <w:tabs>
        <w:tab w:val="left" w:pos="567"/>
      </w:tabs>
      <w:spacing w:before="360" w:line="312" w:lineRule="auto"/>
      <w:outlineLvl w:val="0"/>
    </w:pPr>
    <w:rPr>
      <w:rFonts w:ascii="Arial Narrow" w:hAnsi="Arial Narrow" w:cs="Arial"/>
      <w:bCs/>
      <w:smallCaps/>
      <w:spacing w:val="40"/>
      <w:kern w:val="32"/>
      <w:sz w:val="44"/>
      <w:szCs w:val="36"/>
      <w:lang w:eastAsia="en-US"/>
    </w:rPr>
  </w:style>
  <w:style w:type="paragraph" w:styleId="Heading2">
    <w:name w:val="heading 2"/>
    <w:basedOn w:val="Heading1"/>
    <w:next w:val="Normal"/>
    <w:link w:val="Heading2Char"/>
    <w:qFormat/>
    <w:rsid w:val="003B5A9F"/>
    <w:pPr>
      <w:pageBreakBefore w:val="0"/>
      <w:numPr>
        <w:ilvl w:val="1"/>
        <w:numId w:val="6"/>
      </w:numPr>
      <w:spacing w:before="480" w:after="60"/>
      <w:ind w:left="0" w:firstLine="0"/>
      <w:outlineLvl w:val="1"/>
    </w:pPr>
    <w:rPr>
      <w:bCs w:val="0"/>
      <w:iCs/>
      <w:caps/>
      <w:spacing w:val="0"/>
      <w:kern w:val="0"/>
      <w:sz w:val="34"/>
      <w:szCs w:val="34"/>
    </w:rPr>
  </w:style>
  <w:style w:type="paragraph" w:styleId="Heading3">
    <w:name w:val="heading 3"/>
    <w:basedOn w:val="Heading2"/>
    <w:next w:val="Normal"/>
    <w:link w:val="Heading3Char"/>
    <w:qFormat/>
    <w:rsid w:val="003B5A9F"/>
    <w:pPr>
      <w:numPr>
        <w:ilvl w:val="2"/>
        <w:numId w:val="4"/>
      </w:numPr>
      <w:spacing w:before="320" w:after="100"/>
      <w:outlineLvl w:val="2"/>
    </w:pPr>
    <w:rPr>
      <w:bCs/>
      <w:sz w:val="28"/>
      <w:szCs w:val="28"/>
    </w:rPr>
  </w:style>
  <w:style w:type="paragraph" w:styleId="Heading4">
    <w:name w:val="heading 4"/>
    <w:basedOn w:val="Heading3"/>
    <w:next w:val="Normal"/>
    <w:qFormat/>
    <w:rsid w:val="003B5A9F"/>
    <w:pPr>
      <w:numPr>
        <w:ilvl w:val="3"/>
      </w:numPr>
      <w:spacing w:before="280" w:after="80"/>
      <w:outlineLvl w:val="3"/>
    </w:pPr>
    <w:rPr>
      <w:bCs w:val="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name">
    <w:name w:val="Committee name"/>
    <w:rsid w:val="008909CB"/>
    <w:pPr>
      <w:spacing w:before="600" w:after="600" w:line="480" w:lineRule="exact"/>
      <w:jc w:val="right"/>
    </w:pPr>
    <w:rPr>
      <w:rFonts w:ascii="Arial Narrow" w:hAnsi="Arial Narrow"/>
      <w:smallCaps/>
      <w:spacing w:val="40"/>
      <w:sz w:val="28"/>
      <w:szCs w:val="28"/>
      <w:lang w:eastAsia="en-US"/>
    </w:rPr>
  </w:style>
  <w:style w:type="paragraph" w:customStyle="1" w:styleId="Reporttitle">
    <w:name w:val="Report title"/>
    <w:basedOn w:val="Normal"/>
    <w:next w:val="Committeename"/>
    <w:rsid w:val="003F679A"/>
    <w:pPr>
      <w:spacing w:before="320" w:after="600" w:line="500" w:lineRule="exact"/>
      <w:jc w:val="right"/>
    </w:pPr>
    <w:rPr>
      <w:rFonts w:ascii="Arial Narrow" w:hAnsi="Arial Narrow"/>
      <w:smallCaps/>
      <w:spacing w:val="4"/>
      <w:kern w:val="42"/>
      <w:sz w:val="42"/>
      <w:szCs w:val="36"/>
    </w:rPr>
  </w:style>
  <w:style w:type="paragraph" w:customStyle="1" w:styleId="Reportnumber">
    <w:name w:val="Report number"/>
    <w:basedOn w:val="Reporttitle"/>
    <w:rsid w:val="001511D4"/>
    <w:pPr>
      <w:spacing w:before="1100" w:after="0"/>
    </w:pPr>
    <w:rPr>
      <w:spacing w:val="20"/>
      <w:sz w:val="24"/>
      <w:szCs w:val="20"/>
    </w:rPr>
  </w:style>
  <w:style w:type="paragraph" w:styleId="ListNumber3">
    <w:name w:val="List Number 3"/>
    <w:basedOn w:val="Normal"/>
    <w:rsid w:val="00BC7303"/>
    <w:pPr>
      <w:numPr>
        <w:numId w:val="1"/>
      </w:numPr>
      <w:spacing w:before="40" w:after="60" w:line="288" w:lineRule="auto"/>
    </w:pPr>
  </w:style>
  <w:style w:type="paragraph" w:customStyle="1" w:styleId="Headinglevel3">
    <w:name w:val="Heading level 3"/>
    <w:basedOn w:val="Headinglevel2"/>
    <w:next w:val="Bodytext"/>
    <w:link w:val="Headinglevel3Char"/>
    <w:rsid w:val="00B85C8B"/>
    <w:pPr>
      <w:numPr>
        <w:ilvl w:val="2"/>
      </w:numPr>
      <w:spacing w:before="320" w:after="100"/>
    </w:pPr>
    <w:rPr>
      <w:iCs w:val="0"/>
      <w:sz w:val="30"/>
      <w:szCs w:val="28"/>
    </w:rPr>
  </w:style>
  <w:style w:type="paragraph" w:styleId="ListBullet">
    <w:name w:val="List Bullet"/>
    <w:link w:val="ListBulletChar"/>
    <w:autoRedefine/>
    <w:rsid w:val="00F11E99"/>
    <w:pPr>
      <w:numPr>
        <w:numId w:val="2"/>
      </w:numPr>
      <w:spacing w:before="40" w:after="60" w:line="288" w:lineRule="auto"/>
      <w:ind w:hanging="397"/>
    </w:pPr>
    <w:rPr>
      <w:rFonts w:ascii="Calibri" w:hAnsi="Calibri"/>
      <w:bCs/>
      <w:sz w:val="22"/>
      <w:szCs w:val="22"/>
      <w:lang w:eastAsia="en-US"/>
    </w:rPr>
  </w:style>
  <w:style w:type="paragraph" w:styleId="ListBullet2">
    <w:name w:val="List Bullet 2"/>
    <w:autoRedefine/>
    <w:rsid w:val="0015794F"/>
    <w:pPr>
      <w:numPr>
        <w:numId w:val="3"/>
      </w:numPr>
      <w:spacing w:after="60" w:line="288" w:lineRule="auto"/>
      <w:ind w:left="1248" w:hanging="284"/>
    </w:pPr>
    <w:rPr>
      <w:rFonts w:ascii="Calibri" w:hAnsi="Calibri"/>
      <w:sz w:val="22"/>
      <w:szCs w:val="24"/>
      <w:lang w:eastAsia="en-US"/>
    </w:rPr>
  </w:style>
  <w:style w:type="paragraph" w:styleId="Caption">
    <w:name w:val="caption"/>
    <w:next w:val="Normal"/>
    <w:qFormat/>
    <w:rsid w:val="00024877"/>
    <w:pPr>
      <w:keepNext/>
      <w:spacing w:before="400" w:after="60" w:line="312" w:lineRule="auto"/>
      <w:ind w:left="680"/>
    </w:pPr>
    <w:rPr>
      <w:rFonts w:ascii="Arial Narrow" w:hAnsi="Arial Narrow"/>
      <w:bCs/>
      <w:kern w:val="26"/>
      <w:sz w:val="26"/>
      <w:lang w:eastAsia="en-US"/>
    </w:rPr>
  </w:style>
  <w:style w:type="paragraph" w:styleId="TOC4">
    <w:name w:val="toc 4"/>
    <w:basedOn w:val="Normal"/>
    <w:next w:val="Normal"/>
    <w:autoRedefine/>
    <w:semiHidden/>
    <w:rsid w:val="00D8576F"/>
    <w:pPr>
      <w:ind w:left="720"/>
    </w:pPr>
    <w:rPr>
      <w:rFonts w:ascii="Arial Narrow" w:hAnsi="Arial Narrow"/>
    </w:rPr>
  </w:style>
  <w:style w:type="paragraph" w:customStyle="1" w:styleId="Prelimminorheading">
    <w:name w:val="Prelim minor heading"/>
    <w:basedOn w:val="Heading3"/>
    <w:link w:val="PrelimminorheadingChar"/>
    <w:rsid w:val="00BD6446"/>
    <w:rPr>
      <w:caps w:val="0"/>
      <w:spacing w:val="2"/>
    </w:rPr>
  </w:style>
  <w:style w:type="paragraph" w:customStyle="1" w:styleId="Bodytextnonumbering">
    <w:name w:val="Body text no numbering"/>
    <w:basedOn w:val="Normal"/>
    <w:rsid w:val="00D50ADD"/>
    <w:pPr>
      <w:keepNext/>
      <w:spacing w:before="160" w:after="80" w:line="288" w:lineRule="auto"/>
      <w:outlineLvl w:val="1"/>
    </w:pPr>
    <w:rPr>
      <w:rFonts w:cs="Arial"/>
      <w:iCs/>
    </w:rPr>
  </w:style>
  <w:style w:type="paragraph" w:customStyle="1" w:styleId="Prelimmajorheading">
    <w:name w:val="Prelim major heading"/>
    <w:basedOn w:val="Heading1"/>
    <w:rsid w:val="00024877"/>
    <w:pPr>
      <w:numPr>
        <w:numId w:val="0"/>
      </w:numPr>
      <w:spacing w:after="720"/>
      <w:ind w:left="680"/>
    </w:pPr>
    <w:rPr>
      <w:b/>
      <w:spacing w:val="20"/>
      <w:sz w:val="34"/>
      <w:szCs w:val="46"/>
    </w:rPr>
  </w:style>
  <w:style w:type="character" w:styleId="Hyperlink">
    <w:name w:val="Hyperlink"/>
    <w:basedOn w:val="DefaultParagraphFont"/>
    <w:uiPriority w:val="99"/>
    <w:rsid w:val="003B5A9F"/>
    <w:rPr>
      <w:color w:val="0000FF"/>
      <w:u w:val="single"/>
    </w:rPr>
  </w:style>
  <w:style w:type="paragraph" w:styleId="TOC1">
    <w:name w:val="toc 1"/>
    <w:next w:val="Normal"/>
    <w:autoRedefine/>
    <w:uiPriority w:val="39"/>
    <w:rsid w:val="00EC3D05"/>
    <w:pPr>
      <w:tabs>
        <w:tab w:val="right" w:leader="dot" w:pos="9061"/>
      </w:tabs>
      <w:spacing w:before="180" w:after="40" w:line="312" w:lineRule="auto"/>
      <w:ind w:left="1020" w:hanging="340"/>
    </w:pPr>
    <w:rPr>
      <w:rFonts w:ascii="Calibri" w:hAnsi="Calibri" w:cs="Calibri"/>
      <w:b/>
      <w:smallCaps/>
      <w:noProof/>
      <w:spacing w:val="40"/>
      <w:sz w:val="24"/>
      <w:szCs w:val="22"/>
      <w:lang w:eastAsia="en-US"/>
    </w:rPr>
  </w:style>
  <w:style w:type="paragraph" w:styleId="TOC2">
    <w:name w:val="toc 2"/>
    <w:autoRedefine/>
    <w:uiPriority w:val="39"/>
    <w:rsid w:val="00301919"/>
    <w:pPr>
      <w:tabs>
        <w:tab w:val="left" w:pos="1680"/>
        <w:tab w:val="right" w:leader="dot" w:pos="9061"/>
      </w:tabs>
      <w:spacing w:before="40" w:line="312" w:lineRule="auto"/>
      <w:ind w:left="1588" w:hanging="567"/>
    </w:pPr>
    <w:rPr>
      <w:rFonts w:ascii="Calibri" w:hAnsi="Calibri" w:cs="Calibri"/>
      <w:b/>
      <w:noProof/>
      <w:sz w:val="22"/>
      <w:szCs w:val="24"/>
      <w:lang w:eastAsia="en-US"/>
    </w:rPr>
  </w:style>
  <w:style w:type="paragraph" w:styleId="Header">
    <w:name w:val="header"/>
    <w:link w:val="HeaderChar"/>
    <w:uiPriority w:val="99"/>
    <w:rsid w:val="001C746F"/>
    <w:pPr>
      <w:tabs>
        <w:tab w:val="right" w:pos="8640"/>
      </w:tabs>
      <w:ind w:left="680" w:hanging="680"/>
    </w:pPr>
    <w:rPr>
      <w:rFonts w:ascii="Calibri" w:hAnsi="Calibri"/>
      <w:caps/>
      <w:spacing w:val="40"/>
      <w:szCs w:val="14"/>
      <w:lang w:eastAsia="en-US"/>
    </w:rPr>
  </w:style>
  <w:style w:type="paragraph" w:styleId="TableofFigures">
    <w:name w:val="table of figures"/>
    <w:next w:val="Normal"/>
    <w:semiHidden/>
    <w:rsid w:val="003B5A9F"/>
    <w:pPr>
      <w:spacing w:before="240"/>
      <w:ind w:left="1162" w:hanging="482"/>
    </w:pPr>
    <w:rPr>
      <w:rFonts w:ascii="Arial" w:hAnsi="Arial"/>
      <w:b/>
      <w:lang w:eastAsia="en-US"/>
    </w:rPr>
  </w:style>
  <w:style w:type="paragraph" w:styleId="Footer">
    <w:name w:val="footer"/>
    <w:basedOn w:val="Normal"/>
    <w:link w:val="FooterChar"/>
    <w:uiPriority w:val="99"/>
    <w:rsid w:val="000E7567"/>
    <w:pPr>
      <w:tabs>
        <w:tab w:val="center" w:pos="4320"/>
        <w:tab w:val="right" w:pos="8640"/>
      </w:tabs>
    </w:pPr>
    <w:rPr>
      <w:sz w:val="20"/>
    </w:rPr>
  </w:style>
  <w:style w:type="character" w:styleId="PageNumber">
    <w:name w:val="page number"/>
    <w:basedOn w:val="DefaultParagraphFont"/>
    <w:rsid w:val="008B35C5"/>
    <w:rPr>
      <w:rFonts w:ascii="Calibri" w:hAnsi="Calibri"/>
      <w:sz w:val="20"/>
      <w:szCs w:val="18"/>
    </w:rPr>
  </w:style>
  <w:style w:type="paragraph" w:styleId="TOC5">
    <w:name w:val="toc 5"/>
    <w:basedOn w:val="Normal"/>
    <w:next w:val="Normal"/>
    <w:autoRedefine/>
    <w:semiHidden/>
    <w:rsid w:val="00D8576F"/>
    <w:pPr>
      <w:ind w:left="960"/>
    </w:pPr>
    <w:rPr>
      <w:rFonts w:ascii="Arial Narrow" w:hAnsi="Arial Narrow"/>
    </w:rPr>
  </w:style>
  <w:style w:type="paragraph" w:customStyle="1" w:styleId="AppendixHeading1">
    <w:name w:val="Appendix Heading 1"/>
    <w:next w:val="Bodytextnonumbering"/>
    <w:rsid w:val="00FA18A1"/>
    <w:pPr>
      <w:keepNext/>
      <w:pageBreakBefore/>
      <w:numPr>
        <w:ilvl w:val="7"/>
        <w:numId w:val="7"/>
      </w:numPr>
      <w:tabs>
        <w:tab w:val="clear" w:pos="7536"/>
        <w:tab w:val="num" w:pos="1440"/>
      </w:tabs>
      <w:spacing w:before="720" w:after="180" w:line="312" w:lineRule="auto"/>
      <w:ind w:left="1440"/>
    </w:pPr>
    <w:rPr>
      <w:rFonts w:ascii="Arial Narrow" w:hAnsi="Arial Narrow"/>
      <w:b/>
      <w:smallCaps/>
      <w:sz w:val="36"/>
      <w:szCs w:val="24"/>
      <w:lang w:eastAsia="en-US"/>
    </w:rPr>
  </w:style>
  <w:style w:type="paragraph" w:customStyle="1" w:styleId="AppendixHeading2">
    <w:name w:val="Appendix Heading 2"/>
    <w:next w:val="Bodytextnonumbering"/>
    <w:rsid w:val="00F128C9"/>
    <w:pPr>
      <w:spacing w:before="480" w:after="60" w:line="312" w:lineRule="auto"/>
    </w:pPr>
    <w:rPr>
      <w:rFonts w:ascii="Arial Narrow" w:hAnsi="Arial Narrow" w:cs="Arial"/>
      <w:iCs/>
      <w:spacing w:val="2"/>
      <w:sz w:val="34"/>
      <w:szCs w:val="34"/>
      <w:lang w:eastAsia="en-US"/>
    </w:rPr>
  </w:style>
  <w:style w:type="paragraph" w:customStyle="1" w:styleId="TableHeading">
    <w:name w:val="Table Heading"/>
    <w:next w:val="Tabletext"/>
    <w:rsid w:val="00024877"/>
    <w:pPr>
      <w:spacing w:before="40" w:after="40"/>
    </w:pPr>
    <w:rPr>
      <w:rFonts w:ascii="Arial Narrow" w:hAnsi="Arial Narrow"/>
      <w:color w:val="000000"/>
      <w:sz w:val="24"/>
      <w:lang w:eastAsia="en-US"/>
    </w:rPr>
  </w:style>
  <w:style w:type="paragraph" w:customStyle="1" w:styleId="Para">
    <w:name w:val="Para"/>
    <w:basedOn w:val="Normal"/>
    <w:rsid w:val="003B5A9F"/>
    <w:pPr>
      <w:keepNext/>
      <w:spacing w:before="160" w:after="80" w:line="288" w:lineRule="auto"/>
      <w:ind w:left="709"/>
      <w:outlineLvl w:val="1"/>
    </w:pPr>
    <w:rPr>
      <w:rFonts w:ascii="Palatino Linotype" w:hAnsi="Palatino Linotype" w:cs="Arial"/>
      <w:iCs/>
    </w:rPr>
  </w:style>
  <w:style w:type="paragraph" w:customStyle="1" w:styleId="Tabletext">
    <w:name w:val="Table text"/>
    <w:basedOn w:val="Normal"/>
    <w:rsid w:val="003B5A9F"/>
    <w:pPr>
      <w:keepNext/>
      <w:spacing w:before="160" w:after="80" w:line="288" w:lineRule="auto"/>
      <w:outlineLvl w:val="1"/>
    </w:pPr>
    <w:rPr>
      <w:rFonts w:ascii="Arial Narrow" w:hAnsi="Arial Narrow" w:cs="Arial"/>
      <w:iCs/>
      <w:color w:val="000000"/>
      <w:sz w:val="20"/>
      <w:szCs w:val="20"/>
    </w:rPr>
  </w:style>
  <w:style w:type="paragraph" w:customStyle="1" w:styleId="BulletedTextKM">
    <w:name w:val="Bulleted Text KM"/>
    <w:basedOn w:val="Normal"/>
    <w:semiHidden/>
    <w:rsid w:val="003B5A9F"/>
    <w:pPr>
      <w:numPr>
        <w:numId w:val="5"/>
      </w:numPr>
    </w:pPr>
  </w:style>
  <w:style w:type="paragraph" w:customStyle="1" w:styleId="Reportdate">
    <w:name w:val="Report date"/>
    <w:basedOn w:val="Reporttitle"/>
    <w:rsid w:val="003B5A9F"/>
    <w:pPr>
      <w:spacing w:before="0"/>
    </w:pPr>
    <w:rPr>
      <w:caps/>
      <w:spacing w:val="60"/>
      <w:sz w:val="22"/>
      <w:szCs w:val="22"/>
    </w:rPr>
  </w:style>
  <w:style w:type="paragraph" w:styleId="Quote">
    <w:name w:val="Quote"/>
    <w:basedOn w:val="Normal"/>
    <w:qFormat/>
    <w:rsid w:val="00B214A7"/>
    <w:pPr>
      <w:spacing w:before="60" w:after="80" w:line="288" w:lineRule="auto"/>
      <w:ind w:left="1247"/>
      <w:outlineLvl w:val="1"/>
    </w:pPr>
    <w:rPr>
      <w:rFonts w:cs="Arial"/>
      <w:iCs/>
    </w:rPr>
  </w:style>
  <w:style w:type="paragraph" w:styleId="FootnoteText">
    <w:name w:val="footnote text"/>
    <w:basedOn w:val="Normal"/>
    <w:link w:val="FootnoteTextChar"/>
    <w:uiPriority w:val="99"/>
    <w:semiHidden/>
    <w:rsid w:val="00113E77"/>
    <w:pPr>
      <w:spacing w:before="80" w:after="80" w:line="160" w:lineRule="exact"/>
      <w:ind w:left="170" w:hanging="170"/>
    </w:pPr>
    <w:rPr>
      <w:sz w:val="18"/>
      <w:szCs w:val="20"/>
    </w:rPr>
  </w:style>
  <w:style w:type="character" w:styleId="FootnoteReference">
    <w:name w:val="footnote reference"/>
    <w:basedOn w:val="DefaultParagraphFont"/>
    <w:semiHidden/>
    <w:rsid w:val="003B5A9F"/>
    <w:rPr>
      <w:vertAlign w:val="superscript"/>
    </w:rPr>
  </w:style>
  <w:style w:type="paragraph" w:customStyle="1" w:styleId="TOCheading">
    <w:name w:val="TOC heading"/>
    <w:basedOn w:val="Prelimmajorheading"/>
    <w:rsid w:val="00024877"/>
    <w:rPr>
      <w:b w:val="0"/>
    </w:rPr>
  </w:style>
  <w:style w:type="paragraph" w:styleId="TOC3">
    <w:name w:val="toc 3"/>
    <w:basedOn w:val="TOC2"/>
    <w:next w:val="Normal"/>
    <w:autoRedefine/>
    <w:uiPriority w:val="39"/>
    <w:rsid w:val="00D8576F"/>
  </w:style>
  <w:style w:type="paragraph" w:customStyle="1" w:styleId="StyleCommitteenameBlack">
    <w:name w:val="Style Committee name + Black"/>
    <w:semiHidden/>
    <w:rsid w:val="003B5A9F"/>
    <w:rPr>
      <w:rFonts w:ascii="Univers LT Std 45 Light" w:hAnsi="Univers LT Std 45 Light"/>
      <w:caps/>
      <w:color w:val="000000"/>
      <w:spacing w:val="40"/>
      <w:sz w:val="28"/>
      <w:szCs w:val="28"/>
      <w:lang w:eastAsia="en-US"/>
    </w:rPr>
  </w:style>
  <w:style w:type="paragraph" w:customStyle="1" w:styleId="Recommendation">
    <w:name w:val="Recommendation"/>
    <w:basedOn w:val="Caption"/>
    <w:next w:val="RecommendationText"/>
    <w:rsid w:val="002A64FA"/>
    <w:pPr>
      <w:numPr>
        <w:ilvl w:val="6"/>
        <w:numId w:val="7"/>
      </w:numPr>
      <w:ind w:left="567"/>
    </w:pPr>
    <w:rPr>
      <w:b/>
      <w:smallCaps/>
      <w:spacing w:val="20"/>
      <w:sz w:val="44"/>
    </w:rPr>
  </w:style>
  <w:style w:type="character" w:styleId="FollowedHyperlink">
    <w:name w:val="FollowedHyperlink"/>
    <w:basedOn w:val="DefaultParagraphFont"/>
    <w:rsid w:val="003B5A9F"/>
    <w:rPr>
      <w:color w:val="800080"/>
      <w:u w:val="single"/>
    </w:rPr>
  </w:style>
  <w:style w:type="paragraph" w:customStyle="1" w:styleId="StyleBodyTextArialNarrowBoldBlackLeft0cmFirstlin">
    <w:name w:val="Style Body Text + Arial Narrow Bold Black Left:  0 cm First lin..."/>
    <w:basedOn w:val="Normal"/>
    <w:semiHidden/>
    <w:rsid w:val="003B5A9F"/>
    <w:pPr>
      <w:keepNext/>
      <w:tabs>
        <w:tab w:val="num" w:pos="680"/>
      </w:tabs>
      <w:spacing w:before="160" w:after="80" w:line="288" w:lineRule="auto"/>
      <w:outlineLvl w:val="1"/>
    </w:pPr>
    <w:rPr>
      <w:rFonts w:ascii="Univers LT Std 55" w:hAnsi="Univers LT Std 55" w:cs="Arial"/>
      <w:b/>
      <w:bCs/>
      <w:iCs/>
      <w:color w:val="000000"/>
      <w:szCs w:val="20"/>
    </w:rPr>
  </w:style>
  <w:style w:type="paragraph" w:customStyle="1" w:styleId="Secretariat">
    <w:name w:val="Secretariat"/>
    <w:basedOn w:val="Prelimminorheading"/>
    <w:link w:val="SecretariatChar"/>
    <w:qFormat/>
    <w:rsid w:val="00EB4D32"/>
    <w:pPr>
      <w:numPr>
        <w:ilvl w:val="0"/>
        <w:numId w:val="0"/>
      </w:numPr>
    </w:pPr>
    <w:rPr>
      <w:spacing w:val="4"/>
      <w:sz w:val="30"/>
      <w:szCs w:val="30"/>
    </w:rPr>
  </w:style>
  <w:style w:type="paragraph" w:customStyle="1" w:styleId="Headinglevel2">
    <w:name w:val="Heading level 2"/>
    <w:next w:val="Bodytext"/>
    <w:link w:val="Headinglevel2Char"/>
    <w:rsid w:val="00EA3423"/>
    <w:pPr>
      <w:keepNext/>
      <w:widowControl w:val="0"/>
      <w:numPr>
        <w:ilvl w:val="1"/>
        <w:numId w:val="7"/>
      </w:numPr>
      <w:tabs>
        <w:tab w:val="left" w:pos="567"/>
      </w:tabs>
      <w:spacing w:before="480" w:after="60" w:line="312" w:lineRule="auto"/>
    </w:pPr>
    <w:rPr>
      <w:rFonts w:ascii="Arial Narrow" w:hAnsi="Arial Narrow" w:cs="Arial"/>
      <w:iCs/>
      <w:smallCaps/>
      <w:spacing w:val="20"/>
      <w:sz w:val="36"/>
      <w:szCs w:val="34"/>
      <w:lang w:eastAsia="en-US"/>
    </w:rPr>
  </w:style>
  <w:style w:type="paragraph" w:customStyle="1" w:styleId="Bodytext">
    <w:name w:val="Body text"/>
    <w:basedOn w:val="Normal"/>
    <w:link w:val="BodytextChar"/>
    <w:rsid w:val="00FA18A1"/>
    <w:pPr>
      <w:numPr>
        <w:ilvl w:val="5"/>
        <w:numId w:val="7"/>
      </w:numPr>
      <w:spacing w:before="240" w:after="100" w:line="288" w:lineRule="auto"/>
    </w:pPr>
  </w:style>
  <w:style w:type="paragraph" w:styleId="TOC6">
    <w:name w:val="toc 6"/>
    <w:basedOn w:val="Normal"/>
    <w:next w:val="Normal"/>
    <w:autoRedefine/>
    <w:semiHidden/>
    <w:rsid w:val="00D8576F"/>
    <w:pPr>
      <w:ind w:left="1200"/>
    </w:pPr>
    <w:rPr>
      <w:rFonts w:ascii="Arial Narrow" w:hAnsi="Arial Narrow"/>
    </w:rPr>
  </w:style>
  <w:style w:type="paragraph" w:customStyle="1" w:styleId="Headinglevel4">
    <w:name w:val="Heading level 4"/>
    <w:basedOn w:val="Headinglevel3"/>
    <w:next w:val="Bodytext"/>
    <w:rsid w:val="00EA3423"/>
    <w:pPr>
      <w:numPr>
        <w:ilvl w:val="3"/>
      </w:numPr>
      <w:spacing w:before="280" w:after="80"/>
    </w:pPr>
    <w:rPr>
      <w:sz w:val="26"/>
      <w:szCs w:val="24"/>
    </w:rPr>
  </w:style>
  <w:style w:type="paragraph" w:styleId="TOC7">
    <w:name w:val="toc 7"/>
    <w:basedOn w:val="Normal"/>
    <w:next w:val="Normal"/>
    <w:autoRedefine/>
    <w:semiHidden/>
    <w:rsid w:val="00D8576F"/>
    <w:pPr>
      <w:ind w:left="1440"/>
    </w:pPr>
    <w:rPr>
      <w:rFonts w:ascii="Arial Narrow" w:hAnsi="Arial Narrow"/>
    </w:rPr>
  </w:style>
  <w:style w:type="paragraph" w:styleId="TOC8">
    <w:name w:val="toc 8"/>
    <w:basedOn w:val="Normal"/>
    <w:next w:val="Normal"/>
    <w:autoRedefine/>
    <w:semiHidden/>
    <w:rsid w:val="00D8576F"/>
    <w:pPr>
      <w:ind w:left="1680"/>
    </w:pPr>
    <w:rPr>
      <w:rFonts w:ascii="Arial Narrow" w:hAnsi="Arial Narrow"/>
    </w:rPr>
  </w:style>
  <w:style w:type="paragraph" w:styleId="TOC9">
    <w:name w:val="toc 9"/>
    <w:basedOn w:val="Normal"/>
    <w:next w:val="Normal"/>
    <w:autoRedefine/>
    <w:semiHidden/>
    <w:rsid w:val="00D8576F"/>
    <w:pPr>
      <w:ind w:left="1920"/>
    </w:pPr>
    <w:rPr>
      <w:rFonts w:ascii="Arial Narrow" w:hAnsi="Arial Narrow"/>
    </w:rPr>
  </w:style>
  <w:style w:type="paragraph" w:customStyle="1" w:styleId="Headinglevel5">
    <w:name w:val="Heading level 5"/>
    <w:basedOn w:val="Headinglevel4"/>
    <w:next w:val="Bodytext"/>
    <w:qFormat/>
    <w:rsid w:val="00EA3423"/>
    <w:pPr>
      <w:numPr>
        <w:ilvl w:val="4"/>
      </w:numPr>
    </w:pPr>
    <w:rPr>
      <w:sz w:val="22"/>
    </w:rPr>
  </w:style>
  <w:style w:type="paragraph" w:customStyle="1" w:styleId="StyleBodytextnonumberingBefore0ptAfter0ptLinesp">
    <w:name w:val="Style Body text no numbering + Before:  0 pt After:  0 pt Line sp..."/>
    <w:basedOn w:val="Bodytextnonumbering"/>
    <w:rsid w:val="00D50ADD"/>
    <w:pPr>
      <w:spacing w:before="0" w:after="0" w:line="240" w:lineRule="auto"/>
    </w:pPr>
    <w:rPr>
      <w:rFonts w:cs="Times New Roman"/>
      <w:iCs w:val="0"/>
      <w:szCs w:val="20"/>
    </w:rPr>
  </w:style>
  <w:style w:type="paragraph" w:customStyle="1" w:styleId="StyleReportnumberBefore78pt">
    <w:name w:val="Style Report number + Before:  78 pt"/>
    <w:basedOn w:val="Reportnumber"/>
    <w:rsid w:val="001C746F"/>
    <w:pPr>
      <w:spacing w:before="1560"/>
    </w:pPr>
    <w:rPr>
      <w:bCs/>
      <w:smallCaps w:val="0"/>
    </w:rPr>
  </w:style>
  <w:style w:type="paragraph" w:customStyle="1" w:styleId="StylePrelimminorheadingLeft0cmFirstline0cm">
    <w:name w:val="Style Prelim minor heading + Left:  0 cm First line:  0 cm"/>
    <w:basedOn w:val="Prelimminorheading"/>
    <w:rsid w:val="00F14364"/>
    <w:pPr>
      <w:ind w:left="0" w:firstLine="0"/>
    </w:pPr>
    <w:rPr>
      <w:rFonts w:cs="Times New Roman"/>
      <w:iCs w:val="0"/>
      <w:szCs w:val="20"/>
    </w:rPr>
  </w:style>
  <w:style w:type="paragraph" w:customStyle="1" w:styleId="StylePrelimminorheadingLeft0cmFirstline0cm1">
    <w:name w:val="Style Prelim minor heading + Left:  0 cm First line:  0 cm1"/>
    <w:basedOn w:val="Prelimminorheading"/>
    <w:rsid w:val="00F14364"/>
    <w:pPr>
      <w:ind w:left="0" w:firstLine="0"/>
    </w:pPr>
    <w:rPr>
      <w:rFonts w:cs="Times New Roman"/>
      <w:iCs w:val="0"/>
      <w:szCs w:val="20"/>
    </w:rPr>
  </w:style>
  <w:style w:type="character" w:customStyle="1" w:styleId="FooterChar">
    <w:name w:val="Footer Char"/>
    <w:basedOn w:val="DefaultParagraphFont"/>
    <w:link w:val="Footer"/>
    <w:uiPriority w:val="99"/>
    <w:rsid w:val="000E7567"/>
    <w:rPr>
      <w:rFonts w:ascii="Calibri" w:hAnsi="Calibri"/>
      <w:szCs w:val="24"/>
      <w:lang w:eastAsia="en-US"/>
    </w:rPr>
  </w:style>
  <w:style w:type="character" w:customStyle="1" w:styleId="HeaderChar">
    <w:name w:val="Header Char"/>
    <w:basedOn w:val="DefaultParagraphFont"/>
    <w:link w:val="Header"/>
    <w:uiPriority w:val="99"/>
    <w:rsid w:val="001C746F"/>
    <w:rPr>
      <w:rFonts w:ascii="Calibri" w:hAnsi="Calibri"/>
      <w:caps/>
      <w:spacing w:val="40"/>
      <w:szCs w:val="14"/>
      <w:lang w:val="en-AU" w:eastAsia="en-US" w:bidi="ar-SA"/>
    </w:rPr>
  </w:style>
  <w:style w:type="paragraph" w:customStyle="1" w:styleId="StyleReportdateLinespacingAtleast12pt">
    <w:name w:val="Style Report date + Line spacing:  At least 12 pt"/>
    <w:basedOn w:val="Reportdate"/>
    <w:rsid w:val="001C746F"/>
    <w:pPr>
      <w:spacing w:line="240" w:lineRule="atLeast"/>
    </w:pPr>
    <w:rPr>
      <w:caps w:val="0"/>
      <w:spacing w:val="20"/>
      <w:szCs w:val="20"/>
    </w:rPr>
  </w:style>
  <w:style w:type="paragraph" w:customStyle="1" w:styleId="StyleReporttitleBefore0ptLinespacingAtleast12pt">
    <w:name w:val="Style Report title + Before:  0 pt Line spacing:  At least 12 pt"/>
    <w:basedOn w:val="Reporttitle"/>
    <w:rsid w:val="001C746F"/>
    <w:pPr>
      <w:spacing w:before="0" w:line="240" w:lineRule="atLeast"/>
    </w:pPr>
    <w:rPr>
      <w:spacing w:val="20"/>
      <w:szCs w:val="20"/>
    </w:rPr>
  </w:style>
  <w:style w:type="paragraph" w:customStyle="1" w:styleId="StylePrelimminorheadingLeft0cmFirstline0cm2">
    <w:name w:val="Style Prelim minor heading + Left:  0 cm First line:  0 cm2"/>
    <w:basedOn w:val="Prelimminorheading"/>
    <w:rsid w:val="00024877"/>
    <w:pPr>
      <w:ind w:left="0" w:firstLine="0"/>
    </w:pPr>
    <w:rPr>
      <w:rFonts w:cs="Times New Roman"/>
      <w:b/>
      <w:iCs w:val="0"/>
      <w:szCs w:val="20"/>
    </w:rPr>
  </w:style>
  <w:style w:type="paragraph" w:customStyle="1" w:styleId="StylePrelimminorheadingLeft0cmFirstline0cm3">
    <w:name w:val="Style Prelim minor heading + Left:  0 cm First line:  0 cm3"/>
    <w:basedOn w:val="Prelimminorheading"/>
    <w:rsid w:val="00024877"/>
    <w:pPr>
      <w:ind w:left="0" w:firstLine="0"/>
    </w:pPr>
    <w:rPr>
      <w:rFonts w:cs="Times New Roman"/>
      <w:b/>
      <w:iCs w:val="0"/>
      <w:szCs w:val="20"/>
    </w:rPr>
  </w:style>
  <w:style w:type="numbering" w:customStyle="1" w:styleId="test1">
    <w:name w:val="test1"/>
    <w:uiPriority w:val="99"/>
    <w:rsid w:val="00FA18A1"/>
    <w:pPr>
      <w:numPr>
        <w:numId w:val="8"/>
      </w:numPr>
    </w:pPr>
  </w:style>
  <w:style w:type="paragraph" w:customStyle="1" w:styleId="RecommendationText">
    <w:name w:val="Recommendation Text"/>
    <w:basedOn w:val="Bodytext"/>
    <w:next w:val="Bodytext"/>
    <w:link w:val="RecommendationTextChar"/>
    <w:qFormat/>
    <w:rsid w:val="00EC3D05"/>
    <w:pPr>
      <w:spacing w:before="120" w:after="240"/>
    </w:pPr>
    <w:rPr>
      <w:b/>
    </w:rPr>
  </w:style>
  <w:style w:type="paragraph" w:customStyle="1" w:styleId="Contactinformation">
    <w:name w:val="Contact information"/>
    <w:basedOn w:val="Prelimminorheading"/>
    <w:link w:val="ContactinformationChar"/>
    <w:qFormat/>
    <w:rsid w:val="00EB4D32"/>
    <w:pPr>
      <w:numPr>
        <w:ilvl w:val="0"/>
        <w:numId w:val="0"/>
      </w:numPr>
    </w:pPr>
  </w:style>
  <w:style w:type="character" w:customStyle="1" w:styleId="BodytextChar">
    <w:name w:val="Body text Char"/>
    <w:basedOn w:val="DefaultParagraphFont"/>
    <w:link w:val="Bodytext"/>
    <w:rsid w:val="00FA18A1"/>
    <w:rPr>
      <w:rFonts w:ascii="Calibri" w:hAnsi="Calibri"/>
      <w:sz w:val="22"/>
      <w:szCs w:val="24"/>
      <w:lang w:eastAsia="en-US"/>
    </w:rPr>
  </w:style>
  <w:style w:type="character" w:customStyle="1" w:styleId="RecommendationTextChar">
    <w:name w:val="Recommendation Text Char"/>
    <w:basedOn w:val="BodytextChar"/>
    <w:link w:val="RecommendationText"/>
    <w:rsid w:val="00EC3D05"/>
    <w:rPr>
      <w:b/>
    </w:rPr>
  </w:style>
  <w:style w:type="character" w:customStyle="1" w:styleId="Headinglevel2Char">
    <w:name w:val="Heading level 2 Char"/>
    <w:basedOn w:val="DefaultParagraphFont"/>
    <w:link w:val="Headinglevel2"/>
    <w:rsid w:val="00EA3423"/>
    <w:rPr>
      <w:rFonts w:ascii="Arial Narrow" w:hAnsi="Arial Narrow" w:cs="Arial"/>
      <w:iCs/>
      <w:smallCaps/>
      <w:spacing w:val="20"/>
      <w:sz w:val="36"/>
      <w:szCs w:val="34"/>
      <w:lang w:eastAsia="en-US"/>
    </w:rPr>
  </w:style>
  <w:style w:type="character" w:customStyle="1" w:styleId="Headinglevel3Char">
    <w:name w:val="Heading level 3 Char"/>
    <w:basedOn w:val="Headinglevel2Char"/>
    <w:link w:val="Headinglevel3"/>
    <w:rsid w:val="00B85C8B"/>
    <w:rPr>
      <w:smallCaps/>
      <w:sz w:val="30"/>
      <w:szCs w:val="28"/>
    </w:rPr>
  </w:style>
  <w:style w:type="character" w:customStyle="1" w:styleId="Heading1Char">
    <w:name w:val="Heading 1 Char"/>
    <w:basedOn w:val="DefaultParagraphFont"/>
    <w:link w:val="Heading1"/>
    <w:rsid w:val="00FA18A1"/>
    <w:rPr>
      <w:rFonts w:ascii="Arial Narrow" w:hAnsi="Arial Narrow" w:cs="Arial"/>
      <w:bCs/>
      <w:smallCaps/>
      <w:spacing w:val="40"/>
      <w:kern w:val="32"/>
      <w:sz w:val="44"/>
      <w:szCs w:val="36"/>
      <w:lang w:eastAsia="en-US"/>
    </w:rPr>
  </w:style>
  <w:style w:type="paragraph" w:customStyle="1" w:styleId="StylePrelimminorheadingLeft0cmFirstline0cm4">
    <w:name w:val="Style Prelim minor heading + Left:  0 cm First line:  0 cm4"/>
    <w:basedOn w:val="Prelimminorheading"/>
    <w:rsid w:val="00BD6446"/>
    <w:pPr>
      <w:ind w:left="0" w:firstLine="0"/>
    </w:pPr>
    <w:rPr>
      <w:rFonts w:cs="Times New Roman"/>
      <w:bCs w:val="0"/>
      <w:iCs w:val="0"/>
      <w:szCs w:val="20"/>
    </w:rPr>
  </w:style>
  <w:style w:type="character" w:customStyle="1" w:styleId="Heading2Char">
    <w:name w:val="Heading 2 Char"/>
    <w:basedOn w:val="Heading1Char"/>
    <w:link w:val="Heading2"/>
    <w:rsid w:val="00EB4D32"/>
    <w:rPr>
      <w:iCs/>
      <w:caps/>
      <w:sz w:val="34"/>
      <w:szCs w:val="34"/>
    </w:rPr>
  </w:style>
  <w:style w:type="paragraph" w:customStyle="1" w:styleId="StylePrelimminorheadingLeft0cmFirstline0cm5">
    <w:name w:val="Style Prelim minor heading + Left:  0 cm First line:  0 cm5"/>
    <w:basedOn w:val="Prelimminorheading"/>
    <w:rsid w:val="00BD6446"/>
    <w:pPr>
      <w:ind w:left="0" w:firstLine="0"/>
    </w:pPr>
    <w:rPr>
      <w:rFonts w:cs="Times New Roman"/>
      <w:bCs w:val="0"/>
      <w:iCs w:val="0"/>
      <w:szCs w:val="20"/>
    </w:rPr>
  </w:style>
  <w:style w:type="paragraph" w:customStyle="1" w:styleId="StylePrelimminorheadingLeft0cmFirstline0cmExpand">
    <w:name w:val="Style Prelim minor heading + Left:  0 cm First line:  0 cm Expand..."/>
    <w:basedOn w:val="Prelimminorheading"/>
    <w:rsid w:val="00BD6446"/>
    <w:pPr>
      <w:ind w:left="0" w:firstLine="0"/>
    </w:pPr>
    <w:rPr>
      <w:rFonts w:cs="Times New Roman"/>
      <w:bCs w:val="0"/>
      <w:iCs w:val="0"/>
      <w:spacing w:val="4"/>
      <w:sz w:val="30"/>
      <w:szCs w:val="20"/>
    </w:rPr>
  </w:style>
  <w:style w:type="character" w:customStyle="1" w:styleId="Heading3Char">
    <w:name w:val="Heading 3 Char"/>
    <w:basedOn w:val="Heading2Char"/>
    <w:link w:val="Heading3"/>
    <w:rsid w:val="00EB4D32"/>
    <w:rPr>
      <w:bCs/>
      <w:sz w:val="28"/>
      <w:szCs w:val="28"/>
    </w:rPr>
  </w:style>
  <w:style w:type="character" w:customStyle="1" w:styleId="PrelimminorheadingChar">
    <w:name w:val="Prelim minor heading Char"/>
    <w:basedOn w:val="Heading3Char"/>
    <w:link w:val="Prelimminorheading"/>
    <w:rsid w:val="00EB4D32"/>
    <w:rPr>
      <w:spacing w:val="2"/>
    </w:rPr>
  </w:style>
  <w:style w:type="character" w:customStyle="1" w:styleId="SecretariatChar">
    <w:name w:val="Secretariat Char"/>
    <w:basedOn w:val="PrelimminorheadingChar"/>
    <w:link w:val="Secretariat"/>
    <w:rsid w:val="00EB4D32"/>
  </w:style>
  <w:style w:type="paragraph" w:customStyle="1" w:styleId="RecommendationBullet">
    <w:name w:val="Recommendation Bullet"/>
    <w:basedOn w:val="ListBullet"/>
    <w:link w:val="RecommendationBulletChar"/>
    <w:qFormat/>
    <w:rsid w:val="00BB6351"/>
    <w:rPr>
      <w:b/>
    </w:rPr>
  </w:style>
  <w:style w:type="character" w:customStyle="1" w:styleId="ContactinformationChar">
    <w:name w:val="Contact information Char"/>
    <w:basedOn w:val="PrelimminorheadingChar"/>
    <w:link w:val="Contactinformation"/>
    <w:rsid w:val="00EB4D32"/>
  </w:style>
  <w:style w:type="character" w:customStyle="1" w:styleId="ListBulletChar">
    <w:name w:val="List Bullet Char"/>
    <w:basedOn w:val="DefaultParagraphFont"/>
    <w:link w:val="ListBullet"/>
    <w:rsid w:val="00F11E99"/>
    <w:rPr>
      <w:rFonts w:ascii="Calibri" w:hAnsi="Calibri"/>
      <w:bCs/>
      <w:sz w:val="22"/>
      <w:szCs w:val="22"/>
      <w:lang w:eastAsia="en-US"/>
    </w:rPr>
  </w:style>
  <w:style w:type="character" w:customStyle="1" w:styleId="RecommendationBulletChar">
    <w:name w:val="Recommendation Bullet Char"/>
    <w:basedOn w:val="ListBulletChar"/>
    <w:link w:val="RecommendationBullet"/>
    <w:rsid w:val="00462F49"/>
    <w:rPr>
      <w:b/>
    </w:rPr>
  </w:style>
  <w:style w:type="paragraph" w:styleId="EndnoteText">
    <w:name w:val="endnote text"/>
    <w:basedOn w:val="Normal"/>
    <w:link w:val="EndnoteTextChar"/>
    <w:rsid w:val="00E14B73"/>
    <w:rPr>
      <w:sz w:val="20"/>
      <w:szCs w:val="20"/>
    </w:rPr>
  </w:style>
  <w:style w:type="character" w:customStyle="1" w:styleId="EndnoteTextChar">
    <w:name w:val="Endnote Text Char"/>
    <w:basedOn w:val="DefaultParagraphFont"/>
    <w:link w:val="EndnoteText"/>
    <w:rsid w:val="00E14B73"/>
    <w:rPr>
      <w:rFonts w:ascii="Calibri" w:hAnsi="Calibri"/>
      <w:lang w:eastAsia="en-US"/>
    </w:rPr>
  </w:style>
  <w:style w:type="character" w:styleId="EndnoteReference">
    <w:name w:val="endnote reference"/>
    <w:basedOn w:val="DefaultParagraphFont"/>
    <w:rsid w:val="00E14B73"/>
    <w:rPr>
      <w:vertAlign w:val="superscript"/>
    </w:rPr>
  </w:style>
  <w:style w:type="character" w:customStyle="1" w:styleId="FootnoteTextChar">
    <w:name w:val="Footnote Text Char"/>
    <w:basedOn w:val="DefaultParagraphFont"/>
    <w:link w:val="FootnoteText"/>
    <w:uiPriority w:val="99"/>
    <w:semiHidden/>
    <w:rsid w:val="00D62A3A"/>
    <w:rPr>
      <w:rFonts w:ascii="Calibri" w:hAnsi="Calibri"/>
      <w:sz w:val="18"/>
      <w:lang w:eastAsia="en-US"/>
    </w:rPr>
  </w:style>
  <w:style w:type="paragraph" w:styleId="NormalWeb">
    <w:name w:val="Normal (Web)"/>
    <w:basedOn w:val="Normal"/>
    <w:rsid w:val="00FF3A8E"/>
    <w:rPr>
      <w:rFonts w:ascii="Times New Roman" w:hAnsi="Times New Roman"/>
      <w:sz w:val="24"/>
    </w:rPr>
  </w:style>
  <w:style w:type="numbering" w:customStyle="1" w:styleId="test11">
    <w:name w:val="test11"/>
    <w:uiPriority w:val="99"/>
    <w:rsid w:val="006C3923"/>
  </w:style>
  <w:style w:type="numbering" w:customStyle="1" w:styleId="test12">
    <w:name w:val="test12"/>
    <w:uiPriority w:val="99"/>
    <w:rsid w:val="006C3923"/>
  </w:style>
  <w:style w:type="numbering" w:customStyle="1" w:styleId="test13">
    <w:name w:val="test13"/>
    <w:uiPriority w:val="99"/>
    <w:rsid w:val="00BC1937"/>
  </w:style>
  <w:style w:type="numbering" w:customStyle="1" w:styleId="test14">
    <w:name w:val="test14"/>
    <w:uiPriority w:val="99"/>
    <w:rsid w:val="00BC1937"/>
    <w:pPr>
      <w:numPr>
        <w:numId w:val="1"/>
      </w:numPr>
    </w:pPr>
  </w:style>
</w:styles>
</file>

<file path=word/webSettings.xml><?xml version="1.0" encoding="utf-8"?>
<w:webSettings xmlns:r="http://schemas.openxmlformats.org/officeDocument/2006/relationships" xmlns:w="http://schemas.openxmlformats.org/wordprocessingml/2006/main">
  <w:divs>
    <w:div w:id="88233339">
      <w:bodyDiv w:val="1"/>
      <w:marLeft w:val="0"/>
      <w:marRight w:val="0"/>
      <w:marTop w:val="0"/>
      <w:marBottom w:val="0"/>
      <w:divBdr>
        <w:top w:val="none" w:sz="0" w:space="0" w:color="auto"/>
        <w:left w:val="none" w:sz="0" w:space="0" w:color="auto"/>
        <w:bottom w:val="none" w:sz="0" w:space="0" w:color="auto"/>
        <w:right w:val="none" w:sz="0" w:space="0" w:color="auto"/>
      </w:divBdr>
    </w:div>
    <w:div w:id="97264230">
      <w:bodyDiv w:val="1"/>
      <w:marLeft w:val="0"/>
      <w:marRight w:val="0"/>
      <w:marTop w:val="0"/>
      <w:marBottom w:val="0"/>
      <w:divBdr>
        <w:top w:val="none" w:sz="0" w:space="0" w:color="auto"/>
        <w:left w:val="none" w:sz="0" w:space="0" w:color="auto"/>
        <w:bottom w:val="none" w:sz="0" w:space="0" w:color="auto"/>
        <w:right w:val="none" w:sz="0" w:space="0" w:color="auto"/>
      </w:divBdr>
    </w:div>
    <w:div w:id="154608930">
      <w:bodyDiv w:val="1"/>
      <w:marLeft w:val="0"/>
      <w:marRight w:val="0"/>
      <w:marTop w:val="0"/>
      <w:marBottom w:val="0"/>
      <w:divBdr>
        <w:top w:val="none" w:sz="0" w:space="0" w:color="auto"/>
        <w:left w:val="none" w:sz="0" w:space="0" w:color="auto"/>
        <w:bottom w:val="none" w:sz="0" w:space="0" w:color="auto"/>
        <w:right w:val="none" w:sz="0" w:space="0" w:color="auto"/>
      </w:divBdr>
    </w:div>
    <w:div w:id="189878191">
      <w:bodyDiv w:val="1"/>
      <w:marLeft w:val="0"/>
      <w:marRight w:val="0"/>
      <w:marTop w:val="0"/>
      <w:marBottom w:val="0"/>
      <w:divBdr>
        <w:top w:val="none" w:sz="0" w:space="0" w:color="auto"/>
        <w:left w:val="none" w:sz="0" w:space="0" w:color="auto"/>
        <w:bottom w:val="none" w:sz="0" w:space="0" w:color="auto"/>
        <w:right w:val="none" w:sz="0" w:space="0" w:color="auto"/>
      </w:divBdr>
    </w:div>
    <w:div w:id="393313738">
      <w:bodyDiv w:val="1"/>
      <w:marLeft w:val="0"/>
      <w:marRight w:val="0"/>
      <w:marTop w:val="0"/>
      <w:marBottom w:val="0"/>
      <w:divBdr>
        <w:top w:val="none" w:sz="0" w:space="0" w:color="auto"/>
        <w:left w:val="none" w:sz="0" w:space="0" w:color="auto"/>
        <w:bottom w:val="none" w:sz="0" w:space="0" w:color="auto"/>
        <w:right w:val="none" w:sz="0" w:space="0" w:color="auto"/>
      </w:divBdr>
    </w:div>
    <w:div w:id="681468080">
      <w:bodyDiv w:val="1"/>
      <w:marLeft w:val="0"/>
      <w:marRight w:val="0"/>
      <w:marTop w:val="0"/>
      <w:marBottom w:val="0"/>
      <w:divBdr>
        <w:top w:val="none" w:sz="0" w:space="0" w:color="auto"/>
        <w:left w:val="none" w:sz="0" w:space="0" w:color="auto"/>
        <w:bottom w:val="none" w:sz="0" w:space="0" w:color="auto"/>
        <w:right w:val="none" w:sz="0" w:space="0" w:color="auto"/>
      </w:divBdr>
    </w:div>
    <w:div w:id="707293104">
      <w:bodyDiv w:val="1"/>
      <w:marLeft w:val="0"/>
      <w:marRight w:val="0"/>
      <w:marTop w:val="0"/>
      <w:marBottom w:val="0"/>
      <w:divBdr>
        <w:top w:val="none" w:sz="0" w:space="0" w:color="auto"/>
        <w:left w:val="none" w:sz="0" w:space="0" w:color="auto"/>
        <w:bottom w:val="none" w:sz="0" w:space="0" w:color="auto"/>
        <w:right w:val="none" w:sz="0" w:space="0" w:color="auto"/>
      </w:divBdr>
    </w:div>
    <w:div w:id="946693971">
      <w:bodyDiv w:val="1"/>
      <w:marLeft w:val="0"/>
      <w:marRight w:val="0"/>
      <w:marTop w:val="0"/>
      <w:marBottom w:val="0"/>
      <w:divBdr>
        <w:top w:val="none" w:sz="0" w:space="0" w:color="auto"/>
        <w:left w:val="none" w:sz="0" w:space="0" w:color="auto"/>
        <w:bottom w:val="none" w:sz="0" w:space="0" w:color="auto"/>
        <w:right w:val="none" w:sz="0" w:space="0" w:color="auto"/>
      </w:divBdr>
    </w:div>
    <w:div w:id="1021396572">
      <w:bodyDiv w:val="1"/>
      <w:marLeft w:val="0"/>
      <w:marRight w:val="0"/>
      <w:marTop w:val="0"/>
      <w:marBottom w:val="0"/>
      <w:divBdr>
        <w:top w:val="none" w:sz="0" w:space="0" w:color="auto"/>
        <w:left w:val="none" w:sz="0" w:space="0" w:color="auto"/>
        <w:bottom w:val="none" w:sz="0" w:space="0" w:color="auto"/>
        <w:right w:val="none" w:sz="0" w:space="0" w:color="auto"/>
      </w:divBdr>
    </w:div>
    <w:div w:id="1032683059">
      <w:bodyDiv w:val="1"/>
      <w:marLeft w:val="0"/>
      <w:marRight w:val="0"/>
      <w:marTop w:val="0"/>
      <w:marBottom w:val="0"/>
      <w:divBdr>
        <w:top w:val="none" w:sz="0" w:space="0" w:color="auto"/>
        <w:left w:val="none" w:sz="0" w:space="0" w:color="auto"/>
        <w:bottom w:val="none" w:sz="0" w:space="0" w:color="auto"/>
        <w:right w:val="none" w:sz="0" w:space="0" w:color="auto"/>
      </w:divBdr>
    </w:div>
    <w:div w:id="1190220232">
      <w:bodyDiv w:val="1"/>
      <w:marLeft w:val="0"/>
      <w:marRight w:val="0"/>
      <w:marTop w:val="0"/>
      <w:marBottom w:val="0"/>
      <w:divBdr>
        <w:top w:val="none" w:sz="0" w:space="0" w:color="auto"/>
        <w:left w:val="none" w:sz="0" w:space="0" w:color="auto"/>
        <w:bottom w:val="none" w:sz="0" w:space="0" w:color="auto"/>
        <w:right w:val="none" w:sz="0" w:space="0" w:color="auto"/>
      </w:divBdr>
    </w:div>
    <w:div w:id="1295331118">
      <w:bodyDiv w:val="1"/>
      <w:marLeft w:val="0"/>
      <w:marRight w:val="0"/>
      <w:marTop w:val="0"/>
      <w:marBottom w:val="0"/>
      <w:divBdr>
        <w:top w:val="none" w:sz="0" w:space="0" w:color="auto"/>
        <w:left w:val="none" w:sz="0" w:space="0" w:color="auto"/>
        <w:bottom w:val="none" w:sz="0" w:space="0" w:color="auto"/>
        <w:right w:val="none" w:sz="0" w:space="0" w:color="auto"/>
      </w:divBdr>
    </w:div>
    <w:div w:id="1305505432">
      <w:bodyDiv w:val="1"/>
      <w:marLeft w:val="0"/>
      <w:marRight w:val="0"/>
      <w:marTop w:val="0"/>
      <w:marBottom w:val="0"/>
      <w:divBdr>
        <w:top w:val="none" w:sz="0" w:space="0" w:color="auto"/>
        <w:left w:val="none" w:sz="0" w:space="0" w:color="auto"/>
        <w:bottom w:val="none" w:sz="0" w:space="0" w:color="auto"/>
        <w:right w:val="none" w:sz="0" w:space="0" w:color="auto"/>
      </w:divBdr>
    </w:div>
    <w:div w:id="1500999917">
      <w:bodyDiv w:val="1"/>
      <w:marLeft w:val="0"/>
      <w:marRight w:val="0"/>
      <w:marTop w:val="0"/>
      <w:marBottom w:val="0"/>
      <w:divBdr>
        <w:top w:val="none" w:sz="0" w:space="0" w:color="auto"/>
        <w:left w:val="none" w:sz="0" w:space="0" w:color="auto"/>
        <w:bottom w:val="none" w:sz="0" w:space="0" w:color="auto"/>
        <w:right w:val="none" w:sz="0" w:space="0" w:color="auto"/>
      </w:divBdr>
    </w:div>
    <w:div w:id="1545361854">
      <w:bodyDiv w:val="1"/>
      <w:marLeft w:val="0"/>
      <w:marRight w:val="0"/>
      <w:marTop w:val="0"/>
      <w:marBottom w:val="0"/>
      <w:divBdr>
        <w:top w:val="none" w:sz="0" w:space="0" w:color="auto"/>
        <w:left w:val="none" w:sz="0" w:space="0" w:color="auto"/>
        <w:bottom w:val="none" w:sz="0" w:space="0" w:color="auto"/>
        <w:right w:val="none" w:sz="0" w:space="0" w:color="auto"/>
      </w:divBdr>
    </w:div>
    <w:div w:id="1811512814">
      <w:bodyDiv w:val="1"/>
      <w:marLeft w:val="0"/>
      <w:marRight w:val="0"/>
      <w:marTop w:val="0"/>
      <w:marBottom w:val="0"/>
      <w:divBdr>
        <w:top w:val="none" w:sz="0" w:space="0" w:color="auto"/>
        <w:left w:val="none" w:sz="0" w:space="0" w:color="auto"/>
        <w:bottom w:val="none" w:sz="0" w:space="0" w:color="auto"/>
        <w:right w:val="none" w:sz="0" w:space="0" w:color="auto"/>
      </w:divBdr>
    </w:div>
    <w:div w:id="210052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www.parliament.act.gov.au" TargetMode="Externa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yperlink" Target="mailto:committees@parliament.act.gov.au" TargetMode="Externa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3.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OLA\Committee\Committee%20Report%20Template%20June%202013%20-%20v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00992-A574-4AC5-8854-1C374B585C2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48C4512-EA35-40E4-B98C-05080AFB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Template June 2013 - v14.dotx</Template>
  <TotalTime>1</TotalTime>
  <Pages>15</Pages>
  <Words>2155</Words>
  <Characters>13039</Characters>
  <Application>Microsoft Office Word</Application>
  <DocSecurity>0</DocSecurity>
  <Lines>260</Lines>
  <Paragraphs>136</Paragraphs>
  <ScaleCrop>false</ScaleCrop>
  <HeadingPairs>
    <vt:vector size="2" baseType="variant">
      <vt:variant>
        <vt:lpstr>Title</vt:lpstr>
      </vt:variant>
      <vt:variant>
        <vt:i4>1</vt:i4>
      </vt:variant>
    </vt:vector>
  </HeadingPairs>
  <TitlesOfParts>
    <vt:vector size="1" baseType="lpstr">
      <vt:lpstr>Committees Report Template</vt:lpstr>
    </vt:vector>
  </TitlesOfParts>
  <Company>OCTAVO</Company>
  <LinksUpToDate>false</LinksUpToDate>
  <CharactersWithSpaces>15058</CharactersWithSpaces>
  <SharedDoc>false</SharedDoc>
  <HLinks>
    <vt:vector size="762" baseType="variant">
      <vt:variant>
        <vt:i4>1638463</vt:i4>
      </vt:variant>
      <vt:variant>
        <vt:i4>404</vt:i4>
      </vt:variant>
      <vt:variant>
        <vt:i4>0</vt:i4>
      </vt:variant>
      <vt:variant>
        <vt:i4>5</vt:i4>
      </vt:variant>
      <vt:variant>
        <vt:lpwstr/>
      </vt:variant>
      <vt:variant>
        <vt:lpwstr>_Toc443487091</vt:lpwstr>
      </vt:variant>
      <vt:variant>
        <vt:i4>1638463</vt:i4>
      </vt:variant>
      <vt:variant>
        <vt:i4>401</vt:i4>
      </vt:variant>
      <vt:variant>
        <vt:i4>0</vt:i4>
      </vt:variant>
      <vt:variant>
        <vt:i4>5</vt:i4>
      </vt:variant>
      <vt:variant>
        <vt:lpwstr/>
      </vt:variant>
      <vt:variant>
        <vt:lpwstr>_Toc443487090</vt:lpwstr>
      </vt:variant>
      <vt:variant>
        <vt:i4>1572927</vt:i4>
      </vt:variant>
      <vt:variant>
        <vt:i4>398</vt:i4>
      </vt:variant>
      <vt:variant>
        <vt:i4>0</vt:i4>
      </vt:variant>
      <vt:variant>
        <vt:i4>5</vt:i4>
      </vt:variant>
      <vt:variant>
        <vt:lpwstr/>
      </vt:variant>
      <vt:variant>
        <vt:lpwstr>_Toc443487089</vt:lpwstr>
      </vt:variant>
      <vt:variant>
        <vt:i4>1572927</vt:i4>
      </vt:variant>
      <vt:variant>
        <vt:i4>395</vt:i4>
      </vt:variant>
      <vt:variant>
        <vt:i4>0</vt:i4>
      </vt:variant>
      <vt:variant>
        <vt:i4>5</vt:i4>
      </vt:variant>
      <vt:variant>
        <vt:lpwstr/>
      </vt:variant>
      <vt:variant>
        <vt:lpwstr>_Toc443487088</vt:lpwstr>
      </vt:variant>
      <vt:variant>
        <vt:i4>1572927</vt:i4>
      </vt:variant>
      <vt:variant>
        <vt:i4>392</vt:i4>
      </vt:variant>
      <vt:variant>
        <vt:i4>0</vt:i4>
      </vt:variant>
      <vt:variant>
        <vt:i4>5</vt:i4>
      </vt:variant>
      <vt:variant>
        <vt:lpwstr/>
      </vt:variant>
      <vt:variant>
        <vt:lpwstr>_Toc443487087</vt:lpwstr>
      </vt:variant>
      <vt:variant>
        <vt:i4>1572927</vt:i4>
      </vt:variant>
      <vt:variant>
        <vt:i4>389</vt:i4>
      </vt:variant>
      <vt:variant>
        <vt:i4>0</vt:i4>
      </vt:variant>
      <vt:variant>
        <vt:i4>5</vt:i4>
      </vt:variant>
      <vt:variant>
        <vt:lpwstr/>
      </vt:variant>
      <vt:variant>
        <vt:lpwstr>_Toc443487086</vt:lpwstr>
      </vt:variant>
      <vt:variant>
        <vt:i4>1572927</vt:i4>
      </vt:variant>
      <vt:variant>
        <vt:i4>386</vt:i4>
      </vt:variant>
      <vt:variant>
        <vt:i4>0</vt:i4>
      </vt:variant>
      <vt:variant>
        <vt:i4>5</vt:i4>
      </vt:variant>
      <vt:variant>
        <vt:lpwstr/>
      </vt:variant>
      <vt:variant>
        <vt:lpwstr>_Toc443487085</vt:lpwstr>
      </vt:variant>
      <vt:variant>
        <vt:i4>1572927</vt:i4>
      </vt:variant>
      <vt:variant>
        <vt:i4>383</vt:i4>
      </vt:variant>
      <vt:variant>
        <vt:i4>0</vt:i4>
      </vt:variant>
      <vt:variant>
        <vt:i4>5</vt:i4>
      </vt:variant>
      <vt:variant>
        <vt:lpwstr/>
      </vt:variant>
      <vt:variant>
        <vt:lpwstr>_Toc443487084</vt:lpwstr>
      </vt:variant>
      <vt:variant>
        <vt:i4>1572927</vt:i4>
      </vt:variant>
      <vt:variant>
        <vt:i4>380</vt:i4>
      </vt:variant>
      <vt:variant>
        <vt:i4>0</vt:i4>
      </vt:variant>
      <vt:variant>
        <vt:i4>5</vt:i4>
      </vt:variant>
      <vt:variant>
        <vt:lpwstr/>
      </vt:variant>
      <vt:variant>
        <vt:lpwstr>_Toc443487083</vt:lpwstr>
      </vt:variant>
      <vt:variant>
        <vt:i4>1572927</vt:i4>
      </vt:variant>
      <vt:variant>
        <vt:i4>377</vt:i4>
      </vt:variant>
      <vt:variant>
        <vt:i4>0</vt:i4>
      </vt:variant>
      <vt:variant>
        <vt:i4>5</vt:i4>
      </vt:variant>
      <vt:variant>
        <vt:lpwstr/>
      </vt:variant>
      <vt:variant>
        <vt:lpwstr>_Toc443487082</vt:lpwstr>
      </vt:variant>
      <vt:variant>
        <vt:i4>1572927</vt:i4>
      </vt:variant>
      <vt:variant>
        <vt:i4>374</vt:i4>
      </vt:variant>
      <vt:variant>
        <vt:i4>0</vt:i4>
      </vt:variant>
      <vt:variant>
        <vt:i4>5</vt:i4>
      </vt:variant>
      <vt:variant>
        <vt:lpwstr/>
      </vt:variant>
      <vt:variant>
        <vt:lpwstr>_Toc443487081</vt:lpwstr>
      </vt:variant>
      <vt:variant>
        <vt:i4>1572927</vt:i4>
      </vt:variant>
      <vt:variant>
        <vt:i4>371</vt:i4>
      </vt:variant>
      <vt:variant>
        <vt:i4>0</vt:i4>
      </vt:variant>
      <vt:variant>
        <vt:i4>5</vt:i4>
      </vt:variant>
      <vt:variant>
        <vt:lpwstr/>
      </vt:variant>
      <vt:variant>
        <vt:lpwstr>_Toc443487080</vt:lpwstr>
      </vt:variant>
      <vt:variant>
        <vt:i4>1507391</vt:i4>
      </vt:variant>
      <vt:variant>
        <vt:i4>368</vt:i4>
      </vt:variant>
      <vt:variant>
        <vt:i4>0</vt:i4>
      </vt:variant>
      <vt:variant>
        <vt:i4>5</vt:i4>
      </vt:variant>
      <vt:variant>
        <vt:lpwstr/>
      </vt:variant>
      <vt:variant>
        <vt:lpwstr>_Toc443487079</vt:lpwstr>
      </vt:variant>
      <vt:variant>
        <vt:i4>1507391</vt:i4>
      </vt:variant>
      <vt:variant>
        <vt:i4>365</vt:i4>
      </vt:variant>
      <vt:variant>
        <vt:i4>0</vt:i4>
      </vt:variant>
      <vt:variant>
        <vt:i4>5</vt:i4>
      </vt:variant>
      <vt:variant>
        <vt:lpwstr/>
      </vt:variant>
      <vt:variant>
        <vt:lpwstr>_Toc443487078</vt:lpwstr>
      </vt:variant>
      <vt:variant>
        <vt:i4>1507391</vt:i4>
      </vt:variant>
      <vt:variant>
        <vt:i4>362</vt:i4>
      </vt:variant>
      <vt:variant>
        <vt:i4>0</vt:i4>
      </vt:variant>
      <vt:variant>
        <vt:i4>5</vt:i4>
      </vt:variant>
      <vt:variant>
        <vt:lpwstr/>
      </vt:variant>
      <vt:variant>
        <vt:lpwstr>_Toc443487077</vt:lpwstr>
      </vt:variant>
      <vt:variant>
        <vt:i4>1507391</vt:i4>
      </vt:variant>
      <vt:variant>
        <vt:i4>359</vt:i4>
      </vt:variant>
      <vt:variant>
        <vt:i4>0</vt:i4>
      </vt:variant>
      <vt:variant>
        <vt:i4>5</vt:i4>
      </vt:variant>
      <vt:variant>
        <vt:lpwstr/>
      </vt:variant>
      <vt:variant>
        <vt:lpwstr>_Toc443487076</vt:lpwstr>
      </vt:variant>
      <vt:variant>
        <vt:i4>1507391</vt:i4>
      </vt:variant>
      <vt:variant>
        <vt:i4>356</vt:i4>
      </vt:variant>
      <vt:variant>
        <vt:i4>0</vt:i4>
      </vt:variant>
      <vt:variant>
        <vt:i4>5</vt:i4>
      </vt:variant>
      <vt:variant>
        <vt:lpwstr/>
      </vt:variant>
      <vt:variant>
        <vt:lpwstr>_Toc443487075</vt:lpwstr>
      </vt:variant>
      <vt:variant>
        <vt:i4>1507391</vt:i4>
      </vt:variant>
      <vt:variant>
        <vt:i4>353</vt:i4>
      </vt:variant>
      <vt:variant>
        <vt:i4>0</vt:i4>
      </vt:variant>
      <vt:variant>
        <vt:i4>5</vt:i4>
      </vt:variant>
      <vt:variant>
        <vt:lpwstr/>
      </vt:variant>
      <vt:variant>
        <vt:lpwstr>_Toc443487074</vt:lpwstr>
      </vt:variant>
      <vt:variant>
        <vt:i4>1507391</vt:i4>
      </vt:variant>
      <vt:variant>
        <vt:i4>350</vt:i4>
      </vt:variant>
      <vt:variant>
        <vt:i4>0</vt:i4>
      </vt:variant>
      <vt:variant>
        <vt:i4>5</vt:i4>
      </vt:variant>
      <vt:variant>
        <vt:lpwstr/>
      </vt:variant>
      <vt:variant>
        <vt:lpwstr>_Toc443487073</vt:lpwstr>
      </vt:variant>
      <vt:variant>
        <vt:i4>1507391</vt:i4>
      </vt:variant>
      <vt:variant>
        <vt:i4>347</vt:i4>
      </vt:variant>
      <vt:variant>
        <vt:i4>0</vt:i4>
      </vt:variant>
      <vt:variant>
        <vt:i4>5</vt:i4>
      </vt:variant>
      <vt:variant>
        <vt:lpwstr/>
      </vt:variant>
      <vt:variant>
        <vt:lpwstr>_Toc443487072</vt:lpwstr>
      </vt:variant>
      <vt:variant>
        <vt:i4>1507391</vt:i4>
      </vt:variant>
      <vt:variant>
        <vt:i4>344</vt:i4>
      </vt:variant>
      <vt:variant>
        <vt:i4>0</vt:i4>
      </vt:variant>
      <vt:variant>
        <vt:i4>5</vt:i4>
      </vt:variant>
      <vt:variant>
        <vt:lpwstr/>
      </vt:variant>
      <vt:variant>
        <vt:lpwstr>_Toc443487071</vt:lpwstr>
      </vt:variant>
      <vt:variant>
        <vt:i4>1507391</vt:i4>
      </vt:variant>
      <vt:variant>
        <vt:i4>341</vt:i4>
      </vt:variant>
      <vt:variant>
        <vt:i4>0</vt:i4>
      </vt:variant>
      <vt:variant>
        <vt:i4>5</vt:i4>
      </vt:variant>
      <vt:variant>
        <vt:lpwstr/>
      </vt:variant>
      <vt:variant>
        <vt:lpwstr>_Toc443487070</vt:lpwstr>
      </vt:variant>
      <vt:variant>
        <vt:i4>1638461</vt:i4>
      </vt:variant>
      <vt:variant>
        <vt:i4>332</vt:i4>
      </vt:variant>
      <vt:variant>
        <vt:i4>0</vt:i4>
      </vt:variant>
      <vt:variant>
        <vt:i4>5</vt:i4>
      </vt:variant>
      <vt:variant>
        <vt:lpwstr/>
      </vt:variant>
      <vt:variant>
        <vt:lpwstr>_Toc443488261</vt:lpwstr>
      </vt:variant>
      <vt:variant>
        <vt:i4>1638461</vt:i4>
      </vt:variant>
      <vt:variant>
        <vt:i4>326</vt:i4>
      </vt:variant>
      <vt:variant>
        <vt:i4>0</vt:i4>
      </vt:variant>
      <vt:variant>
        <vt:i4>5</vt:i4>
      </vt:variant>
      <vt:variant>
        <vt:lpwstr/>
      </vt:variant>
      <vt:variant>
        <vt:lpwstr>_Toc443488260</vt:lpwstr>
      </vt:variant>
      <vt:variant>
        <vt:i4>1703997</vt:i4>
      </vt:variant>
      <vt:variant>
        <vt:i4>320</vt:i4>
      </vt:variant>
      <vt:variant>
        <vt:i4>0</vt:i4>
      </vt:variant>
      <vt:variant>
        <vt:i4>5</vt:i4>
      </vt:variant>
      <vt:variant>
        <vt:lpwstr/>
      </vt:variant>
      <vt:variant>
        <vt:lpwstr>_Toc443488259</vt:lpwstr>
      </vt:variant>
      <vt:variant>
        <vt:i4>1703997</vt:i4>
      </vt:variant>
      <vt:variant>
        <vt:i4>314</vt:i4>
      </vt:variant>
      <vt:variant>
        <vt:i4>0</vt:i4>
      </vt:variant>
      <vt:variant>
        <vt:i4>5</vt:i4>
      </vt:variant>
      <vt:variant>
        <vt:lpwstr/>
      </vt:variant>
      <vt:variant>
        <vt:lpwstr>_Toc443488258</vt:lpwstr>
      </vt:variant>
      <vt:variant>
        <vt:i4>1703997</vt:i4>
      </vt:variant>
      <vt:variant>
        <vt:i4>308</vt:i4>
      </vt:variant>
      <vt:variant>
        <vt:i4>0</vt:i4>
      </vt:variant>
      <vt:variant>
        <vt:i4>5</vt:i4>
      </vt:variant>
      <vt:variant>
        <vt:lpwstr/>
      </vt:variant>
      <vt:variant>
        <vt:lpwstr>_Toc443488257</vt:lpwstr>
      </vt:variant>
      <vt:variant>
        <vt:i4>1703997</vt:i4>
      </vt:variant>
      <vt:variant>
        <vt:i4>302</vt:i4>
      </vt:variant>
      <vt:variant>
        <vt:i4>0</vt:i4>
      </vt:variant>
      <vt:variant>
        <vt:i4>5</vt:i4>
      </vt:variant>
      <vt:variant>
        <vt:lpwstr/>
      </vt:variant>
      <vt:variant>
        <vt:lpwstr>_Toc443488256</vt:lpwstr>
      </vt:variant>
      <vt:variant>
        <vt:i4>1703997</vt:i4>
      </vt:variant>
      <vt:variant>
        <vt:i4>296</vt:i4>
      </vt:variant>
      <vt:variant>
        <vt:i4>0</vt:i4>
      </vt:variant>
      <vt:variant>
        <vt:i4>5</vt:i4>
      </vt:variant>
      <vt:variant>
        <vt:lpwstr/>
      </vt:variant>
      <vt:variant>
        <vt:lpwstr>_Toc443488255</vt:lpwstr>
      </vt:variant>
      <vt:variant>
        <vt:i4>1703997</vt:i4>
      </vt:variant>
      <vt:variant>
        <vt:i4>290</vt:i4>
      </vt:variant>
      <vt:variant>
        <vt:i4>0</vt:i4>
      </vt:variant>
      <vt:variant>
        <vt:i4>5</vt:i4>
      </vt:variant>
      <vt:variant>
        <vt:lpwstr/>
      </vt:variant>
      <vt:variant>
        <vt:lpwstr>_Toc443488254</vt:lpwstr>
      </vt:variant>
      <vt:variant>
        <vt:i4>1703997</vt:i4>
      </vt:variant>
      <vt:variant>
        <vt:i4>284</vt:i4>
      </vt:variant>
      <vt:variant>
        <vt:i4>0</vt:i4>
      </vt:variant>
      <vt:variant>
        <vt:i4>5</vt:i4>
      </vt:variant>
      <vt:variant>
        <vt:lpwstr/>
      </vt:variant>
      <vt:variant>
        <vt:lpwstr>_Toc443488253</vt:lpwstr>
      </vt:variant>
      <vt:variant>
        <vt:i4>1703997</vt:i4>
      </vt:variant>
      <vt:variant>
        <vt:i4>278</vt:i4>
      </vt:variant>
      <vt:variant>
        <vt:i4>0</vt:i4>
      </vt:variant>
      <vt:variant>
        <vt:i4>5</vt:i4>
      </vt:variant>
      <vt:variant>
        <vt:lpwstr/>
      </vt:variant>
      <vt:variant>
        <vt:lpwstr>_Toc443488252</vt:lpwstr>
      </vt:variant>
      <vt:variant>
        <vt:i4>1703997</vt:i4>
      </vt:variant>
      <vt:variant>
        <vt:i4>272</vt:i4>
      </vt:variant>
      <vt:variant>
        <vt:i4>0</vt:i4>
      </vt:variant>
      <vt:variant>
        <vt:i4>5</vt:i4>
      </vt:variant>
      <vt:variant>
        <vt:lpwstr/>
      </vt:variant>
      <vt:variant>
        <vt:lpwstr>_Toc443488251</vt:lpwstr>
      </vt:variant>
      <vt:variant>
        <vt:i4>1703997</vt:i4>
      </vt:variant>
      <vt:variant>
        <vt:i4>266</vt:i4>
      </vt:variant>
      <vt:variant>
        <vt:i4>0</vt:i4>
      </vt:variant>
      <vt:variant>
        <vt:i4>5</vt:i4>
      </vt:variant>
      <vt:variant>
        <vt:lpwstr/>
      </vt:variant>
      <vt:variant>
        <vt:lpwstr>_Toc443488250</vt:lpwstr>
      </vt:variant>
      <vt:variant>
        <vt:i4>1769533</vt:i4>
      </vt:variant>
      <vt:variant>
        <vt:i4>260</vt:i4>
      </vt:variant>
      <vt:variant>
        <vt:i4>0</vt:i4>
      </vt:variant>
      <vt:variant>
        <vt:i4>5</vt:i4>
      </vt:variant>
      <vt:variant>
        <vt:lpwstr/>
      </vt:variant>
      <vt:variant>
        <vt:lpwstr>_Toc443488249</vt:lpwstr>
      </vt:variant>
      <vt:variant>
        <vt:i4>1769533</vt:i4>
      </vt:variant>
      <vt:variant>
        <vt:i4>254</vt:i4>
      </vt:variant>
      <vt:variant>
        <vt:i4>0</vt:i4>
      </vt:variant>
      <vt:variant>
        <vt:i4>5</vt:i4>
      </vt:variant>
      <vt:variant>
        <vt:lpwstr/>
      </vt:variant>
      <vt:variant>
        <vt:lpwstr>_Toc443488248</vt:lpwstr>
      </vt:variant>
      <vt:variant>
        <vt:i4>1769533</vt:i4>
      </vt:variant>
      <vt:variant>
        <vt:i4>248</vt:i4>
      </vt:variant>
      <vt:variant>
        <vt:i4>0</vt:i4>
      </vt:variant>
      <vt:variant>
        <vt:i4>5</vt:i4>
      </vt:variant>
      <vt:variant>
        <vt:lpwstr/>
      </vt:variant>
      <vt:variant>
        <vt:lpwstr>_Toc443488247</vt:lpwstr>
      </vt:variant>
      <vt:variant>
        <vt:i4>1769533</vt:i4>
      </vt:variant>
      <vt:variant>
        <vt:i4>242</vt:i4>
      </vt:variant>
      <vt:variant>
        <vt:i4>0</vt:i4>
      </vt:variant>
      <vt:variant>
        <vt:i4>5</vt:i4>
      </vt:variant>
      <vt:variant>
        <vt:lpwstr/>
      </vt:variant>
      <vt:variant>
        <vt:lpwstr>_Toc443488246</vt:lpwstr>
      </vt:variant>
      <vt:variant>
        <vt:i4>1769533</vt:i4>
      </vt:variant>
      <vt:variant>
        <vt:i4>236</vt:i4>
      </vt:variant>
      <vt:variant>
        <vt:i4>0</vt:i4>
      </vt:variant>
      <vt:variant>
        <vt:i4>5</vt:i4>
      </vt:variant>
      <vt:variant>
        <vt:lpwstr/>
      </vt:variant>
      <vt:variant>
        <vt:lpwstr>_Toc443488245</vt:lpwstr>
      </vt:variant>
      <vt:variant>
        <vt:i4>1769533</vt:i4>
      </vt:variant>
      <vt:variant>
        <vt:i4>230</vt:i4>
      </vt:variant>
      <vt:variant>
        <vt:i4>0</vt:i4>
      </vt:variant>
      <vt:variant>
        <vt:i4>5</vt:i4>
      </vt:variant>
      <vt:variant>
        <vt:lpwstr/>
      </vt:variant>
      <vt:variant>
        <vt:lpwstr>_Toc443488244</vt:lpwstr>
      </vt:variant>
      <vt:variant>
        <vt:i4>1769533</vt:i4>
      </vt:variant>
      <vt:variant>
        <vt:i4>224</vt:i4>
      </vt:variant>
      <vt:variant>
        <vt:i4>0</vt:i4>
      </vt:variant>
      <vt:variant>
        <vt:i4>5</vt:i4>
      </vt:variant>
      <vt:variant>
        <vt:lpwstr/>
      </vt:variant>
      <vt:variant>
        <vt:lpwstr>_Toc443488243</vt:lpwstr>
      </vt:variant>
      <vt:variant>
        <vt:i4>1769533</vt:i4>
      </vt:variant>
      <vt:variant>
        <vt:i4>218</vt:i4>
      </vt:variant>
      <vt:variant>
        <vt:i4>0</vt:i4>
      </vt:variant>
      <vt:variant>
        <vt:i4>5</vt:i4>
      </vt:variant>
      <vt:variant>
        <vt:lpwstr/>
      </vt:variant>
      <vt:variant>
        <vt:lpwstr>_Toc443488242</vt:lpwstr>
      </vt:variant>
      <vt:variant>
        <vt:i4>1769533</vt:i4>
      </vt:variant>
      <vt:variant>
        <vt:i4>212</vt:i4>
      </vt:variant>
      <vt:variant>
        <vt:i4>0</vt:i4>
      </vt:variant>
      <vt:variant>
        <vt:i4>5</vt:i4>
      </vt:variant>
      <vt:variant>
        <vt:lpwstr/>
      </vt:variant>
      <vt:variant>
        <vt:lpwstr>_Toc443488241</vt:lpwstr>
      </vt:variant>
      <vt:variant>
        <vt:i4>1769533</vt:i4>
      </vt:variant>
      <vt:variant>
        <vt:i4>206</vt:i4>
      </vt:variant>
      <vt:variant>
        <vt:i4>0</vt:i4>
      </vt:variant>
      <vt:variant>
        <vt:i4>5</vt:i4>
      </vt:variant>
      <vt:variant>
        <vt:lpwstr/>
      </vt:variant>
      <vt:variant>
        <vt:lpwstr>_Toc443488240</vt:lpwstr>
      </vt:variant>
      <vt:variant>
        <vt:i4>1835069</vt:i4>
      </vt:variant>
      <vt:variant>
        <vt:i4>200</vt:i4>
      </vt:variant>
      <vt:variant>
        <vt:i4>0</vt:i4>
      </vt:variant>
      <vt:variant>
        <vt:i4>5</vt:i4>
      </vt:variant>
      <vt:variant>
        <vt:lpwstr/>
      </vt:variant>
      <vt:variant>
        <vt:lpwstr>_Toc443488239</vt:lpwstr>
      </vt:variant>
      <vt:variant>
        <vt:i4>1835069</vt:i4>
      </vt:variant>
      <vt:variant>
        <vt:i4>194</vt:i4>
      </vt:variant>
      <vt:variant>
        <vt:i4>0</vt:i4>
      </vt:variant>
      <vt:variant>
        <vt:i4>5</vt:i4>
      </vt:variant>
      <vt:variant>
        <vt:lpwstr/>
      </vt:variant>
      <vt:variant>
        <vt:lpwstr>_Toc443488238</vt:lpwstr>
      </vt:variant>
      <vt:variant>
        <vt:i4>1835069</vt:i4>
      </vt:variant>
      <vt:variant>
        <vt:i4>188</vt:i4>
      </vt:variant>
      <vt:variant>
        <vt:i4>0</vt:i4>
      </vt:variant>
      <vt:variant>
        <vt:i4>5</vt:i4>
      </vt:variant>
      <vt:variant>
        <vt:lpwstr/>
      </vt:variant>
      <vt:variant>
        <vt:lpwstr>_Toc443488237</vt:lpwstr>
      </vt:variant>
      <vt:variant>
        <vt:i4>1835069</vt:i4>
      </vt:variant>
      <vt:variant>
        <vt:i4>182</vt:i4>
      </vt:variant>
      <vt:variant>
        <vt:i4>0</vt:i4>
      </vt:variant>
      <vt:variant>
        <vt:i4>5</vt:i4>
      </vt:variant>
      <vt:variant>
        <vt:lpwstr/>
      </vt:variant>
      <vt:variant>
        <vt:lpwstr>_Toc443488236</vt:lpwstr>
      </vt:variant>
      <vt:variant>
        <vt:i4>1835069</vt:i4>
      </vt:variant>
      <vt:variant>
        <vt:i4>176</vt:i4>
      </vt:variant>
      <vt:variant>
        <vt:i4>0</vt:i4>
      </vt:variant>
      <vt:variant>
        <vt:i4>5</vt:i4>
      </vt:variant>
      <vt:variant>
        <vt:lpwstr/>
      </vt:variant>
      <vt:variant>
        <vt:lpwstr>_Toc443488235</vt:lpwstr>
      </vt:variant>
      <vt:variant>
        <vt:i4>1835069</vt:i4>
      </vt:variant>
      <vt:variant>
        <vt:i4>170</vt:i4>
      </vt:variant>
      <vt:variant>
        <vt:i4>0</vt:i4>
      </vt:variant>
      <vt:variant>
        <vt:i4>5</vt:i4>
      </vt:variant>
      <vt:variant>
        <vt:lpwstr/>
      </vt:variant>
      <vt:variant>
        <vt:lpwstr>_Toc443488234</vt:lpwstr>
      </vt:variant>
      <vt:variant>
        <vt:i4>1835069</vt:i4>
      </vt:variant>
      <vt:variant>
        <vt:i4>164</vt:i4>
      </vt:variant>
      <vt:variant>
        <vt:i4>0</vt:i4>
      </vt:variant>
      <vt:variant>
        <vt:i4>5</vt:i4>
      </vt:variant>
      <vt:variant>
        <vt:lpwstr/>
      </vt:variant>
      <vt:variant>
        <vt:lpwstr>_Toc443488233</vt:lpwstr>
      </vt:variant>
      <vt:variant>
        <vt:i4>1835069</vt:i4>
      </vt:variant>
      <vt:variant>
        <vt:i4>158</vt:i4>
      </vt:variant>
      <vt:variant>
        <vt:i4>0</vt:i4>
      </vt:variant>
      <vt:variant>
        <vt:i4>5</vt:i4>
      </vt:variant>
      <vt:variant>
        <vt:lpwstr/>
      </vt:variant>
      <vt:variant>
        <vt:lpwstr>_Toc443488232</vt:lpwstr>
      </vt:variant>
      <vt:variant>
        <vt:i4>1835069</vt:i4>
      </vt:variant>
      <vt:variant>
        <vt:i4>152</vt:i4>
      </vt:variant>
      <vt:variant>
        <vt:i4>0</vt:i4>
      </vt:variant>
      <vt:variant>
        <vt:i4>5</vt:i4>
      </vt:variant>
      <vt:variant>
        <vt:lpwstr/>
      </vt:variant>
      <vt:variant>
        <vt:lpwstr>_Toc443488231</vt:lpwstr>
      </vt:variant>
      <vt:variant>
        <vt:i4>1835069</vt:i4>
      </vt:variant>
      <vt:variant>
        <vt:i4>146</vt:i4>
      </vt:variant>
      <vt:variant>
        <vt:i4>0</vt:i4>
      </vt:variant>
      <vt:variant>
        <vt:i4>5</vt:i4>
      </vt:variant>
      <vt:variant>
        <vt:lpwstr/>
      </vt:variant>
      <vt:variant>
        <vt:lpwstr>_Toc443488230</vt:lpwstr>
      </vt:variant>
      <vt:variant>
        <vt:i4>1900605</vt:i4>
      </vt:variant>
      <vt:variant>
        <vt:i4>140</vt:i4>
      </vt:variant>
      <vt:variant>
        <vt:i4>0</vt:i4>
      </vt:variant>
      <vt:variant>
        <vt:i4>5</vt:i4>
      </vt:variant>
      <vt:variant>
        <vt:lpwstr/>
      </vt:variant>
      <vt:variant>
        <vt:lpwstr>_Toc443488229</vt:lpwstr>
      </vt:variant>
      <vt:variant>
        <vt:i4>1900605</vt:i4>
      </vt:variant>
      <vt:variant>
        <vt:i4>134</vt:i4>
      </vt:variant>
      <vt:variant>
        <vt:i4>0</vt:i4>
      </vt:variant>
      <vt:variant>
        <vt:i4>5</vt:i4>
      </vt:variant>
      <vt:variant>
        <vt:lpwstr/>
      </vt:variant>
      <vt:variant>
        <vt:lpwstr>_Toc443488228</vt:lpwstr>
      </vt:variant>
      <vt:variant>
        <vt:i4>1900605</vt:i4>
      </vt:variant>
      <vt:variant>
        <vt:i4>128</vt:i4>
      </vt:variant>
      <vt:variant>
        <vt:i4>0</vt:i4>
      </vt:variant>
      <vt:variant>
        <vt:i4>5</vt:i4>
      </vt:variant>
      <vt:variant>
        <vt:lpwstr/>
      </vt:variant>
      <vt:variant>
        <vt:lpwstr>_Toc443488227</vt:lpwstr>
      </vt:variant>
      <vt:variant>
        <vt:i4>1900605</vt:i4>
      </vt:variant>
      <vt:variant>
        <vt:i4>122</vt:i4>
      </vt:variant>
      <vt:variant>
        <vt:i4>0</vt:i4>
      </vt:variant>
      <vt:variant>
        <vt:i4>5</vt:i4>
      </vt:variant>
      <vt:variant>
        <vt:lpwstr/>
      </vt:variant>
      <vt:variant>
        <vt:lpwstr>_Toc443488226</vt:lpwstr>
      </vt:variant>
      <vt:variant>
        <vt:i4>1900605</vt:i4>
      </vt:variant>
      <vt:variant>
        <vt:i4>116</vt:i4>
      </vt:variant>
      <vt:variant>
        <vt:i4>0</vt:i4>
      </vt:variant>
      <vt:variant>
        <vt:i4>5</vt:i4>
      </vt:variant>
      <vt:variant>
        <vt:lpwstr/>
      </vt:variant>
      <vt:variant>
        <vt:lpwstr>_Toc443488225</vt:lpwstr>
      </vt:variant>
      <vt:variant>
        <vt:i4>1900605</vt:i4>
      </vt:variant>
      <vt:variant>
        <vt:i4>110</vt:i4>
      </vt:variant>
      <vt:variant>
        <vt:i4>0</vt:i4>
      </vt:variant>
      <vt:variant>
        <vt:i4>5</vt:i4>
      </vt:variant>
      <vt:variant>
        <vt:lpwstr/>
      </vt:variant>
      <vt:variant>
        <vt:lpwstr>_Toc443488224</vt:lpwstr>
      </vt:variant>
      <vt:variant>
        <vt:i4>1900605</vt:i4>
      </vt:variant>
      <vt:variant>
        <vt:i4>104</vt:i4>
      </vt:variant>
      <vt:variant>
        <vt:i4>0</vt:i4>
      </vt:variant>
      <vt:variant>
        <vt:i4>5</vt:i4>
      </vt:variant>
      <vt:variant>
        <vt:lpwstr/>
      </vt:variant>
      <vt:variant>
        <vt:lpwstr>_Toc443488223</vt:lpwstr>
      </vt:variant>
      <vt:variant>
        <vt:i4>1900605</vt:i4>
      </vt:variant>
      <vt:variant>
        <vt:i4>98</vt:i4>
      </vt:variant>
      <vt:variant>
        <vt:i4>0</vt:i4>
      </vt:variant>
      <vt:variant>
        <vt:i4>5</vt:i4>
      </vt:variant>
      <vt:variant>
        <vt:lpwstr/>
      </vt:variant>
      <vt:variant>
        <vt:lpwstr>_Toc443488222</vt:lpwstr>
      </vt:variant>
      <vt:variant>
        <vt:i4>1900605</vt:i4>
      </vt:variant>
      <vt:variant>
        <vt:i4>92</vt:i4>
      </vt:variant>
      <vt:variant>
        <vt:i4>0</vt:i4>
      </vt:variant>
      <vt:variant>
        <vt:i4>5</vt:i4>
      </vt:variant>
      <vt:variant>
        <vt:lpwstr/>
      </vt:variant>
      <vt:variant>
        <vt:lpwstr>_Toc443488221</vt:lpwstr>
      </vt:variant>
      <vt:variant>
        <vt:i4>1900605</vt:i4>
      </vt:variant>
      <vt:variant>
        <vt:i4>86</vt:i4>
      </vt:variant>
      <vt:variant>
        <vt:i4>0</vt:i4>
      </vt:variant>
      <vt:variant>
        <vt:i4>5</vt:i4>
      </vt:variant>
      <vt:variant>
        <vt:lpwstr/>
      </vt:variant>
      <vt:variant>
        <vt:lpwstr>_Toc443488220</vt:lpwstr>
      </vt:variant>
      <vt:variant>
        <vt:i4>1966141</vt:i4>
      </vt:variant>
      <vt:variant>
        <vt:i4>80</vt:i4>
      </vt:variant>
      <vt:variant>
        <vt:i4>0</vt:i4>
      </vt:variant>
      <vt:variant>
        <vt:i4>5</vt:i4>
      </vt:variant>
      <vt:variant>
        <vt:lpwstr/>
      </vt:variant>
      <vt:variant>
        <vt:lpwstr>_Toc443488219</vt:lpwstr>
      </vt:variant>
      <vt:variant>
        <vt:i4>1966141</vt:i4>
      </vt:variant>
      <vt:variant>
        <vt:i4>74</vt:i4>
      </vt:variant>
      <vt:variant>
        <vt:i4>0</vt:i4>
      </vt:variant>
      <vt:variant>
        <vt:i4>5</vt:i4>
      </vt:variant>
      <vt:variant>
        <vt:lpwstr/>
      </vt:variant>
      <vt:variant>
        <vt:lpwstr>_Toc443488218</vt:lpwstr>
      </vt:variant>
      <vt:variant>
        <vt:i4>1966141</vt:i4>
      </vt:variant>
      <vt:variant>
        <vt:i4>68</vt:i4>
      </vt:variant>
      <vt:variant>
        <vt:i4>0</vt:i4>
      </vt:variant>
      <vt:variant>
        <vt:i4>5</vt:i4>
      </vt:variant>
      <vt:variant>
        <vt:lpwstr/>
      </vt:variant>
      <vt:variant>
        <vt:lpwstr>_Toc443488217</vt:lpwstr>
      </vt:variant>
      <vt:variant>
        <vt:i4>1966141</vt:i4>
      </vt:variant>
      <vt:variant>
        <vt:i4>62</vt:i4>
      </vt:variant>
      <vt:variant>
        <vt:i4>0</vt:i4>
      </vt:variant>
      <vt:variant>
        <vt:i4>5</vt:i4>
      </vt:variant>
      <vt:variant>
        <vt:lpwstr/>
      </vt:variant>
      <vt:variant>
        <vt:lpwstr>_Toc443488216</vt:lpwstr>
      </vt:variant>
      <vt:variant>
        <vt:i4>1966141</vt:i4>
      </vt:variant>
      <vt:variant>
        <vt:i4>56</vt:i4>
      </vt:variant>
      <vt:variant>
        <vt:i4>0</vt:i4>
      </vt:variant>
      <vt:variant>
        <vt:i4>5</vt:i4>
      </vt:variant>
      <vt:variant>
        <vt:lpwstr/>
      </vt:variant>
      <vt:variant>
        <vt:lpwstr>_Toc443488215</vt:lpwstr>
      </vt:variant>
      <vt:variant>
        <vt:i4>1966141</vt:i4>
      </vt:variant>
      <vt:variant>
        <vt:i4>50</vt:i4>
      </vt:variant>
      <vt:variant>
        <vt:i4>0</vt:i4>
      </vt:variant>
      <vt:variant>
        <vt:i4>5</vt:i4>
      </vt:variant>
      <vt:variant>
        <vt:lpwstr/>
      </vt:variant>
      <vt:variant>
        <vt:lpwstr>_Toc443488214</vt:lpwstr>
      </vt:variant>
      <vt:variant>
        <vt:i4>1966141</vt:i4>
      </vt:variant>
      <vt:variant>
        <vt:i4>44</vt:i4>
      </vt:variant>
      <vt:variant>
        <vt:i4>0</vt:i4>
      </vt:variant>
      <vt:variant>
        <vt:i4>5</vt:i4>
      </vt:variant>
      <vt:variant>
        <vt:lpwstr/>
      </vt:variant>
      <vt:variant>
        <vt:lpwstr>_Toc443488213</vt:lpwstr>
      </vt:variant>
      <vt:variant>
        <vt:i4>1966141</vt:i4>
      </vt:variant>
      <vt:variant>
        <vt:i4>38</vt:i4>
      </vt:variant>
      <vt:variant>
        <vt:i4>0</vt:i4>
      </vt:variant>
      <vt:variant>
        <vt:i4>5</vt:i4>
      </vt:variant>
      <vt:variant>
        <vt:lpwstr/>
      </vt:variant>
      <vt:variant>
        <vt:lpwstr>_Toc443488212</vt:lpwstr>
      </vt:variant>
      <vt:variant>
        <vt:i4>1966141</vt:i4>
      </vt:variant>
      <vt:variant>
        <vt:i4>32</vt:i4>
      </vt:variant>
      <vt:variant>
        <vt:i4>0</vt:i4>
      </vt:variant>
      <vt:variant>
        <vt:i4>5</vt:i4>
      </vt:variant>
      <vt:variant>
        <vt:lpwstr/>
      </vt:variant>
      <vt:variant>
        <vt:lpwstr>_Toc443488211</vt:lpwstr>
      </vt:variant>
      <vt:variant>
        <vt:i4>1966141</vt:i4>
      </vt:variant>
      <vt:variant>
        <vt:i4>26</vt:i4>
      </vt:variant>
      <vt:variant>
        <vt:i4>0</vt:i4>
      </vt:variant>
      <vt:variant>
        <vt:i4>5</vt:i4>
      </vt:variant>
      <vt:variant>
        <vt:lpwstr/>
      </vt:variant>
      <vt:variant>
        <vt:lpwstr>_Toc443488210</vt:lpwstr>
      </vt:variant>
      <vt:variant>
        <vt:i4>2031677</vt:i4>
      </vt:variant>
      <vt:variant>
        <vt:i4>20</vt:i4>
      </vt:variant>
      <vt:variant>
        <vt:i4>0</vt:i4>
      </vt:variant>
      <vt:variant>
        <vt:i4>5</vt:i4>
      </vt:variant>
      <vt:variant>
        <vt:lpwstr/>
      </vt:variant>
      <vt:variant>
        <vt:lpwstr>_Toc443488209</vt:lpwstr>
      </vt:variant>
      <vt:variant>
        <vt:i4>2031677</vt:i4>
      </vt:variant>
      <vt:variant>
        <vt:i4>14</vt:i4>
      </vt:variant>
      <vt:variant>
        <vt:i4>0</vt:i4>
      </vt:variant>
      <vt:variant>
        <vt:i4>5</vt:i4>
      </vt:variant>
      <vt:variant>
        <vt:lpwstr/>
      </vt:variant>
      <vt:variant>
        <vt:lpwstr>_Toc443488208</vt:lpwstr>
      </vt:variant>
      <vt:variant>
        <vt:i4>2031677</vt:i4>
      </vt:variant>
      <vt:variant>
        <vt:i4>8</vt:i4>
      </vt:variant>
      <vt:variant>
        <vt:i4>0</vt:i4>
      </vt:variant>
      <vt:variant>
        <vt:i4>5</vt:i4>
      </vt:variant>
      <vt:variant>
        <vt:lpwstr/>
      </vt:variant>
      <vt:variant>
        <vt:lpwstr>_Toc443488207</vt:lpwstr>
      </vt:variant>
      <vt:variant>
        <vt:i4>1310792</vt:i4>
      </vt:variant>
      <vt:variant>
        <vt:i4>3</vt:i4>
      </vt:variant>
      <vt:variant>
        <vt:i4>0</vt:i4>
      </vt:variant>
      <vt:variant>
        <vt:i4>5</vt:i4>
      </vt:variant>
      <vt:variant>
        <vt:lpwstr>http://www.parliament.act.gov.au/</vt:lpwstr>
      </vt:variant>
      <vt:variant>
        <vt:lpwstr/>
      </vt:variant>
      <vt:variant>
        <vt:i4>4980832</vt:i4>
      </vt:variant>
      <vt:variant>
        <vt:i4>0</vt:i4>
      </vt:variant>
      <vt:variant>
        <vt:i4>0</vt:i4>
      </vt:variant>
      <vt:variant>
        <vt:i4>5</vt:i4>
      </vt:variant>
      <vt:variant>
        <vt:lpwstr>mailto:committees@parliament.act.gov.au</vt:lpwstr>
      </vt:variant>
      <vt:variant>
        <vt:lpwstr/>
      </vt:variant>
      <vt:variant>
        <vt:i4>3080236</vt:i4>
      </vt:variant>
      <vt:variant>
        <vt:i4>141</vt:i4>
      </vt:variant>
      <vt:variant>
        <vt:i4>0</vt:i4>
      </vt:variant>
      <vt:variant>
        <vt:i4>5</vt:i4>
      </vt:variant>
      <vt:variant>
        <vt:lpwstr>http://www.aph.gov.au/Parliamentary_Business/Committees/Senate/Education_and_Employment/vocationaled/Final_Report</vt:lpwstr>
      </vt:variant>
      <vt:variant>
        <vt:lpwstr/>
      </vt:variant>
      <vt:variant>
        <vt:i4>7405610</vt:i4>
      </vt:variant>
      <vt:variant>
        <vt:i4>138</vt:i4>
      </vt:variant>
      <vt:variant>
        <vt:i4>0</vt:i4>
      </vt:variant>
      <vt:variant>
        <vt:i4>5</vt:i4>
      </vt:variant>
      <vt:variant>
        <vt:lpwstr>http://www.ncver.edu.au/wps/wcm/connect/6ba732b8-18e3-4edd-ae03-91eff6cace65/International-approaches-2775.pdf?MOD=AJPERES&amp;CACHEID=6ba732b8-18e3-4edd-ae03-91eff6cace65</vt:lpwstr>
      </vt:variant>
      <vt:variant>
        <vt:lpwstr/>
      </vt:variant>
      <vt:variant>
        <vt:i4>7405610</vt:i4>
      </vt:variant>
      <vt:variant>
        <vt:i4>135</vt:i4>
      </vt:variant>
      <vt:variant>
        <vt:i4>0</vt:i4>
      </vt:variant>
      <vt:variant>
        <vt:i4>5</vt:i4>
      </vt:variant>
      <vt:variant>
        <vt:lpwstr>http://www.ncver.edu.au/wps/wcm/connect/6ba732b8-18e3-4edd-ae03-91eff6cace65/International-approaches-2775.pdf?MOD=AJPERES&amp;CACHEID=6ba732b8-18e3-4edd-ae03-91eff6cace65</vt:lpwstr>
      </vt:variant>
      <vt:variant>
        <vt:lpwstr/>
      </vt:variant>
      <vt:variant>
        <vt:i4>7405610</vt:i4>
      </vt:variant>
      <vt:variant>
        <vt:i4>132</vt:i4>
      </vt:variant>
      <vt:variant>
        <vt:i4>0</vt:i4>
      </vt:variant>
      <vt:variant>
        <vt:i4>5</vt:i4>
      </vt:variant>
      <vt:variant>
        <vt:lpwstr>http://www.ncver.edu.au/wps/wcm/connect/6ba732b8-18e3-4edd-ae03-91eff6cace65/International-approaches-2775.pdf?MOD=AJPERES&amp;CACHEID=6ba732b8-18e3-4edd-ae03-91eff6cace65</vt:lpwstr>
      </vt:variant>
      <vt:variant>
        <vt:lpwstr/>
      </vt:variant>
      <vt:variant>
        <vt:i4>7405610</vt:i4>
      </vt:variant>
      <vt:variant>
        <vt:i4>129</vt:i4>
      </vt:variant>
      <vt:variant>
        <vt:i4>0</vt:i4>
      </vt:variant>
      <vt:variant>
        <vt:i4>5</vt:i4>
      </vt:variant>
      <vt:variant>
        <vt:lpwstr>http://www.ncver.edu.au/wps/wcm/connect/6ba732b8-18e3-4edd-ae03-91eff6cace65/International-approaches-2775.pdf?MOD=AJPERES&amp;CACHEID=6ba732b8-18e3-4edd-ae03-91eff6cace65</vt:lpwstr>
      </vt:variant>
      <vt:variant>
        <vt:lpwstr/>
      </vt:variant>
      <vt:variant>
        <vt:i4>3080236</vt:i4>
      </vt:variant>
      <vt:variant>
        <vt:i4>126</vt:i4>
      </vt:variant>
      <vt:variant>
        <vt:i4>0</vt:i4>
      </vt:variant>
      <vt:variant>
        <vt:i4>5</vt:i4>
      </vt:variant>
      <vt:variant>
        <vt:lpwstr>http://www.aph.gov.au/Parliamentary_Business/Committees/Senate/Education_and_Employment/vocationaled/Final_Report</vt:lpwstr>
      </vt:variant>
      <vt:variant>
        <vt:lpwstr/>
      </vt:variant>
      <vt:variant>
        <vt:i4>3080236</vt:i4>
      </vt:variant>
      <vt:variant>
        <vt:i4>123</vt:i4>
      </vt:variant>
      <vt:variant>
        <vt:i4>0</vt:i4>
      </vt:variant>
      <vt:variant>
        <vt:i4>5</vt:i4>
      </vt:variant>
      <vt:variant>
        <vt:lpwstr>http://www.aph.gov.au/Parliamentary_Business/Committees/Senate/Education_and_Employment/vocationaled/Final_Report</vt:lpwstr>
      </vt:variant>
      <vt:variant>
        <vt:lpwstr/>
      </vt:variant>
      <vt:variant>
        <vt:i4>7405610</vt:i4>
      </vt:variant>
      <vt:variant>
        <vt:i4>120</vt:i4>
      </vt:variant>
      <vt:variant>
        <vt:i4>0</vt:i4>
      </vt:variant>
      <vt:variant>
        <vt:i4>5</vt:i4>
      </vt:variant>
      <vt:variant>
        <vt:lpwstr>http://www.ncver.edu.au/wps/wcm/connect/6ba732b8-18e3-4edd-ae03-91eff6cace65/International-approaches-2775.pdf?MOD=AJPERES&amp;CACHEID=6ba732b8-18e3-4edd-ae03-91eff6cace65</vt:lpwstr>
      </vt:variant>
      <vt:variant>
        <vt:lpwstr/>
      </vt:variant>
      <vt:variant>
        <vt:i4>1769550</vt:i4>
      </vt:variant>
      <vt:variant>
        <vt:i4>117</vt:i4>
      </vt:variant>
      <vt:variant>
        <vt:i4>0</vt:i4>
      </vt:variant>
      <vt:variant>
        <vt:i4>5</vt:i4>
      </vt:variant>
      <vt:variant>
        <vt:lpwstr>http://www.ncver.edu.au/wps/wcm/connect/c1f04425-6b6f-4ce1-ac09-b5c2db51a842/nr2l04.pdf?MOD=AJPERES&amp;CACHEID=c1f04425-6b6f-4ce1-ac09-b5c2db51a842</vt:lpwstr>
      </vt:variant>
      <vt:variant>
        <vt:lpwstr/>
      </vt:variant>
      <vt:variant>
        <vt:i4>1769550</vt:i4>
      </vt:variant>
      <vt:variant>
        <vt:i4>114</vt:i4>
      </vt:variant>
      <vt:variant>
        <vt:i4>0</vt:i4>
      </vt:variant>
      <vt:variant>
        <vt:i4>5</vt:i4>
      </vt:variant>
      <vt:variant>
        <vt:lpwstr>http://www.ncver.edu.au/wps/wcm/connect/c1f04425-6b6f-4ce1-ac09-b5c2db51a842/nr2l04.pdf?MOD=AJPERES&amp;CACHEID=c1f04425-6b6f-4ce1-ac09-b5c2db51a842</vt:lpwstr>
      </vt:variant>
      <vt:variant>
        <vt:lpwstr/>
      </vt:variant>
      <vt:variant>
        <vt:i4>1835085</vt:i4>
      </vt:variant>
      <vt:variant>
        <vt:i4>111</vt:i4>
      </vt:variant>
      <vt:variant>
        <vt:i4>0</vt:i4>
      </vt:variant>
      <vt:variant>
        <vt:i4>5</vt:i4>
      </vt:variant>
      <vt:variant>
        <vt:lpwstr>http://www.ncver.edu.au/wps/wcm/connect/5b2403cb-993b-45fd-81da-bf59dec6a5cf/nr5l07.pdf?MOD=AJPERES&amp;CACHEID=5b2403cb-993b-45fd-81da-bf59dec6a5cf</vt:lpwstr>
      </vt:variant>
      <vt:variant>
        <vt:lpwstr/>
      </vt:variant>
      <vt:variant>
        <vt:i4>1769550</vt:i4>
      </vt:variant>
      <vt:variant>
        <vt:i4>108</vt:i4>
      </vt:variant>
      <vt:variant>
        <vt:i4>0</vt:i4>
      </vt:variant>
      <vt:variant>
        <vt:i4>5</vt:i4>
      </vt:variant>
      <vt:variant>
        <vt:lpwstr>http://www.ncver.edu.au/wps/wcm/connect/c1f04425-6b6f-4ce1-ac09-b5c2db51a842/nr2l04.pdf?MOD=AJPERES&amp;CACHEID=c1f04425-6b6f-4ce1-ac09-b5c2db51a842</vt:lpwstr>
      </vt:variant>
      <vt:variant>
        <vt:lpwstr/>
      </vt:variant>
      <vt:variant>
        <vt:i4>1835085</vt:i4>
      </vt:variant>
      <vt:variant>
        <vt:i4>105</vt:i4>
      </vt:variant>
      <vt:variant>
        <vt:i4>0</vt:i4>
      </vt:variant>
      <vt:variant>
        <vt:i4>5</vt:i4>
      </vt:variant>
      <vt:variant>
        <vt:lpwstr>http://www.ncver.edu.au/wps/wcm/connect/5b2403cb-993b-45fd-81da-bf59dec6a5cf/nr5l07.pdf?MOD=AJPERES&amp;CACHEID=5b2403cb-993b-45fd-81da-bf59dec6a5cf</vt:lpwstr>
      </vt:variant>
      <vt:variant>
        <vt:lpwstr/>
      </vt:variant>
      <vt:variant>
        <vt:i4>1835085</vt:i4>
      </vt:variant>
      <vt:variant>
        <vt:i4>102</vt:i4>
      </vt:variant>
      <vt:variant>
        <vt:i4>0</vt:i4>
      </vt:variant>
      <vt:variant>
        <vt:i4>5</vt:i4>
      </vt:variant>
      <vt:variant>
        <vt:lpwstr>http://www.ncver.edu.au/wps/wcm/connect/5b2403cb-993b-45fd-81da-bf59dec6a5cf/nr5l07.pdf?MOD=AJPERES&amp;CACHEID=5b2403cb-993b-45fd-81da-bf59dec6a5cf</vt:lpwstr>
      </vt:variant>
      <vt:variant>
        <vt:lpwstr/>
      </vt:variant>
      <vt:variant>
        <vt:i4>7602242</vt:i4>
      </vt:variant>
      <vt:variant>
        <vt:i4>99</vt:i4>
      </vt:variant>
      <vt:variant>
        <vt:i4>0</vt:i4>
      </vt:variant>
      <vt:variant>
        <vt:i4>5</vt:i4>
      </vt:variant>
      <vt:variant>
        <vt:lpwstr>http://www.abs.gov.au/ausstats/abs@.nsf/Lookup/4250.0.55.001Main+Features62009</vt:lpwstr>
      </vt:variant>
      <vt:variant>
        <vt:lpwstr/>
      </vt:variant>
      <vt:variant>
        <vt:i4>7602242</vt:i4>
      </vt:variant>
      <vt:variant>
        <vt:i4>96</vt:i4>
      </vt:variant>
      <vt:variant>
        <vt:i4>0</vt:i4>
      </vt:variant>
      <vt:variant>
        <vt:i4>5</vt:i4>
      </vt:variant>
      <vt:variant>
        <vt:lpwstr>http://www.abs.gov.au/ausstats/abs@.nsf/Lookup/4250.0.55.001Main+Features62009</vt:lpwstr>
      </vt:variant>
      <vt:variant>
        <vt:lpwstr/>
      </vt:variant>
      <vt:variant>
        <vt:i4>6029347</vt:i4>
      </vt:variant>
      <vt:variant>
        <vt:i4>93</vt:i4>
      </vt:variant>
      <vt:variant>
        <vt:i4>0</vt:i4>
      </vt:variant>
      <vt:variant>
        <vt:i4>5</vt:i4>
      </vt:variant>
      <vt:variant>
        <vt:lpwstr>http://www.abs.gov.au/ausstats/abs@.nsf/Lookup/by Subject/1367.0~2012~Feature Article~Trends in Net Overseas Migration: Australian Capital Territory (Feature Article)~10014</vt:lpwstr>
      </vt:variant>
      <vt:variant>
        <vt:lpwstr/>
      </vt:variant>
      <vt:variant>
        <vt:i4>6029347</vt:i4>
      </vt:variant>
      <vt:variant>
        <vt:i4>90</vt:i4>
      </vt:variant>
      <vt:variant>
        <vt:i4>0</vt:i4>
      </vt:variant>
      <vt:variant>
        <vt:i4>5</vt:i4>
      </vt:variant>
      <vt:variant>
        <vt:lpwstr>http://www.abs.gov.au/ausstats/abs@.nsf/Lookup/by Subject/1367.0~2012~Feature Article~Trends in Net Overseas Migration: Australian Capital Territory (Feature Article)~10014</vt:lpwstr>
      </vt:variant>
      <vt:variant>
        <vt:lpwstr/>
      </vt:variant>
      <vt:variant>
        <vt:i4>6160464</vt:i4>
      </vt:variant>
      <vt:variant>
        <vt:i4>87</vt:i4>
      </vt:variant>
      <vt:variant>
        <vt:i4>0</vt:i4>
      </vt:variant>
      <vt:variant>
        <vt:i4>5</vt:i4>
      </vt:variant>
      <vt:variant>
        <vt:lpwstr>http://www.asqa.gov.au/about/risk-based-regulation/risk-based-regulation.html</vt:lpwstr>
      </vt:variant>
      <vt:variant>
        <vt:lpwstr/>
      </vt:variant>
      <vt:variant>
        <vt:i4>2752636</vt:i4>
      </vt:variant>
      <vt:variant>
        <vt:i4>84</vt:i4>
      </vt:variant>
      <vt:variant>
        <vt:i4>0</vt:i4>
      </vt:variant>
      <vt:variant>
        <vt:i4>5</vt:i4>
      </vt:variant>
      <vt:variant>
        <vt:lpwstr>http://cit.edu.au/__data/assets/pdf_file/0018/57141/CIT_2014_Annual_Report.pdf</vt:lpwstr>
      </vt:variant>
      <vt:variant>
        <vt:lpwstr/>
      </vt:variant>
      <vt:variant>
        <vt:i4>2621478</vt:i4>
      </vt:variant>
      <vt:variant>
        <vt:i4>81</vt:i4>
      </vt:variant>
      <vt:variant>
        <vt:i4>0</vt:i4>
      </vt:variant>
      <vt:variant>
        <vt:i4>5</vt:i4>
      </vt:variant>
      <vt:variant>
        <vt:lpwstr>http://www.worksafe.act.gov.au/news/view/1312/title/investigation-into-bullying-at-theCanberraInstituteofTechnology</vt:lpwstr>
      </vt:variant>
      <vt:variant>
        <vt:lpwstr/>
      </vt:variant>
      <vt:variant>
        <vt:i4>4849664</vt:i4>
      </vt:variant>
      <vt:variant>
        <vt:i4>78</vt:i4>
      </vt:variant>
      <vt:variant>
        <vt:i4>0</vt:i4>
      </vt:variant>
      <vt:variant>
        <vt:i4>5</vt:i4>
      </vt:variant>
      <vt:variant>
        <vt:lpwstr>http://www.legislation.act.gov.au/es/db_50770/20141030-59377/pdf/db_50770.pdf</vt:lpwstr>
      </vt:variant>
      <vt:variant>
        <vt:lpwstr/>
      </vt:variant>
      <vt:variant>
        <vt:i4>4849664</vt:i4>
      </vt:variant>
      <vt:variant>
        <vt:i4>75</vt:i4>
      </vt:variant>
      <vt:variant>
        <vt:i4>0</vt:i4>
      </vt:variant>
      <vt:variant>
        <vt:i4>5</vt:i4>
      </vt:variant>
      <vt:variant>
        <vt:lpwstr>http://www.legislation.act.gov.au/es/db_50770/20141030-59377/pdf/db_50770.pdf</vt:lpwstr>
      </vt:variant>
      <vt:variant>
        <vt:lpwstr/>
      </vt:variant>
      <vt:variant>
        <vt:i4>2752636</vt:i4>
      </vt:variant>
      <vt:variant>
        <vt:i4>72</vt:i4>
      </vt:variant>
      <vt:variant>
        <vt:i4>0</vt:i4>
      </vt:variant>
      <vt:variant>
        <vt:i4>5</vt:i4>
      </vt:variant>
      <vt:variant>
        <vt:lpwstr>http://cit.edu.au/__data/assets/pdf_file/0018/57141/CIT_2014_Annual_Report.pdf</vt:lpwstr>
      </vt:variant>
      <vt:variant>
        <vt:lpwstr/>
      </vt:variant>
      <vt:variant>
        <vt:i4>7995405</vt:i4>
      </vt:variant>
      <vt:variant>
        <vt:i4>69</vt:i4>
      </vt:variant>
      <vt:variant>
        <vt:i4>0</vt:i4>
      </vt:variant>
      <vt:variant>
        <vt:i4>5</vt:i4>
      </vt:variant>
      <vt:variant>
        <vt:lpwstr>http://www.det.act.gov.au/childrens_policy_and_regulation/legislation</vt:lpwstr>
      </vt:variant>
      <vt:variant>
        <vt:lpwstr/>
      </vt:variant>
      <vt:variant>
        <vt:i4>2162737</vt:i4>
      </vt:variant>
      <vt:variant>
        <vt:i4>66</vt:i4>
      </vt:variant>
      <vt:variant>
        <vt:i4>0</vt:i4>
      </vt:variant>
      <vt:variant>
        <vt:i4>5</vt:i4>
      </vt:variant>
      <vt:variant>
        <vt:lpwstr>http://www.det.act.gov.au/school_education/transition_careers_and_vocational_learning/moving_forward_budget_initiative</vt:lpwstr>
      </vt:variant>
      <vt:variant>
        <vt:lpwstr/>
      </vt:variant>
      <vt:variant>
        <vt:i4>1048605</vt:i4>
      </vt:variant>
      <vt:variant>
        <vt:i4>63</vt:i4>
      </vt:variant>
      <vt:variant>
        <vt:i4>0</vt:i4>
      </vt:variant>
      <vt:variant>
        <vt:i4>5</vt:i4>
      </vt:variant>
      <vt:variant>
        <vt:lpwstr>http://www.det.act.gov.au/school_education/transition_careers_and_vocational_learning/pathways_planning</vt:lpwstr>
      </vt:variant>
      <vt:variant>
        <vt:lpwstr/>
      </vt:variant>
      <vt:variant>
        <vt:i4>131097</vt:i4>
      </vt:variant>
      <vt:variant>
        <vt:i4>60</vt:i4>
      </vt:variant>
      <vt:variant>
        <vt:i4>0</vt:i4>
      </vt:variant>
      <vt:variant>
        <vt:i4>5</vt:i4>
      </vt:variant>
      <vt:variant>
        <vt:lpwstr>http://www.education.gov.au/vet-fee-help-reforms</vt:lpwstr>
      </vt:variant>
      <vt:variant>
        <vt:lpwstr/>
      </vt:variant>
      <vt:variant>
        <vt:i4>3080236</vt:i4>
      </vt:variant>
      <vt:variant>
        <vt:i4>57</vt:i4>
      </vt:variant>
      <vt:variant>
        <vt:i4>0</vt:i4>
      </vt:variant>
      <vt:variant>
        <vt:i4>5</vt:i4>
      </vt:variant>
      <vt:variant>
        <vt:lpwstr>http://www.aph.gov.au/Parliamentary_Business/Committees/Senate/Education_and_Employment/vocationaled/Final_Report</vt:lpwstr>
      </vt:variant>
      <vt:variant>
        <vt:lpwstr/>
      </vt:variant>
      <vt:variant>
        <vt:i4>5832813</vt:i4>
      </vt:variant>
      <vt:variant>
        <vt:i4>54</vt:i4>
      </vt:variant>
      <vt:variant>
        <vt:i4>0</vt:i4>
      </vt:variant>
      <vt:variant>
        <vt:i4>5</vt:i4>
      </vt:variant>
      <vt:variant>
        <vt:lpwstr>http://www.aph.gov.au/Parliamentary_Business/Committees/Senate/Education_and_Employment/vocationaled/Second_Interim_Report</vt:lpwstr>
      </vt:variant>
      <vt:variant>
        <vt:lpwstr/>
      </vt:variant>
      <vt:variant>
        <vt:i4>5832813</vt:i4>
      </vt:variant>
      <vt:variant>
        <vt:i4>51</vt:i4>
      </vt:variant>
      <vt:variant>
        <vt:i4>0</vt:i4>
      </vt:variant>
      <vt:variant>
        <vt:i4>5</vt:i4>
      </vt:variant>
      <vt:variant>
        <vt:lpwstr>http://www.aph.gov.au/Parliamentary_Business/Committees/Senate/Education_and_Employment/vocationaled/Second_Interim_Report</vt:lpwstr>
      </vt:variant>
      <vt:variant>
        <vt:lpwstr/>
      </vt:variant>
      <vt:variant>
        <vt:i4>5832813</vt:i4>
      </vt:variant>
      <vt:variant>
        <vt:i4>48</vt:i4>
      </vt:variant>
      <vt:variant>
        <vt:i4>0</vt:i4>
      </vt:variant>
      <vt:variant>
        <vt:i4>5</vt:i4>
      </vt:variant>
      <vt:variant>
        <vt:lpwstr>http://www.aph.gov.au/Parliamentary_Business/Committees/Senate/Education_and_Employment/vocationaled/Second_Interim_Report</vt:lpwstr>
      </vt:variant>
      <vt:variant>
        <vt:lpwstr/>
      </vt:variant>
      <vt:variant>
        <vt:i4>852085</vt:i4>
      </vt:variant>
      <vt:variant>
        <vt:i4>45</vt:i4>
      </vt:variant>
      <vt:variant>
        <vt:i4>0</vt:i4>
      </vt:variant>
      <vt:variant>
        <vt:i4>5</vt:i4>
      </vt:variant>
      <vt:variant>
        <vt:lpwstr>http://budget.gov.au/2015-16/content/bp3/html/bp3_03_part_2d.htm</vt:lpwstr>
      </vt:variant>
      <vt:variant>
        <vt:lpwstr/>
      </vt:variant>
      <vt:variant>
        <vt:i4>852085</vt:i4>
      </vt:variant>
      <vt:variant>
        <vt:i4>42</vt:i4>
      </vt:variant>
      <vt:variant>
        <vt:i4>0</vt:i4>
      </vt:variant>
      <vt:variant>
        <vt:i4>5</vt:i4>
      </vt:variant>
      <vt:variant>
        <vt:lpwstr>http://budget.gov.au/2015-16/content/bp3/html/bp3_03_part_2d.htm</vt:lpwstr>
      </vt:variant>
      <vt:variant>
        <vt:lpwstr/>
      </vt:variant>
      <vt:variant>
        <vt:i4>786472</vt:i4>
      </vt:variant>
      <vt:variant>
        <vt:i4>39</vt:i4>
      </vt:variant>
      <vt:variant>
        <vt:i4>0</vt:i4>
      </vt:variant>
      <vt:variant>
        <vt:i4>5</vt:i4>
      </vt:variant>
      <vt:variant>
        <vt:lpwstr>http://www.budget.gov.au/2011-12/content/bp3/html/bp3_03_part_2a.htm</vt:lpwstr>
      </vt:variant>
      <vt:variant>
        <vt:lpwstr/>
      </vt:variant>
      <vt:variant>
        <vt:i4>5832737</vt:i4>
      </vt:variant>
      <vt:variant>
        <vt:i4>36</vt:i4>
      </vt:variant>
      <vt:variant>
        <vt:i4>0</vt:i4>
      </vt:variant>
      <vt:variant>
        <vt:i4>5</vt:i4>
      </vt:variant>
      <vt:variant>
        <vt:lpwstr>http://www.federalfinancialrelations.gov.au/content/npa/skills/skills-reform/national_agreement.pdf</vt:lpwstr>
      </vt:variant>
      <vt:variant>
        <vt:lpwstr/>
      </vt:variant>
      <vt:variant>
        <vt:i4>852085</vt:i4>
      </vt:variant>
      <vt:variant>
        <vt:i4>33</vt:i4>
      </vt:variant>
      <vt:variant>
        <vt:i4>0</vt:i4>
      </vt:variant>
      <vt:variant>
        <vt:i4>5</vt:i4>
      </vt:variant>
      <vt:variant>
        <vt:lpwstr>http://budget.gov.au/2015-16/content/bp3/html/bp3_03_part_2d.htm</vt:lpwstr>
      </vt:variant>
      <vt:variant>
        <vt:lpwstr/>
      </vt:variant>
      <vt:variant>
        <vt:i4>3670104</vt:i4>
      </vt:variant>
      <vt:variant>
        <vt:i4>30</vt:i4>
      </vt:variant>
      <vt:variant>
        <vt:i4>0</vt:i4>
      </vt:variant>
      <vt:variant>
        <vt:i4>5</vt:i4>
      </vt:variant>
      <vt:variant>
        <vt:lpwstr>http://apps.treasury.act.gov.au/__data/assets/pdf_file/0007/733813/F-ETD-Budget-Statements.pdf</vt:lpwstr>
      </vt:variant>
      <vt:variant>
        <vt:lpwstr/>
      </vt:variant>
      <vt:variant>
        <vt:i4>3670104</vt:i4>
      </vt:variant>
      <vt:variant>
        <vt:i4>27</vt:i4>
      </vt:variant>
      <vt:variant>
        <vt:i4>0</vt:i4>
      </vt:variant>
      <vt:variant>
        <vt:i4>5</vt:i4>
      </vt:variant>
      <vt:variant>
        <vt:lpwstr>http://apps.treasury.act.gov.au/__data/assets/pdf_file/0007/733813/F-ETD-Budget-Statements.pdf</vt:lpwstr>
      </vt:variant>
      <vt:variant>
        <vt:lpwstr/>
      </vt:variant>
      <vt:variant>
        <vt:i4>6750248</vt:i4>
      </vt:variant>
      <vt:variant>
        <vt:i4>24</vt:i4>
      </vt:variant>
      <vt:variant>
        <vt:i4>0</vt:i4>
      </vt:variant>
      <vt:variant>
        <vt:i4>5</vt:i4>
      </vt:variant>
      <vt:variant>
        <vt:lpwstr>http://apps.treasury.act.gov.au/budget/budget-2015-2016/budget-paper-3</vt:lpwstr>
      </vt:variant>
      <vt:variant>
        <vt:lpwstr/>
      </vt:variant>
      <vt:variant>
        <vt:i4>4194306</vt:i4>
      </vt:variant>
      <vt:variant>
        <vt:i4>21</vt:i4>
      </vt:variant>
      <vt:variant>
        <vt:i4>0</vt:i4>
      </vt:variant>
      <vt:variant>
        <vt:i4>5</vt:i4>
      </vt:variant>
      <vt:variant>
        <vt:lpwstr>http://apps.treasury.act.gov.au/budget/budget-2015-2016/budget-statements</vt:lpwstr>
      </vt:variant>
      <vt:variant>
        <vt:lpwstr/>
      </vt:variant>
      <vt:variant>
        <vt:i4>5963858</vt:i4>
      </vt:variant>
      <vt:variant>
        <vt:i4>18</vt:i4>
      </vt:variant>
      <vt:variant>
        <vt:i4>0</vt:i4>
      </vt:variant>
      <vt:variant>
        <vt:i4>5</vt:i4>
      </vt:variant>
      <vt:variant>
        <vt:lpwstr>https://cica.org.au/wp-content/uploads/FYA_HYPAF-2013_Digital1.pdf</vt:lpwstr>
      </vt:variant>
      <vt:variant>
        <vt:lpwstr/>
      </vt:variant>
      <vt:variant>
        <vt:i4>5374016</vt:i4>
      </vt:variant>
      <vt:variant>
        <vt:i4>15</vt:i4>
      </vt:variant>
      <vt:variant>
        <vt:i4>0</vt:i4>
      </vt:variant>
      <vt:variant>
        <vt:i4>5</vt:i4>
      </vt:variant>
      <vt:variant>
        <vt:lpwstr>http://www.parliament.nsw.gov.au/prod/parlment/publications.nsf/key/TAFEorganisationandfundinginNSW:pastandpresent/$File/Training+in+NSW.pdf</vt:lpwstr>
      </vt:variant>
      <vt:variant>
        <vt:lpwstr/>
      </vt:variant>
      <vt:variant>
        <vt:i4>2031687</vt:i4>
      </vt:variant>
      <vt:variant>
        <vt:i4>12</vt:i4>
      </vt:variant>
      <vt:variant>
        <vt:i4>0</vt:i4>
      </vt:variant>
      <vt:variant>
        <vt:i4>5</vt:i4>
      </vt:variant>
      <vt:variant>
        <vt:lpwstr>http://www.ncver.edu.au/</vt:lpwstr>
      </vt:variant>
      <vt:variant>
        <vt:lpwstr/>
      </vt:variant>
      <vt:variant>
        <vt:i4>4063302</vt:i4>
      </vt:variant>
      <vt:variant>
        <vt:i4>9</vt:i4>
      </vt:variant>
      <vt:variant>
        <vt:i4>0</vt:i4>
      </vt:variant>
      <vt:variant>
        <vt:i4>5</vt:i4>
      </vt:variant>
      <vt:variant>
        <vt:lpwstr>http://www.aph.gov.au/Parliamentary_Business/Committees/Senate/Education_and_Employment/TAFE</vt:lpwstr>
      </vt:variant>
      <vt:variant>
        <vt:lpwstr/>
      </vt:variant>
      <vt:variant>
        <vt:i4>5832813</vt:i4>
      </vt:variant>
      <vt:variant>
        <vt:i4>6</vt:i4>
      </vt:variant>
      <vt:variant>
        <vt:i4>0</vt:i4>
      </vt:variant>
      <vt:variant>
        <vt:i4>5</vt:i4>
      </vt:variant>
      <vt:variant>
        <vt:lpwstr>http://www.aph.gov.au/Parliamentary_Business/Committees/Senate/Education_and_Employment/vocationaled/Second_Interim_Report</vt:lpwstr>
      </vt:variant>
      <vt:variant>
        <vt:lpwstr/>
      </vt:variant>
      <vt:variant>
        <vt:i4>6619256</vt:i4>
      </vt:variant>
      <vt:variant>
        <vt:i4>3</vt:i4>
      </vt:variant>
      <vt:variant>
        <vt:i4>0</vt:i4>
      </vt:variant>
      <vt:variant>
        <vt:i4>5</vt:i4>
      </vt:variant>
      <vt:variant>
        <vt:lpwstr>http://www.parliament.act.gov.au/in-committees/previous-assemblies/Standing-Committees-Sixth-Assembly/Standing-Committee-on-Education,-Training-and-Young-People/08.-Vocational-Education-and-Training-to-address-Skills-Shortages</vt:lpwstr>
      </vt:variant>
      <vt:variant>
        <vt:lpwstr/>
      </vt:variant>
      <vt:variant>
        <vt:i4>327783</vt:i4>
      </vt:variant>
      <vt:variant>
        <vt:i4>0</vt:i4>
      </vt:variant>
      <vt:variant>
        <vt:i4>0</vt:i4>
      </vt:variant>
      <vt:variant>
        <vt:i4>5</vt:i4>
      </vt:variant>
      <vt:variant>
        <vt:lpwstr>http://www.parliament.act.gov.au/in-committees/standing_committees/Education,-Training-and-Youth-Affairs/inquiry-into-vocational-education-and-youth-training-in-the-act?inquiry=457739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Committees Report Template</dc:title>
  <dc:creator>Lydia Chung</dc:creator>
  <cp:lastModifiedBy>Lydia Chung</cp:lastModifiedBy>
  <cp:revision>2</cp:revision>
  <cp:lastPrinted>2016-06-09T01:59:00Z</cp:lastPrinted>
  <dcterms:created xsi:type="dcterms:W3CDTF">2016-06-09T02:04:00Z</dcterms:created>
  <dcterms:modified xsi:type="dcterms:W3CDTF">2016-06-09T02:04:00Z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c56be3dd-45c6-40f6-9e5a-dc18e5bf8d49</vt:lpwstr>
  </property>
  <property fmtid="{D5CDD505-2E9C-101B-9397-08002B2CF9AE}" pid="3" name="bjSaver">
    <vt:lpwstr>jF6wZtD1KJfBnHjVIPTuZe/NbMEfACqg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