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F" w:rsidRPr="00CD00D1" w:rsidRDefault="0071311F" w:rsidP="000229D7">
      <w:pPr>
        <w:pStyle w:val="Heading1"/>
        <w:pBdr>
          <w:top w:val="single" w:sz="4" w:space="1" w:color="auto"/>
          <w:bottom w:val="single" w:sz="4" w:space="1" w:color="auto"/>
        </w:pBdr>
        <w:jc w:val="center"/>
        <w:rPr>
          <w:szCs w:val="32"/>
        </w:rPr>
      </w:pPr>
      <w:r w:rsidRPr="00CD00D1">
        <w:rPr>
          <w:szCs w:val="32"/>
        </w:rPr>
        <w:t>Management Discussion and Analysis</w:t>
      </w:r>
      <w:r w:rsidR="00EA5562" w:rsidRPr="00CD00D1">
        <w:rPr>
          <w:szCs w:val="32"/>
        </w:rPr>
        <w:t xml:space="preserve"> </w:t>
      </w:r>
      <w:r w:rsidR="0056046D">
        <w:rPr>
          <w:szCs w:val="32"/>
        </w:rPr>
        <w:br/>
      </w:r>
      <w:r w:rsidR="00F302EA" w:rsidRPr="00CD00D1">
        <w:rPr>
          <w:szCs w:val="32"/>
        </w:rPr>
        <w:t xml:space="preserve">Office of the Legislative Assembly </w:t>
      </w:r>
      <w:r w:rsidR="0056046D">
        <w:rPr>
          <w:szCs w:val="32"/>
        </w:rPr>
        <w:br/>
      </w:r>
      <w:r w:rsidR="00EA5562" w:rsidRPr="00CD00D1">
        <w:rPr>
          <w:szCs w:val="32"/>
        </w:rPr>
        <w:t>for the</w:t>
      </w:r>
      <w:r w:rsidR="00CA179E" w:rsidRPr="00CD00D1">
        <w:rPr>
          <w:szCs w:val="32"/>
        </w:rPr>
        <w:t xml:space="preserve"> </w:t>
      </w:r>
      <w:r w:rsidR="000229D7">
        <w:rPr>
          <w:szCs w:val="32"/>
        </w:rPr>
        <w:t>Financial Y</w:t>
      </w:r>
      <w:r w:rsidR="00EA5562" w:rsidRPr="00CD00D1">
        <w:rPr>
          <w:szCs w:val="32"/>
        </w:rPr>
        <w:t xml:space="preserve">ear </w:t>
      </w:r>
      <w:r w:rsidR="000229D7">
        <w:rPr>
          <w:szCs w:val="32"/>
        </w:rPr>
        <w:t>E</w:t>
      </w:r>
      <w:r w:rsidR="00EA5562" w:rsidRPr="00CD00D1">
        <w:rPr>
          <w:szCs w:val="32"/>
        </w:rPr>
        <w:t>nded 30 June 20</w:t>
      </w:r>
      <w:r w:rsidR="00A81F13" w:rsidRPr="00CD00D1">
        <w:rPr>
          <w:szCs w:val="32"/>
        </w:rPr>
        <w:t>1</w:t>
      </w:r>
      <w:r w:rsidR="00E61473">
        <w:rPr>
          <w:szCs w:val="32"/>
        </w:rPr>
        <w:t>4</w:t>
      </w:r>
    </w:p>
    <w:p w:rsidR="002666AF" w:rsidRPr="000229D7" w:rsidRDefault="002666AF" w:rsidP="006506B6">
      <w:pPr>
        <w:pStyle w:val="Heading1"/>
        <w:jc w:val="both"/>
        <w:rPr>
          <w:sz w:val="28"/>
        </w:rPr>
      </w:pPr>
      <w:r w:rsidRPr="000229D7">
        <w:rPr>
          <w:sz w:val="28"/>
        </w:rPr>
        <w:t xml:space="preserve">General </w:t>
      </w:r>
      <w:r w:rsidR="00851FDC" w:rsidRPr="000229D7">
        <w:rPr>
          <w:sz w:val="28"/>
        </w:rPr>
        <w:t>o</w:t>
      </w:r>
      <w:r w:rsidRPr="000229D7">
        <w:rPr>
          <w:sz w:val="28"/>
        </w:rPr>
        <w:t xml:space="preserve">verview </w:t>
      </w:r>
    </w:p>
    <w:p w:rsidR="00F302EA" w:rsidRDefault="00F302EA" w:rsidP="006506B6">
      <w:pPr>
        <w:spacing w:after="200"/>
        <w:jc w:val="both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>The following management discussion and analysis provide</w:t>
      </w:r>
      <w:r w:rsidR="000F6CEC">
        <w:rPr>
          <w:rFonts w:asciiTheme="minorHAnsi" w:eastAsia="Cambria" w:hAnsiTheme="minorHAnsi"/>
          <w:sz w:val="22"/>
          <w:szCs w:val="22"/>
          <w:lang w:val="en-US"/>
        </w:rPr>
        <w:t>s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a</w:t>
      </w:r>
      <w:r w:rsidR="002F2DE3">
        <w:rPr>
          <w:rFonts w:asciiTheme="minorHAnsi" w:eastAsia="Cambria" w:hAnsiTheme="minorHAnsi"/>
          <w:sz w:val="22"/>
          <w:szCs w:val="22"/>
          <w:lang w:val="en-US"/>
        </w:rPr>
        <w:t>n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overview of the financial results of the Office</w:t>
      </w:r>
      <w:r w:rsidR="00A10000">
        <w:rPr>
          <w:rFonts w:asciiTheme="minorHAnsi" w:eastAsia="Cambria" w:hAnsiTheme="minorHAnsi"/>
          <w:sz w:val="22"/>
          <w:szCs w:val="22"/>
          <w:lang w:val="en-US"/>
        </w:rPr>
        <w:t xml:space="preserve"> of the Legislative Assembly</w:t>
      </w:r>
      <w:r w:rsidR="002F2DE3">
        <w:rPr>
          <w:rFonts w:asciiTheme="minorHAnsi" w:eastAsia="Cambria" w:hAnsiTheme="minorHAnsi"/>
          <w:sz w:val="22"/>
          <w:szCs w:val="22"/>
          <w:lang w:val="en-US"/>
        </w:rPr>
        <w:t xml:space="preserve"> for 2013-14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. </w:t>
      </w:r>
    </w:p>
    <w:p w:rsidR="004E62C0" w:rsidRPr="00CD00D1" w:rsidRDefault="004E62C0" w:rsidP="006506B6">
      <w:pPr>
        <w:pStyle w:val="Heading2"/>
        <w:jc w:val="both"/>
        <w:rPr>
          <w:szCs w:val="24"/>
        </w:rPr>
      </w:pPr>
      <w:r w:rsidRPr="00CD00D1">
        <w:rPr>
          <w:szCs w:val="24"/>
        </w:rPr>
        <w:t>Objectives</w:t>
      </w:r>
    </w:p>
    <w:p w:rsidR="00F302EA" w:rsidRPr="00F302EA" w:rsidRDefault="00F302EA" w:rsidP="006506B6">
      <w:pPr>
        <w:spacing w:after="200"/>
        <w:jc w:val="both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The </w:t>
      </w:r>
      <w:r w:rsidR="00481A3E">
        <w:rPr>
          <w:rFonts w:asciiTheme="minorHAnsi" w:eastAsia="Cambria" w:hAnsiTheme="minorHAnsi"/>
          <w:sz w:val="22"/>
          <w:szCs w:val="22"/>
          <w:lang w:val="en-US"/>
        </w:rPr>
        <w:t xml:space="preserve">functions of the Office are codified in section 6 of the </w:t>
      </w:r>
      <w:r w:rsidR="002F2DE3" w:rsidRPr="002F2DE3">
        <w:rPr>
          <w:rFonts w:asciiTheme="minorHAnsi" w:eastAsia="Cambria" w:hAnsiTheme="minorHAnsi"/>
          <w:i/>
          <w:sz w:val="22"/>
          <w:szCs w:val="22"/>
          <w:lang w:val="en-US"/>
        </w:rPr>
        <w:t>Legislative Assembly (Office of the Legislative Assembly) Act 2012</w:t>
      </w:r>
      <w:r w:rsidR="00481A3E">
        <w:rPr>
          <w:rFonts w:asciiTheme="minorHAnsi" w:eastAsia="Cambria" w:hAnsiTheme="minorHAnsi"/>
          <w:sz w:val="22"/>
          <w:szCs w:val="22"/>
          <w:lang w:val="en-US"/>
        </w:rPr>
        <w:t>. Section 6 provides that the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Office’s function is to</w:t>
      </w:r>
      <w:r w:rsidR="00851FDC">
        <w:rPr>
          <w:rFonts w:asciiTheme="minorHAnsi" w:eastAsia="Cambria" w:hAnsiTheme="minorHAnsi"/>
          <w:sz w:val="22"/>
          <w:szCs w:val="22"/>
          <w:lang w:val="en-US"/>
        </w:rPr>
        <w:t xml:space="preserve"> 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provide impartial advice and support </w:t>
      </w:r>
      <w:r w:rsidR="00E22998">
        <w:rPr>
          <w:rFonts w:asciiTheme="minorHAnsi" w:eastAsia="Cambria" w:hAnsiTheme="minorHAnsi"/>
          <w:sz w:val="22"/>
          <w:szCs w:val="22"/>
          <w:lang w:val="en-US"/>
        </w:rPr>
        <w:t xml:space="preserve">to the Legislative Assembly, its 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>committees and members of the Assembly, including by</w:t>
      </w:r>
      <w:r w:rsidR="00851FDC">
        <w:rPr>
          <w:rFonts w:asciiTheme="minorHAnsi" w:eastAsia="Cambria" w:hAnsiTheme="minorHAnsi"/>
          <w:sz w:val="22"/>
          <w:szCs w:val="22"/>
          <w:lang w:val="en-US"/>
        </w:rPr>
        <w:t>:</w:t>
      </w:r>
    </w:p>
    <w:p w:rsidR="00F302EA" w:rsidRPr="00F302EA" w:rsidRDefault="00F302EA" w:rsidP="006506B6">
      <w:pPr>
        <w:widowControl w:val="0"/>
        <w:tabs>
          <w:tab w:val="right" w:pos="1400"/>
          <w:tab w:val="left" w:pos="1600"/>
        </w:tabs>
        <w:autoSpaceDE w:val="0"/>
        <w:autoSpaceDN w:val="0"/>
        <w:adjustRightInd w:val="0"/>
        <w:spacing w:before="140"/>
        <w:ind w:left="1600" w:right="933" w:hanging="1600"/>
        <w:jc w:val="both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  <w:t>(a)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</w:r>
      <w:proofErr w:type="gramStart"/>
      <w:r w:rsidRPr="00F302EA">
        <w:rPr>
          <w:rFonts w:asciiTheme="minorHAnsi" w:eastAsia="Cambria" w:hAnsiTheme="minorHAnsi"/>
          <w:sz w:val="22"/>
          <w:szCs w:val="22"/>
          <w:lang w:val="en-US"/>
        </w:rPr>
        <w:t>providing</w:t>
      </w:r>
      <w:proofErr w:type="gramEnd"/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advice on parliamentary practice and procedure and the functions of the Assembly and committees; </w:t>
      </w:r>
    </w:p>
    <w:p w:rsidR="00F302EA" w:rsidRPr="00F302EA" w:rsidRDefault="00F302EA" w:rsidP="006506B6">
      <w:pPr>
        <w:widowControl w:val="0"/>
        <w:tabs>
          <w:tab w:val="right" w:pos="1400"/>
          <w:tab w:val="left" w:pos="1600"/>
        </w:tabs>
        <w:autoSpaceDE w:val="0"/>
        <w:autoSpaceDN w:val="0"/>
        <w:adjustRightInd w:val="0"/>
        <w:spacing w:before="140"/>
        <w:ind w:left="1600" w:right="933" w:hanging="1600"/>
        <w:jc w:val="both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  <w:t>(b)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</w:r>
      <w:proofErr w:type="gramStart"/>
      <w:r w:rsidRPr="00F302EA">
        <w:rPr>
          <w:rFonts w:asciiTheme="minorHAnsi" w:eastAsia="Cambria" w:hAnsiTheme="minorHAnsi"/>
          <w:sz w:val="22"/>
          <w:szCs w:val="22"/>
          <w:lang w:val="en-US"/>
        </w:rPr>
        <w:t>reporting</w:t>
      </w:r>
      <w:proofErr w:type="gramEnd"/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proceedings of the Assembly and meetings of committees; </w:t>
      </w:r>
    </w:p>
    <w:p w:rsidR="00F302EA" w:rsidRPr="00F302EA" w:rsidRDefault="00F302EA" w:rsidP="006506B6">
      <w:pPr>
        <w:widowControl w:val="0"/>
        <w:tabs>
          <w:tab w:val="right" w:pos="1400"/>
          <w:tab w:val="left" w:pos="1600"/>
        </w:tabs>
        <w:autoSpaceDE w:val="0"/>
        <w:autoSpaceDN w:val="0"/>
        <w:adjustRightInd w:val="0"/>
        <w:spacing w:before="140"/>
        <w:ind w:left="1600" w:right="933" w:hanging="1600"/>
        <w:jc w:val="both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  <w:t>(c)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</w:r>
      <w:proofErr w:type="gramStart"/>
      <w:r w:rsidRPr="00F302EA">
        <w:rPr>
          <w:rFonts w:asciiTheme="minorHAnsi" w:eastAsia="Cambria" w:hAnsiTheme="minorHAnsi"/>
          <w:sz w:val="22"/>
          <w:szCs w:val="22"/>
          <w:lang w:val="en-US"/>
        </w:rPr>
        <w:t>maintaining</w:t>
      </w:r>
      <w:proofErr w:type="gramEnd"/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an official record of proceedings of the Assembly; </w:t>
      </w:r>
    </w:p>
    <w:p w:rsidR="00F302EA" w:rsidRPr="00F302EA" w:rsidRDefault="00F302EA" w:rsidP="006506B6">
      <w:pPr>
        <w:widowControl w:val="0"/>
        <w:tabs>
          <w:tab w:val="right" w:pos="1400"/>
          <w:tab w:val="left" w:pos="1600"/>
        </w:tabs>
        <w:autoSpaceDE w:val="0"/>
        <w:autoSpaceDN w:val="0"/>
        <w:adjustRightInd w:val="0"/>
        <w:spacing w:before="140"/>
        <w:ind w:left="1600" w:right="933" w:hanging="1600"/>
        <w:jc w:val="both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  <w:t>(d)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</w:r>
      <w:proofErr w:type="gramStart"/>
      <w:r w:rsidRPr="00F302EA">
        <w:rPr>
          <w:rFonts w:asciiTheme="minorHAnsi" w:eastAsia="Cambria" w:hAnsiTheme="minorHAnsi"/>
          <w:sz w:val="22"/>
          <w:szCs w:val="22"/>
          <w:lang w:val="en-US"/>
        </w:rPr>
        <w:t>providing</w:t>
      </w:r>
      <w:proofErr w:type="gramEnd"/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library and information facilities and services for members; </w:t>
      </w:r>
    </w:p>
    <w:p w:rsidR="00BF4C67" w:rsidRDefault="00F302EA" w:rsidP="006506B6">
      <w:pPr>
        <w:widowControl w:val="0"/>
        <w:tabs>
          <w:tab w:val="right" w:pos="1400"/>
          <w:tab w:val="left" w:pos="1600"/>
        </w:tabs>
        <w:autoSpaceDE w:val="0"/>
        <w:autoSpaceDN w:val="0"/>
        <w:adjustRightInd w:val="0"/>
        <w:spacing w:before="140"/>
        <w:ind w:left="1600" w:right="933" w:hanging="1600"/>
        <w:jc w:val="both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  <w:t>(e)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</w:r>
      <w:proofErr w:type="gramStart"/>
      <w:r w:rsidRPr="00F302EA">
        <w:rPr>
          <w:rFonts w:asciiTheme="minorHAnsi" w:eastAsia="Cambria" w:hAnsiTheme="minorHAnsi"/>
          <w:sz w:val="22"/>
          <w:szCs w:val="22"/>
          <w:lang w:val="en-US"/>
        </w:rPr>
        <w:t>providing</w:t>
      </w:r>
      <w:proofErr w:type="gramEnd"/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staff to enable the Assembly and committees to operate efficiently; </w:t>
      </w:r>
    </w:p>
    <w:p w:rsidR="00F302EA" w:rsidRPr="00F302EA" w:rsidRDefault="00F302EA" w:rsidP="006506B6">
      <w:pPr>
        <w:widowControl w:val="0"/>
        <w:tabs>
          <w:tab w:val="right" w:pos="1400"/>
          <w:tab w:val="left" w:pos="1600"/>
        </w:tabs>
        <w:autoSpaceDE w:val="0"/>
        <w:autoSpaceDN w:val="0"/>
        <w:adjustRightInd w:val="0"/>
        <w:spacing w:before="140"/>
        <w:ind w:left="1600" w:right="933" w:hanging="1600"/>
        <w:jc w:val="both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  <w:t>(f)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</w:r>
      <w:proofErr w:type="gramStart"/>
      <w:r w:rsidRPr="00F302EA">
        <w:rPr>
          <w:rFonts w:asciiTheme="minorHAnsi" w:eastAsia="Cambria" w:hAnsiTheme="minorHAnsi"/>
          <w:sz w:val="22"/>
          <w:szCs w:val="22"/>
          <w:lang w:val="en-US"/>
        </w:rPr>
        <w:t>providing</w:t>
      </w:r>
      <w:proofErr w:type="gramEnd"/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business support functions, including administering the entitlements of members who are not part of the </w:t>
      </w:r>
      <w:r w:rsidR="00E014D9">
        <w:rPr>
          <w:rFonts w:asciiTheme="minorHAnsi" w:eastAsia="Cambria" w:hAnsiTheme="minorHAnsi"/>
          <w:sz w:val="22"/>
          <w:szCs w:val="22"/>
          <w:lang w:val="en-US"/>
        </w:rPr>
        <w:t>executive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>; and</w:t>
      </w:r>
    </w:p>
    <w:p w:rsidR="00F302EA" w:rsidRPr="00F302EA" w:rsidRDefault="00F302EA" w:rsidP="006506B6">
      <w:pPr>
        <w:widowControl w:val="0"/>
        <w:tabs>
          <w:tab w:val="right" w:pos="1400"/>
          <w:tab w:val="left" w:pos="1600"/>
        </w:tabs>
        <w:autoSpaceDE w:val="0"/>
        <w:autoSpaceDN w:val="0"/>
        <w:adjustRightInd w:val="0"/>
        <w:spacing w:before="140"/>
        <w:ind w:left="1600" w:right="933" w:hanging="1600"/>
        <w:jc w:val="both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  <w:t>(g)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ab/>
      </w:r>
      <w:proofErr w:type="gramStart"/>
      <w:r w:rsidRPr="00F302EA">
        <w:rPr>
          <w:rFonts w:asciiTheme="minorHAnsi" w:eastAsia="Cambria" w:hAnsiTheme="minorHAnsi"/>
          <w:sz w:val="22"/>
          <w:szCs w:val="22"/>
          <w:lang w:val="en-US"/>
        </w:rPr>
        <w:t>maintaining</w:t>
      </w:r>
      <w:proofErr w:type="gramEnd"/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the Assembly precincts.</w:t>
      </w:r>
    </w:p>
    <w:p w:rsidR="00F302EA" w:rsidRPr="00F302EA" w:rsidRDefault="00F302EA" w:rsidP="00951CEF">
      <w:pPr>
        <w:widowControl w:val="0"/>
        <w:tabs>
          <w:tab w:val="left" w:pos="851"/>
          <w:tab w:val="right" w:pos="1276"/>
        </w:tabs>
        <w:autoSpaceDE w:val="0"/>
        <w:autoSpaceDN w:val="0"/>
        <w:adjustRightInd w:val="0"/>
        <w:spacing w:before="140"/>
        <w:ind w:right="-143"/>
        <w:rPr>
          <w:rFonts w:asciiTheme="minorHAnsi" w:eastAsia="Cambria" w:hAnsiTheme="minorHAnsi"/>
          <w:sz w:val="22"/>
          <w:szCs w:val="22"/>
          <w:lang w:val="en-US"/>
        </w:rPr>
      </w:pP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The </w:t>
      </w:r>
      <w:r w:rsidR="00E7032F">
        <w:rPr>
          <w:rFonts w:asciiTheme="minorHAnsi" w:eastAsia="Cambria" w:hAnsiTheme="minorHAnsi"/>
          <w:sz w:val="22"/>
          <w:szCs w:val="22"/>
          <w:lang w:val="en-US"/>
        </w:rPr>
        <w:t>O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ffice also has the </w:t>
      </w:r>
      <w:r w:rsidR="00E7032F">
        <w:rPr>
          <w:rFonts w:asciiTheme="minorHAnsi" w:eastAsia="Cambria" w:hAnsiTheme="minorHAnsi"/>
          <w:sz w:val="22"/>
          <w:szCs w:val="22"/>
          <w:lang w:val="en-US"/>
        </w:rPr>
        <w:t>role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 of providing public education about the functions of the Assembly and </w:t>
      </w:r>
      <w:r w:rsidR="0013011A">
        <w:rPr>
          <w:rFonts w:asciiTheme="minorHAnsi" w:eastAsia="Cambria" w:hAnsiTheme="minorHAnsi"/>
          <w:sz w:val="22"/>
          <w:szCs w:val="22"/>
          <w:lang w:val="en-US"/>
        </w:rPr>
        <w:t xml:space="preserve">its 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>committees</w:t>
      </w:r>
      <w:r w:rsidR="0013011A">
        <w:rPr>
          <w:rFonts w:asciiTheme="minorHAnsi" w:eastAsia="Cambria" w:hAnsiTheme="minorHAnsi"/>
          <w:sz w:val="22"/>
          <w:szCs w:val="22"/>
          <w:lang w:val="en-US"/>
        </w:rPr>
        <w:t>. The Office</w:t>
      </w:r>
      <w:r w:rsidR="00481A3E">
        <w:rPr>
          <w:rFonts w:asciiTheme="minorHAnsi" w:eastAsia="Cambria" w:hAnsiTheme="minorHAnsi"/>
          <w:sz w:val="22"/>
          <w:szCs w:val="22"/>
          <w:lang w:val="en-US"/>
        </w:rPr>
        <w:t xml:space="preserve"> 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>may exercise any other function given to it under th</w:t>
      </w:r>
      <w:r w:rsidR="00481A3E">
        <w:rPr>
          <w:rFonts w:asciiTheme="minorHAnsi" w:eastAsia="Cambria" w:hAnsiTheme="minorHAnsi"/>
          <w:sz w:val="22"/>
          <w:szCs w:val="22"/>
          <w:lang w:val="en-US"/>
        </w:rPr>
        <w:t xml:space="preserve">e 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>Act or</w:t>
      </w:r>
      <w:r w:rsidR="00481A3E">
        <w:rPr>
          <w:rFonts w:asciiTheme="minorHAnsi" w:eastAsia="Cambria" w:hAnsiTheme="minorHAnsi"/>
          <w:sz w:val="22"/>
          <w:szCs w:val="22"/>
          <w:lang w:val="en-US"/>
        </w:rPr>
        <w:t xml:space="preserve"> 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 xml:space="preserve">another </w:t>
      </w:r>
      <w:r w:rsidR="00481A3E">
        <w:rPr>
          <w:rFonts w:asciiTheme="minorHAnsi" w:eastAsia="Cambria" w:hAnsiTheme="minorHAnsi"/>
          <w:sz w:val="22"/>
          <w:szCs w:val="22"/>
          <w:lang w:val="en-US"/>
        </w:rPr>
        <w:t>T</w:t>
      </w:r>
      <w:r w:rsidRPr="00F302EA">
        <w:rPr>
          <w:rFonts w:asciiTheme="minorHAnsi" w:eastAsia="Cambria" w:hAnsiTheme="minorHAnsi"/>
          <w:sz w:val="22"/>
          <w:szCs w:val="22"/>
          <w:lang w:val="en-US"/>
        </w:rPr>
        <w:t>erritory law.</w:t>
      </w:r>
    </w:p>
    <w:p w:rsidR="009202A2" w:rsidRPr="009B2741" w:rsidRDefault="009202A2" w:rsidP="006506B6">
      <w:pPr>
        <w:pStyle w:val="Heading2"/>
        <w:jc w:val="both"/>
      </w:pPr>
      <w:r w:rsidRPr="009B2741">
        <w:t xml:space="preserve">Risk </w:t>
      </w:r>
      <w:r w:rsidR="00851FDC">
        <w:t>m</w:t>
      </w:r>
      <w:r w:rsidRPr="009B2741">
        <w:t xml:space="preserve">anagement </w:t>
      </w:r>
    </w:p>
    <w:p w:rsidR="00252FDD" w:rsidRPr="00252FDD" w:rsidRDefault="0012347D" w:rsidP="006506B6">
      <w:pPr>
        <w:pStyle w:val="Bodycopy"/>
        <w:jc w:val="both"/>
        <w:rPr>
          <w:color w:val="FF0000"/>
        </w:rPr>
      </w:pPr>
      <w:r>
        <w:t>The Office maintains an</w:t>
      </w:r>
      <w:r w:rsidR="009202A2" w:rsidRPr="009B2741">
        <w:t xml:space="preserve"> ongoing program of risk assessment, treatment and review</w:t>
      </w:r>
      <w:r>
        <w:t xml:space="preserve"> in accordance with the </w:t>
      </w:r>
      <w:r w:rsidR="00552D78">
        <w:t xml:space="preserve">principles </w:t>
      </w:r>
      <w:r>
        <w:t>embodied in</w:t>
      </w:r>
      <w:r w:rsidRPr="0012347D">
        <w:rPr>
          <w:rFonts w:ascii="Arial" w:hAnsi="Arial" w:cs="Arial"/>
          <w:color w:val="444444"/>
        </w:rPr>
        <w:t xml:space="preserve"> </w:t>
      </w:r>
      <w:r w:rsidRPr="0012347D">
        <w:t>AS/NZS ISO 31000</w:t>
      </w:r>
      <w:r>
        <w:t>.</w:t>
      </w:r>
    </w:p>
    <w:p w:rsidR="009202A2" w:rsidRPr="009B2741" w:rsidRDefault="009202A2" w:rsidP="006506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</w:p>
    <w:p w:rsidR="009202A2" w:rsidRPr="009B2741" w:rsidRDefault="009202A2" w:rsidP="006506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9B2741">
        <w:rPr>
          <w:rFonts w:asciiTheme="minorHAnsi" w:hAnsiTheme="minorHAnsi" w:cstheme="minorHAnsi"/>
          <w:sz w:val="22"/>
          <w:szCs w:val="22"/>
          <w:lang w:eastAsia="en-AU"/>
        </w:rPr>
        <w:t xml:space="preserve">The </w:t>
      </w:r>
      <w:r w:rsidR="00E85F2B">
        <w:rPr>
          <w:rFonts w:asciiTheme="minorHAnsi" w:hAnsiTheme="minorHAnsi" w:cstheme="minorHAnsi"/>
          <w:sz w:val="22"/>
          <w:szCs w:val="22"/>
          <w:lang w:eastAsia="en-AU"/>
        </w:rPr>
        <w:t>Office</w:t>
      </w:r>
      <w:r w:rsidRPr="009B2741">
        <w:rPr>
          <w:rFonts w:asciiTheme="minorHAnsi" w:hAnsiTheme="minorHAnsi" w:cstheme="minorHAnsi"/>
          <w:sz w:val="22"/>
          <w:szCs w:val="22"/>
          <w:lang w:eastAsia="en-AU"/>
        </w:rPr>
        <w:t xml:space="preserve">’s </w:t>
      </w:r>
      <w:r w:rsidR="00951CEF">
        <w:rPr>
          <w:rFonts w:asciiTheme="minorHAnsi" w:hAnsiTheme="minorHAnsi" w:cstheme="minorHAnsi"/>
          <w:sz w:val="22"/>
          <w:szCs w:val="22"/>
          <w:lang w:eastAsia="en-AU"/>
        </w:rPr>
        <w:t>I</w:t>
      </w:r>
      <w:r w:rsidRPr="009B2741">
        <w:rPr>
          <w:rFonts w:asciiTheme="minorHAnsi" w:hAnsiTheme="minorHAnsi" w:cstheme="minorHAnsi"/>
          <w:sz w:val="22"/>
          <w:szCs w:val="22"/>
          <w:lang w:eastAsia="en-AU"/>
        </w:rPr>
        <w:t xml:space="preserve">nternal </w:t>
      </w:r>
      <w:r w:rsidR="00951CEF">
        <w:rPr>
          <w:rFonts w:asciiTheme="minorHAnsi" w:hAnsiTheme="minorHAnsi" w:cstheme="minorHAnsi"/>
          <w:sz w:val="22"/>
          <w:szCs w:val="22"/>
          <w:lang w:eastAsia="en-AU"/>
        </w:rPr>
        <w:t>A</w:t>
      </w:r>
      <w:r w:rsidRPr="009B2741">
        <w:rPr>
          <w:rFonts w:asciiTheme="minorHAnsi" w:hAnsiTheme="minorHAnsi" w:cstheme="minorHAnsi"/>
          <w:sz w:val="22"/>
          <w:szCs w:val="22"/>
          <w:lang w:eastAsia="en-AU"/>
        </w:rPr>
        <w:t xml:space="preserve">udit </w:t>
      </w:r>
      <w:r w:rsidR="00951CEF">
        <w:rPr>
          <w:rFonts w:asciiTheme="minorHAnsi" w:hAnsiTheme="minorHAnsi" w:cstheme="minorHAnsi"/>
          <w:sz w:val="22"/>
          <w:szCs w:val="22"/>
          <w:lang w:eastAsia="en-AU"/>
        </w:rPr>
        <w:t>C</w:t>
      </w:r>
      <w:r w:rsidRPr="009B2741">
        <w:rPr>
          <w:rFonts w:asciiTheme="minorHAnsi" w:hAnsiTheme="minorHAnsi" w:cstheme="minorHAnsi"/>
          <w:sz w:val="22"/>
          <w:szCs w:val="22"/>
          <w:lang w:eastAsia="en-AU"/>
        </w:rPr>
        <w:t xml:space="preserve">ommittee continues to play an important role in regularly reviewing </w:t>
      </w:r>
      <w:proofErr w:type="gramStart"/>
      <w:r w:rsidRPr="009B2741">
        <w:rPr>
          <w:rFonts w:asciiTheme="minorHAnsi" w:hAnsiTheme="minorHAnsi" w:cstheme="minorHAnsi"/>
          <w:sz w:val="22"/>
          <w:szCs w:val="22"/>
          <w:lang w:eastAsia="en-AU"/>
        </w:rPr>
        <w:t>the</w:t>
      </w:r>
      <w:proofErr w:type="gramEnd"/>
      <w:r w:rsidRPr="009B2741">
        <w:rPr>
          <w:rFonts w:asciiTheme="minorHAnsi" w:hAnsiTheme="minorHAnsi" w:cstheme="minorHAnsi"/>
          <w:sz w:val="22"/>
          <w:szCs w:val="22"/>
          <w:lang w:eastAsia="en-AU"/>
        </w:rPr>
        <w:t xml:space="preserve"> risk management program of the organisation</w:t>
      </w:r>
      <w:r w:rsidR="00552D78"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9B2741">
        <w:rPr>
          <w:rFonts w:asciiTheme="minorHAnsi" w:hAnsiTheme="minorHAnsi" w:cstheme="minorHAnsi"/>
          <w:sz w:val="22"/>
          <w:szCs w:val="22"/>
          <w:lang w:eastAsia="en-AU"/>
        </w:rPr>
        <w:t xml:space="preserve"> providing assurance to the Clerk of the Assembly in relation to a number of governance </w:t>
      </w:r>
      <w:r w:rsidR="00481A3E">
        <w:rPr>
          <w:rFonts w:asciiTheme="minorHAnsi" w:hAnsiTheme="minorHAnsi" w:cstheme="minorHAnsi"/>
          <w:sz w:val="22"/>
          <w:szCs w:val="22"/>
          <w:lang w:eastAsia="en-AU"/>
        </w:rPr>
        <w:t xml:space="preserve">functions and </w:t>
      </w:r>
      <w:r w:rsidR="00552D78">
        <w:rPr>
          <w:rFonts w:asciiTheme="minorHAnsi" w:hAnsiTheme="minorHAnsi" w:cstheme="minorHAnsi"/>
          <w:sz w:val="22"/>
          <w:szCs w:val="22"/>
          <w:lang w:eastAsia="en-AU"/>
        </w:rPr>
        <w:t>contributing to the maintenance of</w:t>
      </w:r>
      <w:r w:rsidR="00481A3E">
        <w:rPr>
          <w:rFonts w:asciiTheme="minorHAnsi" w:hAnsiTheme="minorHAnsi" w:cstheme="minorHAnsi"/>
          <w:sz w:val="22"/>
          <w:szCs w:val="22"/>
          <w:lang w:eastAsia="en-AU"/>
        </w:rPr>
        <w:t xml:space="preserve"> an effective internal control framework</w:t>
      </w:r>
      <w:r w:rsidR="00BF4C67">
        <w:rPr>
          <w:rFonts w:asciiTheme="minorHAnsi" w:hAnsiTheme="minorHAnsi" w:cstheme="minorHAnsi"/>
          <w:sz w:val="22"/>
          <w:szCs w:val="22"/>
          <w:lang w:eastAsia="en-AU"/>
        </w:rPr>
        <w:t xml:space="preserve"> across the Office</w:t>
      </w:r>
      <w:r w:rsidR="00481A3E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:rsidR="008138E9" w:rsidRDefault="00B41C86" w:rsidP="006506B6">
      <w:pPr>
        <w:pStyle w:val="Heading2"/>
        <w:jc w:val="both"/>
      </w:pPr>
      <w:r>
        <w:t>Reporting entities</w:t>
      </w:r>
    </w:p>
    <w:p w:rsidR="00997CFD" w:rsidRDefault="00B41C86" w:rsidP="006506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2013-14 financial statements </w:t>
      </w:r>
      <w:r w:rsidR="002F2DE3">
        <w:rPr>
          <w:rFonts w:asciiTheme="minorHAnsi" w:hAnsiTheme="minorHAnsi" w:cstheme="minorHAnsi"/>
          <w:sz w:val="22"/>
          <w:szCs w:val="22"/>
        </w:rPr>
        <w:t xml:space="preserve">relate to the </w:t>
      </w:r>
      <w:r>
        <w:rPr>
          <w:rFonts w:asciiTheme="minorHAnsi" w:hAnsiTheme="minorHAnsi" w:cstheme="minorHAnsi"/>
          <w:sz w:val="22"/>
          <w:szCs w:val="22"/>
        </w:rPr>
        <w:t>Controlled and Territorial entit</w:t>
      </w:r>
      <w:r w:rsidR="002F2DE3">
        <w:rPr>
          <w:rFonts w:asciiTheme="minorHAnsi" w:hAnsiTheme="minorHAnsi" w:cstheme="minorHAnsi"/>
          <w:sz w:val="22"/>
          <w:szCs w:val="22"/>
        </w:rPr>
        <w:t>ies administered by the Office</w:t>
      </w:r>
      <w:r>
        <w:rPr>
          <w:rFonts w:asciiTheme="minorHAnsi" w:hAnsiTheme="minorHAnsi" w:cstheme="minorHAnsi"/>
          <w:sz w:val="22"/>
          <w:szCs w:val="22"/>
        </w:rPr>
        <w:t>. The financial information is b</w:t>
      </w:r>
      <w:r w:rsidR="00997CFD" w:rsidRPr="00A150C2">
        <w:rPr>
          <w:rFonts w:asciiTheme="minorHAnsi" w:hAnsiTheme="minorHAnsi" w:cstheme="minorHAnsi"/>
          <w:sz w:val="22"/>
          <w:szCs w:val="22"/>
        </w:rPr>
        <w:t xml:space="preserve">ased on audited financial </w:t>
      </w:r>
      <w:r w:rsidR="00E55328">
        <w:rPr>
          <w:rFonts w:asciiTheme="minorHAnsi" w:hAnsiTheme="minorHAnsi" w:cstheme="minorHAnsi"/>
          <w:sz w:val="22"/>
          <w:szCs w:val="22"/>
        </w:rPr>
        <w:t>statements</w:t>
      </w:r>
      <w:r w:rsidR="00997CFD" w:rsidRPr="00A150C2">
        <w:rPr>
          <w:rFonts w:asciiTheme="minorHAnsi" w:hAnsiTheme="minorHAnsi" w:cstheme="minorHAnsi"/>
          <w:sz w:val="22"/>
          <w:szCs w:val="22"/>
        </w:rPr>
        <w:t xml:space="preserve"> for </w:t>
      </w:r>
      <w:r w:rsidR="00FD4FC7" w:rsidRPr="00A150C2">
        <w:rPr>
          <w:rFonts w:asciiTheme="minorHAnsi" w:hAnsiTheme="minorHAnsi" w:cstheme="minorHAnsi"/>
          <w:sz w:val="22"/>
          <w:szCs w:val="22"/>
        </w:rPr>
        <w:t>20</w:t>
      </w:r>
      <w:r w:rsidR="006845A7">
        <w:rPr>
          <w:rFonts w:asciiTheme="minorHAnsi" w:hAnsiTheme="minorHAnsi" w:cstheme="minorHAnsi"/>
          <w:sz w:val="22"/>
          <w:szCs w:val="22"/>
        </w:rPr>
        <w:t>1</w:t>
      </w:r>
      <w:r w:rsidR="00E61473">
        <w:rPr>
          <w:rFonts w:asciiTheme="minorHAnsi" w:hAnsiTheme="minorHAnsi" w:cstheme="minorHAnsi"/>
          <w:sz w:val="22"/>
          <w:szCs w:val="22"/>
        </w:rPr>
        <w:t>2</w:t>
      </w:r>
      <w:r w:rsidR="006845A7">
        <w:rPr>
          <w:rFonts w:asciiTheme="minorHAnsi" w:hAnsiTheme="minorHAnsi" w:cstheme="minorHAnsi"/>
          <w:sz w:val="22"/>
          <w:szCs w:val="22"/>
        </w:rPr>
        <w:t>-1</w:t>
      </w:r>
      <w:r w:rsidR="00E61473">
        <w:rPr>
          <w:rFonts w:asciiTheme="minorHAnsi" w:hAnsiTheme="minorHAnsi" w:cstheme="minorHAnsi"/>
          <w:sz w:val="22"/>
          <w:szCs w:val="22"/>
        </w:rPr>
        <w:t>3</w:t>
      </w:r>
      <w:r w:rsidR="00FD4FC7" w:rsidRPr="00A150C2">
        <w:rPr>
          <w:rFonts w:asciiTheme="minorHAnsi" w:hAnsiTheme="minorHAnsi" w:cstheme="minorHAnsi"/>
          <w:sz w:val="22"/>
          <w:szCs w:val="22"/>
        </w:rPr>
        <w:t xml:space="preserve"> </w:t>
      </w:r>
      <w:r w:rsidR="00997CFD" w:rsidRPr="00A150C2">
        <w:rPr>
          <w:rFonts w:asciiTheme="minorHAnsi" w:hAnsiTheme="minorHAnsi" w:cstheme="minorHAnsi"/>
          <w:sz w:val="22"/>
          <w:szCs w:val="22"/>
        </w:rPr>
        <w:t>and 20</w:t>
      </w:r>
      <w:r w:rsidR="00FD4FC7" w:rsidRPr="00A150C2">
        <w:rPr>
          <w:rFonts w:asciiTheme="minorHAnsi" w:hAnsiTheme="minorHAnsi" w:cstheme="minorHAnsi"/>
          <w:sz w:val="22"/>
          <w:szCs w:val="22"/>
        </w:rPr>
        <w:t>1</w:t>
      </w:r>
      <w:r w:rsidR="00E61473">
        <w:rPr>
          <w:rFonts w:asciiTheme="minorHAnsi" w:hAnsiTheme="minorHAnsi" w:cstheme="minorHAnsi"/>
          <w:sz w:val="22"/>
          <w:szCs w:val="22"/>
        </w:rPr>
        <w:t>3</w:t>
      </w:r>
      <w:r w:rsidR="006845A7">
        <w:rPr>
          <w:rFonts w:asciiTheme="minorHAnsi" w:hAnsiTheme="minorHAnsi" w:cstheme="minorHAnsi"/>
          <w:sz w:val="22"/>
          <w:szCs w:val="22"/>
        </w:rPr>
        <w:noBreakHyphen/>
        <w:t>1</w:t>
      </w:r>
      <w:r w:rsidR="00E6147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,</w:t>
      </w:r>
      <w:r w:rsidR="00997CFD" w:rsidRPr="00A150C2">
        <w:rPr>
          <w:rFonts w:asciiTheme="minorHAnsi" w:hAnsiTheme="minorHAnsi" w:cstheme="minorHAnsi"/>
          <w:sz w:val="22"/>
          <w:szCs w:val="22"/>
        </w:rPr>
        <w:t xml:space="preserve"> and the forward</w:t>
      </w:r>
      <w:r w:rsidR="008D5C97" w:rsidRPr="00A150C2">
        <w:rPr>
          <w:rFonts w:asciiTheme="minorHAnsi" w:hAnsiTheme="minorHAnsi" w:cstheme="minorHAnsi"/>
          <w:sz w:val="22"/>
          <w:szCs w:val="22"/>
        </w:rPr>
        <w:t xml:space="preserve"> estimates contained in Budget P</w:t>
      </w:r>
      <w:r w:rsidR="00997CFD" w:rsidRPr="00A150C2">
        <w:rPr>
          <w:rFonts w:asciiTheme="minorHAnsi" w:hAnsiTheme="minorHAnsi" w:cstheme="minorHAnsi"/>
          <w:sz w:val="22"/>
          <w:szCs w:val="22"/>
        </w:rPr>
        <w:t>aper N</w:t>
      </w:r>
      <w:r w:rsidR="000B4B6F">
        <w:rPr>
          <w:rFonts w:asciiTheme="minorHAnsi" w:hAnsiTheme="minorHAnsi" w:cstheme="minorHAnsi"/>
          <w:sz w:val="22"/>
          <w:szCs w:val="22"/>
        </w:rPr>
        <w:t>o.</w:t>
      </w:r>
      <w:r w:rsidR="00997CFD" w:rsidRPr="00A150C2">
        <w:rPr>
          <w:rFonts w:asciiTheme="minorHAnsi" w:hAnsiTheme="minorHAnsi" w:cstheme="minorHAnsi"/>
          <w:sz w:val="22"/>
          <w:szCs w:val="22"/>
        </w:rPr>
        <w:t xml:space="preserve"> 4 for 20</w:t>
      </w:r>
      <w:r w:rsidR="000B0A86" w:rsidRPr="00A150C2">
        <w:rPr>
          <w:rFonts w:asciiTheme="minorHAnsi" w:hAnsiTheme="minorHAnsi" w:cstheme="minorHAnsi"/>
          <w:sz w:val="22"/>
          <w:szCs w:val="22"/>
        </w:rPr>
        <w:t>1</w:t>
      </w:r>
      <w:r w:rsidR="00E61473">
        <w:rPr>
          <w:rFonts w:asciiTheme="minorHAnsi" w:hAnsiTheme="minorHAnsi" w:cstheme="minorHAnsi"/>
          <w:sz w:val="22"/>
          <w:szCs w:val="22"/>
        </w:rPr>
        <w:t>4</w:t>
      </w:r>
      <w:r w:rsidR="006845A7">
        <w:rPr>
          <w:rFonts w:asciiTheme="minorHAnsi" w:hAnsiTheme="minorHAnsi" w:cstheme="minorHAnsi"/>
          <w:sz w:val="22"/>
          <w:szCs w:val="22"/>
        </w:rPr>
        <w:t>-1</w:t>
      </w:r>
      <w:r w:rsidR="00E61473">
        <w:rPr>
          <w:rFonts w:asciiTheme="minorHAnsi" w:hAnsiTheme="minorHAnsi" w:cstheme="minorHAnsi"/>
          <w:sz w:val="22"/>
          <w:szCs w:val="22"/>
        </w:rPr>
        <w:t>5</w:t>
      </w:r>
      <w:r w:rsidR="000B4B6F">
        <w:rPr>
          <w:rFonts w:asciiTheme="minorHAnsi" w:hAnsiTheme="minorHAnsi" w:cstheme="minorHAnsi"/>
          <w:sz w:val="22"/>
          <w:szCs w:val="22"/>
        </w:rPr>
        <w:t>.</w:t>
      </w:r>
    </w:p>
    <w:p w:rsidR="00035609" w:rsidRDefault="00035609" w:rsidP="00CF0E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35609" w:rsidRDefault="00035609" w:rsidP="00997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5609" w:rsidRDefault="00035609" w:rsidP="00997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5609" w:rsidRDefault="00035609" w:rsidP="00997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5609" w:rsidRDefault="00035609" w:rsidP="00997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5609" w:rsidRDefault="00035609" w:rsidP="00997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5609" w:rsidRDefault="00035609" w:rsidP="00997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35609" w:rsidRDefault="00035609" w:rsidP="00997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66AF" w:rsidRPr="000229D7" w:rsidRDefault="00CF0EF9" w:rsidP="00B41C86">
      <w:pPr>
        <w:pStyle w:val="Heading1"/>
        <w:rPr>
          <w:sz w:val="28"/>
        </w:rPr>
      </w:pPr>
      <w:r>
        <w:rPr>
          <w:sz w:val="28"/>
        </w:rPr>
        <w:t xml:space="preserve">The Office’s </w:t>
      </w:r>
      <w:r w:rsidR="002666AF" w:rsidRPr="000229D7">
        <w:rPr>
          <w:sz w:val="28"/>
        </w:rPr>
        <w:t xml:space="preserve">Financial Performance </w:t>
      </w:r>
    </w:p>
    <w:p w:rsidR="005D36D8" w:rsidRPr="00A150C2" w:rsidRDefault="00C60A04" w:rsidP="00E85F2B">
      <w:pPr>
        <w:pStyle w:val="Heading2"/>
      </w:pPr>
      <w:r>
        <w:t>Net Cost of Service</w:t>
      </w:r>
      <w:r w:rsidR="005D36D8" w:rsidRPr="00A150C2">
        <w:t xml:space="preserve">s </w:t>
      </w:r>
    </w:p>
    <w:p w:rsidR="006A516A" w:rsidRPr="006A516A" w:rsidRDefault="00552D78" w:rsidP="00CF0EF9">
      <w:pPr>
        <w:pStyle w:val="Bodycopy"/>
        <w:jc w:val="both"/>
        <w:rPr>
          <w:color w:val="000000"/>
        </w:rPr>
      </w:pPr>
      <w:r>
        <w:t xml:space="preserve">The Office’s </w:t>
      </w:r>
      <w:r w:rsidR="002F2DE3">
        <w:t>N</w:t>
      </w:r>
      <w:r w:rsidR="00E77C86">
        <w:t xml:space="preserve">et </w:t>
      </w:r>
      <w:r w:rsidR="002F2DE3">
        <w:t>Cost of S</w:t>
      </w:r>
      <w:r w:rsidR="00E77C86">
        <w:t xml:space="preserve">ervices </w:t>
      </w:r>
      <w:r>
        <w:t>is</w:t>
      </w:r>
      <w:r w:rsidR="00E77C86">
        <w:t xml:space="preserve"> the </w:t>
      </w:r>
      <w:r w:rsidR="0022156A">
        <w:t xml:space="preserve">total expenditure of the Office less </w:t>
      </w:r>
      <w:r w:rsidR="0040604C">
        <w:t>T</w:t>
      </w:r>
      <w:r w:rsidR="002D3D0E">
        <w:t xml:space="preserve">otal </w:t>
      </w:r>
      <w:r w:rsidR="0040604C">
        <w:t>O</w:t>
      </w:r>
      <w:r w:rsidR="006A516A">
        <w:t xml:space="preserve">wn </w:t>
      </w:r>
      <w:r w:rsidR="0040604C">
        <w:t>S</w:t>
      </w:r>
      <w:r w:rsidR="006A516A">
        <w:t xml:space="preserve">ource </w:t>
      </w:r>
      <w:r w:rsidR="0040604C">
        <w:t>R</w:t>
      </w:r>
      <w:r w:rsidR="006A516A">
        <w:t>evenue</w:t>
      </w:r>
      <w:r w:rsidR="0040604C">
        <w:t xml:space="preserve">. It </w:t>
      </w:r>
      <w:r w:rsidR="006015F0" w:rsidRPr="00A150C2">
        <w:t>is summarised in the following table and illustrated in the graph below</w:t>
      </w:r>
      <w:r w:rsidR="006E115B">
        <w:t>.</w:t>
      </w:r>
      <w:r w:rsidR="006A516A" w:rsidRPr="006A516A">
        <w:t xml:space="preserve"> </w:t>
      </w:r>
      <w:r w:rsidR="006A516A">
        <w:t xml:space="preserve">The majority of </w:t>
      </w:r>
      <w:r w:rsidR="0040604C">
        <w:t>the Office’s O</w:t>
      </w:r>
      <w:r w:rsidR="006A516A">
        <w:t xml:space="preserve">wn </w:t>
      </w:r>
      <w:r w:rsidR="0040604C">
        <w:t>S</w:t>
      </w:r>
      <w:r w:rsidR="006A516A">
        <w:t xml:space="preserve">ource </w:t>
      </w:r>
      <w:r w:rsidR="0040604C">
        <w:t>R</w:t>
      </w:r>
      <w:r w:rsidR="006A516A">
        <w:t xml:space="preserve">evenue relates to </w:t>
      </w:r>
      <w:r w:rsidR="0040604C">
        <w:t>R</w:t>
      </w:r>
      <w:r w:rsidR="006A516A">
        <w:t>esource</w:t>
      </w:r>
      <w:r w:rsidR="00CF0EF9">
        <w:t>s</w:t>
      </w:r>
      <w:r w:rsidR="006A516A">
        <w:t xml:space="preserve"> </w:t>
      </w:r>
      <w:r w:rsidR="0040604C">
        <w:t>R</w:t>
      </w:r>
      <w:r w:rsidR="006A516A">
        <w:t xml:space="preserve">eceived </w:t>
      </w:r>
      <w:r w:rsidR="0040604C">
        <w:t>F</w:t>
      </w:r>
      <w:r w:rsidR="006A516A">
        <w:t xml:space="preserve">ree of </w:t>
      </w:r>
      <w:r w:rsidR="0040604C">
        <w:t>C</w:t>
      </w:r>
      <w:r w:rsidR="006A516A">
        <w:t xml:space="preserve">harge. </w:t>
      </w:r>
      <w:r w:rsidR="006A516A" w:rsidRPr="006A516A">
        <w:t>It is an accounting requirement that the value of such services is treated as revenue, but there is also a corresponding expense recognised in the financial statements. Accordingly, fluctuations in the cost of these services have no impact on the Net Cost of Services.</w:t>
      </w:r>
    </w:p>
    <w:p w:rsidR="006015F0" w:rsidRPr="00A150C2" w:rsidRDefault="006015F0" w:rsidP="002666AF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39" w:type="pct"/>
        <w:tblInd w:w="108" w:type="dxa"/>
        <w:tblLook w:val="00BF"/>
      </w:tblPr>
      <w:tblGrid>
        <w:gridCol w:w="1837"/>
        <w:gridCol w:w="997"/>
        <w:gridCol w:w="1132"/>
        <w:gridCol w:w="1132"/>
        <w:gridCol w:w="1274"/>
        <w:gridCol w:w="1268"/>
        <w:gridCol w:w="1291"/>
      </w:tblGrid>
      <w:tr w:rsidR="00057FC4" w:rsidRPr="00EF137B" w:rsidTr="00057FC4">
        <w:tc>
          <w:tcPr>
            <w:tcW w:w="1028" w:type="pct"/>
            <w:shd w:val="clear" w:color="auto" w:fill="8DB3E2" w:themeFill="text2" w:themeFillTint="66"/>
          </w:tcPr>
          <w:p w:rsidR="00057FC4" w:rsidRPr="00EF137B" w:rsidRDefault="00057FC4" w:rsidP="00450B0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8DB3E2" w:themeFill="text2" w:themeFillTint="66"/>
          </w:tcPr>
          <w:p w:rsidR="00057FC4" w:rsidRPr="00EF137B" w:rsidRDefault="00057FC4" w:rsidP="00AD0B3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Actual 201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$m</w:t>
            </w:r>
          </w:p>
        </w:tc>
        <w:tc>
          <w:tcPr>
            <w:tcW w:w="634" w:type="pct"/>
            <w:shd w:val="clear" w:color="auto" w:fill="8DB3E2" w:themeFill="text2" w:themeFillTint="66"/>
          </w:tcPr>
          <w:p w:rsidR="00057FC4" w:rsidRPr="00EF137B" w:rsidRDefault="00057FC4" w:rsidP="00CF0EF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Original 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Budget 201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$m</w:t>
            </w:r>
          </w:p>
        </w:tc>
        <w:tc>
          <w:tcPr>
            <w:tcW w:w="634" w:type="pct"/>
            <w:shd w:val="clear" w:color="auto" w:fill="8DB3E2" w:themeFill="text2" w:themeFillTint="66"/>
          </w:tcPr>
          <w:p w:rsidR="00057FC4" w:rsidRPr="00EF137B" w:rsidRDefault="00057FC4" w:rsidP="00AD0B3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Actual 201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$m</w:t>
            </w:r>
          </w:p>
        </w:tc>
        <w:tc>
          <w:tcPr>
            <w:tcW w:w="713" w:type="pct"/>
            <w:shd w:val="clear" w:color="auto" w:fill="8DB3E2" w:themeFill="text2" w:themeFillTint="66"/>
          </w:tcPr>
          <w:p w:rsidR="00057FC4" w:rsidRPr="00EF137B" w:rsidRDefault="00057FC4" w:rsidP="00CF0EF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Forward estimate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$m</w:t>
            </w:r>
          </w:p>
        </w:tc>
        <w:tc>
          <w:tcPr>
            <w:tcW w:w="710" w:type="pct"/>
            <w:shd w:val="clear" w:color="auto" w:fill="8DB3E2" w:themeFill="text2" w:themeFillTint="66"/>
          </w:tcPr>
          <w:p w:rsidR="00057FC4" w:rsidRPr="00EF137B" w:rsidRDefault="00057FC4" w:rsidP="00CF0EF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Forward estimate 201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$m</w:t>
            </w:r>
          </w:p>
        </w:tc>
        <w:tc>
          <w:tcPr>
            <w:tcW w:w="723" w:type="pct"/>
            <w:shd w:val="clear" w:color="auto" w:fill="8DB3E2" w:themeFill="text2" w:themeFillTint="66"/>
          </w:tcPr>
          <w:p w:rsidR="00057FC4" w:rsidRPr="00EF137B" w:rsidRDefault="00057FC4" w:rsidP="0012632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Forward </w:t>
            </w:r>
          </w:p>
          <w:p w:rsidR="00057FC4" w:rsidRPr="00EF137B" w:rsidRDefault="00057FC4" w:rsidP="0012632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estimate 201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7</w:t>
            </w:r>
          </w:p>
          <w:p w:rsidR="00057FC4" w:rsidRPr="00EF137B" w:rsidRDefault="00057FC4" w:rsidP="0012632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$m</w:t>
            </w:r>
          </w:p>
        </w:tc>
      </w:tr>
      <w:tr w:rsidR="00057FC4" w:rsidRPr="00EF137B" w:rsidTr="00057FC4">
        <w:tc>
          <w:tcPr>
            <w:tcW w:w="1028" w:type="pct"/>
            <w:vAlign w:val="center"/>
          </w:tcPr>
          <w:p w:rsidR="00057FC4" w:rsidRPr="00EF137B" w:rsidRDefault="00057FC4" w:rsidP="006A516A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xpenditure</w:t>
            </w:r>
          </w:p>
        </w:tc>
        <w:tc>
          <w:tcPr>
            <w:tcW w:w="558" w:type="pct"/>
            <w:vAlign w:val="center"/>
          </w:tcPr>
          <w:p w:rsidR="00057FC4" w:rsidRPr="00EF137B" w:rsidRDefault="00057FC4" w:rsidP="000229D7">
            <w:pPr>
              <w:pStyle w:val="Default"/>
              <w:spacing w:before="12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947</w:t>
            </w:r>
          </w:p>
        </w:tc>
        <w:tc>
          <w:tcPr>
            <w:tcW w:w="634" w:type="pct"/>
            <w:vAlign w:val="center"/>
          </w:tcPr>
          <w:p w:rsidR="00057FC4" w:rsidRPr="00EF137B" w:rsidRDefault="00057FC4" w:rsidP="00057FC4">
            <w:pPr>
              <w:pStyle w:val="Default"/>
              <w:spacing w:before="12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41</w:t>
            </w:r>
          </w:p>
        </w:tc>
        <w:tc>
          <w:tcPr>
            <w:tcW w:w="634" w:type="pct"/>
            <w:vAlign w:val="center"/>
          </w:tcPr>
          <w:p w:rsidR="00057FC4" w:rsidRPr="00EF137B" w:rsidRDefault="00A94D5E" w:rsidP="00273C03">
            <w:pPr>
              <w:pStyle w:val="Default"/>
              <w:spacing w:before="12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8.22</w:t>
            </w:r>
            <w:r w:rsidR="00273C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713" w:type="pct"/>
            <w:vAlign w:val="center"/>
          </w:tcPr>
          <w:p w:rsidR="00057FC4" w:rsidRPr="00EF137B" w:rsidRDefault="00057FC4" w:rsidP="00806B6E">
            <w:pPr>
              <w:pStyle w:val="Default"/>
              <w:spacing w:before="12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8.735</w:t>
            </w:r>
          </w:p>
        </w:tc>
        <w:tc>
          <w:tcPr>
            <w:tcW w:w="710" w:type="pct"/>
            <w:vAlign w:val="center"/>
          </w:tcPr>
          <w:p w:rsidR="00057FC4" w:rsidRPr="00EF137B" w:rsidRDefault="00057FC4" w:rsidP="00806B6E">
            <w:pPr>
              <w:pStyle w:val="Default"/>
              <w:spacing w:before="12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9.003</w:t>
            </w:r>
          </w:p>
        </w:tc>
        <w:tc>
          <w:tcPr>
            <w:tcW w:w="723" w:type="pct"/>
            <w:vAlign w:val="center"/>
          </w:tcPr>
          <w:p w:rsidR="00057FC4" w:rsidRPr="00EF137B" w:rsidRDefault="00057FC4" w:rsidP="00A8503B">
            <w:pPr>
              <w:pStyle w:val="Default"/>
              <w:spacing w:before="12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9.035</w:t>
            </w:r>
          </w:p>
        </w:tc>
      </w:tr>
      <w:tr w:rsidR="00057FC4" w:rsidRPr="00EF137B" w:rsidTr="00057FC4">
        <w:tc>
          <w:tcPr>
            <w:tcW w:w="1028" w:type="pct"/>
            <w:vAlign w:val="center"/>
          </w:tcPr>
          <w:p w:rsidR="00057FC4" w:rsidRPr="00EF137B" w:rsidRDefault="00057FC4" w:rsidP="00E85F2B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Own Source Revenue</w:t>
            </w:r>
          </w:p>
        </w:tc>
        <w:tc>
          <w:tcPr>
            <w:tcW w:w="558" w:type="pct"/>
            <w:vAlign w:val="center"/>
          </w:tcPr>
          <w:p w:rsidR="00057FC4" w:rsidRPr="00EF137B" w:rsidRDefault="00057FC4" w:rsidP="00951CEF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 w:rsidR="00951CE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4" w:type="pct"/>
            <w:vAlign w:val="center"/>
          </w:tcPr>
          <w:p w:rsidR="00057FC4" w:rsidRPr="00EF137B" w:rsidRDefault="00057FC4" w:rsidP="00057FC4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865</w:t>
            </w:r>
          </w:p>
        </w:tc>
        <w:tc>
          <w:tcPr>
            <w:tcW w:w="634" w:type="pct"/>
            <w:vAlign w:val="center"/>
          </w:tcPr>
          <w:p w:rsidR="00057FC4" w:rsidRPr="00EF137B" w:rsidRDefault="00A94D5E" w:rsidP="0040760A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0.732</w:t>
            </w:r>
          </w:p>
        </w:tc>
        <w:tc>
          <w:tcPr>
            <w:tcW w:w="713" w:type="pct"/>
            <w:vAlign w:val="center"/>
          </w:tcPr>
          <w:p w:rsidR="00057FC4" w:rsidRPr="00EF137B" w:rsidRDefault="00057FC4" w:rsidP="00057FC4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0.918</w:t>
            </w:r>
          </w:p>
        </w:tc>
        <w:tc>
          <w:tcPr>
            <w:tcW w:w="710" w:type="pct"/>
            <w:vAlign w:val="center"/>
          </w:tcPr>
          <w:p w:rsidR="00057FC4" w:rsidRPr="00EF137B" w:rsidRDefault="00057FC4" w:rsidP="00057FC4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0.944</w:t>
            </w:r>
          </w:p>
        </w:tc>
        <w:tc>
          <w:tcPr>
            <w:tcW w:w="723" w:type="pct"/>
            <w:vAlign w:val="center"/>
          </w:tcPr>
          <w:p w:rsidR="00057FC4" w:rsidRPr="00EF137B" w:rsidRDefault="00057FC4" w:rsidP="00057FC4">
            <w:pPr>
              <w:spacing w:before="2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0.944</w:t>
            </w:r>
          </w:p>
        </w:tc>
      </w:tr>
      <w:tr w:rsidR="00057FC4" w:rsidRPr="00EF137B" w:rsidTr="00057FC4">
        <w:tc>
          <w:tcPr>
            <w:tcW w:w="1028" w:type="pct"/>
            <w:vAlign w:val="center"/>
          </w:tcPr>
          <w:p w:rsidR="00057FC4" w:rsidRPr="00EF137B" w:rsidRDefault="00057FC4" w:rsidP="00E85F2B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Net Cost of Services</w:t>
            </w:r>
          </w:p>
        </w:tc>
        <w:tc>
          <w:tcPr>
            <w:tcW w:w="558" w:type="pct"/>
            <w:vAlign w:val="center"/>
          </w:tcPr>
          <w:p w:rsidR="00057FC4" w:rsidRPr="00EF137B" w:rsidRDefault="00057FC4" w:rsidP="00951CEF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sz w:val="22"/>
                <w:szCs w:val="22"/>
              </w:rPr>
              <w:t>7.02</w:t>
            </w:r>
            <w:r w:rsidR="00951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34" w:type="pct"/>
            <w:vAlign w:val="center"/>
          </w:tcPr>
          <w:p w:rsidR="00057FC4" w:rsidRPr="00EF137B" w:rsidRDefault="00057FC4" w:rsidP="00951CEF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7.57</w:t>
            </w:r>
            <w:r w:rsidR="00951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34" w:type="pct"/>
            <w:vAlign w:val="center"/>
          </w:tcPr>
          <w:p w:rsidR="00057FC4" w:rsidRPr="00EF137B" w:rsidRDefault="00A94D5E" w:rsidP="00273C03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 w:rsidR="00273C03">
              <w:rPr>
                <w:rFonts w:asciiTheme="minorHAnsi" w:hAnsiTheme="minorHAnsi" w:cstheme="minorHAnsi"/>
                <w:b/>
                <w:sz w:val="22"/>
                <w:szCs w:val="22"/>
              </w:rPr>
              <w:t>494</w:t>
            </w:r>
          </w:p>
        </w:tc>
        <w:tc>
          <w:tcPr>
            <w:tcW w:w="713" w:type="pct"/>
            <w:vAlign w:val="center"/>
          </w:tcPr>
          <w:p w:rsidR="00057FC4" w:rsidRPr="00EF137B" w:rsidRDefault="00A96641" w:rsidP="00806B6E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7.817</w:t>
            </w:r>
          </w:p>
        </w:tc>
        <w:tc>
          <w:tcPr>
            <w:tcW w:w="710" w:type="pct"/>
            <w:vAlign w:val="center"/>
          </w:tcPr>
          <w:p w:rsidR="00057FC4" w:rsidRPr="00EF137B" w:rsidRDefault="00A96641" w:rsidP="00A8503B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8.059</w:t>
            </w:r>
          </w:p>
        </w:tc>
        <w:tc>
          <w:tcPr>
            <w:tcW w:w="723" w:type="pct"/>
            <w:vAlign w:val="center"/>
          </w:tcPr>
          <w:p w:rsidR="00057FC4" w:rsidRPr="00EF137B" w:rsidRDefault="00A96641" w:rsidP="00A8503B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8.091</w:t>
            </w:r>
          </w:p>
        </w:tc>
      </w:tr>
    </w:tbl>
    <w:p w:rsidR="000B6AE4" w:rsidRPr="00A150C2" w:rsidRDefault="000B6AE4" w:rsidP="002666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16F4C" w:rsidRDefault="00127B40" w:rsidP="006506B6">
      <w:pPr>
        <w:pStyle w:val="Heading3"/>
        <w:jc w:val="both"/>
      </w:pPr>
      <w:r w:rsidRPr="00127B40">
        <w:rPr>
          <w:noProof/>
          <w:lang w:eastAsia="en-AU"/>
        </w:rPr>
        <w:drawing>
          <wp:inline distT="0" distB="0" distL="0" distR="0">
            <wp:extent cx="5490210" cy="3128716"/>
            <wp:effectExtent l="19050" t="0" r="1524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6F4C" w:rsidRDefault="00F16F4C" w:rsidP="00F16F4C">
      <w:pPr>
        <w:rPr>
          <w:rFonts w:asciiTheme="minorHAnsi" w:eastAsiaTheme="majorEastAsia" w:hAnsiTheme="minorHAnsi" w:cstheme="majorBidi"/>
          <w:sz w:val="22"/>
          <w:u w:val="single"/>
        </w:rPr>
      </w:pPr>
      <w:r>
        <w:br w:type="page"/>
      </w:r>
    </w:p>
    <w:p w:rsidR="0056046D" w:rsidRPr="0056046D" w:rsidRDefault="0056046D" w:rsidP="006506B6">
      <w:pPr>
        <w:pStyle w:val="Heading3"/>
        <w:jc w:val="both"/>
      </w:pPr>
      <w:r w:rsidRPr="0056046D">
        <w:lastRenderedPageBreak/>
        <w:t>Comparison to</w:t>
      </w:r>
      <w:r w:rsidR="000229D7">
        <w:t xml:space="preserve"> Original</w:t>
      </w:r>
      <w:r w:rsidRPr="0056046D">
        <w:t xml:space="preserve"> Budget</w:t>
      </w:r>
    </w:p>
    <w:p w:rsidR="0056046D" w:rsidRPr="0056046D" w:rsidRDefault="0056046D" w:rsidP="006506B6">
      <w:pPr>
        <w:pStyle w:val="Bodycopy"/>
        <w:jc w:val="both"/>
      </w:pPr>
      <w:r w:rsidRPr="0056046D">
        <w:t xml:space="preserve">The </w:t>
      </w:r>
      <w:r>
        <w:t xml:space="preserve">Office’s </w:t>
      </w:r>
      <w:r w:rsidR="00C60A04">
        <w:t>Net Cost of Service</w:t>
      </w:r>
      <w:r w:rsidRPr="0056046D">
        <w:t xml:space="preserve">s </w:t>
      </w:r>
      <w:r w:rsidR="00AD0B31">
        <w:t>for 2013</w:t>
      </w:r>
      <w:r>
        <w:t>-1</w:t>
      </w:r>
      <w:r w:rsidR="00AD0B31">
        <w:t>4</w:t>
      </w:r>
      <w:r w:rsidRPr="0056046D">
        <w:t xml:space="preserve"> </w:t>
      </w:r>
      <w:r w:rsidR="00EC0FEB" w:rsidRPr="00A8503B">
        <w:t xml:space="preserve">of </w:t>
      </w:r>
      <w:r w:rsidRPr="00A94D5E">
        <w:t>$</w:t>
      </w:r>
      <w:r w:rsidR="00A94D5E" w:rsidRPr="00A94D5E">
        <w:t>7</w:t>
      </w:r>
      <w:r w:rsidR="00EC0FEB" w:rsidRPr="00A94D5E">
        <w:t>.</w:t>
      </w:r>
      <w:r w:rsidR="00273C03">
        <w:t>494</w:t>
      </w:r>
      <w:r w:rsidR="00EC0FEB" w:rsidRPr="00A94D5E">
        <w:t>m</w:t>
      </w:r>
      <w:r w:rsidR="00EC0FEB" w:rsidRPr="00A8503B">
        <w:t xml:space="preserve"> was </w:t>
      </w:r>
      <w:r w:rsidR="00720EDA" w:rsidRPr="00A8503B">
        <w:t>$</w:t>
      </w:r>
      <w:r w:rsidR="00A94D5E" w:rsidRPr="00A94D5E">
        <w:t>0</w:t>
      </w:r>
      <w:r w:rsidRPr="00A94D5E">
        <w:t>.</w:t>
      </w:r>
      <w:r w:rsidR="00A94D5E" w:rsidRPr="00A94D5E">
        <w:t>0</w:t>
      </w:r>
      <w:r w:rsidR="00273C03">
        <w:t>8</w:t>
      </w:r>
      <w:r w:rsidR="00951CEF">
        <w:t>2</w:t>
      </w:r>
      <w:r w:rsidRPr="00A94D5E">
        <w:t>m or</w:t>
      </w:r>
      <w:r w:rsidRPr="00A8503B">
        <w:t xml:space="preserve"> </w:t>
      </w:r>
      <w:r w:rsidR="00A94D5E">
        <w:t>1.</w:t>
      </w:r>
      <w:r w:rsidR="00273C03">
        <w:t>1</w:t>
      </w:r>
      <w:r w:rsidR="00720EDA" w:rsidRPr="00A8503B">
        <w:t xml:space="preserve"> per</w:t>
      </w:r>
      <w:r w:rsidR="00720EDA">
        <w:t xml:space="preserve"> cent</w:t>
      </w:r>
      <w:r w:rsidRPr="0056046D">
        <w:t xml:space="preserve"> </w:t>
      </w:r>
      <w:proofErr w:type="gramStart"/>
      <w:r w:rsidR="00A94D5E">
        <w:t>lower</w:t>
      </w:r>
      <w:proofErr w:type="gramEnd"/>
      <w:r w:rsidRPr="0056046D">
        <w:t xml:space="preserve"> than the 201</w:t>
      </w:r>
      <w:r w:rsidR="00AD0B31">
        <w:t>3-14</w:t>
      </w:r>
      <w:r w:rsidRPr="0056046D">
        <w:t xml:space="preserve"> Budget.</w:t>
      </w:r>
      <w:r w:rsidR="004F35A8">
        <w:t xml:space="preserve"> </w:t>
      </w:r>
    </w:p>
    <w:p w:rsidR="00986C34" w:rsidRPr="00E85F2B" w:rsidRDefault="00986C34" w:rsidP="006506B6">
      <w:pPr>
        <w:pStyle w:val="Heading3"/>
        <w:jc w:val="both"/>
      </w:pPr>
      <w:r w:rsidRPr="00E85F2B">
        <w:t>Comparison to 20</w:t>
      </w:r>
      <w:r w:rsidR="00143A73" w:rsidRPr="00E85F2B">
        <w:t>1</w:t>
      </w:r>
      <w:r w:rsidR="00875FC9">
        <w:t>2</w:t>
      </w:r>
      <w:r w:rsidR="00143A73" w:rsidRPr="00E85F2B">
        <w:t>-1</w:t>
      </w:r>
      <w:r w:rsidR="00875FC9">
        <w:t>3</w:t>
      </w:r>
      <w:r w:rsidRPr="00E85F2B">
        <w:t xml:space="preserve"> Actual </w:t>
      </w:r>
      <w:r w:rsidR="00C60A04">
        <w:t>Net Cost of Service</w:t>
      </w:r>
      <w:r w:rsidRPr="00E85F2B">
        <w:t>s</w:t>
      </w:r>
    </w:p>
    <w:p w:rsidR="00B614D2" w:rsidRPr="00F34290" w:rsidRDefault="003B0533" w:rsidP="006506B6">
      <w:pPr>
        <w:pStyle w:val="Bodycopy"/>
        <w:jc w:val="both"/>
      </w:pPr>
      <w:r w:rsidRPr="009B2741">
        <w:t xml:space="preserve">The </w:t>
      </w:r>
      <w:r w:rsidR="00E85F2B">
        <w:t>Office’s</w:t>
      </w:r>
      <w:r w:rsidR="000C15F8">
        <w:t xml:space="preserve"> </w:t>
      </w:r>
      <w:r w:rsidR="00C60A04">
        <w:t>Net Cost of Service</w:t>
      </w:r>
      <w:r w:rsidR="000D0064" w:rsidRPr="009B2741">
        <w:t xml:space="preserve">s </w:t>
      </w:r>
      <w:r w:rsidR="0070278B" w:rsidRPr="009B2741">
        <w:t>for 201</w:t>
      </w:r>
      <w:r w:rsidR="00AD0B31">
        <w:t>3</w:t>
      </w:r>
      <w:r w:rsidR="0070278B" w:rsidRPr="009B2741">
        <w:t>-1</w:t>
      </w:r>
      <w:r w:rsidR="00AD0B31">
        <w:t>4</w:t>
      </w:r>
      <w:r w:rsidR="0070278B" w:rsidRPr="009B2741">
        <w:t xml:space="preserve"> </w:t>
      </w:r>
      <w:r w:rsidR="0070278B" w:rsidRPr="00A8503B">
        <w:t>was</w:t>
      </w:r>
      <w:r w:rsidR="000B4B6F" w:rsidRPr="00A8503B">
        <w:t xml:space="preserve"> </w:t>
      </w:r>
      <w:r w:rsidR="00B614D2" w:rsidRPr="00A94D5E">
        <w:t>$</w:t>
      </w:r>
      <w:r w:rsidR="00A94D5E" w:rsidRPr="00A94D5E">
        <w:t>0</w:t>
      </w:r>
      <w:r w:rsidR="00B614D2" w:rsidRPr="00A94D5E">
        <w:t>.</w:t>
      </w:r>
      <w:r w:rsidR="00A94D5E" w:rsidRPr="00A94D5E">
        <w:t>46</w:t>
      </w:r>
      <w:r w:rsidR="00810FBF">
        <w:t>6</w:t>
      </w:r>
      <w:r w:rsidR="00B614D2" w:rsidRPr="00A94D5E">
        <w:t>m</w:t>
      </w:r>
      <w:r w:rsidR="00720EDA" w:rsidRPr="00A94D5E">
        <w:t xml:space="preserve"> or </w:t>
      </w:r>
      <w:r w:rsidR="00A94D5E" w:rsidRPr="00A94D5E">
        <w:t>6</w:t>
      </w:r>
      <w:r w:rsidR="002B1053" w:rsidRPr="00A94D5E">
        <w:t>.</w:t>
      </w:r>
      <w:r w:rsidR="0036181C">
        <w:t>6</w:t>
      </w:r>
      <w:r w:rsidR="00A94D5E" w:rsidRPr="00A94D5E">
        <w:t xml:space="preserve"> </w:t>
      </w:r>
      <w:r w:rsidR="002B1053" w:rsidRPr="00A94D5E">
        <w:t>per cent</w:t>
      </w:r>
      <w:r w:rsidR="00B614D2" w:rsidRPr="00A94D5E">
        <w:t xml:space="preserve"> </w:t>
      </w:r>
      <w:r w:rsidR="00A94D5E" w:rsidRPr="00A94D5E">
        <w:t>higher</w:t>
      </w:r>
      <w:r w:rsidR="00B614D2" w:rsidRPr="00A94D5E">
        <w:t xml:space="preserve"> than the</w:t>
      </w:r>
      <w:r w:rsidR="00B614D2" w:rsidRPr="00F34290">
        <w:t xml:space="preserve"> Actual </w:t>
      </w:r>
      <w:r w:rsidR="00C60A04">
        <w:t>Net Cost of Service</w:t>
      </w:r>
      <w:r w:rsidR="00B614D2" w:rsidRPr="00F34290">
        <w:t>s result</w:t>
      </w:r>
      <w:r w:rsidR="0012347D">
        <w:t xml:space="preserve"> for </w:t>
      </w:r>
      <w:r w:rsidR="0012347D" w:rsidRPr="00F34290">
        <w:t>201</w:t>
      </w:r>
      <w:r w:rsidR="00AD0B31">
        <w:t>2</w:t>
      </w:r>
      <w:r w:rsidR="0012347D" w:rsidRPr="00F34290">
        <w:t>-1</w:t>
      </w:r>
      <w:r w:rsidR="00AD0B31">
        <w:t>3</w:t>
      </w:r>
      <w:r w:rsidR="00B614D2" w:rsidRPr="00F34290">
        <w:t xml:space="preserve">. </w:t>
      </w:r>
    </w:p>
    <w:p w:rsidR="00F34290" w:rsidRDefault="00F34290" w:rsidP="006506B6">
      <w:pPr>
        <w:pStyle w:val="Bodycopy"/>
        <w:jc w:val="both"/>
        <w:rPr>
          <w:color w:val="FF0000"/>
        </w:rPr>
      </w:pPr>
    </w:p>
    <w:p w:rsidR="00477812" w:rsidRDefault="00174899" w:rsidP="006506B6">
      <w:pPr>
        <w:pStyle w:val="Bodycopy"/>
        <w:jc w:val="both"/>
      </w:pPr>
      <w:r w:rsidRPr="00174899">
        <w:t>A number of</w:t>
      </w:r>
      <w:r>
        <w:t xml:space="preserve"> </w:t>
      </w:r>
      <w:r w:rsidRPr="00174899">
        <w:t xml:space="preserve">factors </w:t>
      </w:r>
      <w:r w:rsidR="0040604C">
        <w:t xml:space="preserve">were responsible for </w:t>
      </w:r>
      <w:r w:rsidRPr="00174899">
        <w:t>this</w:t>
      </w:r>
      <w:r w:rsidR="0040604C">
        <w:t xml:space="preserve"> variance. These factors, </w:t>
      </w:r>
      <w:r w:rsidRPr="00174899">
        <w:t xml:space="preserve">including </w:t>
      </w:r>
      <w:r w:rsidR="003C3C52">
        <w:t>significant</w:t>
      </w:r>
      <w:r w:rsidR="0086114D">
        <w:t xml:space="preserve"> </w:t>
      </w:r>
      <w:r w:rsidRPr="00174899">
        <w:t>offsetting effects, a</w:t>
      </w:r>
      <w:r w:rsidR="00477812">
        <w:t>re summarised below</w:t>
      </w:r>
      <w:r w:rsidR="002174D5">
        <w:t>.</w:t>
      </w:r>
    </w:p>
    <w:p w:rsidR="00477812" w:rsidRDefault="00477812" w:rsidP="006506B6">
      <w:pPr>
        <w:pStyle w:val="Bodycopy"/>
        <w:jc w:val="both"/>
      </w:pPr>
    </w:p>
    <w:p w:rsidR="00477812" w:rsidRPr="00A94D5E" w:rsidRDefault="00477812" w:rsidP="006506B6">
      <w:pPr>
        <w:pStyle w:val="Dotties"/>
        <w:jc w:val="both"/>
      </w:pPr>
      <w:r w:rsidRPr="00A94D5E">
        <w:rPr>
          <w:b/>
        </w:rPr>
        <w:t>A</w:t>
      </w:r>
      <w:r w:rsidR="00A94D5E" w:rsidRPr="00A94D5E">
        <w:rPr>
          <w:b/>
        </w:rPr>
        <w:t>n</w:t>
      </w:r>
      <w:r w:rsidRPr="00A94D5E">
        <w:rPr>
          <w:b/>
        </w:rPr>
        <w:t xml:space="preserve"> </w:t>
      </w:r>
      <w:r w:rsidR="00A94D5E" w:rsidRPr="00A94D5E">
        <w:rPr>
          <w:b/>
        </w:rPr>
        <w:t>inc</w:t>
      </w:r>
      <w:r w:rsidRPr="00A94D5E">
        <w:rPr>
          <w:b/>
        </w:rPr>
        <w:t>rease of $</w:t>
      </w:r>
      <w:r w:rsidR="00A94D5E" w:rsidRPr="00A94D5E">
        <w:rPr>
          <w:b/>
        </w:rPr>
        <w:t>0</w:t>
      </w:r>
      <w:r w:rsidRPr="00A94D5E">
        <w:rPr>
          <w:b/>
        </w:rPr>
        <w:t>.</w:t>
      </w:r>
      <w:r w:rsidR="00A94D5E" w:rsidRPr="00A94D5E">
        <w:rPr>
          <w:b/>
        </w:rPr>
        <w:t>275</w:t>
      </w:r>
      <w:r w:rsidRPr="00A94D5E">
        <w:rPr>
          <w:b/>
        </w:rPr>
        <w:t>m</w:t>
      </w:r>
      <w:r w:rsidR="007448B9">
        <w:rPr>
          <w:b/>
        </w:rPr>
        <w:t xml:space="preserve"> </w:t>
      </w:r>
      <w:r w:rsidRPr="00A94D5E">
        <w:rPr>
          <w:b/>
        </w:rPr>
        <w:t xml:space="preserve">in </w:t>
      </w:r>
      <w:r w:rsidR="007448B9">
        <w:rPr>
          <w:b/>
        </w:rPr>
        <w:t xml:space="preserve">wages and salaries </w:t>
      </w:r>
      <w:r w:rsidR="00A94D5E" w:rsidRPr="00A94D5E">
        <w:rPr>
          <w:b/>
        </w:rPr>
        <w:t>e</w:t>
      </w:r>
      <w:r w:rsidRPr="00A94D5E">
        <w:rPr>
          <w:b/>
        </w:rPr>
        <w:t>xpenditure (</w:t>
      </w:r>
      <w:r w:rsidR="00A94D5E" w:rsidRPr="00A94D5E">
        <w:rPr>
          <w:b/>
        </w:rPr>
        <w:t>in</w:t>
      </w:r>
      <w:r w:rsidRPr="00A94D5E">
        <w:rPr>
          <w:b/>
        </w:rPr>
        <w:t>creased from $</w:t>
      </w:r>
      <w:r w:rsidR="00A94D5E" w:rsidRPr="00A94D5E">
        <w:rPr>
          <w:b/>
        </w:rPr>
        <w:t>3</w:t>
      </w:r>
      <w:r w:rsidRPr="00A94D5E">
        <w:rPr>
          <w:b/>
        </w:rPr>
        <w:t>.</w:t>
      </w:r>
      <w:r w:rsidR="00A94D5E" w:rsidRPr="00A94D5E">
        <w:rPr>
          <w:b/>
        </w:rPr>
        <w:t>2</w:t>
      </w:r>
      <w:r w:rsidR="00810FBF">
        <w:rPr>
          <w:b/>
        </w:rPr>
        <w:t>49</w:t>
      </w:r>
      <w:r w:rsidRPr="00A94D5E">
        <w:rPr>
          <w:b/>
        </w:rPr>
        <w:t>m to $</w:t>
      </w:r>
      <w:r w:rsidR="00A94D5E" w:rsidRPr="00A94D5E">
        <w:rPr>
          <w:b/>
        </w:rPr>
        <w:t>3</w:t>
      </w:r>
      <w:r w:rsidRPr="00A94D5E">
        <w:rPr>
          <w:b/>
        </w:rPr>
        <w:t>.</w:t>
      </w:r>
      <w:r w:rsidR="00810FBF">
        <w:rPr>
          <w:b/>
        </w:rPr>
        <w:t>524</w:t>
      </w:r>
      <w:r w:rsidRPr="00A94D5E">
        <w:rPr>
          <w:b/>
        </w:rPr>
        <w:t>m).</w:t>
      </w:r>
      <w:r w:rsidRPr="00A94D5E">
        <w:t xml:space="preserve"> This </w:t>
      </w:r>
      <w:r w:rsidR="00A94D5E" w:rsidRPr="00A94D5E">
        <w:t xml:space="preserve">increase </w:t>
      </w:r>
      <w:r w:rsidRPr="00A94D5E">
        <w:t xml:space="preserve">is </w:t>
      </w:r>
      <w:r w:rsidR="002C4015" w:rsidRPr="00A94D5E">
        <w:t>mainly due</w:t>
      </w:r>
      <w:r w:rsidRPr="00A94D5E">
        <w:t xml:space="preserve"> to </w:t>
      </w:r>
      <w:r w:rsidR="00A94D5E" w:rsidRPr="00A94D5E">
        <w:t>the revised wage indexation of 2</w:t>
      </w:r>
      <w:r w:rsidR="00810FBF">
        <w:t xml:space="preserve"> </w:t>
      </w:r>
      <w:r w:rsidR="00D76DE4">
        <w:t>per cent</w:t>
      </w:r>
      <w:r w:rsidR="00A94D5E" w:rsidRPr="00A94D5E">
        <w:t xml:space="preserve"> in accordance with the </w:t>
      </w:r>
      <w:r w:rsidR="00D50DE4">
        <w:t xml:space="preserve">Office of the Assembly </w:t>
      </w:r>
      <w:r w:rsidR="00A94D5E" w:rsidRPr="00A94D5E">
        <w:t>Enterprise Agreement</w:t>
      </w:r>
      <w:r w:rsidR="00A94D5E">
        <w:t xml:space="preserve"> for 2013-1</w:t>
      </w:r>
      <w:r w:rsidR="00D50DE4">
        <w:t>7</w:t>
      </w:r>
      <w:r w:rsidR="007448B9">
        <w:t xml:space="preserve">. </w:t>
      </w:r>
      <w:r w:rsidR="00A94D5E" w:rsidRPr="00A94D5E">
        <w:t xml:space="preserve">  </w:t>
      </w:r>
    </w:p>
    <w:p w:rsidR="00A94D5E" w:rsidRPr="00AD0B31" w:rsidRDefault="00A94D5E" w:rsidP="006506B6">
      <w:pPr>
        <w:pStyle w:val="Dotties"/>
        <w:numPr>
          <w:ilvl w:val="0"/>
          <w:numId w:val="0"/>
        </w:numPr>
        <w:jc w:val="both"/>
        <w:rPr>
          <w:highlight w:val="yellow"/>
        </w:rPr>
      </w:pPr>
    </w:p>
    <w:p w:rsidR="00477812" w:rsidRDefault="00477812" w:rsidP="006506B6">
      <w:pPr>
        <w:pStyle w:val="Dotties"/>
        <w:jc w:val="both"/>
      </w:pPr>
      <w:r w:rsidRPr="0096658C">
        <w:rPr>
          <w:b/>
        </w:rPr>
        <w:t>A</w:t>
      </w:r>
      <w:r w:rsidR="007448B9" w:rsidRPr="0096658C">
        <w:rPr>
          <w:b/>
        </w:rPr>
        <w:t>n</w:t>
      </w:r>
      <w:r w:rsidRPr="0096658C">
        <w:rPr>
          <w:b/>
        </w:rPr>
        <w:t xml:space="preserve"> </w:t>
      </w:r>
      <w:r w:rsidR="007448B9" w:rsidRPr="0096658C">
        <w:rPr>
          <w:b/>
        </w:rPr>
        <w:t>incr</w:t>
      </w:r>
      <w:r w:rsidRPr="0096658C">
        <w:rPr>
          <w:b/>
        </w:rPr>
        <w:t>ease of $0.</w:t>
      </w:r>
      <w:r w:rsidR="007448B9" w:rsidRPr="0096658C">
        <w:rPr>
          <w:b/>
        </w:rPr>
        <w:t>063</w:t>
      </w:r>
      <w:r w:rsidRPr="0096658C">
        <w:rPr>
          <w:b/>
        </w:rPr>
        <w:t xml:space="preserve">m in expenditure </w:t>
      </w:r>
      <w:r w:rsidR="007448B9" w:rsidRPr="0096658C">
        <w:rPr>
          <w:b/>
        </w:rPr>
        <w:t xml:space="preserve">in casual staffing and overtime expenditure costs </w:t>
      </w:r>
      <w:r w:rsidRPr="0096658C">
        <w:rPr>
          <w:b/>
        </w:rPr>
        <w:t>(</w:t>
      </w:r>
      <w:r w:rsidR="007448B9" w:rsidRPr="0096658C">
        <w:rPr>
          <w:b/>
        </w:rPr>
        <w:t>in</w:t>
      </w:r>
      <w:r w:rsidRPr="0096658C">
        <w:rPr>
          <w:b/>
        </w:rPr>
        <w:t>creased from $</w:t>
      </w:r>
      <w:r w:rsidR="007448B9" w:rsidRPr="0096658C">
        <w:rPr>
          <w:b/>
        </w:rPr>
        <w:t>0</w:t>
      </w:r>
      <w:r w:rsidRPr="0096658C">
        <w:rPr>
          <w:b/>
        </w:rPr>
        <w:t>.2</w:t>
      </w:r>
      <w:r w:rsidR="007448B9" w:rsidRPr="0096658C">
        <w:rPr>
          <w:b/>
        </w:rPr>
        <w:t>18</w:t>
      </w:r>
      <w:r w:rsidRPr="0096658C">
        <w:rPr>
          <w:b/>
        </w:rPr>
        <w:t>m to $0.</w:t>
      </w:r>
      <w:r w:rsidR="00A8503B" w:rsidRPr="0096658C">
        <w:rPr>
          <w:b/>
        </w:rPr>
        <w:t>281</w:t>
      </w:r>
      <w:r w:rsidRPr="0096658C">
        <w:rPr>
          <w:b/>
        </w:rPr>
        <w:t>m)</w:t>
      </w:r>
      <w:r w:rsidR="00254DAF" w:rsidRPr="0096658C">
        <w:rPr>
          <w:b/>
        </w:rPr>
        <w:t>.</w:t>
      </w:r>
      <w:r w:rsidRPr="0096658C">
        <w:t xml:space="preserve"> This </w:t>
      </w:r>
      <w:r w:rsidR="007448B9" w:rsidRPr="0096658C">
        <w:t xml:space="preserve">increase </w:t>
      </w:r>
      <w:r w:rsidRPr="0096658C">
        <w:t xml:space="preserve">is </w:t>
      </w:r>
      <w:r w:rsidR="002C4015" w:rsidRPr="0096658C">
        <w:t xml:space="preserve">mainly </w:t>
      </w:r>
      <w:r w:rsidRPr="0096658C">
        <w:t xml:space="preserve">attributable to </w:t>
      </w:r>
      <w:r w:rsidR="0096658C" w:rsidRPr="0096658C">
        <w:t>increased Assembly activity</w:t>
      </w:r>
      <w:r w:rsidR="00D50DE4">
        <w:t xml:space="preserve"> in 2013-14 with </w:t>
      </w:r>
      <w:r w:rsidR="0096658C" w:rsidRPr="0096658C">
        <w:t xml:space="preserve">the Assembly returning to </w:t>
      </w:r>
      <w:r w:rsidR="00D50DE4">
        <w:t xml:space="preserve">a </w:t>
      </w:r>
      <w:r w:rsidR="0096658C" w:rsidRPr="0096658C">
        <w:t xml:space="preserve">normal </w:t>
      </w:r>
      <w:r w:rsidR="00D50DE4">
        <w:t xml:space="preserve">pattern of sittings, </w:t>
      </w:r>
      <w:r w:rsidR="0096658C" w:rsidRPr="0096658C">
        <w:t>following the 2012 Territory election. The Office</w:t>
      </w:r>
      <w:r w:rsidR="00D27C3A">
        <w:t>’s</w:t>
      </w:r>
      <w:r w:rsidR="0096658C" w:rsidRPr="0096658C">
        <w:t xml:space="preserve"> staffing </w:t>
      </w:r>
      <w:r w:rsidR="00D27C3A">
        <w:t>and o</w:t>
      </w:r>
      <w:r w:rsidR="0096658C" w:rsidRPr="0096658C">
        <w:t xml:space="preserve">vertime </w:t>
      </w:r>
      <w:r w:rsidR="00D27C3A">
        <w:t xml:space="preserve">have </w:t>
      </w:r>
      <w:r w:rsidR="0096658C" w:rsidRPr="0096658C">
        <w:t>returned to expected levels for this reporting period.</w:t>
      </w:r>
    </w:p>
    <w:p w:rsidR="00273C03" w:rsidRDefault="00273C03" w:rsidP="006506B6">
      <w:pPr>
        <w:pStyle w:val="ListParagraph"/>
        <w:jc w:val="both"/>
      </w:pPr>
    </w:p>
    <w:p w:rsidR="00273C03" w:rsidRPr="00273C03" w:rsidRDefault="00273C03" w:rsidP="006506B6">
      <w:pPr>
        <w:pStyle w:val="Dotties"/>
        <w:jc w:val="both"/>
      </w:pPr>
      <w:r w:rsidRPr="00273C03">
        <w:rPr>
          <w:b/>
        </w:rPr>
        <w:t>An increase of $0.054m in the Office’s long service leave expense</w:t>
      </w:r>
      <w:r>
        <w:rPr>
          <w:b/>
        </w:rPr>
        <w:t xml:space="preserve"> </w:t>
      </w:r>
      <w:r w:rsidRPr="00273C03">
        <w:rPr>
          <w:b/>
        </w:rPr>
        <w:t>(increased from $0.050m to $0.104m)</w:t>
      </w:r>
      <w:r w:rsidRPr="00273C03">
        <w:t>. The increase is mainly due</w:t>
      </w:r>
      <w:r>
        <w:t xml:space="preserve"> to</w:t>
      </w:r>
      <w:r w:rsidRPr="00273C03">
        <w:t xml:space="preserve"> </w:t>
      </w:r>
      <w:r w:rsidR="0036181C">
        <w:t xml:space="preserve">fewer employees accessing </w:t>
      </w:r>
      <w:r w:rsidRPr="00273C03">
        <w:t>the</w:t>
      </w:r>
      <w:r w:rsidR="0036181C">
        <w:t xml:space="preserve"> long service leave entitlement and the application of on-costs on the higher balance of unused leave entitlements. </w:t>
      </w:r>
      <w:r w:rsidR="00127B40">
        <w:t>A</w:t>
      </w:r>
      <w:r w:rsidR="0036181C">
        <w:t xml:space="preserve">n increase in the present value rate to 103.5% (2013: 101.3%) </w:t>
      </w:r>
      <w:r w:rsidR="00127B40">
        <w:t xml:space="preserve">also </w:t>
      </w:r>
      <w:r w:rsidR="0036181C">
        <w:t>increased the expense.</w:t>
      </w:r>
    </w:p>
    <w:p w:rsidR="0096658C" w:rsidRDefault="0096658C" w:rsidP="006506B6">
      <w:pPr>
        <w:pStyle w:val="ListParagraph"/>
        <w:jc w:val="both"/>
        <w:rPr>
          <w:highlight w:val="yellow"/>
        </w:rPr>
      </w:pPr>
    </w:p>
    <w:p w:rsidR="00477812" w:rsidRPr="003365AD" w:rsidRDefault="00477812" w:rsidP="006506B6">
      <w:pPr>
        <w:pStyle w:val="Dotties"/>
        <w:jc w:val="both"/>
      </w:pPr>
      <w:r w:rsidRPr="003365AD">
        <w:rPr>
          <w:b/>
        </w:rPr>
        <w:t xml:space="preserve">A number of </w:t>
      </w:r>
      <w:r w:rsidR="0095464A">
        <w:rPr>
          <w:b/>
        </w:rPr>
        <w:t xml:space="preserve">expenditure </w:t>
      </w:r>
      <w:r w:rsidR="0096658C" w:rsidRPr="003365AD">
        <w:rPr>
          <w:b/>
        </w:rPr>
        <w:t>de</w:t>
      </w:r>
      <w:r w:rsidRPr="003365AD">
        <w:rPr>
          <w:b/>
        </w:rPr>
        <w:t xml:space="preserve">creases </w:t>
      </w:r>
      <w:r w:rsidR="00A8503B" w:rsidRPr="003365AD">
        <w:rPr>
          <w:b/>
        </w:rPr>
        <w:t>were recorded</w:t>
      </w:r>
      <w:r w:rsidR="0095464A">
        <w:rPr>
          <w:b/>
        </w:rPr>
        <w:t xml:space="preserve"> over </w:t>
      </w:r>
      <w:r w:rsidRPr="003365AD">
        <w:rPr>
          <w:b/>
        </w:rPr>
        <w:t>the 201</w:t>
      </w:r>
      <w:r w:rsidR="00273C03">
        <w:rPr>
          <w:b/>
        </w:rPr>
        <w:t>3</w:t>
      </w:r>
      <w:r w:rsidRPr="003365AD">
        <w:rPr>
          <w:b/>
        </w:rPr>
        <w:t>-1</w:t>
      </w:r>
      <w:r w:rsidR="00273C03">
        <w:rPr>
          <w:b/>
        </w:rPr>
        <w:t>4</w:t>
      </w:r>
      <w:r w:rsidRPr="003365AD">
        <w:rPr>
          <w:b/>
        </w:rPr>
        <w:t xml:space="preserve"> results</w:t>
      </w:r>
      <w:r w:rsidR="00A8503B" w:rsidRPr="003365AD">
        <w:rPr>
          <w:b/>
        </w:rPr>
        <w:t>,</w:t>
      </w:r>
      <w:r w:rsidRPr="003365AD">
        <w:rPr>
          <w:b/>
        </w:rPr>
        <w:t xml:space="preserve"> including </w:t>
      </w:r>
      <w:r w:rsidR="00282E27" w:rsidRPr="003365AD">
        <w:rPr>
          <w:b/>
        </w:rPr>
        <w:t>ex</w:t>
      </w:r>
      <w:r w:rsidR="003365AD" w:rsidRPr="003365AD">
        <w:rPr>
          <w:b/>
        </w:rPr>
        <w:t xml:space="preserve">penditure on repairs and maintenance for the </w:t>
      </w:r>
      <w:r w:rsidR="0095464A">
        <w:rPr>
          <w:b/>
        </w:rPr>
        <w:t xml:space="preserve">Assembly </w:t>
      </w:r>
      <w:r w:rsidR="003365AD" w:rsidRPr="003365AD">
        <w:rPr>
          <w:b/>
        </w:rPr>
        <w:t>building (</w:t>
      </w:r>
      <w:r w:rsidR="0095464A">
        <w:rPr>
          <w:b/>
        </w:rPr>
        <w:t xml:space="preserve">decrease of </w:t>
      </w:r>
      <w:r w:rsidR="003365AD" w:rsidRPr="003365AD">
        <w:rPr>
          <w:b/>
        </w:rPr>
        <w:t>$0.06</w:t>
      </w:r>
      <w:r w:rsidR="00FF4C71">
        <w:rPr>
          <w:b/>
        </w:rPr>
        <w:t>6</w:t>
      </w:r>
      <w:r w:rsidR="003365AD" w:rsidRPr="003365AD">
        <w:rPr>
          <w:b/>
        </w:rPr>
        <w:t>) and printing and stationery</w:t>
      </w:r>
      <w:r w:rsidRPr="003365AD">
        <w:rPr>
          <w:b/>
        </w:rPr>
        <w:t xml:space="preserve"> (</w:t>
      </w:r>
      <w:r w:rsidR="0095464A">
        <w:rPr>
          <w:b/>
        </w:rPr>
        <w:t xml:space="preserve">decrease of </w:t>
      </w:r>
      <w:r w:rsidRPr="003365AD">
        <w:rPr>
          <w:b/>
        </w:rPr>
        <w:t>$0.03</w:t>
      </w:r>
      <w:r w:rsidR="00FF4C71">
        <w:rPr>
          <w:b/>
        </w:rPr>
        <w:t>6</w:t>
      </w:r>
      <w:r w:rsidRPr="003365AD">
        <w:rPr>
          <w:b/>
        </w:rPr>
        <w:t>m)</w:t>
      </w:r>
      <w:r w:rsidR="003365AD" w:rsidRPr="003365AD">
        <w:rPr>
          <w:b/>
        </w:rPr>
        <w:t>.</w:t>
      </w:r>
      <w:r w:rsidR="00552D78">
        <w:rPr>
          <w:b/>
        </w:rPr>
        <w:t xml:space="preserve"> </w:t>
      </w:r>
      <w:r w:rsidRPr="003365AD">
        <w:t xml:space="preserve">These and other minor expenditure </w:t>
      </w:r>
      <w:r w:rsidR="003365AD" w:rsidRPr="003365AD">
        <w:t>de</w:t>
      </w:r>
      <w:r w:rsidRPr="003365AD">
        <w:t>creases across the Office partially offset the overall</w:t>
      </w:r>
      <w:r w:rsidR="003365AD" w:rsidRPr="003365AD">
        <w:t xml:space="preserve"> increase</w:t>
      </w:r>
      <w:r w:rsidRPr="003365AD">
        <w:t xml:space="preserve"> in </w:t>
      </w:r>
      <w:r w:rsidR="00C60A04" w:rsidRPr="003365AD">
        <w:t>Net Cost of Service</w:t>
      </w:r>
      <w:r w:rsidRPr="003365AD">
        <w:t>s recorded during the period.</w:t>
      </w:r>
    </w:p>
    <w:p w:rsidR="006015F0" w:rsidRPr="00A150C2" w:rsidRDefault="006015F0" w:rsidP="006506B6">
      <w:pPr>
        <w:pStyle w:val="Heading2"/>
        <w:jc w:val="both"/>
      </w:pPr>
      <w:r w:rsidRPr="00A150C2">
        <w:t xml:space="preserve">Future </w:t>
      </w:r>
      <w:r w:rsidR="00E85F2B">
        <w:t>t</w:t>
      </w:r>
      <w:r w:rsidRPr="00A150C2">
        <w:t>rends</w:t>
      </w:r>
    </w:p>
    <w:p w:rsidR="00995894" w:rsidRDefault="00986C34" w:rsidP="006506B6">
      <w:pPr>
        <w:pStyle w:val="Bodycopy"/>
        <w:jc w:val="both"/>
      </w:pPr>
      <w:r w:rsidRPr="00A150C2">
        <w:t xml:space="preserve">The </w:t>
      </w:r>
      <w:r w:rsidR="00E85F2B">
        <w:t xml:space="preserve">Office’s </w:t>
      </w:r>
      <w:r w:rsidR="00C60A04">
        <w:t>Net Cost of Service</w:t>
      </w:r>
      <w:r w:rsidR="007B4ABC">
        <w:t xml:space="preserve">s </w:t>
      </w:r>
      <w:r w:rsidR="0095464A">
        <w:t xml:space="preserve">may </w:t>
      </w:r>
      <w:r w:rsidR="007B4ABC">
        <w:t xml:space="preserve">remain relatively static </w:t>
      </w:r>
      <w:r w:rsidR="00434D5E">
        <w:t>in the out</w:t>
      </w:r>
      <w:r w:rsidR="008E3FB2">
        <w:t>-</w:t>
      </w:r>
      <w:r w:rsidR="00434D5E">
        <w:t xml:space="preserve">years, with only </w:t>
      </w:r>
      <w:r w:rsidR="001B556F">
        <w:t>a minor (</w:t>
      </w:r>
      <w:r w:rsidR="00A114DA" w:rsidRPr="007C12B7">
        <w:t>3</w:t>
      </w:r>
      <w:r w:rsidR="00434D5E" w:rsidRPr="007C12B7">
        <w:t>.</w:t>
      </w:r>
      <w:r w:rsidR="00A114DA" w:rsidRPr="007C12B7">
        <w:t>4</w:t>
      </w:r>
      <w:r w:rsidR="0020069B" w:rsidRPr="007C12B7">
        <w:t xml:space="preserve"> per cent</w:t>
      </w:r>
      <w:r w:rsidR="001B556F" w:rsidRPr="007C12B7">
        <w:t>)</w:t>
      </w:r>
      <w:r w:rsidR="00434D5E" w:rsidRPr="007C12B7">
        <w:t xml:space="preserve"> increase</w:t>
      </w:r>
      <w:r w:rsidR="00434D5E">
        <w:t xml:space="preserve"> between the </w:t>
      </w:r>
      <w:r w:rsidR="00434D5E" w:rsidRPr="007C12B7">
        <w:t>201</w:t>
      </w:r>
      <w:r w:rsidR="00A114DA" w:rsidRPr="007C12B7">
        <w:t>4</w:t>
      </w:r>
      <w:r w:rsidR="00434D5E" w:rsidRPr="007C12B7">
        <w:t>-1</w:t>
      </w:r>
      <w:r w:rsidR="00A114DA" w:rsidRPr="007C12B7">
        <w:t>5</w:t>
      </w:r>
      <w:r w:rsidR="00434D5E" w:rsidRPr="007C12B7">
        <w:t xml:space="preserve"> </w:t>
      </w:r>
      <w:proofErr w:type="gramStart"/>
      <w:r w:rsidR="008E3FB2" w:rsidRPr="007C12B7">
        <w:t>Budget</w:t>
      </w:r>
      <w:proofErr w:type="gramEnd"/>
      <w:r w:rsidR="008E3FB2" w:rsidRPr="007C12B7">
        <w:t xml:space="preserve"> </w:t>
      </w:r>
      <w:r w:rsidR="00434D5E" w:rsidRPr="007C12B7">
        <w:t>and 201</w:t>
      </w:r>
      <w:r w:rsidR="00A114DA" w:rsidRPr="007C12B7">
        <w:t>6</w:t>
      </w:r>
      <w:r w:rsidR="00434D5E" w:rsidRPr="007C12B7">
        <w:t>-1</w:t>
      </w:r>
      <w:r w:rsidR="00A114DA" w:rsidRPr="007C12B7">
        <w:t>7</w:t>
      </w:r>
      <w:r w:rsidR="008E3FB2" w:rsidRPr="007C12B7">
        <w:t xml:space="preserve"> Budget</w:t>
      </w:r>
      <w:r w:rsidR="0095464A">
        <w:t xml:space="preserve">, consistent with </w:t>
      </w:r>
      <w:r w:rsidR="00A114DA">
        <w:t>the consumer price indexation and revised wage indexation.</w:t>
      </w:r>
      <w:r w:rsidR="0095464A">
        <w:t xml:space="preserve"> </w:t>
      </w:r>
    </w:p>
    <w:p w:rsidR="00995894" w:rsidRDefault="00995894" w:rsidP="006506B6">
      <w:pPr>
        <w:pStyle w:val="Bodycopy"/>
        <w:jc w:val="both"/>
      </w:pPr>
    </w:p>
    <w:p w:rsidR="00995894" w:rsidRDefault="0095464A" w:rsidP="006506B6">
      <w:pPr>
        <w:pStyle w:val="Bodycopy"/>
        <w:jc w:val="both"/>
      </w:pPr>
      <w:r>
        <w:t xml:space="preserve">However, </w:t>
      </w:r>
      <w:r w:rsidR="001771D6">
        <w:t>in the event that the Assembly passe</w:t>
      </w:r>
      <w:r w:rsidR="00995894">
        <w:t>s</w:t>
      </w:r>
      <w:r w:rsidR="001771D6">
        <w:t xml:space="preserve"> the Australian Capital Territory (Legislative Assembly) Bill 2014 and the Electoral Amendment Bill 2014, leading to an enlarged Assembly in 2016, the Office anticipates </w:t>
      </w:r>
      <w:r w:rsidR="00127B40">
        <w:t>some additional</w:t>
      </w:r>
      <w:r w:rsidR="00995894">
        <w:t xml:space="preserve"> in costs from 2015-16 onwards. </w:t>
      </w:r>
    </w:p>
    <w:p w:rsidR="00995894" w:rsidRDefault="00995894" w:rsidP="006506B6">
      <w:pPr>
        <w:pStyle w:val="Bodycopy"/>
        <w:jc w:val="both"/>
      </w:pPr>
    </w:p>
    <w:p w:rsidR="00F16F4C" w:rsidRDefault="00F16F4C">
      <w:pPr>
        <w:rPr>
          <w:rFonts w:ascii="Calibri" w:eastAsiaTheme="majorEastAsia" w:hAnsi="Calibri" w:cstheme="majorBidi"/>
          <w:b/>
          <w:bCs/>
          <w:sz w:val="24"/>
          <w:szCs w:val="26"/>
        </w:rPr>
      </w:pPr>
      <w:r>
        <w:br w:type="page"/>
      </w:r>
    </w:p>
    <w:p w:rsidR="00986C34" w:rsidRPr="00A150C2" w:rsidRDefault="00E7032F" w:rsidP="00336E58">
      <w:pPr>
        <w:pStyle w:val="Heading2"/>
      </w:pPr>
      <w:r>
        <w:lastRenderedPageBreak/>
        <w:t>T</w:t>
      </w:r>
      <w:r w:rsidR="00986C34" w:rsidRPr="00A150C2">
        <w:t xml:space="preserve">otal </w:t>
      </w:r>
      <w:r w:rsidR="00C60A04">
        <w:t>E</w:t>
      </w:r>
      <w:r w:rsidR="00986C34" w:rsidRPr="00A150C2">
        <w:t>xpenditure</w:t>
      </w:r>
    </w:p>
    <w:p w:rsidR="00986C34" w:rsidRPr="00A150C2" w:rsidRDefault="00C05B0C" w:rsidP="00FF4C71">
      <w:pPr>
        <w:pStyle w:val="Bodycopy"/>
      </w:pPr>
      <w:r>
        <w:t>The following table disaggregates t</w:t>
      </w:r>
      <w:r w:rsidR="006015F0" w:rsidRPr="00A150C2">
        <w:t xml:space="preserve">he </w:t>
      </w:r>
      <w:r w:rsidR="00E85F2B">
        <w:t>Office</w:t>
      </w:r>
      <w:r w:rsidR="00C0776A" w:rsidRPr="00A150C2">
        <w:t>'s</w:t>
      </w:r>
      <w:r w:rsidR="006015F0" w:rsidRPr="00A150C2">
        <w:t xml:space="preserve"> </w:t>
      </w:r>
      <w:r w:rsidR="00C60A04">
        <w:t>a</w:t>
      </w:r>
      <w:r w:rsidR="003D5219" w:rsidRPr="00A150C2">
        <w:t>ctual and budgeted</w:t>
      </w:r>
      <w:r w:rsidR="006015F0" w:rsidRPr="00A150C2">
        <w:t xml:space="preserve"> expenditure for </w:t>
      </w:r>
      <w:r w:rsidR="00E7032F">
        <w:br/>
      </w:r>
      <w:r w:rsidR="006015F0" w:rsidRPr="00A150C2">
        <w:t>20</w:t>
      </w:r>
      <w:r w:rsidR="0072129E" w:rsidRPr="00A150C2">
        <w:t>1</w:t>
      </w:r>
      <w:r w:rsidR="00AD0B31">
        <w:t>3</w:t>
      </w:r>
      <w:r w:rsidR="00D62541">
        <w:t>-1</w:t>
      </w:r>
      <w:r w:rsidR="00AD0B31">
        <w:t>4</w:t>
      </w:r>
      <w:r w:rsidR="00C60A04">
        <w:t xml:space="preserve"> as well as </w:t>
      </w:r>
      <w:r w:rsidR="008D5C97" w:rsidRPr="00A150C2">
        <w:t>actual expenditure for 20</w:t>
      </w:r>
      <w:r w:rsidR="00D62541">
        <w:t>1</w:t>
      </w:r>
      <w:r w:rsidR="00AD0B31">
        <w:t>2</w:t>
      </w:r>
      <w:r w:rsidR="00D62541">
        <w:t>-1</w:t>
      </w:r>
      <w:r w:rsidR="00AD0B31">
        <w:t>3</w:t>
      </w:r>
      <w:r>
        <w:t>.</w:t>
      </w:r>
      <w:r w:rsidR="008E3FB2">
        <w:br/>
      </w:r>
    </w:p>
    <w:tbl>
      <w:tblPr>
        <w:tblW w:w="7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8"/>
        <w:gridCol w:w="1660"/>
        <w:gridCol w:w="1680"/>
        <w:gridCol w:w="1680"/>
      </w:tblGrid>
      <w:tr w:rsidR="00D62541" w:rsidRPr="00C06689" w:rsidTr="00FF17FA">
        <w:trPr>
          <w:trHeight w:val="315"/>
        </w:trPr>
        <w:tc>
          <w:tcPr>
            <w:tcW w:w="2948" w:type="dxa"/>
            <w:shd w:val="clear" w:color="auto" w:fill="8DB3E2" w:themeFill="text2" w:themeFillTint="66"/>
            <w:noWrap/>
          </w:tcPr>
          <w:p w:rsidR="00D62541" w:rsidRPr="00C06689" w:rsidRDefault="0070278B" w:rsidP="00C05B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62541"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Expenditure </w:t>
            </w:r>
            <w:r w:rsidR="00C05B0C"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D62541"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ype</w:t>
            </w:r>
          </w:p>
        </w:tc>
        <w:tc>
          <w:tcPr>
            <w:tcW w:w="1660" w:type="dxa"/>
            <w:shd w:val="clear" w:color="auto" w:fill="8DB3E2" w:themeFill="text2" w:themeFillTint="66"/>
            <w:noWrap/>
          </w:tcPr>
          <w:p w:rsidR="00D62541" w:rsidRPr="00C06689" w:rsidRDefault="00D62541" w:rsidP="0072129E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Actual</w:t>
            </w:r>
          </w:p>
          <w:p w:rsidR="00D62541" w:rsidRPr="00C06689" w:rsidRDefault="00D62541" w:rsidP="0072129E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AD0B3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AD0B3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D62541" w:rsidRPr="00C06689" w:rsidRDefault="00D62541" w:rsidP="0072129E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  <w:tc>
          <w:tcPr>
            <w:tcW w:w="1680" w:type="dxa"/>
            <w:shd w:val="clear" w:color="auto" w:fill="8DB3E2" w:themeFill="text2" w:themeFillTint="66"/>
          </w:tcPr>
          <w:p w:rsidR="00D62541" w:rsidRPr="00C06689" w:rsidRDefault="00D62541" w:rsidP="00F91D34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 </w:t>
            </w:r>
          </w:p>
          <w:p w:rsidR="00D62541" w:rsidRPr="00C06689" w:rsidRDefault="00D62541" w:rsidP="00F91D34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AD0B3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AD0B3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D62541" w:rsidRPr="00C06689" w:rsidRDefault="00D62541" w:rsidP="00F91D34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  <w:tc>
          <w:tcPr>
            <w:tcW w:w="1680" w:type="dxa"/>
            <w:shd w:val="clear" w:color="auto" w:fill="8DB3E2" w:themeFill="text2" w:themeFillTint="66"/>
          </w:tcPr>
          <w:p w:rsidR="00D62541" w:rsidRPr="00C06689" w:rsidRDefault="00D62541" w:rsidP="00D62541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Actual</w:t>
            </w:r>
          </w:p>
          <w:p w:rsidR="00D62541" w:rsidRPr="00C06689" w:rsidRDefault="00D62541" w:rsidP="00D62541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AD0B3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AD0B3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D62541" w:rsidRPr="00C06689" w:rsidRDefault="00D62541" w:rsidP="00D62541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</w:tr>
      <w:tr w:rsidR="00D62541" w:rsidRPr="00A8503B" w:rsidTr="00D62541">
        <w:trPr>
          <w:trHeight w:val="315"/>
        </w:trPr>
        <w:tc>
          <w:tcPr>
            <w:tcW w:w="2948" w:type="dxa"/>
            <w:noWrap/>
            <w:vAlign w:val="center"/>
          </w:tcPr>
          <w:p w:rsidR="00D62541" w:rsidRPr="00C06689" w:rsidRDefault="00D62541" w:rsidP="00F91D3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Employees</w:t>
            </w:r>
          </w:p>
        </w:tc>
        <w:tc>
          <w:tcPr>
            <w:tcW w:w="1660" w:type="dxa"/>
            <w:shd w:val="clear" w:color="auto" w:fill="FFFFFF"/>
            <w:noWrap/>
            <w:vAlign w:val="bottom"/>
          </w:tcPr>
          <w:p w:rsidR="00D62541" w:rsidRPr="00A8503B" w:rsidRDefault="00A8418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3707E" w:rsidRPr="00A85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393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A8418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3707E" w:rsidRPr="00A85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</w:p>
        </w:tc>
      </w:tr>
      <w:tr w:rsidR="00D62541" w:rsidRPr="00A8503B" w:rsidTr="00D62541">
        <w:trPr>
          <w:trHeight w:val="315"/>
        </w:trPr>
        <w:tc>
          <w:tcPr>
            <w:tcW w:w="2948" w:type="dxa"/>
            <w:noWrap/>
            <w:vAlign w:val="bottom"/>
          </w:tcPr>
          <w:p w:rsidR="00D62541" w:rsidRPr="00C06689" w:rsidRDefault="00D62541" w:rsidP="00F91D3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Superannuation</w:t>
            </w:r>
          </w:p>
        </w:tc>
        <w:tc>
          <w:tcPr>
            <w:tcW w:w="1660" w:type="dxa"/>
            <w:shd w:val="clear" w:color="auto" w:fill="FFFFFF"/>
            <w:noWrap/>
            <w:vAlign w:val="bottom"/>
          </w:tcPr>
          <w:p w:rsidR="00D62541" w:rsidRPr="00A8503B" w:rsidRDefault="0073707E" w:rsidP="00D62541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0.604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588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0.60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62541" w:rsidRPr="00A8503B" w:rsidTr="00D62541">
        <w:trPr>
          <w:trHeight w:val="315"/>
        </w:trPr>
        <w:tc>
          <w:tcPr>
            <w:tcW w:w="2948" w:type="dxa"/>
            <w:shd w:val="clear" w:color="auto" w:fill="auto"/>
            <w:noWrap/>
            <w:vAlign w:val="bottom"/>
          </w:tcPr>
          <w:p w:rsidR="00D62541" w:rsidRPr="00C06689" w:rsidRDefault="00D62541" w:rsidP="00F91D3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Supplies and Services</w:t>
            </w:r>
          </w:p>
        </w:tc>
        <w:tc>
          <w:tcPr>
            <w:tcW w:w="1660" w:type="dxa"/>
            <w:shd w:val="clear" w:color="auto" w:fill="FFFFFF"/>
            <w:noWrap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4076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73C0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404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422</w:t>
            </w:r>
          </w:p>
        </w:tc>
      </w:tr>
      <w:tr w:rsidR="00D62541" w:rsidRPr="00A8503B" w:rsidTr="00D62541">
        <w:trPr>
          <w:trHeight w:val="315"/>
        </w:trPr>
        <w:tc>
          <w:tcPr>
            <w:tcW w:w="2948" w:type="dxa"/>
            <w:shd w:val="clear" w:color="auto" w:fill="auto"/>
            <w:noWrap/>
            <w:vAlign w:val="bottom"/>
          </w:tcPr>
          <w:p w:rsidR="00D62541" w:rsidRPr="00C06689" w:rsidRDefault="00D62541" w:rsidP="00F91D3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Depreciation </w:t>
            </w:r>
            <w:r w:rsidR="00A8503B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and A</w:t>
            </w:r>
            <w:r w:rsidR="00560BD2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mortisation </w:t>
            </w:r>
          </w:p>
        </w:tc>
        <w:tc>
          <w:tcPr>
            <w:tcW w:w="1660" w:type="dxa"/>
            <w:shd w:val="clear" w:color="auto" w:fill="FFFFFF"/>
            <w:noWrap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="00560BD2" w:rsidRPr="00A8503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bCs/>
                <w:sz w:val="22"/>
                <w:szCs w:val="22"/>
              </w:rPr>
              <w:t>0.05</w:t>
            </w:r>
            <w:r w:rsidR="00A8418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</w:tr>
      <w:tr w:rsidR="00D62541" w:rsidRPr="00A8503B" w:rsidTr="00D62541">
        <w:trPr>
          <w:trHeight w:val="315"/>
        </w:trPr>
        <w:tc>
          <w:tcPr>
            <w:tcW w:w="2948" w:type="dxa"/>
            <w:shd w:val="clear" w:color="auto" w:fill="auto"/>
            <w:noWrap/>
            <w:vAlign w:val="bottom"/>
          </w:tcPr>
          <w:p w:rsidR="00D62541" w:rsidRPr="00C06689" w:rsidRDefault="00D62541" w:rsidP="00F91D3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Other</w:t>
            </w:r>
          </w:p>
        </w:tc>
        <w:tc>
          <w:tcPr>
            <w:tcW w:w="1660" w:type="dxa"/>
            <w:shd w:val="clear" w:color="auto" w:fill="FFFFFF"/>
            <w:noWrap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73707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8503B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  <w:r w:rsidR="00A841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62541" w:rsidRPr="00A8503B" w:rsidTr="00D62541">
        <w:trPr>
          <w:trHeight w:val="315"/>
        </w:trPr>
        <w:tc>
          <w:tcPr>
            <w:tcW w:w="2948" w:type="dxa"/>
            <w:shd w:val="clear" w:color="auto" w:fill="auto"/>
            <w:noWrap/>
            <w:vAlign w:val="bottom"/>
          </w:tcPr>
          <w:p w:rsidR="00D62541" w:rsidRPr="00C06689" w:rsidRDefault="00D62541" w:rsidP="00F91D3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660" w:type="dxa"/>
            <w:shd w:val="clear" w:color="auto" w:fill="FFFFFF"/>
            <w:noWrap/>
            <w:vAlign w:val="bottom"/>
          </w:tcPr>
          <w:p w:rsidR="00D62541" w:rsidRPr="00A8503B" w:rsidRDefault="00A8418E" w:rsidP="00273C03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951184" w:rsidRPr="00A850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273C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A8418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8.441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D62541" w:rsidRPr="00A8503B" w:rsidRDefault="00A8418E" w:rsidP="00A8418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951184" w:rsidRPr="00A850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947</w:t>
            </w:r>
          </w:p>
        </w:tc>
      </w:tr>
    </w:tbl>
    <w:p w:rsidR="00336E58" w:rsidRDefault="00336E58" w:rsidP="000C15F8">
      <w:pPr>
        <w:pStyle w:val="Heading3"/>
      </w:pPr>
    </w:p>
    <w:p w:rsidR="00237E10" w:rsidRPr="00A150C2" w:rsidRDefault="00237E10" w:rsidP="009A3A4D">
      <w:pPr>
        <w:pStyle w:val="Heading2"/>
      </w:pPr>
      <w:r w:rsidRPr="00A150C2">
        <w:t xml:space="preserve">Components of </w:t>
      </w:r>
      <w:r w:rsidR="00CC0DC0">
        <w:t>e</w:t>
      </w:r>
      <w:r w:rsidRPr="00A150C2">
        <w:t>xpenditure</w:t>
      </w:r>
    </w:p>
    <w:p w:rsidR="005601EF" w:rsidRPr="00A150C2" w:rsidRDefault="00237E10" w:rsidP="00B97C1B">
      <w:pPr>
        <w:pStyle w:val="Bodycopy"/>
        <w:rPr>
          <w:sz w:val="23"/>
          <w:szCs w:val="23"/>
        </w:rPr>
      </w:pPr>
      <w:r w:rsidRPr="00A150C2">
        <w:t xml:space="preserve">The components of the </w:t>
      </w:r>
      <w:r w:rsidR="00E85F2B">
        <w:t>Office</w:t>
      </w:r>
      <w:r w:rsidRPr="00A150C2">
        <w:t>'s</w:t>
      </w:r>
      <w:r w:rsidR="003D5219" w:rsidRPr="00A150C2">
        <w:t xml:space="preserve"> 20</w:t>
      </w:r>
      <w:r w:rsidR="00F76EED">
        <w:t>1</w:t>
      </w:r>
      <w:r w:rsidR="00A114DA">
        <w:t>3</w:t>
      </w:r>
      <w:r w:rsidR="00F76EED">
        <w:t>-1</w:t>
      </w:r>
      <w:r w:rsidR="00A114DA">
        <w:t>4</w:t>
      </w:r>
      <w:r w:rsidR="003D5219" w:rsidRPr="00A150C2">
        <w:t xml:space="preserve"> actual</w:t>
      </w:r>
      <w:r w:rsidRPr="00A150C2">
        <w:t xml:space="preserve"> expenditure </w:t>
      </w:r>
      <w:r w:rsidR="003D5219" w:rsidRPr="00A150C2">
        <w:t>are</w:t>
      </w:r>
      <w:r w:rsidR="004E4BC7" w:rsidRPr="00A150C2">
        <w:t xml:space="preserve"> </w:t>
      </w:r>
      <w:r w:rsidR="00CC0DC0">
        <w:t xml:space="preserve">shown </w:t>
      </w:r>
      <w:r w:rsidR="00282E27">
        <w:t>in the following chart.</w:t>
      </w:r>
    </w:p>
    <w:p w:rsidR="00237E10" w:rsidRPr="00A150C2" w:rsidRDefault="00237E10" w:rsidP="00237E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51184" w:rsidRDefault="00273C03" w:rsidP="004E4BC7">
      <w:pPr>
        <w:pStyle w:val="Default"/>
        <w:ind w:firstLine="13"/>
        <w:rPr>
          <w:rFonts w:asciiTheme="minorHAnsi" w:hAnsiTheme="minorHAnsi" w:cstheme="minorHAnsi"/>
          <w:sz w:val="22"/>
          <w:szCs w:val="22"/>
        </w:rPr>
      </w:pPr>
      <w:r w:rsidRPr="00273C03">
        <w:rPr>
          <w:noProof/>
          <w:szCs w:val="22"/>
        </w:rPr>
        <w:drawing>
          <wp:inline distT="0" distB="0" distL="0" distR="0">
            <wp:extent cx="4602480" cy="2583180"/>
            <wp:effectExtent l="19050" t="0" r="762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84" w:rsidRDefault="00951184" w:rsidP="004E4BC7">
      <w:pPr>
        <w:pStyle w:val="Default"/>
        <w:ind w:firstLine="13"/>
        <w:rPr>
          <w:rFonts w:asciiTheme="minorHAnsi" w:hAnsiTheme="minorHAnsi" w:cstheme="minorHAnsi"/>
          <w:sz w:val="22"/>
          <w:szCs w:val="22"/>
        </w:rPr>
      </w:pPr>
    </w:p>
    <w:p w:rsidR="004E4BC7" w:rsidRPr="00A8503B" w:rsidRDefault="004E4BC7" w:rsidP="000462CD">
      <w:pPr>
        <w:pStyle w:val="Bodycopy"/>
        <w:jc w:val="both"/>
      </w:pPr>
      <w:r w:rsidRPr="00A150C2">
        <w:t xml:space="preserve">Employee expenses, combined with </w:t>
      </w:r>
      <w:r w:rsidRPr="00A8503B">
        <w:t>superannuation expenses</w:t>
      </w:r>
      <w:r w:rsidR="001B556F" w:rsidRPr="00A8503B">
        <w:t>,</w:t>
      </w:r>
      <w:r w:rsidRPr="00A8503B">
        <w:t xml:space="preserve"> accounted for $</w:t>
      </w:r>
      <w:r w:rsidR="00951184" w:rsidRPr="00A8503B">
        <w:t>4.</w:t>
      </w:r>
      <w:r w:rsidR="00A114DA">
        <w:t>865</w:t>
      </w:r>
      <w:r w:rsidR="00E7032F" w:rsidRPr="00A8503B">
        <w:t>m</w:t>
      </w:r>
      <w:r w:rsidRPr="00A8503B">
        <w:t xml:space="preserve">, or </w:t>
      </w:r>
      <w:r w:rsidR="00F54E79">
        <w:br/>
      </w:r>
      <w:r w:rsidR="002421D7">
        <w:t>59</w:t>
      </w:r>
      <w:r w:rsidR="00282E27">
        <w:t xml:space="preserve"> per cent</w:t>
      </w:r>
      <w:r w:rsidRPr="00A8503B">
        <w:t xml:space="preserve">, of the </w:t>
      </w:r>
      <w:r w:rsidR="00E85F2B" w:rsidRPr="00A8503B">
        <w:t>Office</w:t>
      </w:r>
      <w:r w:rsidRPr="00A8503B">
        <w:t>'s total expenditure</w:t>
      </w:r>
      <w:r w:rsidR="002421D7">
        <w:t xml:space="preserve"> (2 per cent higher than 2012-13)</w:t>
      </w:r>
      <w:r w:rsidR="00D62541" w:rsidRPr="00A8503B">
        <w:t xml:space="preserve">. </w:t>
      </w:r>
      <w:r w:rsidR="006C3A72" w:rsidRPr="00A8503B">
        <w:t xml:space="preserve">Expenditure on </w:t>
      </w:r>
      <w:r w:rsidR="000B4B6F" w:rsidRPr="00A8503B">
        <w:t xml:space="preserve">Supplies and </w:t>
      </w:r>
      <w:r w:rsidR="006C3A72" w:rsidRPr="00A8503B">
        <w:t>S</w:t>
      </w:r>
      <w:r w:rsidRPr="00A8503B">
        <w:t>ervices</w:t>
      </w:r>
      <w:r w:rsidR="006C3A72" w:rsidRPr="00A8503B">
        <w:t>,</w:t>
      </w:r>
      <w:r w:rsidRPr="00A8503B">
        <w:t xml:space="preserve"> </w:t>
      </w:r>
      <w:r w:rsidR="00AF79C1" w:rsidRPr="00A8503B">
        <w:t>totalling $</w:t>
      </w:r>
      <w:r w:rsidR="00951184" w:rsidRPr="00A8503B">
        <w:t>3.</w:t>
      </w:r>
      <w:r w:rsidR="002421D7">
        <w:t>29</w:t>
      </w:r>
      <w:r w:rsidR="000462CD">
        <w:t>5</w:t>
      </w:r>
      <w:r w:rsidR="00951184" w:rsidRPr="00A8503B">
        <w:t>m</w:t>
      </w:r>
      <w:r w:rsidR="006C3A72" w:rsidRPr="00A8503B">
        <w:t>,</w:t>
      </w:r>
      <w:r w:rsidR="00AF79C1" w:rsidRPr="00A8503B">
        <w:t xml:space="preserve"> </w:t>
      </w:r>
      <w:r w:rsidR="00264027" w:rsidRPr="00A8503B">
        <w:t>w</w:t>
      </w:r>
      <w:r w:rsidR="002D3D0E" w:rsidRPr="00A8503B">
        <w:t>as</w:t>
      </w:r>
      <w:r w:rsidR="00264027" w:rsidRPr="00A8503B">
        <w:t xml:space="preserve"> </w:t>
      </w:r>
      <w:r w:rsidR="00E22998">
        <w:t xml:space="preserve">the second largest </w:t>
      </w:r>
      <w:r w:rsidRPr="00A8503B">
        <w:t>component</w:t>
      </w:r>
      <w:r w:rsidR="006C3A72" w:rsidRPr="00A8503B">
        <w:t xml:space="preserve"> of the Office’s overall expenditure</w:t>
      </w:r>
      <w:r w:rsidRPr="00A8503B">
        <w:t xml:space="preserve">, representing </w:t>
      </w:r>
      <w:r w:rsidR="00951184" w:rsidRPr="00A8503B">
        <w:t>4</w:t>
      </w:r>
      <w:r w:rsidR="002421D7">
        <w:t>0</w:t>
      </w:r>
      <w:r w:rsidR="00CF2483" w:rsidRPr="00A8503B">
        <w:t xml:space="preserve"> per cent</w:t>
      </w:r>
      <w:r w:rsidR="00CC0DC0" w:rsidRPr="00A8503B">
        <w:t xml:space="preserve"> of </w:t>
      </w:r>
      <w:r w:rsidR="006C3A72" w:rsidRPr="00A8503B">
        <w:t xml:space="preserve">the </w:t>
      </w:r>
      <w:r w:rsidR="00CC0DC0" w:rsidRPr="00A8503B">
        <w:t>t</w:t>
      </w:r>
      <w:r w:rsidRPr="00A8503B">
        <w:t>otal</w:t>
      </w:r>
      <w:r w:rsidR="002421D7">
        <w:t xml:space="preserve"> (2 per cent lower than 2012-13).</w:t>
      </w:r>
    </w:p>
    <w:p w:rsidR="00441570" w:rsidRPr="00A8503B" w:rsidRDefault="00441570" w:rsidP="000462CD">
      <w:pPr>
        <w:pStyle w:val="Bodycopy"/>
        <w:jc w:val="both"/>
      </w:pPr>
    </w:p>
    <w:p w:rsidR="00DB7562" w:rsidRPr="00A8503B" w:rsidRDefault="006C3A72" w:rsidP="000462CD">
      <w:pPr>
        <w:pStyle w:val="Bodycopy"/>
        <w:jc w:val="both"/>
      </w:pPr>
      <w:r w:rsidRPr="00A8503B">
        <w:t>In 201</w:t>
      </w:r>
      <w:r w:rsidR="002421D7">
        <w:t>3</w:t>
      </w:r>
      <w:r w:rsidRPr="00A8503B">
        <w:t>-1</w:t>
      </w:r>
      <w:r w:rsidR="002421D7">
        <w:t>4</w:t>
      </w:r>
      <w:r w:rsidRPr="00A8503B">
        <w:t>, in line with previous</w:t>
      </w:r>
      <w:r w:rsidR="008039D7" w:rsidRPr="00A8503B">
        <w:t xml:space="preserve"> years’ </w:t>
      </w:r>
      <w:r w:rsidRPr="00A8503B">
        <w:t>results, t</w:t>
      </w:r>
      <w:r w:rsidR="00901838" w:rsidRPr="00A8503B">
        <w:t>he two</w:t>
      </w:r>
      <w:r w:rsidR="000C15F8" w:rsidRPr="00A8503B">
        <w:t xml:space="preserve"> largest </w:t>
      </w:r>
      <w:r w:rsidRPr="00A8503B">
        <w:t xml:space="preserve">costs incurred in relation to the Office’s </w:t>
      </w:r>
      <w:r w:rsidR="00C60A04" w:rsidRPr="00A8503B">
        <w:t>S</w:t>
      </w:r>
      <w:r w:rsidR="00901838" w:rsidRPr="00A8503B">
        <w:t xml:space="preserve">upplies and </w:t>
      </w:r>
      <w:r w:rsidR="00C60A04" w:rsidRPr="00A8503B">
        <w:t>S</w:t>
      </w:r>
      <w:r w:rsidRPr="00A8503B">
        <w:t>ervices expenditure</w:t>
      </w:r>
      <w:r w:rsidR="00C60A04" w:rsidRPr="00A8503B">
        <w:t xml:space="preserve"> </w:t>
      </w:r>
      <w:r w:rsidR="000C15F8" w:rsidRPr="00A8503B">
        <w:t xml:space="preserve">related to: </w:t>
      </w:r>
    </w:p>
    <w:p w:rsidR="00DB7562" w:rsidRPr="00A8503B" w:rsidRDefault="00DB7562" w:rsidP="000462CD">
      <w:pPr>
        <w:pStyle w:val="Default"/>
        <w:ind w:firstLine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41570" w:rsidRPr="00A8503B" w:rsidRDefault="00441570" w:rsidP="000462C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503B">
        <w:rPr>
          <w:rFonts w:asciiTheme="minorHAnsi" w:hAnsiTheme="minorHAnsi" w:cstheme="minorHAnsi"/>
          <w:color w:val="auto"/>
          <w:sz w:val="22"/>
          <w:szCs w:val="22"/>
        </w:rPr>
        <w:t>building management ($</w:t>
      </w:r>
      <w:r w:rsidR="006C3A72" w:rsidRPr="00A8503B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676D1D" w:rsidRPr="00A8503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421D7">
        <w:rPr>
          <w:rFonts w:asciiTheme="minorHAnsi" w:hAnsiTheme="minorHAnsi" w:cstheme="minorHAnsi"/>
          <w:color w:val="auto"/>
          <w:sz w:val="22"/>
          <w:szCs w:val="22"/>
        </w:rPr>
        <w:t>647</w:t>
      </w:r>
      <w:r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m, or </w:t>
      </w:r>
      <w:r w:rsidR="00664457" w:rsidRPr="00A8503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421D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664457"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2483" w:rsidRPr="00A8503B">
        <w:rPr>
          <w:rFonts w:asciiTheme="minorHAnsi" w:hAnsiTheme="minorHAnsi" w:cstheme="minorHAnsi"/>
          <w:color w:val="auto"/>
          <w:sz w:val="22"/>
          <w:szCs w:val="22"/>
        </w:rPr>
        <w:t>per cent</w:t>
      </w:r>
      <w:r w:rsidR="00664457"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0DC0"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of </w:t>
      </w:r>
      <w:r w:rsidR="006C3A72" w:rsidRPr="00A8503B">
        <w:rPr>
          <w:rFonts w:asciiTheme="minorHAnsi" w:hAnsiTheme="minorHAnsi" w:cstheme="minorHAnsi"/>
          <w:color w:val="auto"/>
          <w:sz w:val="22"/>
          <w:szCs w:val="22"/>
        </w:rPr>
        <w:t>Supplies and Services expenditure</w:t>
      </w:r>
      <w:r w:rsidRPr="00A8503B">
        <w:rPr>
          <w:rFonts w:asciiTheme="minorHAnsi" w:hAnsiTheme="minorHAnsi" w:cstheme="minorHAnsi"/>
          <w:color w:val="auto"/>
          <w:sz w:val="22"/>
          <w:szCs w:val="22"/>
        </w:rPr>
        <w:t>); and</w:t>
      </w:r>
    </w:p>
    <w:p w:rsidR="00441570" w:rsidRPr="00A8503B" w:rsidRDefault="003E2ED0" w:rsidP="000462C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A8503B">
        <w:rPr>
          <w:rFonts w:asciiTheme="minorHAnsi" w:hAnsiTheme="minorHAnsi" w:cstheme="minorHAnsi"/>
          <w:color w:val="auto"/>
          <w:sz w:val="22"/>
          <w:szCs w:val="22"/>
        </w:rPr>
        <w:t>information</w:t>
      </w:r>
      <w:proofErr w:type="gramEnd"/>
      <w:r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 technology </w:t>
      </w:r>
      <w:r w:rsidR="006D6368"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running costs </w:t>
      </w:r>
      <w:r w:rsidRPr="00A8503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C3A72" w:rsidRPr="00A8503B">
        <w:rPr>
          <w:rFonts w:asciiTheme="minorHAnsi" w:hAnsiTheme="minorHAnsi" w:cstheme="minorHAnsi"/>
          <w:color w:val="auto"/>
          <w:sz w:val="22"/>
          <w:szCs w:val="22"/>
        </w:rPr>
        <w:t>$0.</w:t>
      </w:r>
      <w:r w:rsidR="002421D7">
        <w:rPr>
          <w:rFonts w:asciiTheme="minorHAnsi" w:hAnsiTheme="minorHAnsi" w:cstheme="minorHAnsi"/>
          <w:color w:val="auto"/>
          <w:sz w:val="22"/>
          <w:szCs w:val="22"/>
        </w:rPr>
        <w:t>717</w:t>
      </w:r>
      <w:r w:rsidR="006C3A72" w:rsidRPr="00A8503B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41570"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or </w:t>
      </w:r>
      <w:r w:rsidR="002421D7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254DAF"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2483" w:rsidRPr="00A8503B">
        <w:rPr>
          <w:rFonts w:asciiTheme="minorHAnsi" w:hAnsiTheme="minorHAnsi" w:cstheme="minorHAnsi"/>
          <w:color w:val="auto"/>
          <w:sz w:val="22"/>
          <w:szCs w:val="22"/>
        </w:rPr>
        <w:t>per cent</w:t>
      </w:r>
      <w:r w:rsidR="00CC0DC0" w:rsidRPr="00A8503B"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r w:rsidR="006C3A72" w:rsidRPr="00A8503B">
        <w:rPr>
          <w:rFonts w:asciiTheme="minorHAnsi" w:hAnsiTheme="minorHAnsi" w:cstheme="minorHAnsi"/>
          <w:color w:val="auto"/>
          <w:sz w:val="22"/>
          <w:szCs w:val="22"/>
        </w:rPr>
        <w:t>Supplies and Services expenditure</w:t>
      </w:r>
      <w:r w:rsidRPr="00A8503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B4B6F" w:rsidRPr="00A8503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16F4C" w:rsidRDefault="00F16F4C">
      <w:pPr>
        <w:rPr>
          <w:rFonts w:asciiTheme="minorHAnsi" w:eastAsiaTheme="majorEastAsia" w:hAnsiTheme="minorHAnsi" w:cstheme="majorBidi"/>
          <w:b/>
          <w:bCs/>
          <w:sz w:val="22"/>
          <w:u w:val="single"/>
        </w:rPr>
      </w:pPr>
      <w:r>
        <w:br w:type="page"/>
      </w:r>
    </w:p>
    <w:p w:rsidR="00CF2483" w:rsidRPr="00A8503B" w:rsidRDefault="00CF2483" w:rsidP="00CF2483">
      <w:pPr>
        <w:pStyle w:val="Heading3"/>
      </w:pPr>
      <w:r w:rsidRPr="00B614D2">
        <w:lastRenderedPageBreak/>
        <w:t xml:space="preserve">Comparison </w:t>
      </w:r>
      <w:r w:rsidRPr="00A8503B">
        <w:t>to 201</w:t>
      </w:r>
      <w:r w:rsidR="002421D7">
        <w:t>3</w:t>
      </w:r>
      <w:r w:rsidRPr="00A8503B">
        <w:t>-1</w:t>
      </w:r>
      <w:r w:rsidR="002421D7">
        <w:t>4</w:t>
      </w:r>
      <w:r w:rsidRPr="00A8503B">
        <w:t xml:space="preserve"> Budget</w:t>
      </w:r>
    </w:p>
    <w:p w:rsidR="00826464" w:rsidRPr="00A8503B" w:rsidRDefault="00CF2483" w:rsidP="000462CD">
      <w:pPr>
        <w:pStyle w:val="Bodycopy"/>
        <w:jc w:val="both"/>
      </w:pPr>
      <w:r w:rsidRPr="00A8503B">
        <w:t>The Office's total expenditure of $</w:t>
      </w:r>
      <w:r w:rsidR="002421D7">
        <w:t>8</w:t>
      </w:r>
      <w:r w:rsidRPr="00A8503B">
        <w:t>.</w:t>
      </w:r>
      <w:r w:rsidR="002421D7">
        <w:t>22</w:t>
      </w:r>
      <w:r w:rsidR="000462CD">
        <w:t>6</w:t>
      </w:r>
      <w:r w:rsidRPr="00A8503B">
        <w:t>m in 201</w:t>
      </w:r>
      <w:r w:rsidR="002421D7">
        <w:t>3</w:t>
      </w:r>
      <w:r w:rsidRPr="00A8503B">
        <w:t>-1</w:t>
      </w:r>
      <w:r w:rsidR="002421D7">
        <w:t>4</w:t>
      </w:r>
      <w:r w:rsidRPr="00A8503B">
        <w:t xml:space="preserve"> was $0.</w:t>
      </w:r>
      <w:r w:rsidR="002421D7">
        <w:t>2</w:t>
      </w:r>
      <w:r w:rsidR="006A3E41">
        <w:t>1</w:t>
      </w:r>
      <w:r w:rsidR="000462CD">
        <w:t>5</w:t>
      </w:r>
      <w:r w:rsidRPr="00A8503B">
        <w:t xml:space="preserve">m </w:t>
      </w:r>
      <w:r w:rsidR="006A3E41">
        <w:t>lower</w:t>
      </w:r>
      <w:r w:rsidR="00FF4C71">
        <w:t xml:space="preserve"> (2.5 per cent lower)</w:t>
      </w:r>
      <w:r w:rsidRPr="00A8503B">
        <w:t xml:space="preserve"> than originally budgeted.</w:t>
      </w:r>
      <w:r w:rsidR="00254DAF" w:rsidRPr="00A8503B">
        <w:t xml:space="preserve"> </w:t>
      </w:r>
      <w:r w:rsidR="00934B87">
        <w:t>The Office</w:t>
      </w:r>
      <w:r w:rsidR="00317D34">
        <w:t>’s</w:t>
      </w:r>
      <w:r w:rsidR="00934B87">
        <w:t xml:space="preserve"> expenditure</w:t>
      </w:r>
      <w:r w:rsidR="00317D34">
        <w:t xml:space="preserve"> </w:t>
      </w:r>
      <w:r w:rsidR="00934B87">
        <w:t xml:space="preserve">on </w:t>
      </w:r>
      <w:r w:rsidR="00317D34" w:rsidRPr="00A8503B">
        <w:t xml:space="preserve">Salaries and Wages </w:t>
      </w:r>
      <w:r w:rsidR="00317D34">
        <w:t xml:space="preserve">was </w:t>
      </w:r>
      <w:r w:rsidR="00826464" w:rsidRPr="00A8503B">
        <w:t>$0.</w:t>
      </w:r>
      <w:r w:rsidR="000462CD">
        <w:t>132</w:t>
      </w:r>
      <w:r w:rsidR="00826464" w:rsidRPr="00A8503B">
        <w:t xml:space="preserve">m or </w:t>
      </w:r>
      <w:r w:rsidR="006A3E41">
        <w:t>3</w:t>
      </w:r>
      <w:r w:rsidR="00826464" w:rsidRPr="00A8503B">
        <w:t xml:space="preserve"> per cent</w:t>
      </w:r>
      <w:r w:rsidR="00934B87">
        <w:t xml:space="preserve"> </w:t>
      </w:r>
      <w:r w:rsidR="00317D34">
        <w:t>lower than 201</w:t>
      </w:r>
      <w:r w:rsidR="006A3E41">
        <w:t>3</w:t>
      </w:r>
      <w:r w:rsidR="00317D34">
        <w:t>-1</w:t>
      </w:r>
      <w:r w:rsidR="006A3E41">
        <w:t>4</w:t>
      </w:r>
      <w:r w:rsidR="00317D34">
        <w:t xml:space="preserve"> </w:t>
      </w:r>
      <w:proofErr w:type="gramStart"/>
      <w:r w:rsidR="00317D34">
        <w:t>Budget</w:t>
      </w:r>
      <w:proofErr w:type="gramEnd"/>
      <w:r w:rsidR="00317D34">
        <w:t xml:space="preserve"> and expenditure</w:t>
      </w:r>
      <w:r w:rsidR="006A3E41">
        <w:t xml:space="preserve"> </w:t>
      </w:r>
      <w:r w:rsidR="00317D34">
        <w:t xml:space="preserve">on </w:t>
      </w:r>
      <w:r w:rsidR="00826464" w:rsidRPr="00A8503B">
        <w:t xml:space="preserve">Supplies and Services </w:t>
      </w:r>
      <w:r w:rsidR="00317D34">
        <w:t xml:space="preserve">was </w:t>
      </w:r>
      <w:r w:rsidR="00826464" w:rsidRPr="00A8503B">
        <w:t>$0.</w:t>
      </w:r>
      <w:r w:rsidR="0040760A">
        <w:t>1</w:t>
      </w:r>
      <w:r w:rsidR="006A3E41">
        <w:t>0</w:t>
      </w:r>
      <w:r w:rsidR="000462CD">
        <w:t>9</w:t>
      </w:r>
      <w:r w:rsidR="00826464" w:rsidRPr="00A8503B">
        <w:t xml:space="preserve">m </w:t>
      </w:r>
      <w:r w:rsidR="00317D34">
        <w:t>less than</w:t>
      </w:r>
      <w:r w:rsidR="00826464" w:rsidRPr="00A8503B">
        <w:t xml:space="preserve"> budgeted</w:t>
      </w:r>
      <w:r w:rsidR="00560BD2" w:rsidRPr="00A8503B">
        <w:t xml:space="preserve">. </w:t>
      </w:r>
    </w:p>
    <w:p w:rsidR="00336E58" w:rsidRPr="00A8503B" w:rsidRDefault="00336E58" w:rsidP="00CF2483">
      <w:pPr>
        <w:pStyle w:val="Bodycopy"/>
      </w:pPr>
    </w:p>
    <w:p w:rsidR="00336E58" w:rsidRPr="00A8503B" w:rsidRDefault="00054A8B" w:rsidP="00C70074">
      <w:pPr>
        <w:pStyle w:val="Bodycopy"/>
        <w:jc w:val="both"/>
      </w:pPr>
      <w:r w:rsidRPr="00054A8B">
        <w:t>These lower-than-budgeted results are mainly due to management efforts to reduce expenditure in order that greater provision can be made to meet the Office’s employee benefit liabilities into the future.</w:t>
      </w:r>
      <w:r w:rsidR="003A534D">
        <w:t xml:space="preserve"> </w:t>
      </w:r>
    </w:p>
    <w:p w:rsidR="00DB7562" w:rsidRPr="00A8503B" w:rsidRDefault="00DB7562" w:rsidP="00A42B5A">
      <w:pPr>
        <w:pStyle w:val="Heading3"/>
      </w:pPr>
      <w:r w:rsidRPr="00A8503B">
        <w:t xml:space="preserve">Comparison to </w:t>
      </w:r>
      <w:r w:rsidR="002072DD" w:rsidRPr="00A8503B">
        <w:t>201</w:t>
      </w:r>
      <w:r w:rsidR="00BF0173">
        <w:t>2</w:t>
      </w:r>
      <w:r w:rsidR="002072DD" w:rsidRPr="00A8503B">
        <w:t>-1</w:t>
      </w:r>
      <w:r w:rsidR="00BF0173">
        <w:t>3</w:t>
      </w:r>
      <w:r w:rsidR="002072DD" w:rsidRPr="00A8503B">
        <w:t xml:space="preserve"> Actual Expenditure</w:t>
      </w:r>
    </w:p>
    <w:p w:rsidR="002072DD" w:rsidRDefault="002072DD" w:rsidP="00FF4C71">
      <w:pPr>
        <w:pStyle w:val="Bodycopy"/>
      </w:pPr>
      <w:r w:rsidRPr="00A8503B">
        <w:t>The Office's total expenditure of $</w:t>
      </w:r>
      <w:r w:rsidR="00BF0173">
        <w:t>8</w:t>
      </w:r>
      <w:r w:rsidR="008E3FB2" w:rsidRPr="00A8503B">
        <w:rPr>
          <w:bCs/>
        </w:rPr>
        <w:t>.</w:t>
      </w:r>
      <w:r w:rsidR="00BF0173">
        <w:rPr>
          <w:bCs/>
        </w:rPr>
        <w:t>22</w:t>
      </w:r>
      <w:r w:rsidR="00C70074">
        <w:rPr>
          <w:bCs/>
        </w:rPr>
        <w:t>6</w:t>
      </w:r>
      <w:r w:rsidR="008E3FB2" w:rsidRPr="00A8503B">
        <w:rPr>
          <w:bCs/>
        </w:rPr>
        <w:t>m</w:t>
      </w:r>
      <w:r w:rsidRPr="00A8503B">
        <w:t xml:space="preserve"> in 201</w:t>
      </w:r>
      <w:r w:rsidR="00BF0173">
        <w:t>3</w:t>
      </w:r>
      <w:r w:rsidRPr="00A8503B">
        <w:t>-1</w:t>
      </w:r>
      <w:r w:rsidR="00BF0173">
        <w:t>4</w:t>
      </w:r>
      <w:r w:rsidRPr="00A8503B">
        <w:t xml:space="preserve"> was $</w:t>
      </w:r>
      <w:r w:rsidR="008E3FB2" w:rsidRPr="00A8503B">
        <w:t>0.</w:t>
      </w:r>
      <w:r w:rsidR="00BF0173">
        <w:t>2</w:t>
      </w:r>
      <w:r w:rsidR="00C70074">
        <w:t>79</w:t>
      </w:r>
      <w:r w:rsidR="008E3FB2" w:rsidRPr="00A8503B">
        <w:t xml:space="preserve">m </w:t>
      </w:r>
      <w:r w:rsidR="00BF0173">
        <w:t>higher</w:t>
      </w:r>
      <w:r w:rsidR="00FF4C71">
        <w:t xml:space="preserve"> (3.5 per cent higher)</w:t>
      </w:r>
      <w:r w:rsidRPr="00A8503B">
        <w:t xml:space="preserve"> than in 201</w:t>
      </w:r>
      <w:r w:rsidR="00BF0173">
        <w:t>2</w:t>
      </w:r>
      <w:r w:rsidRPr="00A8503B">
        <w:t>-1</w:t>
      </w:r>
      <w:r w:rsidR="00BF0173">
        <w:t>3</w:t>
      </w:r>
      <w:r w:rsidR="00FF4C71">
        <w:t>.</w:t>
      </w:r>
      <w:r w:rsidR="008E3FB2" w:rsidRPr="00A8503B">
        <w:t xml:space="preserve"> </w:t>
      </w:r>
      <w:r w:rsidR="00317D34">
        <w:br/>
      </w:r>
      <w:r w:rsidRPr="00A8503B">
        <w:t xml:space="preserve"> </w:t>
      </w:r>
    </w:p>
    <w:p w:rsidR="00BF0173" w:rsidRDefault="00E02EAA" w:rsidP="00C70074">
      <w:pPr>
        <w:pStyle w:val="Bodycopy"/>
        <w:jc w:val="both"/>
      </w:pPr>
      <w:r>
        <w:t xml:space="preserve">The variance is mainly due to the Assembly returning to normal levels of activity following the Assembly election in 2012. </w:t>
      </w:r>
    </w:p>
    <w:p w:rsidR="000E121A" w:rsidRPr="00A150C2" w:rsidRDefault="000E121A" w:rsidP="00C70074">
      <w:pPr>
        <w:pStyle w:val="Heading3"/>
        <w:jc w:val="both"/>
      </w:pPr>
      <w:r w:rsidRPr="00A150C2">
        <w:t xml:space="preserve">Future </w:t>
      </w:r>
      <w:r w:rsidR="00CD3DE8">
        <w:t>t</w:t>
      </w:r>
      <w:r w:rsidRPr="00A150C2">
        <w:t>rends</w:t>
      </w:r>
    </w:p>
    <w:p w:rsidR="007A5419" w:rsidRDefault="000E121A" w:rsidP="00C70074">
      <w:pPr>
        <w:pStyle w:val="Bodycopy"/>
        <w:jc w:val="both"/>
      </w:pPr>
      <w:r w:rsidRPr="00A150C2">
        <w:t xml:space="preserve">The </w:t>
      </w:r>
      <w:r w:rsidR="00E85F2B">
        <w:t>Office</w:t>
      </w:r>
      <w:r w:rsidRPr="00A150C2">
        <w:t xml:space="preserve">'s </w:t>
      </w:r>
      <w:r w:rsidR="00900DEB" w:rsidRPr="00A150C2">
        <w:t xml:space="preserve">total </w:t>
      </w:r>
      <w:r w:rsidRPr="00A150C2">
        <w:t xml:space="preserve">expenditure is budgeted to increase in line with </w:t>
      </w:r>
      <w:r w:rsidR="00E22998">
        <w:t xml:space="preserve">applicable </w:t>
      </w:r>
      <w:r w:rsidRPr="00A150C2">
        <w:t xml:space="preserve">indexation </w:t>
      </w:r>
      <w:r w:rsidR="00E22998">
        <w:t xml:space="preserve">adjustments </w:t>
      </w:r>
      <w:r w:rsidRPr="00A150C2">
        <w:t>over the next three years</w:t>
      </w:r>
      <w:r w:rsidR="007A5419" w:rsidRPr="00A150C2">
        <w:t>.</w:t>
      </w:r>
    </w:p>
    <w:p w:rsidR="00725915" w:rsidRDefault="00725915" w:rsidP="00C70074">
      <w:pPr>
        <w:pStyle w:val="Bodycopy"/>
        <w:jc w:val="both"/>
      </w:pPr>
    </w:p>
    <w:p w:rsidR="00E02EAA" w:rsidRDefault="00E02EAA" w:rsidP="006506B6">
      <w:pPr>
        <w:pStyle w:val="Bodycopy"/>
        <w:jc w:val="both"/>
      </w:pPr>
      <w:r>
        <w:t xml:space="preserve">However, in the event that the Assembly passes the Australian Capital Territory (Legislative Assembly) Bill 2014 and the Electoral Amendment Bill 2014, leading to an enlarged Assembly in 2016, the Office anticipates </w:t>
      </w:r>
      <w:r w:rsidR="00127B40">
        <w:t>some additional costs</w:t>
      </w:r>
      <w:r>
        <w:t xml:space="preserve"> from 2015-16 onwards. </w:t>
      </w:r>
    </w:p>
    <w:p w:rsidR="00E02EAA" w:rsidRDefault="00E02EAA" w:rsidP="006506B6">
      <w:pPr>
        <w:pStyle w:val="Bodycopy"/>
        <w:jc w:val="both"/>
      </w:pPr>
    </w:p>
    <w:p w:rsidR="00AB36A6" w:rsidRPr="00A150C2" w:rsidRDefault="002D3D0E" w:rsidP="006506B6">
      <w:pPr>
        <w:pStyle w:val="Heading2"/>
        <w:jc w:val="both"/>
      </w:pPr>
      <w:r>
        <w:t xml:space="preserve">Total </w:t>
      </w:r>
      <w:r w:rsidR="006A516A">
        <w:t>Own Source Revenue</w:t>
      </w:r>
    </w:p>
    <w:p w:rsidR="00441570" w:rsidRPr="00A150C2" w:rsidRDefault="00E22998" w:rsidP="006506B6">
      <w:pPr>
        <w:pStyle w:val="Bodycopy"/>
        <w:jc w:val="both"/>
      </w:pPr>
      <w:r w:rsidRPr="00E22998">
        <w:t xml:space="preserve">The most significant component of </w:t>
      </w:r>
      <w:r w:rsidR="006A516A">
        <w:t>Own Source Revenue</w:t>
      </w:r>
      <w:r w:rsidRPr="00E22998">
        <w:t xml:space="preserve"> relates to those resources received by the Legislative Assembly free of charge from other ACT entities. </w:t>
      </w:r>
      <w:r w:rsidR="00F15CB7" w:rsidRPr="00C02B99">
        <w:t>T</w:t>
      </w:r>
      <w:r w:rsidR="00441570" w:rsidRPr="00C02B99">
        <w:t>hese sources of revenue a</w:t>
      </w:r>
      <w:r w:rsidR="00F15CB7" w:rsidRPr="00C02B99">
        <w:t>re discussed in more detail in N</w:t>
      </w:r>
      <w:r w:rsidR="00441570" w:rsidRPr="00C02B99">
        <w:t xml:space="preserve">otes 5 to </w:t>
      </w:r>
      <w:r w:rsidR="00BD4BF1" w:rsidRPr="00C02B99">
        <w:t>10</w:t>
      </w:r>
      <w:r w:rsidR="00441570" w:rsidRPr="00C02B99">
        <w:t xml:space="preserve"> of the 201</w:t>
      </w:r>
      <w:r w:rsidR="00BF0173">
        <w:t>3</w:t>
      </w:r>
      <w:r w:rsidR="00BD4BF1" w:rsidRPr="00C02B99">
        <w:t>-1</w:t>
      </w:r>
      <w:r w:rsidR="00BF0173">
        <w:t>4</w:t>
      </w:r>
      <w:r w:rsidR="00BD4BF1" w:rsidRPr="00C02B99">
        <w:t xml:space="preserve"> Controlled</w:t>
      </w:r>
      <w:r w:rsidR="00441570" w:rsidRPr="00A150C2">
        <w:t xml:space="preserve"> Financial </w:t>
      </w:r>
      <w:r w:rsidR="00FA21D0" w:rsidRPr="00A150C2">
        <w:t>Statements</w:t>
      </w:r>
      <w:r w:rsidR="00441570" w:rsidRPr="00A150C2">
        <w:t xml:space="preserve">. </w:t>
      </w:r>
      <w:r w:rsidR="002D3D0E">
        <w:t>In 201</w:t>
      </w:r>
      <w:r w:rsidR="00BF0173">
        <w:t>3</w:t>
      </w:r>
      <w:r w:rsidR="002D3D0E">
        <w:t>-1</w:t>
      </w:r>
      <w:r w:rsidR="00BF0173">
        <w:t>4</w:t>
      </w:r>
      <w:r w:rsidR="002D3D0E">
        <w:t xml:space="preserve">, these were: </w:t>
      </w:r>
    </w:p>
    <w:p w:rsidR="00441570" w:rsidRPr="00A150C2" w:rsidRDefault="00441570" w:rsidP="006506B6">
      <w:pPr>
        <w:pStyle w:val="Bodycopy"/>
        <w:jc w:val="both"/>
      </w:pPr>
    </w:p>
    <w:p w:rsidR="00441570" w:rsidRPr="00EF137B" w:rsidRDefault="00441570" w:rsidP="006506B6">
      <w:pPr>
        <w:pStyle w:val="Bodycopy"/>
        <w:numPr>
          <w:ilvl w:val="0"/>
          <w:numId w:val="9"/>
        </w:numPr>
        <w:jc w:val="both"/>
      </w:pPr>
      <w:r w:rsidRPr="00A150C2">
        <w:t xml:space="preserve">legislative drafting services provided </w:t>
      </w:r>
      <w:r w:rsidR="006A516A">
        <w:t xml:space="preserve">by the </w:t>
      </w:r>
      <w:r w:rsidR="006A516A" w:rsidRPr="00A150C2">
        <w:t xml:space="preserve">Parliamentary Counsel’s </w:t>
      </w:r>
      <w:r w:rsidR="006A516A" w:rsidRPr="00EF137B">
        <w:t xml:space="preserve">Office </w:t>
      </w:r>
      <w:r w:rsidRPr="00A150C2">
        <w:t xml:space="preserve">to </w:t>
      </w:r>
      <w:r w:rsidR="00D1113C">
        <w:br/>
      </w:r>
      <w:r w:rsidRPr="00A150C2">
        <w:t>non-</w:t>
      </w:r>
      <w:r w:rsidR="00E014D9">
        <w:t>executive</w:t>
      </w:r>
      <w:r w:rsidR="00D1113C">
        <w:t xml:space="preserve"> MLAs</w:t>
      </w:r>
      <w:r w:rsidR="0020069B">
        <w:t xml:space="preserve"> and one </w:t>
      </w:r>
      <w:r w:rsidR="00E014D9">
        <w:t>executive</w:t>
      </w:r>
      <w:r w:rsidR="0020069B">
        <w:t xml:space="preserve"> </w:t>
      </w:r>
      <w:r w:rsidR="00D1113C">
        <w:t>MLA</w:t>
      </w:r>
      <w:r w:rsidR="0020069B">
        <w:t xml:space="preserve"> </w:t>
      </w:r>
      <w:r w:rsidR="00BD4BF1" w:rsidRPr="00EF137B">
        <w:t>(</w:t>
      </w:r>
      <w:r w:rsidR="0020069B" w:rsidRPr="00EF137B">
        <w:t>$0.</w:t>
      </w:r>
      <w:r w:rsidR="00BF0173">
        <w:t>128</w:t>
      </w:r>
      <w:r w:rsidR="0020069B" w:rsidRPr="00EF137B">
        <w:t>m</w:t>
      </w:r>
      <w:r w:rsidR="00BD4BF1" w:rsidRPr="00EF137B">
        <w:t>)</w:t>
      </w:r>
      <w:r w:rsidR="007B04CA" w:rsidRPr="00EF137B">
        <w:t>;</w:t>
      </w:r>
    </w:p>
    <w:p w:rsidR="00441570" w:rsidRPr="00EF137B" w:rsidRDefault="00441570" w:rsidP="006506B6">
      <w:pPr>
        <w:pStyle w:val="Bodycopy"/>
        <w:numPr>
          <w:ilvl w:val="0"/>
          <w:numId w:val="9"/>
        </w:numPr>
        <w:jc w:val="both"/>
      </w:pPr>
      <w:r w:rsidRPr="00EF137B">
        <w:t xml:space="preserve">legal services provided to the </w:t>
      </w:r>
      <w:r w:rsidR="00F302EA" w:rsidRPr="00EF137B">
        <w:t>Office of the Legislative Assembly</w:t>
      </w:r>
      <w:r w:rsidR="00CD3DE8" w:rsidRPr="00EF137B">
        <w:t xml:space="preserve"> </w:t>
      </w:r>
      <w:r w:rsidRPr="00EF137B">
        <w:t>by the AC</w:t>
      </w:r>
      <w:r w:rsidR="007B04CA" w:rsidRPr="00EF137B">
        <w:t>T Government Solicitor’s Office</w:t>
      </w:r>
      <w:r w:rsidR="00BD4BF1" w:rsidRPr="00EF137B">
        <w:t xml:space="preserve"> ($</w:t>
      </w:r>
      <w:r w:rsidR="0020069B" w:rsidRPr="00EF137B">
        <w:t>0.0</w:t>
      </w:r>
      <w:r w:rsidR="00BF0173">
        <w:t>07</w:t>
      </w:r>
      <w:r w:rsidR="0020069B" w:rsidRPr="00EF137B">
        <w:t>m</w:t>
      </w:r>
      <w:r w:rsidR="00BD4BF1" w:rsidRPr="00EF137B">
        <w:t>)</w:t>
      </w:r>
      <w:r w:rsidR="007B04CA" w:rsidRPr="00EF137B">
        <w:t xml:space="preserve">; </w:t>
      </w:r>
    </w:p>
    <w:p w:rsidR="007B04CA" w:rsidRPr="00EF137B" w:rsidRDefault="007B04CA" w:rsidP="006506B6">
      <w:pPr>
        <w:pStyle w:val="Bodycopy"/>
        <w:numPr>
          <w:ilvl w:val="0"/>
          <w:numId w:val="9"/>
        </w:numPr>
        <w:jc w:val="both"/>
      </w:pPr>
      <w:proofErr w:type="gramStart"/>
      <w:r w:rsidRPr="00EF137B">
        <w:t>the</w:t>
      </w:r>
      <w:proofErr w:type="gramEnd"/>
      <w:r w:rsidRPr="00EF137B">
        <w:t xml:space="preserve"> value of rental ($0.</w:t>
      </w:r>
      <w:r w:rsidR="0040760A">
        <w:t>52</w:t>
      </w:r>
      <w:r w:rsidR="00BF0173">
        <w:t>7</w:t>
      </w:r>
      <w:r w:rsidR="0020069B" w:rsidRPr="00EF137B">
        <w:t>m</w:t>
      </w:r>
      <w:r w:rsidRPr="00EF137B">
        <w:t xml:space="preserve">) </w:t>
      </w:r>
      <w:r w:rsidR="00D1113C">
        <w:t>relating</w:t>
      </w:r>
      <w:r w:rsidRPr="00EF137B">
        <w:t xml:space="preserve"> to the proportion of space within the Legislative Assembly </w:t>
      </w:r>
      <w:r w:rsidR="00CD3DE8" w:rsidRPr="00EF137B">
        <w:t>b</w:t>
      </w:r>
      <w:r w:rsidRPr="00EF137B">
        <w:t xml:space="preserve">uilding occupied by the </w:t>
      </w:r>
      <w:r w:rsidR="00CD3DE8" w:rsidRPr="00EF137B">
        <w:t>Office of the Legislative Assembly</w:t>
      </w:r>
      <w:r w:rsidR="00A03C99" w:rsidRPr="00EF137B">
        <w:t>.</w:t>
      </w:r>
    </w:p>
    <w:p w:rsidR="00441570" w:rsidRPr="00EF137B" w:rsidRDefault="00441570" w:rsidP="006506B6">
      <w:pPr>
        <w:pStyle w:val="Bodycopy"/>
        <w:jc w:val="both"/>
      </w:pPr>
    </w:p>
    <w:p w:rsidR="00F16F4C" w:rsidRDefault="00F16F4C">
      <w:pPr>
        <w:rPr>
          <w:rFonts w:asciiTheme="minorHAnsi" w:hAnsiTheme="minorHAnsi" w:cstheme="minorHAnsi"/>
          <w:sz w:val="22"/>
          <w:szCs w:val="22"/>
          <w:lang w:eastAsia="en-AU"/>
        </w:rPr>
      </w:pPr>
      <w:r>
        <w:br w:type="page"/>
      </w:r>
    </w:p>
    <w:p w:rsidR="000E121A" w:rsidRPr="00EF137B" w:rsidRDefault="00AB36A6" w:rsidP="006506B6">
      <w:pPr>
        <w:pStyle w:val="Bodycopy"/>
        <w:jc w:val="both"/>
      </w:pPr>
      <w:r w:rsidRPr="00EF137B">
        <w:lastRenderedPageBreak/>
        <w:t xml:space="preserve">The </w:t>
      </w:r>
      <w:r w:rsidR="00A40B0F" w:rsidRPr="00EF137B">
        <w:t>table</w:t>
      </w:r>
      <w:r w:rsidR="00747F4B" w:rsidRPr="00EF137B">
        <w:t xml:space="preserve"> and chart</w:t>
      </w:r>
      <w:r w:rsidR="00A40B0F" w:rsidRPr="00EF137B">
        <w:t xml:space="preserve"> </w:t>
      </w:r>
      <w:r w:rsidR="00282E27" w:rsidRPr="00EF137B">
        <w:t xml:space="preserve">below </w:t>
      </w:r>
      <w:r w:rsidR="00A40B0F" w:rsidRPr="00EF137B">
        <w:t>show a break</w:t>
      </w:r>
      <w:r w:rsidR="00015004" w:rsidRPr="00EF137B">
        <w:t xml:space="preserve">down of the </w:t>
      </w:r>
      <w:r w:rsidR="00E85F2B" w:rsidRPr="00EF137B">
        <w:t>Office</w:t>
      </w:r>
      <w:r w:rsidR="00015004" w:rsidRPr="00EF137B">
        <w:t xml:space="preserve">'s </w:t>
      </w:r>
      <w:r w:rsidR="006A516A">
        <w:t>Own Source Revenue</w:t>
      </w:r>
      <w:r w:rsidR="00015004" w:rsidRPr="00EF137B">
        <w:t xml:space="preserve"> for 20</w:t>
      </w:r>
      <w:r w:rsidR="00441570" w:rsidRPr="00EF137B">
        <w:t>1</w:t>
      </w:r>
      <w:r w:rsidR="00BF0173">
        <w:t>3</w:t>
      </w:r>
      <w:r w:rsidR="00A03C99" w:rsidRPr="00EF137B">
        <w:t>-1</w:t>
      </w:r>
      <w:r w:rsidR="00BF0173">
        <w:t>4</w:t>
      </w:r>
      <w:r w:rsidR="00015004" w:rsidRPr="00EF137B">
        <w:t xml:space="preserve"> (both budgeted and actual) as well as the actual 20</w:t>
      </w:r>
      <w:r w:rsidR="00A03C99" w:rsidRPr="00EF137B">
        <w:t>1</w:t>
      </w:r>
      <w:r w:rsidR="00BF0173">
        <w:t>2</w:t>
      </w:r>
      <w:r w:rsidR="00A03C99" w:rsidRPr="00EF137B">
        <w:t>-1</w:t>
      </w:r>
      <w:r w:rsidR="00BF0173">
        <w:t>3</w:t>
      </w:r>
      <w:r w:rsidR="00A03C99" w:rsidRPr="00EF137B">
        <w:t xml:space="preserve"> amounts. </w:t>
      </w:r>
      <w:r w:rsidR="00015004" w:rsidRPr="00EF137B">
        <w:t xml:space="preserve">The table also shows </w:t>
      </w:r>
      <w:r w:rsidR="003E2ED0" w:rsidRPr="00EF137B">
        <w:t xml:space="preserve">the </w:t>
      </w:r>
      <w:r w:rsidR="00015004" w:rsidRPr="00EF137B">
        <w:t>individual amount represented</w:t>
      </w:r>
      <w:r w:rsidR="00FA7E79" w:rsidRPr="00EF137B">
        <w:t xml:space="preserve"> </w:t>
      </w:r>
      <w:r w:rsidR="002D3D0E" w:rsidRPr="00EF137B">
        <w:t>as a proportion of</w:t>
      </w:r>
      <w:r w:rsidR="00FA7E79" w:rsidRPr="00EF137B">
        <w:t xml:space="preserve"> </w:t>
      </w:r>
      <w:r w:rsidR="002D3D0E" w:rsidRPr="00EF137B">
        <w:t xml:space="preserve">Total </w:t>
      </w:r>
      <w:r w:rsidR="006A516A">
        <w:t>Own Source Revenue</w:t>
      </w:r>
      <w:r w:rsidR="00282E27">
        <w:t>.</w:t>
      </w:r>
    </w:p>
    <w:p w:rsidR="00AB36A6" w:rsidRPr="00EF137B" w:rsidRDefault="00AB36A6" w:rsidP="000E12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5"/>
        <w:gridCol w:w="1373"/>
        <w:gridCol w:w="1391"/>
        <w:gridCol w:w="1376"/>
        <w:gridCol w:w="1373"/>
      </w:tblGrid>
      <w:tr w:rsidR="003A2E48" w:rsidRPr="00EF137B" w:rsidTr="00FF17FA">
        <w:trPr>
          <w:trHeight w:val="315"/>
        </w:trPr>
        <w:tc>
          <w:tcPr>
            <w:tcW w:w="3235" w:type="dxa"/>
            <w:shd w:val="clear" w:color="auto" w:fill="8DB3E2" w:themeFill="text2" w:themeFillTint="66"/>
            <w:noWrap/>
          </w:tcPr>
          <w:p w:rsidR="003A2E48" w:rsidRPr="00EF137B" w:rsidRDefault="00EF137B" w:rsidP="00EF13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Income</w:t>
            </w:r>
            <w:r w:rsidR="00E01561"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12670"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3A2E48"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ype</w:t>
            </w:r>
          </w:p>
        </w:tc>
        <w:tc>
          <w:tcPr>
            <w:tcW w:w="1373" w:type="dxa"/>
            <w:shd w:val="clear" w:color="auto" w:fill="8DB3E2" w:themeFill="text2" w:themeFillTint="66"/>
          </w:tcPr>
          <w:p w:rsidR="003A2E48" w:rsidRPr="00EF137B" w:rsidRDefault="003A2E48" w:rsidP="00A26EF9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Actual</w:t>
            </w:r>
          </w:p>
          <w:p w:rsidR="003A2E48" w:rsidRPr="00EF137B" w:rsidRDefault="00A03C99" w:rsidP="00A26EF9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BF01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 w:rsidR="00BF01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  <w:p w:rsidR="003A2E48" w:rsidRPr="00EF137B" w:rsidRDefault="003A2E48" w:rsidP="00A26EF9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$m</w:t>
            </w:r>
          </w:p>
        </w:tc>
        <w:tc>
          <w:tcPr>
            <w:tcW w:w="1391" w:type="dxa"/>
            <w:shd w:val="clear" w:color="auto" w:fill="8DB3E2" w:themeFill="text2" w:themeFillTint="66"/>
          </w:tcPr>
          <w:p w:rsidR="003A2E48" w:rsidRPr="00EF137B" w:rsidRDefault="003A2E48" w:rsidP="00BF0173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Proportion of Total 201</w:t>
            </w:r>
            <w:r w:rsidR="00BF01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 w:rsidR="00BF01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A516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Own Source Revenue</w:t>
            </w:r>
          </w:p>
        </w:tc>
        <w:tc>
          <w:tcPr>
            <w:tcW w:w="1376" w:type="dxa"/>
            <w:shd w:val="clear" w:color="auto" w:fill="8DB3E2" w:themeFill="text2" w:themeFillTint="66"/>
          </w:tcPr>
          <w:p w:rsidR="003A2E48" w:rsidRPr="00EF137B" w:rsidRDefault="003A2E48" w:rsidP="00A26EF9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Budget</w:t>
            </w:r>
          </w:p>
          <w:p w:rsidR="003A2E48" w:rsidRPr="00EF137B" w:rsidRDefault="003A2E48" w:rsidP="00A26EF9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BF01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A03C99"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 w:rsidR="00BF01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  <w:p w:rsidR="003A2E48" w:rsidRPr="00EF137B" w:rsidRDefault="003A2E48" w:rsidP="00A26EF9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$m</w:t>
            </w:r>
          </w:p>
        </w:tc>
        <w:tc>
          <w:tcPr>
            <w:tcW w:w="1373" w:type="dxa"/>
            <w:shd w:val="clear" w:color="auto" w:fill="8DB3E2" w:themeFill="text2" w:themeFillTint="66"/>
          </w:tcPr>
          <w:p w:rsidR="003A2E48" w:rsidRPr="00EF137B" w:rsidRDefault="003A2E48" w:rsidP="003A2E48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Actual</w:t>
            </w:r>
          </w:p>
          <w:p w:rsidR="003A2E48" w:rsidRPr="00EF137B" w:rsidRDefault="00A03C99" w:rsidP="003A2E48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BF01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 w:rsidR="00BF017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  <w:p w:rsidR="003A2E48" w:rsidRPr="00EF137B" w:rsidRDefault="003A2E48" w:rsidP="003A2E48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$m</w:t>
            </w:r>
          </w:p>
        </w:tc>
      </w:tr>
      <w:tr w:rsidR="00A03C99" w:rsidRPr="00EF137B" w:rsidTr="001B5F99">
        <w:trPr>
          <w:trHeight w:val="315"/>
        </w:trPr>
        <w:tc>
          <w:tcPr>
            <w:tcW w:w="3235" w:type="dxa"/>
            <w:tcBorders>
              <w:bottom w:val="single" w:sz="4" w:space="0" w:color="auto"/>
            </w:tcBorders>
            <w:noWrap/>
            <w:vAlign w:val="bottom"/>
          </w:tcPr>
          <w:p w:rsidR="00A03C99" w:rsidRPr="00EF137B" w:rsidRDefault="006A516A" w:rsidP="00DD3D3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Resources Provided Free of Charge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</w:tcPr>
          <w:p w:rsidR="00A03C99" w:rsidRPr="00EF137B" w:rsidRDefault="0020069B" w:rsidP="00BF01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BF0173">
              <w:rPr>
                <w:rFonts w:asciiTheme="minorHAnsi" w:hAnsiTheme="minorHAnsi" w:cstheme="minorHAnsi"/>
                <w:sz w:val="22"/>
                <w:szCs w:val="22"/>
              </w:rPr>
              <w:t>662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A03C99" w:rsidRPr="00EF137B" w:rsidRDefault="00C305D4" w:rsidP="0040760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 w:rsidR="00747F4B" w:rsidRPr="00EF137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</w:tcPr>
          <w:p w:rsidR="00A03C99" w:rsidRPr="00EF137B" w:rsidRDefault="004E48ED" w:rsidP="00C305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C305D4">
              <w:rPr>
                <w:rFonts w:asciiTheme="minorHAnsi" w:hAnsiTheme="minorHAnsi" w:cstheme="minorHAnsi"/>
                <w:sz w:val="22"/>
                <w:szCs w:val="22"/>
              </w:rPr>
              <w:t>795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/>
          </w:tcPr>
          <w:p w:rsidR="00A03C99" w:rsidRPr="00EF137B" w:rsidRDefault="00C305D4" w:rsidP="00C305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076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828</w:t>
            </w:r>
          </w:p>
        </w:tc>
      </w:tr>
      <w:tr w:rsidR="00A03C99" w:rsidRPr="00EF137B" w:rsidTr="001B5F99">
        <w:trPr>
          <w:trHeight w:val="315"/>
        </w:trPr>
        <w:tc>
          <w:tcPr>
            <w:tcW w:w="3235" w:type="dxa"/>
            <w:shd w:val="clear" w:color="auto" w:fill="auto"/>
            <w:noWrap/>
            <w:vAlign w:val="bottom"/>
          </w:tcPr>
          <w:p w:rsidR="00A03C99" w:rsidRPr="00EF137B" w:rsidRDefault="00A03C99" w:rsidP="00A03C9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 w:rsidRPr="00EF137B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Interest, Distribution</w:t>
            </w:r>
            <w:r w:rsidR="00747F4B" w:rsidRPr="00EF137B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s</w:t>
            </w:r>
            <w:r w:rsidRPr="00EF137B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 xml:space="preserve"> and Gains</w:t>
            </w:r>
          </w:p>
        </w:tc>
        <w:tc>
          <w:tcPr>
            <w:tcW w:w="1373" w:type="dxa"/>
            <w:shd w:val="clear" w:color="auto" w:fill="auto"/>
          </w:tcPr>
          <w:p w:rsidR="00A03C99" w:rsidRPr="00EF137B" w:rsidRDefault="000F25B0" w:rsidP="00BF01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0.03</w:t>
            </w:r>
            <w:r w:rsidR="00BF01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91" w:type="dxa"/>
            <w:shd w:val="clear" w:color="auto" w:fill="auto"/>
          </w:tcPr>
          <w:p w:rsidR="00A03C99" w:rsidRPr="00EF137B" w:rsidRDefault="00C305D4" w:rsidP="00C305D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747F4B" w:rsidRPr="00EF137B">
              <w:rPr>
                <w:rFonts w:asciiTheme="minorHAnsi" w:hAnsiTheme="minorHAnsi" w:cstheme="minorHAnsi"/>
                <w:bCs/>
                <w:sz w:val="22"/>
                <w:szCs w:val="22"/>
              </w:rPr>
              <w:t>%</w:t>
            </w:r>
          </w:p>
        </w:tc>
        <w:tc>
          <w:tcPr>
            <w:tcW w:w="1376" w:type="dxa"/>
            <w:shd w:val="clear" w:color="auto" w:fill="auto"/>
          </w:tcPr>
          <w:p w:rsidR="00A03C99" w:rsidRPr="00EF137B" w:rsidRDefault="000F25B0" w:rsidP="00C305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  <w:r w:rsidR="00C305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A03C99" w:rsidRPr="00EF137B" w:rsidRDefault="000F25B0" w:rsidP="00C305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0.03</w:t>
            </w:r>
            <w:r w:rsidR="00C305D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03C99" w:rsidRPr="00EF137B" w:rsidTr="003A2E48">
        <w:trPr>
          <w:trHeight w:val="315"/>
        </w:trPr>
        <w:tc>
          <w:tcPr>
            <w:tcW w:w="3235" w:type="dxa"/>
            <w:noWrap/>
            <w:vAlign w:val="bottom"/>
          </w:tcPr>
          <w:p w:rsidR="00A03C99" w:rsidRPr="00EF137B" w:rsidRDefault="00A03C99" w:rsidP="00DD3D3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  <w:r w:rsidRPr="00EF137B"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  <w:t>Other Revenue</w:t>
            </w:r>
          </w:p>
        </w:tc>
        <w:tc>
          <w:tcPr>
            <w:tcW w:w="1373" w:type="dxa"/>
            <w:shd w:val="clear" w:color="auto" w:fill="FFFFFF"/>
          </w:tcPr>
          <w:p w:rsidR="00A03C99" w:rsidRPr="00EF137B" w:rsidRDefault="003A0CCC" w:rsidP="00A03C9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="00BF017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391" w:type="dxa"/>
            <w:shd w:val="clear" w:color="auto" w:fill="FFFFFF"/>
          </w:tcPr>
          <w:p w:rsidR="00A03C99" w:rsidRPr="00EF137B" w:rsidRDefault="00C305D4" w:rsidP="00C305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47F4B" w:rsidRPr="00EF137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376" w:type="dxa"/>
            <w:shd w:val="clear" w:color="auto" w:fill="FFFFFF"/>
          </w:tcPr>
          <w:p w:rsidR="00A03C99" w:rsidRPr="00EF137B" w:rsidRDefault="000F25B0" w:rsidP="00C305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0.04</w:t>
            </w:r>
            <w:r w:rsidR="00C305D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3" w:type="dxa"/>
            <w:shd w:val="clear" w:color="auto" w:fill="FFFFFF"/>
          </w:tcPr>
          <w:p w:rsidR="00A03C99" w:rsidRPr="00EF137B" w:rsidRDefault="000F25B0" w:rsidP="00FF4C7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0.05</w:t>
            </w:r>
            <w:r w:rsidR="00FF4C7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A03C99" w:rsidRPr="00EF137B" w:rsidTr="003A2E48">
        <w:trPr>
          <w:trHeight w:val="315"/>
        </w:trPr>
        <w:tc>
          <w:tcPr>
            <w:tcW w:w="3235" w:type="dxa"/>
            <w:noWrap/>
            <w:vAlign w:val="bottom"/>
          </w:tcPr>
          <w:p w:rsidR="00A03C99" w:rsidRPr="00EF137B" w:rsidRDefault="00A03C99" w:rsidP="00DD3D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373" w:type="dxa"/>
            <w:shd w:val="clear" w:color="auto" w:fill="FFFFFF"/>
          </w:tcPr>
          <w:p w:rsidR="00A03C99" w:rsidRPr="00EF137B" w:rsidRDefault="00747F4B" w:rsidP="00C305D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0.</w:t>
            </w:r>
            <w:r w:rsidR="00C30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73</w:t>
            </w:r>
            <w:r w:rsidR="00C700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1" w:type="dxa"/>
            <w:shd w:val="clear" w:color="auto" w:fill="FFFFFF"/>
          </w:tcPr>
          <w:p w:rsidR="00A03C99" w:rsidRPr="00EF137B" w:rsidRDefault="00747F4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 w:rsidR="00CF2483"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76" w:type="dxa"/>
            <w:shd w:val="clear" w:color="auto" w:fill="FFFFFF"/>
          </w:tcPr>
          <w:p w:rsidR="00A03C99" w:rsidRPr="00EF137B" w:rsidRDefault="00747F4B" w:rsidP="00C7007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0.</w:t>
            </w:r>
            <w:r w:rsidR="00C305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86</w:t>
            </w:r>
            <w:r w:rsidR="00C700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3" w:type="dxa"/>
            <w:shd w:val="clear" w:color="auto" w:fill="FFFFFF"/>
          </w:tcPr>
          <w:p w:rsidR="00A03C99" w:rsidRPr="00EF137B" w:rsidRDefault="00C305D4" w:rsidP="00FF4C7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0.9</w:t>
            </w:r>
            <w:r w:rsidR="00C700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F4C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</w:tbl>
    <w:p w:rsidR="007565F5" w:rsidRDefault="007565F5" w:rsidP="00015004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3A0CCC" w:rsidRPr="00B97C1B" w:rsidRDefault="00D1113C" w:rsidP="000150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1113C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>
            <wp:extent cx="5490210" cy="2657475"/>
            <wp:effectExtent l="19050" t="0" r="152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0CCC" w:rsidRPr="00A03C99" w:rsidRDefault="003A0CCC" w:rsidP="00015004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9A08C8" w:rsidRPr="00A150C2" w:rsidRDefault="009A08C8" w:rsidP="006506B6">
      <w:pPr>
        <w:pStyle w:val="Heading3"/>
        <w:jc w:val="both"/>
      </w:pPr>
      <w:r w:rsidRPr="00A150C2">
        <w:t>Comparison to Budget</w:t>
      </w:r>
      <w:r w:rsidR="008D5850">
        <w:t xml:space="preserve"> and 201</w:t>
      </w:r>
      <w:r w:rsidR="00CA66BE">
        <w:t>3</w:t>
      </w:r>
      <w:r w:rsidR="008D5850">
        <w:t>-1</w:t>
      </w:r>
      <w:r w:rsidR="00C305D4">
        <w:t>4</w:t>
      </w:r>
      <w:r w:rsidR="008D5850">
        <w:t xml:space="preserve"> </w:t>
      </w:r>
      <w:r w:rsidR="008D5850" w:rsidRPr="00A150C2">
        <w:t xml:space="preserve">Actual </w:t>
      </w:r>
      <w:r w:rsidR="006A516A">
        <w:t>Own Source Revenue</w:t>
      </w:r>
      <w:r w:rsidR="008D5850">
        <w:t xml:space="preserve"> </w:t>
      </w:r>
    </w:p>
    <w:p w:rsidR="008D5850" w:rsidRPr="00EF137B" w:rsidRDefault="009A08C8" w:rsidP="006506B6">
      <w:pPr>
        <w:pStyle w:val="Bodycopy"/>
        <w:jc w:val="both"/>
      </w:pPr>
      <w:r w:rsidRPr="00EF137B">
        <w:t xml:space="preserve">The </w:t>
      </w:r>
      <w:r w:rsidR="00E85F2B" w:rsidRPr="00EF137B">
        <w:t>Office</w:t>
      </w:r>
      <w:r w:rsidR="00015004" w:rsidRPr="00EF137B">
        <w:t xml:space="preserve">'s </w:t>
      </w:r>
      <w:r w:rsidR="008D5850" w:rsidRPr="00EF137B">
        <w:t xml:space="preserve">Actual </w:t>
      </w:r>
      <w:r w:rsidR="006A516A">
        <w:t>Own Source Revenue</w:t>
      </w:r>
      <w:r w:rsidRPr="00EF137B">
        <w:t xml:space="preserve"> </w:t>
      </w:r>
      <w:r w:rsidR="00015004" w:rsidRPr="00EF137B">
        <w:t>for 20</w:t>
      </w:r>
      <w:r w:rsidR="00BC3F2B" w:rsidRPr="00EF137B">
        <w:t>1</w:t>
      </w:r>
      <w:r w:rsidR="00A574BD">
        <w:t>3</w:t>
      </w:r>
      <w:r w:rsidR="00C643D0" w:rsidRPr="00EF137B">
        <w:t>-1</w:t>
      </w:r>
      <w:r w:rsidR="00A574BD">
        <w:t>4</w:t>
      </w:r>
      <w:r w:rsidR="00747F4B" w:rsidRPr="00EF137B">
        <w:t xml:space="preserve"> was</w:t>
      </w:r>
      <w:r w:rsidR="00AE0A35" w:rsidRPr="00EF137B">
        <w:t xml:space="preserve"> $0.1</w:t>
      </w:r>
      <w:r w:rsidR="00EF137B" w:rsidRPr="00EF137B">
        <w:t>3</w:t>
      </w:r>
      <w:r w:rsidR="00A63FA9">
        <w:t>0</w:t>
      </w:r>
      <w:r w:rsidR="00AE0A35" w:rsidRPr="00EF137B">
        <w:t>m</w:t>
      </w:r>
      <w:r w:rsidR="00747F4B" w:rsidRPr="00EF137B">
        <w:t xml:space="preserve"> less tha</w:t>
      </w:r>
      <w:r w:rsidR="00C91DE3">
        <w:t>n</w:t>
      </w:r>
      <w:r w:rsidR="00747F4B" w:rsidRPr="00EF137B">
        <w:t xml:space="preserve"> the </w:t>
      </w:r>
      <w:r w:rsidRPr="00EF137B">
        <w:t>budgeted amount</w:t>
      </w:r>
      <w:r w:rsidR="001A4C8B" w:rsidRPr="00EF137B">
        <w:t>.</w:t>
      </w:r>
      <w:r w:rsidR="00A40B0F" w:rsidRPr="00EF137B">
        <w:t xml:space="preserve"> </w:t>
      </w:r>
      <w:r w:rsidR="001A4C8B" w:rsidRPr="00EF137B">
        <w:t xml:space="preserve">This </w:t>
      </w:r>
      <w:r w:rsidR="001C09B7" w:rsidRPr="00EF137B">
        <w:t xml:space="preserve">was almost entirely due </w:t>
      </w:r>
      <w:r w:rsidR="00282E27">
        <w:t xml:space="preserve">to </w:t>
      </w:r>
      <w:r w:rsidR="008D5850" w:rsidRPr="00EF137B">
        <w:t>a lower</w:t>
      </w:r>
      <w:r w:rsidR="00AE0A35" w:rsidRPr="00EF137B">
        <w:t>-</w:t>
      </w:r>
      <w:r w:rsidR="008D5850" w:rsidRPr="00EF137B">
        <w:t>than</w:t>
      </w:r>
      <w:r w:rsidR="00AE0A35" w:rsidRPr="00EF137B">
        <w:t>-</w:t>
      </w:r>
      <w:r w:rsidR="008D5850" w:rsidRPr="00EF137B">
        <w:t xml:space="preserve">anticipated legislative drafting activity. </w:t>
      </w:r>
    </w:p>
    <w:p w:rsidR="008D5850" w:rsidRPr="00EF137B" w:rsidRDefault="008D5850" w:rsidP="006506B6">
      <w:pPr>
        <w:pStyle w:val="Bodycopy"/>
        <w:jc w:val="both"/>
      </w:pPr>
    </w:p>
    <w:p w:rsidR="0045474B" w:rsidRDefault="008D5850" w:rsidP="006506B6">
      <w:pPr>
        <w:pStyle w:val="Bodycopy"/>
        <w:jc w:val="both"/>
      </w:pPr>
      <w:r w:rsidRPr="00EF137B">
        <w:t xml:space="preserve">The </w:t>
      </w:r>
      <w:r w:rsidR="002D3D0E" w:rsidRPr="00EF137B">
        <w:t xml:space="preserve">reduction in </w:t>
      </w:r>
      <w:r w:rsidRPr="00EF137B">
        <w:t xml:space="preserve">Actual </w:t>
      </w:r>
      <w:r w:rsidR="006A516A">
        <w:t>Own Source Revenue</w:t>
      </w:r>
      <w:r w:rsidRPr="00EF137B">
        <w:t xml:space="preserve"> </w:t>
      </w:r>
      <w:r w:rsidR="002D3D0E" w:rsidRPr="00EF137B">
        <w:t>between</w:t>
      </w:r>
      <w:r w:rsidRPr="00EF137B">
        <w:t xml:space="preserve"> 201</w:t>
      </w:r>
      <w:r w:rsidR="00A63FA9">
        <w:t>2</w:t>
      </w:r>
      <w:r w:rsidRPr="00EF137B">
        <w:t>-1</w:t>
      </w:r>
      <w:r w:rsidR="00A63FA9">
        <w:t>3</w:t>
      </w:r>
      <w:r w:rsidRPr="00EF137B">
        <w:t xml:space="preserve"> and 201</w:t>
      </w:r>
      <w:r w:rsidR="00A63FA9">
        <w:t>3</w:t>
      </w:r>
      <w:r w:rsidRPr="00EF137B">
        <w:t>-1</w:t>
      </w:r>
      <w:r w:rsidR="00A63FA9">
        <w:t>4</w:t>
      </w:r>
      <w:r w:rsidRPr="00EF137B">
        <w:t xml:space="preserve"> </w:t>
      </w:r>
      <w:r w:rsidR="002D3D0E" w:rsidRPr="00EF137B">
        <w:t>($0.</w:t>
      </w:r>
      <w:r w:rsidR="00A63FA9">
        <w:t>1</w:t>
      </w:r>
      <w:r w:rsidR="00C70074">
        <w:t>8</w:t>
      </w:r>
      <w:r w:rsidR="00965179">
        <w:t>7</w:t>
      </w:r>
      <w:r w:rsidR="008F41FC" w:rsidRPr="00EF137B">
        <w:t>m)</w:t>
      </w:r>
      <w:r w:rsidR="002D3D0E" w:rsidRPr="00EF137B">
        <w:t xml:space="preserve"> </w:t>
      </w:r>
      <w:r w:rsidRPr="00EF137B">
        <w:t>is also related to a reduction in</w:t>
      </w:r>
      <w:r w:rsidR="00D1113C">
        <w:t xml:space="preserve"> both</w:t>
      </w:r>
      <w:r w:rsidRPr="00EF137B">
        <w:t xml:space="preserve"> legislative drafting</w:t>
      </w:r>
      <w:r w:rsidR="00A63FA9">
        <w:t xml:space="preserve"> and legal services</w:t>
      </w:r>
      <w:r w:rsidRPr="00EF137B">
        <w:t xml:space="preserve"> between the two reporting periods</w:t>
      </w:r>
      <w:r w:rsidR="00A63FA9">
        <w:t>.</w:t>
      </w:r>
    </w:p>
    <w:p w:rsidR="00F16F4C" w:rsidRDefault="00F16F4C">
      <w:pPr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sz w:val="28"/>
        </w:rPr>
        <w:br w:type="page"/>
      </w:r>
    </w:p>
    <w:p w:rsidR="002D0119" w:rsidRPr="00B41C86" w:rsidRDefault="00B41C86" w:rsidP="006506B6">
      <w:pPr>
        <w:pStyle w:val="Heading1"/>
        <w:jc w:val="both"/>
        <w:rPr>
          <w:sz w:val="28"/>
        </w:rPr>
      </w:pPr>
      <w:r>
        <w:rPr>
          <w:sz w:val="28"/>
        </w:rPr>
        <w:lastRenderedPageBreak/>
        <w:t xml:space="preserve">Controlled </w:t>
      </w:r>
      <w:r w:rsidR="002D0119" w:rsidRPr="00B41C86">
        <w:rPr>
          <w:sz w:val="28"/>
        </w:rPr>
        <w:t>Financial P</w:t>
      </w:r>
      <w:r w:rsidR="004A699A" w:rsidRPr="00B41C86">
        <w:rPr>
          <w:sz w:val="28"/>
        </w:rPr>
        <w:t>osition</w:t>
      </w:r>
    </w:p>
    <w:p w:rsidR="002D0119" w:rsidRPr="00EF137B" w:rsidRDefault="002D0119" w:rsidP="006506B6">
      <w:pPr>
        <w:pStyle w:val="Heading2"/>
        <w:jc w:val="both"/>
      </w:pPr>
      <w:r w:rsidRPr="00EF137B">
        <w:t>Total Assets</w:t>
      </w:r>
    </w:p>
    <w:p w:rsidR="004A699A" w:rsidRPr="00EF137B" w:rsidRDefault="002D0119" w:rsidP="006506B6">
      <w:pPr>
        <w:pStyle w:val="Bodycopy"/>
        <w:jc w:val="both"/>
      </w:pPr>
      <w:r w:rsidRPr="00EF137B">
        <w:t xml:space="preserve">The value of the </w:t>
      </w:r>
      <w:r w:rsidR="00E85F2B" w:rsidRPr="00EF137B">
        <w:t>Office</w:t>
      </w:r>
      <w:r w:rsidRPr="00EF137B">
        <w:t xml:space="preserve">'s Total </w:t>
      </w:r>
      <w:r w:rsidR="004A699A" w:rsidRPr="00EF137B">
        <w:t>A</w:t>
      </w:r>
      <w:r w:rsidRPr="00EF137B">
        <w:t>ssets at 30 June 20</w:t>
      </w:r>
      <w:r w:rsidR="00FF7252" w:rsidRPr="00EF137B">
        <w:t>1</w:t>
      </w:r>
      <w:r w:rsidR="00A63FA9">
        <w:t>4</w:t>
      </w:r>
      <w:r w:rsidRPr="00EF137B">
        <w:t xml:space="preserve"> was </w:t>
      </w:r>
      <w:r w:rsidR="004A699A" w:rsidRPr="00EF137B">
        <w:t>$</w:t>
      </w:r>
      <w:r w:rsidR="00A63FA9">
        <w:t>2</w:t>
      </w:r>
      <w:r w:rsidR="009A3A4D" w:rsidRPr="00EF137B">
        <w:t>.</w:t>
      </w:r>
      <w:r w:rsidR="00A63FA9">
        <w:t>96</w:t>
      </w:r>
      <w:r w:rsidR="00965179">
        <w:t>1</w:t>
      </w:r>
      <w:r w:rsidR="004A699A" w:rsidRPr="00EF137B">
        <w:t>m</w:t>
      </w:r>
      <w:r w:rsidR="00A40B0F" w:rsidRPr="00EF137B">
        <w:t>. T</w:t>
      </w:r>
      <w:r w:rsidR="00FA7E79" w:rsidRPr="00EF137B">
        <w:t>he composition and proportions of this total amount are shown in the following table and chart</w:t>
      </w:r>
      <w:r w:rsidR="00C91DE3">
        <w:t>.</w:t>
      </w:r>
    </w:p>
    <w:p w:rsidR="005B1EE3" w:rsidRPr="00EF137B" w:rsidRDefault="005B1EE3" w:rsidP="005B1EE3">
      <w:pPr>
        <w:pStyle w:val="Default"/>
        <w:ind w:firstLine="13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8789" w:type="dxa"/>
        <w:tblInd w:w="108" w:type="dxa"/>
        <w:tblLook w:val="00BF"/>
      </w:tblPr>
      <w:tblGrid>
        <w:gridCol w:w="5245"/>
        <w:gridCol w:w="3544"/>
      </w:tblGrid>
      <w:tr w:rsidR="005B1EE3" w:rsidRPr="00EF137B" w:rsidTr="00FF17FA">
        <w:tc>
          <w:tcPr>
            <w:tcW w:w="5245" w:type="dxa"/>
            <w:shd w:val="clear" w:color="auto" w:fill="8DB3E2" w:themeFill="text2" w:themeFillTint="66"/>
          </w:tcPr>
          <w:p w:rsidR="005B1EE3" w:rsidRPr="00EF137B" w:rsidRDefault="005B1EE3" w:rsidP="00DD3D3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Asset category</w:t>
            </w:r>
          </w:p>
        </w:tc>
        <w:tc>
          <w:tcPr>
            <w:tcW w:w="3544" w:type="dxa"/>
            <w:shd w:val="clear" w:color="auto" w:fill="8DB3E2" w:themeFill="text2" w:themeFillTint="66"/>
            <w:vAlign w:val="bottom"/>
          </w:tcPr>
          <w:p w:rsidR="005B1EE3" w:rsidRPr="00EF137B" w:rsidRDefault="005B1EE3" w:rsidP="00DD3D3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Value</w:t>
            </w:r>
          </w:p>
          <w:p w:rsidR="005B1EE3" w:rsidRPr="00EF137B" w:rsidRDefault="005B1EE3" w:rsidP="00DD3D3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</w:tr>
      <w:tr w:rsidR="005B1EE3" w:rsidRPr="00EF137B" w:rsidTr="000056B3">
        <w:tc>
          <w:tcPr>
            <w:tcW w:w="5245" w:type="dxa"/>
          </w:tcPr>
          <w:p w:rsidR="005B1EE3" w:rsidRPr="00EF137B" w:rsidRDefault="005B1EE3" w:rsidP="00DD3D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</w:t>
            </w:r>
          </w:p>
        </w:tc>
        <w:tc>
          <w:tcPr>
            <w:tcW w:w="3544" w:type="dxa"/>
            <w:vAlign w:val="bottom"/>
          </w:tcPr>
          <w:p w:rsidR="005B1EE3" w:rsidRPr="00EF137B" w:rsidRDefault="005B1EE3" w:rsidP="00DD3D3A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</w:p>
        </w:tc>
      </w:tr>
      <w:tr w:rsidR="007174FA" w:rsidRPr="00EF137B" w:rsidTr="000056B3">
        <w:tc>
          <w:tcPr>
            <w:tcW w:w="5245" w:type="dxa"/>
          </w:tcPr>
          <w:p w:rsidR="007174FA" w:rsidRPr="00EF137B" w:rsidRDefault="007174FA" w:rsidP="002B105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Cash and cash equivalents</w:t>
            </w:r>
          </w:p>
        </w:tc>
        <w:tc>
          <w:tcPr>
            <w:tcW w:w="3544" w:type="dxa"/>
            <w:vAlign w:val="bottom"/>
          </w:tcPr>
          <w:p w:rsidR="007174FA" w:rsidRPr="00EF137B" w:rsidRDefault="00F06037" w:rsidP="00A63F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="00A63FA9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7174FA" w:rsidRPr="00EF137B" w:rsidTr="000056B3">
        <w:tc>
          <w:tcPr>
            <w:tcW w:w="5245" w:type="dxa"/>
          </w:tcPr>
          <w:p w:rsidR="007174FA" w:rsidRPr="00EF137B" w:rsidRDefault="007174FA" w:rsidP="002B105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Receivables</w:t>
            </w:r>
          </w:p>
        </w:tc>
        <w:tc>
          <w:tcPr>
            <w:tcW w:w="3544" w:type="dxa"/>
            <w:vAlign w:val="bottom"/>
          </w:tcPr>
          <w:p w:rsidR="007174FA" w:rsidRPr="00EF137B" w:rsidRDefault="00F06037" w:rsidP="009320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="00A63FA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320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233DC" w:rsidRPr="00EF137B" w:rsidTr="000056B3">
        <w:tc>
          <w:tcPr>
            <w:tcW w:w="5245" w:type="dxa"/>
          </w:tcPr>
          <w:p w:rsidR="00E233DC" w:rsidRPr="00EF137B" w:rsidRDefault="00E233DC" w:rsidP="002B105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Investments</w:t>
            </w:r>
          </w:p>
        </w:tc>
        <w:tc>
          <w:tcPr>
            <w:tcW w:w="3544" w:type="dxa"/>
            <w:vAlign w:val="bottom"/>
          </w:tcPr>
          <w:p w:rsidR="00E233DC" w:rsidRPr="00EF137B" w:rsidRDefault="00A63FA9" w:rsidP="00A63FA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B450D" w:rsidRPr="00EF137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195</w:t>
            </w:r>
          </w:p>
        </w:tc>
      </w:tr>
      <w:tr w:rsidR="00805379" w:rsidRPr="00EF137B" w:rsidTr="000056B3">
        <w:tc>
          <w:tcPr>
            <w:tcW w:w="5245" w:type="dxa"/>
          </w:tcPr>
          <w:p w:rsidR="00805379" w:rsidRPr="00EF137B" w:rsidRDefault="00561CE3" w:rsidP="002B105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Asset</w:t>
            </w:r>
            <w:r w:rsidR="00805379"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3544" w:type="dxa"/>
            <w:vAlign w:val="bottom"/>
          </w:tcPr>
          <w:p w:rsidR="00805379" w:rsidRPr="00EF137B" w:rsidRDefault="00E03309" w:rsidP="00A63FA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Cs/>
                <w:sz w:val="22"/>
                <w:szCs w:val="22"/>
              </w:rPr>
              <w:t>0.00</w:t>
            </w:r>
            <w:r w:rsidR="00A63FA9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7174FA" w:rsidRPr="00EF137B" w:rsidTr="000056B3">
        <w:tc>
          <w:tcPr>
            <w:tcW w:w="5245" w:type="dxa"/>
          </w:tcPr>
          <w:p w:rsidR="007174FA" w:rsidRPr="00EF137B" w:rsidRDefault="007174FA" w:rsidP="00DD3D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Non-Current</w:t>
            </w:r>
          </w:p>
        </w:tc>
        <w:tc>
          <w:tcPr>
            <w:tcW w:w="3544" w:type="dxa"/>
            <w:vAlign w:val="bottom"/>
          </w:tcPr>
          <w:p w:rsidR="007174FA" w:rsidRPr="00EF137B" w:rsidRDefault="007174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4FA" w:rsidRPr="00EF137B" w:rsidTr="000056B3">
        <w:tc>
          <w:tcPr>
            <w:tcW w:w="5245" w:type="dxa"/>
          </w:tcPr>
          <w:p w:rsidR="007174FA" w:rsidRPr="00EF137B" w:rsidRDefault="007174FA" w:rsidP="002B105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Property, Plant and Equipment</w:t>
            </w:r>
          </w:p>
        </w:tc>
        <w:tc>
          <w:tcPr>
            <w:tcW w:w="3544" w:type="dxa"/>
            <w:vAlign w:val="bottom"/>
          </w:tcPr>
          <w:p w:rsidR="007174FA" w:rsidRPr="00EF137B" w:rsidRDefault="00E03309" w:rsidP="00A63F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A63FA9">
              <w:rPr>
                <w:rFonts w:asciiTheme="minorHAnsi" w:hAnsiTheme="minorHAnsi" w:cstheme="minorHAnsi"/>
                <w:sz w:val="22"/>
                <w:szCs w:val="22"/>
              </w:rPr>
              <w:t>636</w:t>
            </w:r>
          </w:p>
        </w:tc>
      </w:tr>
      <w:tr w:rsidR="003E7D5D" w:rsidRPr="00EF137B" w:rsidTr="000056B3">
        <w:tc>
          <w:tcPr>
            <w:tcW w:w="5245" w:type="dxa"/>
          </w:tcPr>
          <w:p w:rsidR="003E7D5D" w:rsidRPr="00EF137B" w:rsidRDefault="003E7D5D" w:rsidP="002B105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Intangible Assets</w:t>
            </w:r>
          </w:p>
        </w:tc>
        <w:tc>
          <w:tcPr>
            <w:tcW w:w="3544" w:type="dxa"/>
            <w:vAlign w:val="bottom"/>
          </w:tcPr>
          <w:p w:rsidR="003E7D5D" w:rsidRPr="00EF137B" w:rsidRDefault="003E7D5D" w:rsidP="00A63F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="00A63FA9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7174FA" w:rsidRPr="00EF137B" w:rsidTr="000056B3">
        <w:tc>
          <w:tcPr>
            <w:tcW w:w="5245" w:type="dxa"/>
          </w:tcPr>
          <w:p w:rsidR="007174FA" w:rsidRPr="00EF137B" w:rsidRDefault="007174FA" w:rsidP="00DD3D3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3544" w:type="dxa"/>
            <w:vAlign w:val="bottom"/>
          </w:tcPr>
          <w:p w:rsidR="007174FA" w:rsidRPr="00EF137B" w:rsidRDefault="00A63FA9" w:rsidP="009320E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2.96</w:t>
            </w:r>
            <w:r w:rsidR="009320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</w:tbl>
    <w:p w:rsidR="000056B3" w:rsidRPr="00EF137B" w:rsidRDefault="000056B3" w:rsidP="008053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05379" w:rsidRPr="00EF137B" w:rsidRDefault="009320EE" w:rsidP="008053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320EE">
        <w:rPr>
          <w:noProof/>
          <w:szCs w:val="22"/>
        </w:rPr>
        <w:drawing>
          <wp:inline distT="0" distB="0" distL="0" distR="0">
            <wp:extent cx="5490210" cy="343595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43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31" w:rsidRPr="00EF137B" w:rsidRDefault="00596931" w:rsidP="00BB0855">
      <w:pPr>
        <w:pStyle w:val="Default"/>
        <w:ind w:firstLine="13"/>
        <w:rPr>
          <w:rFonts w:asciiTheme="minorHAnsi" w:hAnsiTheme="minorHAnsi" w:cstheme="minorHAnsi"/>
          <w:color w:val="auto"/>
          <w:szCs w:val="23"/>
        </w:rPr>
      </w:pPr>
    </w:p>
    <w:p w:rsidR="00BE4CDA" w:rsidRPr="00EF137B" w:rsidRDefault="00FB51E4" w:rsidP="006506B6">
      <w:pPr>
        <w:pStyle w:val="Bodycopy"/>
        <w:jc w:val="both"/>
      </w:pPr>
      <w:r w:rsidRPr="00EF137B">
        <w:t xml:space="preserve">As the above </w:t>
      </w:r>
      <w:r w:rsidR="00CA66BE">
        <w:t>chart</w:t>
      </w:r>
      <w:r w:rsidRPr="00EF137B">
        <w:t xml:space="preserve"> </w:t>
      </w:r>
      <w:r w:rsidR="00CA66BE">
        <w:t>shows</w:t>
      </w:r>
      <w:r w:rsidR="00805379" w:rsidRPr="00EF137B">
        <w:t>, t</w:t>
      </w:r>
      <w:r w:rsidR="00E84480" w:rsidRPr="00EF137B">
        <w:t xml:space="preserve">he </w:t>
      </w:r>
      <w:r w:rsidR="00805379" w:rsidRPr="00EF137B">
        <w:t xml:space="preserve">two </w:t>
      </w:r>
      <w:r w:rsidR="00C91DE3">
        <w:t xml:space="preserve">main components of the Office’s </w:t>
      </w:r>
      <w:r w:rsidR="00805379" w:rsidRPr="00EF137B">
        <w:t>a</w:t>
      </w:r>
      <w:r w:rsidR="00224C74" w:rsidRPr="00EF137B">
        <w:t>ssets</w:t>
      </w:r>
      <w:r w:rsidR="0004296E" w:rsidRPr="00EF137B">
        <w:t xml:space="preserve"> </w:t>
      </w:r>
      <w:r w:rsidR="00805379" w:rsidRPr="00EF137B">
        <w:t xml:space="preserve">are </w:t>
      </w:r>
      <w:r w:rsidR="009A3A4D" w:rsidRPr="00EF137B">
        <w:t>P</w:t>
      </w:r>
      <w:r w:rsidR="0099686B" w:rsidRPr="00EF137B">
        <w:t>roperty</w:t>
      </w:r>
      <w:r w:rsidR="00805379" w:rsidRPr="00EF137B">
        <w:t>,</w:t>
      </w:r>
      <w:r w:rsidR="0099686B" w:rsidRPr="00EF137B">
        <w:t xml:space="preserve"> </w:t>
      </w:r>
      <w:r w:rsidR="009A3A4D" w:rsidRPr="00EF137B">
        <w:t>P</w:t>
      </w:r>
      <w:r w:rsidR="0099686B" w:rsidRPr="00EF137B">
        <w:t xml:space="preserve">lant and </w:t>
      </w:r>
      <w:r w:rsidR="009A3A4D" w:rsidRPr="00EF137B">
        <w:t>E</w:t>
      </w:r>
      <w:r w:rsidR="0099686B" w:rsidRPr="00EF137B">
        <w:t>quipment</w:t>
      </w:r>
      <w:r w:rsidR="00805379" w:rsidRPr="00EF137B">
        <w:t xml:space="preserve"> ($</w:t>
      </w:r>
      <w:r w:rsidR="00AB015F" w:rsidRPr="00EF137B">
        <w:t>1.</w:t>
      </w:r>
      <w:r w:rsidR="001F0B33">
        <w:t>636</w:t>
      </w:r>
      <w:r w:rsidR="00AB015F" w:rsidRPr="00EF137B">
        <w:t>m</w:t>
      </w:r>
      <w:r w:rsidR="00805379" w:rsidRPr="00EF137B">
        <w:t xml:space="preserve">, or </w:t>
      </w:r>
      <w:r w:rsidR="001F0B33">
        <w:t>5</w:t>
      </w:r>
      <w:r w:rsidR="00965179">
        <w:t>5</w:t>
      </w:r>
      <w:r w:rsidR="00AB015F" w:rsidRPr="00EF137B">
        <w:t xml:space="preserve"> per cent of Total Assets</w:t>
      </w:r>
      <w:r w:rsidR="00805379" w:rsidRPr="00EF137B">
        <w:t xml:space="preserve">) and </w:t>
      </w:r>
      <w:r w:rsidR="00C91DE3">
        <w:t>I</w:t>
      </w:r>
      <w:r w:rsidR="00E233DC" w:rsidRPr="00EF137B">
        <w:t>nvestments</w:t>
      </w:r>
      <w:r w:rsidR="00805379" w:rsidRPr="00EF137B">
        <w:t xml:space="preserve"> ($</w:t>
      </w:r>
      <w:r w:rsidR="006E6DBB">
        <w:t>1</w:t>
      </w:r>
      <w:r w:rsidR="00AB015F" w:rsidRPr="00EF137B">
        <w:t>.</w:t>
      </w:r>
      <w:r w:rsidR="006E6DBB">
        <w:t>195</w:t>
      </w:r>
      <w:r w:rsidR="00012670" w:rsidRPr="00EF137B">
        <w:t>m</w:t>
      </w:r>
      <w:r w:rsidR="00596427" w:rsidRPr="00EF137B">
        <w:t xml:space="preserve">, or </w:t>
      </w:r>
      <w:r w:rsidR="00965179">
        <w:br/>
      </w:r>
      <w:r w:rsidR="006E6DBB">
        <w:t>4</w:t>
      </w:r>
      <w:r w:rsidR="00965179">
        <w:t>0</w:t>
      </w:r>
      <w:r w:rsidR="00AB015F" w:rsidRPr="00EF137B">
        <w:t xml:space="preserve"> per cent of Total Assets</w:t>
      </w:r>
      <w:r w:rsidR="00596427" w:rsidRPr="00EF137B">
        <w:t>)</w:t>
      </w:r>
      <w:r w:rsidR="00857153" w:rsidRPr="00EF137B">
        <w:t>.</w:t>
      </w:r>
    </w:p>
    <w:p w:rsidR="00F16F4C" w:rsidRDefault="00F16F4C">
      <w:pPr>
        <w:rPr>
          <w:rFonts w:asciiTheme="minorHAnsi" w:eastAsiaTheme="majorEastAsia" w:hAnsiTheme="minorHAnsi" w:cstheme="majorBidi"/>
          <w:b/>
          <w:bCs/>
          <w:sz w:val="22"/>
          <w:u w:val="single"/>
        </w:rPr>
      </w:pPr>
      <w:r>
        <w:br w:type="page"/>
      </w:r>
    </w:p>
    <w:p w:rsidR="00596427" w:rsidRPr="00A150C2" w:rsidRDefault="00596427" w:rsidP="006506B6">
      <w:pPr>
        <w:pStyle w:val="Heading3"/>
        <w:jc w:val="both"/>
      </w:pPr>
      <w:r w:rsidRPr="00A150C2">
        <w:lastRenderedPageBreak/>
        <w:t xml:space="preserve">Property, Plant and Equipment </w:t>
      </w:r>
    </w:p>
    <w:p w:rsidR="005B1EE3" w:rsidRPr="00A150C2" w:rsidRDefault="005B1EE3" w:rsidP="006506B6">
      <w:pPr>
        <w:pStyle w:val="Bodycopy"/>
        <w:jc w:val="both"/>
      </w:pPr>
      <w:r w:rsidRPr="00A150C2">
        <w:t xml:space="preserve">The </w:t>
      </w:r>
      <w:r w:rsidR="00C91DE3">
        <w:t xml:space="preserve">total value </w:t>
      </w:r>
      <w:r w:rsidR="00FA7E79" w:rsidRPr="00A150C2">
        <w:t xml:space="preserve">and proportion of the </w:t>
      </w:r>
      <w:r w:rsidR="00C91DE3">
        <w:t>Office’s Property, Plant and Equipment</w:t>
      </w:r>
      <w:r w:rsidR="00857153" w:rsidRPr="00A150C2">
        <w:t xml:space="preserve"> </w:t>
      </w:r>
      <w:r w:rsidR="0004296E" w:rsidRPr="00A150C2">
        <w:t>at 30 June 201</w:t>
      </w:r>
      <w:r w:rsidR="006E6DBB">
        <w:t>4</w:t>
      </w:r>
      <w:r w:rsidR="0004296E" w:rsidRPr="00A150C2">
        <w:t xml:space="preserve"> </w:t>
      </w:r>
      <w:r w:rsidR="00857153" w:rsidRPr="00A150C2">
        <w:t xml:space="preserve">is </w:t>
      </w:r>
      <w:r w:rsidR="00685CC1" w:rsidRPr="00A150C2">
        <w:t>shown in the table and chart</w:t>
      </w:r>
      <w:r w:rsidR="00C95DB1">
        <w:t xml:space="preserve"> below. </w:t>
      </w:r>
    </w:p>
    <w:p w:rsidR="00596427" w:rsidRPr="00A150C2" w:rsidRDefault="00596427" w:rsidP="00596427">
      <w:pPr>
        <w:pStyle w:val="Default"/>
        <w:keepNext/>
        <w:keepLines/>
        <w:ind w:firstLine="13"/>
        <w:rPr>
          <w:rFonts w:asciiTheme="minorHAnsi" w:hAnsiTheme="minorHAnsi" w:cstheme="minorHAnsi"/>
          <w:sz w:val="22"/>
          <w:szCs w:val="22"/>
        </w:rPr>
      </w:pPr>
    </w:p>
    <w:tbl>
      <w:tblPr>
        <w:tblW w:w="8657" w:type="dxa"/>
        <w:tblInd w:w="98" w:type="dxa"/>
        <w:tblLayout w:type="fixed"/>
        <w:tblLook w:val="0000"/>
      </w:tblPr>
      <w:tblGrid>
        <w:gridCol w:w="1674"/>
        <w:gridCol w:w="1675"/>
        <w:gridCol w:w="1764"/>
        <w:gridCol w:w="1701"/>
        <w:gridCol w:w="1843"/>
      </w:tblGrid>
      <w:tr w:rsidR="00BE4CDA" w:rsidRPr="00814678" w:rsidTr="00A0603B">
        <w:trPr>
          <w:trHeight w:val="27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BE4CDA" w:rsidRPr="00814678" w:rsidRDefault="00326EEF" w:rsidP="00326E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BE4CDA" w:rsidRPr="00814678">
              <w:rPr>
                <w:rFonts w:asciiTheme="minorHAnsi" w:hAnsiTheme="minorHAnsi" w:cstheme="minorHAnsi"/>
                <w:b/>
              </w:rPr>
              <w:t xml:space="preserve">otor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="00BE4CDA" w:rsidRPr="00814678">
              <w:rPr>
                <w:rFonts w:asciiTheme="minorHAnsi" w:hAnsiTheme="minorHAnsi" w:cstheme="minorHAnsi"/>
                <w:b/>
              </w:rPr>
              <w:t>ehicles</w:t>
            </w:r>
            <w:r>
              <w:rPr>
                <w:rFonts w:asciiTheme="minorHAnsi" w:hAnsiTheme="minorHAnsi" w:cstheme="minorHAnsi"/>
                <w:b/>
              </w:rPr>
              <w:t xml:space="preserve"> under a Finance Lease</w:t>
            </w:r>
            <w:r w:rsidR="00C95DB1">
              <w:rPr>
                <w:rFonts w:asciiTheme="minorHAnsi" w:hAnsiTheme="minorHAnsi" w:cstheme="minorHAnsi"/>
                <w:b/>
              </w:rPr>
              <w:br/>
              <w:t>$m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BE4CDA" w:rsidRDefault="00BE4C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4678">
              <w:rPr>
                <w:rFonts w:asciiTheme="minorHAnsi" w:hAnsiTheme="minorHAnsi" w:cstheme="minorHAnsi"/>
                <w:b/>
              </w:rPr>
              <w:t>Equipment</w:t>
            </w:r>
          </w:p>
          <w:p w:rsidR="00C95DB1" w:rsidRPr="00814678" w:rsidRDefault="00C95D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BE4CDA" w:rsidRDefault="00BE4CDA" w:rsidP="000126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4678">
              <w:rPr>
                <w:rFonts w:asciiTheme="minorHAnsi" w:hAnsiTheme="minorHAnsi" w:cstheme="minorHAnsi"/>
                <w:b/>
              </w:rPr>
              <w:t>Furniture</w:t>
            </w:r>
            <w:r w:rsidR="00814678" w:rsidRPr="00814678">
              <w:rPr>
                <w:rFonts w:asciiTheme="minorHAnsi" w:hAnsiTheme="minorHAnsi" w:cstheme="minorHAnsi"/>
                <w:b/>
              </w:rPr>
              <w:t xml:space="preserve"> and </w:t>
            </w:r>
            <w:r w:rsidR="00326EEF">
              <w:rPr>
                <w:rFonts w:asciiTheme="minorHAnsi" w:hAnsiTheme="minorHAnsi" w:cstheme="minorHAnsi"/>
                <w:b/>
              </w:rPr>
              <w:t>F</w:t>
            </w:r>
            <w:r w:rsidR="00814678" w:rsidRPr="00814678">
              <w:rPr>
                <w:rFonts w:asciiTheme="minorHAnsi" w:hAnsiTheme="minorHAnsi" w:cstheme="minorHAnsi"/>
                <w:b/>
              </w:rPr>
              <w:t>ittings</w:t>
            </w:r>
          </w:p>
          <w:p w:rsidR="00C95DB1" w:rsidRPr="00814678" w:rsidRDefault="00C95DB1" w:rsidP="0001267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4CDA" w:rsidRDefault="00BE4CDA" w:rsidP="000126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4678">
              <w:rPr>
                <w:rFonts w:asciiTheme="minorHAnsi" w:hAnsiTheme="minorHAnsi" w:cstheme="minorHAnsi"/>
                <w:b/>
              </w:rPr>
              <w:t xml:space="preserve">Library </w:t>
            </w:r>
            <w:r w:rsidR="00326EEF">
              <w:rPr>
                <w:rFonts w:asciiTheme="minorHAnsi" w:hAnsiTheme="minorHAnsi" w:cstheme="minorHAnsi"/>
                <w:b/>
              </w:rPr>
              <w:t>C</w:t>
            </w:r>
            <w:r w:rsidRPr="00814678">
              <w:rPr>
                <w:rFonts w:asciiTheme="minorHAnsi" w:hAnsiTheme="minorHAnsi" w:cstheme="minorHAnsi"/>
                <w:b/>
              </w:rPr>
              <w:t>ollection</w:t>
            </w:r>
          </w:p>
          <w:p w:rsidR="00C95DB1" w:rsidRPr="00814678" w:rsidRDefault="00C95DB1" w:rsidP="0001267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4CDA" w:rsidRDefault="00BE4C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4678">
              <w:rPr>
                <w:rFonts w:asciiTheme="minorHAnsi" w:hAnsiTheme="minorHAnsi" w:cstheme="minorHAnsi"/>
                <w:b/>
              </w:rPr>
              <w:t>Artwork</w:t>
            </w:r>
            <w:r w:rsidR="006E6DBB">
              <w:rPr>
                <w:rFonts w:asciiTheme="minorHAnsi" w:hAnsiTheme="minorHAnsi" w:cstheme="minorHAnsi"/>
                <w:b/>
              </w:rPr>
              <w:t xml:space="preserve"> &amp; Other Collectables</w:t>
            </w:r>
          </w:p>
          <w:p w:rsidR="00C95DB1" w:rsidRPr="00814678" w:rsidRDefault="00C95D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$m</w:t>
            </w:r>
          </w:p>
        </w:tc>
      </w:tr>
      <w:tr w:rsidR="00C02B99" w:rsidRPr="00EF137B" w:rsidTr="00A0603B">
        <w:trPr>
          <w:trHeight w:val="27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B99" w:rsidRPr="00EF137B" w:rsidRDefault="00EF137B" w:rsidP="006E6DBB">
            <w:pPr>
              <w:jc w:val="center"/>
              <w:rPr>
                <w:rFonts w:asciiTheme="minorHAnsi" w:hAnsiTheme="minorHAnsi" w:cstheme="minorHAnsi"/>
              </w:rPr>
            </w:pPr>
            <w:r w:rsidRPr="00EF137B">
              <w:rPr>
                <w:rFonts w:asciiTheme="minorHAnsi" w:hAnsiTheme="minorHAnsi" w:cstheme="minorHAnsi"/>
              </w:rPr>
              <w:t>0.0</w:t>
            </w:r>
            <w:r w:rsidR="006E6DB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B99" w:rsidRPr="00EF137B" w:rsidRDefault="00C02B99" w:rsidP="006E6DBB">
            <w:pPr>
              <w:jc w:val="center"/>
              <w:rPr>
                <w:rFonts w:asciiTheme="minorHAnsi" w:hAnsiTheme="minorHAnsi" w:cstheme="minorHAnsi"/>
              </w:rPr>
            </w:pPr>
            <w:r w:rsidRPr="00EF137B">
              <w:rPr>
                <w:rFonts w:asciiTheme="minorHAnsi" w:hAnsiTheme="minorHAnsi" w:cstheme="minorHAnsi"/>
              </w:rPr>
              <w:t>0.</w:t>
            </w:r>
            <w:r w:rsidR="006E6DBB">
              <w:rPr>
                <w:rFonts w:asciiTheme="minorHAnsi" w:hAnsiTheme="minorHAnsi" w:cstheme="minorHAnsi"/>
              </w:rPr>
              <w:t>194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B99" w:rsidRPr="00EF137B" w:rsidRDefault="00C02B99" w:rsidP="006E6DBB">
            <w:pPr>
              <w:jc w:val="center"/>
              <w:rPr>
                <w:rFonts w:asciiTheme="minorHAnsi" w:hAnsiTheme="minorHAnsi" w:cstheme="minorHAnsi"/>
              </w:rPr>
            </w:pPr>
            <w:r w:rsidRPr="00EF137B">
              <w:rPr>
                <w:rFonts w:asciiTheme="minorHAnsi" w:hAnsiTheme="minorHAnsi" w:cstheme="minorHAnsi"/>
              </w:rPr>
              <w:t>0.</w:t>
            </w:r>
            <w:r w:rsidR="006E6DBB">
              <w:rPr>
                <w:rFonts w:asciiTheme="minorHAnsi" w:hAnsiTheme="minorHAnsi" w:cstheme="minorHAnsi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9" w:rsidRPr="00EF137B" w:rsidRDefault="00C02B99" w:rsidP="006E6DBB">
            <w:pPr>
              <w:jc w:val="center"/>
              <w:rPr>
                <w:rFonts w:asciiTheme="minorHAnsi" w:hAnsiTheme="minorHAnsi" w:cstheme="minorHAnsi"/>
              </w:rPr>
            </w:pPr>
            <w:r w:rsidRPr="00EF137B">
              <w:rPr>
                <w:rFonts w:asciiTheme="minorHAnsi" w:hAnsiTheme="minorHAnsi" w:cstheme="minorHAnsi"/>
              </w:rPr>
              <w:t>0.</w:t>
            </w:r>
            <w:r w:rsidR="006E6DBB">
              <w:rPr>
                <w:rFonts w:asciiTheme="minorHAnsi" w:hAnsiTheme="minorHAnsi" w:cstheme="minorHAnsi"/>
              </w:rPr>
              <w:t>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99" w:rsidRPr="00EF137B" w:rsidRDefault="00C02B99" w:rsidP="0040760A">
            <w:pPr>
              <w:jc w:val="center"/>
              <w:rPr>
                <w:rFonts w:asciiTheme="minorHAnsi" w:hAnsiTheme="minorHAnsi" w:cstheme="minorHAnsi"/>
              </w:rPr>
            </w:pPr>
            <w:r w:rsidRPr="00EF137B">
              <w:rPr>
                <w:rFonts w:asciiTheme="minorHAnsi" w:hAnsiTheme="minorHAnsi" w:cstheme="minorHAnsi"/>
              </w:rPr>
              <w:t>0.</w:t>
            </w:r>
            <w:r w:rsidR="006E6DBB">
              <w:rPr>
                <w:rFonts w:asciiTheme="minorHAnsi" w:hAnsiTheme="minorHAnsi" w:cstheme="minorHAnsi"/>
              </w:rPr>
              <w:t>60</w:t>
            </w:r>
            <w:r w:rsidR="009320EE">
              <w:rPr>
                <w:rFonts w:asciiTheme="minorHAnsi" w:hAnsiTheme="minorHAnsi" w:cstheme="minorHAnsi"/>
              </w:rPr>
              <w:t>5</w:t>
            </w:r>
          </w:p>
        </w:tc>
      </w:tr>
    </w:tbl>
    <w:p w:rsidR="00857153" w:rsidRPr="00A150C2" w:rsidRDefault="00857153" w:rsidP="008C044A">
      <w:pPr>
        <w:pStyle w:val="Default"/>
        <w:keepNext/>
        <w:keepLines/>
        <w:ind w:firstLine="13"/>
        <w:rPr>
          <w:rFonts w:asciiTheme="minorHAnsi" w:hAnsiTheme="minorHAnsi" w:cstheme="minorHAnsi"/>
          <w:sz w:val="22"/>
          <w:szCs w:val="22"/>
        </w:rPr>
      </w:pPr>
    </w:p>
    <w:p w:rsidR="00450B00" w:rsidRPr="006E6DBB" w:rsidRDefault="006E6DBB" w:rsidP="008C044A">
      <w:pPr>
        <w:pStyle w:val="Default"/>
        <w:keepNext/>
        <w:keepLines/>
        <w:ind w:firstLine="13"/>
        <w:rPr>
          <w:rFonts w:asciiTheme="minorHAnsi" w:hAnsiTheme="minorHAnsi" w:cstheme="minorHAnsi"/>
          <w:sz w:val="22"/>
          <w:szCs w:val="22"/>
        </w:rPr>
      </w:pPr>
      <w:r w:rsidRPr="006E6DBB">
        <w:rPr>
          <w:noProof/>
          <w:szCs w:val="22"/>
        </w:rPr>
        <w:drawing>
          <wp:inline distT="0" distB="0" distL="0" distR="0">
            <wp:extent cx="5455920" cy="3208020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27" w:rsidRPr="00A150C2" w:rsidRDefault="00596427" w:rsidP="006506B6">
      <w:pPr>
        <w:pStyle w:val="Heading3"/>
        <w:jc w:val="both"/>
        <w:rPr>
          <w:color w:val="000000"/>
          <w:lang w:eastAsia="en-AU"/>
        </w:rPr>
      </w:pPr>
      <w:r w:rsidRPr="00A150C2">
        <w:t>Cash</w:t>
      </w:r>
      <w:r w:rsidR="00282E27">
        <w:t>,</w:t>
      </w:r>
      <w:r w:rsidRPr="00A150C2">
        <w:t xml:space="preserve"> Cash Equivalents</w:t>
      </w:r>
      <w:r w:rsidR="00986265" w:rsidRPr="00A150C2">
        <w:t xml:space="preserve"> and Investments</w:t>
      </w:r>
    </w:p>
    <w:p w:rsidR="00596427" w:rsidRPr="00A150C2" w:rsidRDefault="00596427" w:rsidP="006506B6">
      <w:pPr>
        <w:pStyle w:val="Bodycopy"/>
        <w:jc w:val="both"/>
      </w:pPr>
      <w:r w:rsidRPr="00A150C2">
        <w:t xml:space="preserve">The </w:t>
      </w:r>
      <w:r w:rsidR="00C91DE3">
        <w:t xml:space="preserve">total value and </w:t>
      </w:r>
      <w:r w:rsidRPr="00A150C2">
        <w:t xml:space="preserve">proportion of the </w:t>
      </w:r>
      <w:r w:rsidR="00C91DE3">
        <w:t>Office’s Cash, Cash Equivalents</w:t>
      </w:r>
      <w:r w:rsidR="00282E27">
        <w:t>,</w:t>
      </w:r>
      <w:r w:rsidR="00C91DE3">
        <w:t xml:space="preserve"> and Investments </w:t>
      </w:r>
      <w:r w:rsidRPr="00A150C2">
        <w:t xml:space="preserve">at </w:t>
      </w:r>
      <w:r w:rsidR="00282E27">
        <w:br/>
      </w:r>
      <w:r w:rsidRPr="00A150C2">
        <w:t>30 June 201</w:t>
      </w:r>
      <w:r w:rsidR="006E6DBB">
        <w:t>4</w:t>
      </w:r>
      <w:r w:rsidRPr="00A150C2">
        <w:t xml:space="preserve"> is shown in the following table and chart</w:t>
      </w:r>
      <w:r w:rsidR="00C91DE3">
        <w:t>.</w:t>
      </w:r>
    </w:p>
    <w:p w:rsidR="00596427" w:rsidRPr="00A150C2" w:rsidRDefault="00596427" w:rsidP="00596427">
      <w:pPr>
        <w:pStyle w:val="Default"/>
        <w:ind w:firstLine="13"/>
        <w:rPr>
          <w:rFonts w:asciiTheme="minorHAnsi" w:hAnsiTheme="minorHAnsi" w:cstheme="minorHAnsi"/>
          <w:sz w:val="22"/>
          <w:szCs w:val="22"/>
        </w:rPr>
      </w:pPr>
    </w:p>
    <w:tbl>
      <w:tblPr>
        <w:tblW w:w="8374" w:type="dxa"/>
        <w:tblInd w:w="98" w:type="dxa"/>
        <w:tblLook w:val="04A0"/>
      </w:tblPr>
      <w:tblGrid>
        <w:gridCol w:w="4121"/>
        <w:gridCol w:w="4253"/>
      </w:tblGrid>
      <w:tr w:rsidR="0040760A" w:rsidRPr="00C06689" w:rsidTr="00FF17FA">
        <w:trPr>
          <w:trHeight w:val="284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0760A" w:rsidRPr="00C06689" w:rsidRDefault="0040760A" w:rsidP="009862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Cash at Bank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Cash on Hand</w:t>
            </w:r>
          </w:p>
          <w:p w:rsidR="0040760A" w:rsidRPr="00C06689" w:rsidRDefault="0040760A" w:rsidP="009862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40760A" w:rsidRPr="00C06689" w:rsidRDefault="0040760A" w:rsidP="009862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Investments</w:t>
            </w:r>
          </w:p>
          <w:p w:rsidR="0040760A" w:rsidRPr="00C06689" w:rsidRDefault="0040760A" w:rsidP="009862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</w:tr>
      <w:tr w:rsidR="0040760A" w:rsidRPr="005663A2" w:rsidTr="0040760A">
        <w:trPr>
          <w:trHeight w:val="28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60A" w:rsidRPr="005663A2" w:rsidRDefault="0040760A" w:rsidP="006E6DBB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5663A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0.</w:t>
            </w:r>
            <w:r w:rsidR="003E7D5D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0</w:t>
            </w:r>
            <w:r w:rsidR="006E6DB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760A" w:rsidRPr="005663A2" w:rsidRDefault="006E6DBB" w:rsidP="006E6DBB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</w:t>
            </w:r>
            <w:r w:rsidR="0040760A" w:rsidRPr="005663A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95</w:t>
            </w:r>
          </w:p>
        </w:tc>
      </w:tr>
    </w:tbl>
    <w:p w:rsidR="00E233DC" w:rsidRPr="00A150C2" w:rsidRDefault="00E233DC" w:rsidP="00596427">
      <w:pPr>
        <w:pStyle w:val="Default"/>
        <w:ind w:firstLine="13"/>
        <w:rPr>
          <w:rFonts w:asciiTheme="minorHAnsi" w:hAnsiTheme="minorHAnsi" w:cstheme="minorHAnsi"/>
          <w:sz w:val="22"/>
          <w:szCs w:val="22"/>
        </w:rPr>
      </w:pPr>
    </w:p>
    <w:p w:rsidR="005663A2" w:rsidRPr="00EF137B" w:rsidRDefault="00CA66BE" w:rsidP="003E7D5D">
      <w:r w:rsidRPr="00CA66BE">
        <w:rPr>
          <w:noProof/>
          <w:lang w:eastAsia="en-AU"/>
        </w:rPr>
        <w:drawing>
          <wp:inline distT="0" distB="0" distL="0" distR="0">
            <wp:extent cx="5299710" cy="2543175"/>
            <wp:effectExtent l="19050" t="0" r="1524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6DBB" w:rsidRDefault="006E6DBB" w:rsidP="00012670">
      <w:pPr>
        <w:pStyle w:val="Heading3"/>
      </w:pPr>
    </w:p>
    <w:p w:rsidR="001A4C8B" w:rsidRPr="00A150C2" w:rsidRDefault="001A4C8B" w:rsidP="006506B6">
      <w:pPr>
        <w:pStyle w:val="Heading3"/>
        <w:jc w:val="both"/>
      </w:pPr>
      <w:r w:rsidRPr="00A150C2">
        <w:t xml:space="preserve">Comparison to </w:t>
      </w:r>
      <w:r w:rsidR="00012670">
        <w:t>B</w:t>
      </w:r>
      <w:r w:rsidRPr="00A150C2">
        <w:t>udget</w:t>
      </w:r>
    </w:p>
    <w:p w:rsidR="009E6309" w:rsidRPr="00A150C2" w:rsidRDefault="009E6309" w:rsidP="006506B6">
      <w:pPr>
        <w:pStyle w:val="Bodycopy"/>
        <w:jc w:val="both"/>
      </w:pPr>
      <w:r w:rsidRPr="00A150C2">
        <w:t>The following table</w:t>
      </w:r>
      <w:r w:rsidR="009C1636">
        <w:t xml:space="preserve"> and chart</w:t>
      </w:r>
      <w:r w:rsidRPr="00A150C2">
        <w:t xml:space="preserve"> show the </w:t>
      </w:r>
      <w:r w:rsidR="004543C3" w:rsidRPr="00A150C2">
        <w:t>composition</w:t>
      </w:r>
      <w:r w:rsidR="009C1636">
        <w:t xml:space="preserve"> and proportion</w:t>
      </w:r>
      <w:r w:rsidR="004543C3" w:rsidRPr="00A150C2">
        <w:t xml:space="preserve"> </w:t>
      </w:r>
      <w:r w:rsidR="009C1636">
        <w:t>o</w:t>
      </w:r>
      <w:r w:rsidR="004543C3" w:rsidRPr="00A150C2">
        <w:t xml:space="preserve">f the </w:t>
      </w:r>
      <w:r w:rsidR="00E85F2B">
        <w:t>Office</w:t>
      </w:r>
      <w:r w:rsidRPr="00A150C2">
        <w:t xml:space="preserve">’s Total Asset position </w:t>
      </w:r>
      <w:r w:rsidR="00A40B0F">
        <w:t>as at 30 June </w:t>
      </w:r>
      <w:r w:rsidR="004543C3" w:rsidRPr="00A150C2">
        <w:t>20</w:t>
      </w:r>
      <w:r w:rsidR="00D64D2A" w:rsidRPr="00A150C2">
        <w:t>1</w:t>
      </w:r>
      <w:r w:rsidR="006E6DBB">
        <w:t>4</w:t>
      </w:r>
      <w:r w:rsidRPr="00A150C2">
        <w:t xml:space="preserve"> compared to </w:t>
      </w:r>
      <w:r w:rsidR="00A40B0F">
        <w:t xml:space="preserve">the </w:t>
      </w:r>
      <w:r w:rsidR="00596427" w:rsidRPr="00A150C2">
        <w:t>201</w:t>
      </w:r>
      <w:r w:rsidR="006E6DBB">
        <w:t>3</w:t>
      </w:r>
      <w:r w:rsidR="00DB4B91">
        <w:t>-1</w:t>
      </w:r>
      <w:r w:rsidR="006E6DBB">
        <w:t>4</w:t>
      </w:r>
      <w:r w:rsidR="00FA7E79" w:rsidRPr="00A150C2">
        <w:t xml:space="preserve"> </w:t>
      </w:r>
      <w:r w:rsidR="00C60A04">
        <w:t>B</w:t>
      </w:r>
      <w:r w:rsidRPr="00A150C2">
        <w:t xml:space="preserve">udget </w:t>
      </w:r>
      <w:r w:rsidR="004543C3" w:rsidRPr="00A150C2">
        <w:t>and as at 30 June 20</w:t>
      </w:r>
      <w:r w:rsidR="00596427" w:rsidRPr="00A150C2">
        <w:t>1</w:t>
      </w:r>
      <w:r w:rsidR="006E6DBB">
        <w:t>3</w:t>
      </w:r>
      <w:r w:rsidR="00AA0A27">
        <w:t>.</w:t>
      </w:r>
    </w:p>
    <w:p w:rsidR="009E6309" w:rsidRPr="00A150C2" w:rsidRDefault="009E6309" w:rsidP="009E6309">
      <w:pPr>
        <w:pStyle w:val="Default"/>
        <w:ind w:firstLine="1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643" w:type="dxa"/>
        <w:tblInd w:w="108" w:type="dxa"/>
        <w:tblLook w:val="00BF"/>
      </w:tblPr>
      <w:tblGrid>
        <w:gridCol w:w="3238"/>
        <w:gridCol w:w="1801"/>
        <w:gridCol w:w="1803"/>
        <w:gridCol w:w="1801"/>
      </w:tblGrid>
      <w:tr w:rsidR="003F5C87" w:rsidRPr="00563138" w:rsidTr="00FF17FA">
        <w:tc>
          <w:tcPr>
            <w:tcW w:w="3238" w:type="dxa"/>
            <w:shd w:val="clear" w:color="auto" w:fill="8DB3E2" w:themeFill="text2" w:themeFillTint="66"/>
          </w:tcPr>
          <w:p w:rsidR="003F5C87" w:rsidRPr="00563138" w:rsidRDefault="003F5C87" w:rsidP="00973D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138">
              <w:rPr>
                <w:rFonts w:asciiTheme="minorHAnsi" w:hAnsiTheme="minorHAnsi" w:cstheme="minorHAnsi"/>
                <w:b/>
                <w:sz w:val="22"/>
                <w:szCs w:val="22"/>
              </w:rPr>
              <w:t>Asset category</w:t>
            </w:r>
          </w:p>
        </w:tc>
        <w:tc>
          <w:tcPr>
            <w:tcW w:w="1801" w:type="dxa"/>
            <w:shd w:val="clear" w:color="auto" w:fill="8DB3E2" w:themeFill="text2" w:themeFillTint="66"/>
            <w:vAlign w:val="bottom"/>
          </w:tcPr>
          <w:p w:rsidR="00726103" w:rsidRPr="00563138" w:rsidRDefault="00726103" w:rsidP="00973DD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Actual</w:t>
            </w:r>
          </w:p>
          <w:p w:rsidR="003F5C87" w:rsidRPr="00563138" w:rsidRDefault="00DB4B91" w:rsidP="00973DD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30 June 201</w:t>
            </w:r>
            <w:r w:rsidR="00CC05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4</w:t>
            </w:r>
          </w:p>
          <w:p w:rsidR="003F5C87" w:rsidRPr="00563138" w:rsidRDefault="003F5C87" w:rsidP="00973DD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  <w:tc>
          <w:tcPr>
            <w:tcW w:w="1803" w:type="dxa"/>
            <w:shd w:val="clear" w:color="auto" w:fill="8DB3E2" w:themeFill="text2" w:themeFillTint="66"/>
          </w:tcPr>
          <w:p w:rsidR="00726103" w:rsidRPr="00563138" w:rsidRDefault="00726103" w:rsidP="00973DD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Original Budget</w:t>
            </w:r>
          </w:p>
          <w:p w:rsidR="003F5C87" w:rsidRPr="00563138" w:rsidRDefault="00726103" w:rsidP="00973DD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30 June 2</w:t>
            </w:r>
            <w:r w:rsidR="00DB4B91"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01</w:t>
            </w:r>
            <w:r w:rsidR="00CC05F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4</w:t>
            </w:r>
          </w:p>
          <w:p w:rsidR="003F5C87" w:rsidRPr="00563138" w:rsidRDefault="003F5C87" w:rsidP="00973DD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  <w:tc>
          <w:tcPr>
            <w:tcW w:w="1801" w:type="dxa"/>
            <w:shd w:val="clear" w:color="auto" w:fill="8DB3E2" w:themeFill="text2" w:themeFillTint="66"/>
            <w:vAlign w:val="bottom"/>
          </w:tcPr>
          <w:p w:rsidR="00726103" w:rsidRPr="00563138" w:rsidRDefault="00726103" w:rsidP="003F5C8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Actual </w:t>
            </w:r>
          </w:p>
          <w:p w:rsidR="003F5C87" w:rsidRPr="00563138" w:rsidRDefault="00DB4B91" w:rsidP="003F5C8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30 June 201</w:t>
            </w:r>
            <w:r w:rsidR="006E6DB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3</w:t>
            </w:r>
          </w:p>
          <w:p w:rsidR="003F5C87" w:rsidRPr="00563138" w:rsidRDefault="003F5C87" w:rsidP="003F5C8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56313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</w:tr>
      <w:tr w:rsidR="003F5C87" w:rsidRPr="009C1636" w:rsidTr="00F04F54">
        <w:trPr>
          <w:trHeight w:val="227"/>
        </w:trPr>
        <w:tc>
          <w:tcPr>
            <w:tcW w:w="3238" w:type="dxa"/>
          </w:tcPr>
          <w:p w:rsidR="003F5C87" w:rsidRPr="009C1636" w:rsidRDefault="003F5C87" w:rsidP="00973DD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1636">
              <w:rPr>
                <w:rFonts w:asciiTheme="minorHAnsi" w:hAnsiTheme="minorHAnsi" w:cstheme="minorHAnsi"/>
                <w:b/>
                <w:sz w:val="22"/>
                <w:szCs w:val="22"/>
              </w:rPr>
              <w:t>Current</w:t>
            </w:r>
          </w:p>
        </w:tc>
        <w:tc>
          <w:tcPr>
            <w:tcW w:w="1801" w:type="dxa"/>
            <w:vAlign w:val="bottom"/>
          </w:tcPr>
          <w:p w:rsidR="003F5C87" w:rsidRPr="009C1636" w:rsidRDefault="003F5C87" w:rsidP="00973DD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803" w:type="dxa"/>
          </w:tcPr>
          <w:p w:rsidR="003F5C87" w:rsidRPr="009C1636" w:rsidRDefault="003F5C87" w:rsidP="00973DD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801" w:type="dxa"/>
            <w:vAlign w:val="bottom"/>
          </w:tcPr>
          <w:p w:rsidR="003F5C87" w:rsidRPr="009C1636" w:rsidRDefault="003F5C87" w:rsidP="003F5C8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</w:p>
        </w:tc>
      </w:tr>
      <w:tr w:rsidR="006E6DBB" w:rsidRPr="002C4015" w:rsidTr="00F04F54">
        <w:trPr>
          <w:trHeight w:val="227"/>
        </w:trPr>
        <w:tc>
          <w:tcPr>
            <w:tcW w:w="3238" w:type="dxa"/>
          </w:tcPr>
          <w:p w:rsidR="006E6DBB" w:rsidRPr="002C4015" w:rsidRDefault="006E6DBB" w:rsidP="000126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 Cash and Cash Equivalents</w:t>
            </w:r>
          </w:p>
        </w:tc>
        <w:tc>
          <w:tcPr>
            <w:tcW w:w="1801" w:type="dxa"/>
            <w:vAlign w:val="bottom"/>
          </w:tcPr>
          <w:p w:rsidR="006E6DBB" w:rsidRPr="002C4015" w:rsidRDefault="00CC05F9" w:rsidP="00DB4B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1803" w:type="dxa"/>
          </w:tcPr>
          <w:p w:rsidR="006E6DBB" w:rsidRPr="002C4015" w:rsidRDefault="00CC05F9" w:rsidP="00DB4B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0.062</w:t>
            </w:r>
          </w:p>
        </w:tc>
        <w:tc>
          <w:tcPr>
            <w:tcW w:w="1801" w:type="dxa"/>
            <w:vAlign w:val="bottom"/>
          </w:tcPr>
          <w:p w:rsidR="006E6DBB" w:rsidRPr="002C4015" w:rsidRDefault="006E6DBB" w:rsidP="006E6D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</w:rPr>
              <w:t>0.051</w:t>
            </w:r>
          </w:p>
        </w:tc>
      </w:tr>
      <w:tr w:rsidR="006E6DBB" w:rsidRPr="002C4015" w:rsidTr="00F04F54">
        <w:trPr>
          <w:trHeight w:val="227"/>
        </w:trPr>
        <w:tc>
          <w:tcPr>
            <w:tcW w:w="3238" w:type="dxa"/>
          </w:tcPr>
          <w:p w:rsidR="006E6DBB" w:rsidRPr="002C4015" w:rsidRDefault="006E6DBB" w:rsidP="00726103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 Receivables</w:t>
            </w:r>
          </w:p>
        </w:tc>
        <w:tc>
          <w:tcPr>
            <w:tcW w:w="1801" w:type="dxa"/>
            <w:vAlign w:val="bottom"/>
          </w:tcPr>
          <w:p w:rsidR="006E6DBB" w:rsidRPr="002C4015" w:rsidRDefault="00CC05F9" w:rsidP="009320E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0.04</w:t>
            </w:r>
            <w:r w:rsidR="009320E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803" w:type="dxa"/>
          </w:tcPr>
          <w:p w:rsidR="006E6DBB" w:rsidRPr="002C4015" w:rsidRDefault="00CC05F9" w:rsidP="00DB4B9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0.064</w:t>
            </w:r>
          </w:p>
        </w:tc>
        <w:tc>
          <w:tcPr>
            <w:tcW w:w="1801" w:type="dxa"/>
            <w:vAlign w:val="bottom"/>
          </w:tcPr>
          <w:p w:rsidR="006E6DBB" w:rsidRPr="002C4015" w:rsidRDefault="006E6DBB" w:rsidP="006E6DB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0.061</w:t>
            </w:r>
          </w:p>
        </w:tc>
      </w:tr>
      <w:tr w:rsidR="006E6DBB" w:rsidRPr="002C4015" w:rsidTr="00F04F54">
        <w:trPr>
          <w:trHeight w:val="227"/>
        </w:trPr>
        <w:tc>
          <w:tcPr>
            <w:tcW w:w="3238" w:type="dxa"/>
          </w:tcPr>
          <w:p w:rsidR="006E6DBB" w:rsidRPr="002C4015" w:rsidRDefault="006E6DBB" w:rsidP="005607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 Investments</w:t>
            </w:r>
          </w:p>
        </w:tc>
        <w:tc>
          <w:tcPr>
            <w:tcW w:w="1801" w:type="dxa"/>
            <w:vAlign w:val="bottom"/>
          </w:tcPr>
          <w:p w:rsidR="006E6DBB" w:rsidRPr="002C4015" w:rsidRDefault="00CC05F9" w:rsidP="00DB4B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1.195</w:t>
            </w:r>
          </w:p>
        </w:tc>
        <w:tc>
          <w:tcPr>
            <w:tcW w:w="1803" w:type="dxa"/>
          </w:tcPr>
          <w:p w:rsidR="006E6DBB" w:rsidRPr="002C4015" w:rsidRDefault="00CC05F9" w:rsidP="005607C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0.510</w:t>
            </w:r>
          </w:p>
        </w:tc>
        <w:tc>
          <w:tcPr>
            <w:tcW w:w="1801" w:type="dxa"/>
            <w:vAlign w:val="bottom"/>
          </w:tcPr>
          <w:p w:rsidR="006E6DBB" w:rsidRPr="002C4015" w:rsidRDefault="006E6DBB" w:rsidP="006E6D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</w:rPr>
              <w:t>0.701</w:t>
            </w:r>
          </w:p>
        </w:tc>
      </w:tr>
      <w:tr w:rsidR="006E6DBB" w:rsidRPr="002C4015" w:rsidTr="00F04F54">
        <w:trPr>
          <w:trHeight w:val="227"/>
        </w:trPr>
        <w:tc>
          <w:tcPr>
            <w:tcW w:w="3238" w:type="dxa"/>
          </w:tcPr>
          <w:p w:rsidR="006E6DBB" w:rsidRPr="002C4015" w:rsidRDefault="006E6DBB" w:rsidP="00DB4B9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 Other Assets</w:t>
            </w:r>
          </w:p>
        </w:tc>
        <w:tc>
          <w:tcPr>
            <w:tcW w:w="1801" w:type="dxa"/>
            <w:vAlign w:val="bottom"/>
          </w:tcPr>
          <w:p w:rsidR="006E6DBB" w:rsidRPr="002C4015" w:rsidRDefault="00CC05F9" w:rsidP="00DB4B9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  <w:tc>
          <w:tcPr>
            <w:tcW w:w="1803" w:type="dxa"/>
          </w:tcPr>
          <w:p w:rsidR="006E6DBB" w:rsidRPr="002C4015" w:rsidRDefault="00CC05F9" w:rsidP="009C16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01" w:type="dxa"/>
            <w:vAlign w:val="bottom"/>
          </w:tcPr>
          <w:p w:rsidR="006E6DBB" w:rsidRPr="002C4015" w:rsidRDefault="006E6DBB" w:rsidP="006E6D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</w:tr>
      <w:tr w:rsidR="006E6DBB" w:rsidRPr="002C4015" w:rsidTr="00F04F54">
        <w:trPr>
          <w:trHeight w:val="227"/>
        </w:trPr>
        <w:tc>
          <w:tcPr>
            <w:tcW w:w="3238" w:type="dxa"/>
          </w:tcPr>
          <w:p w:rsidR="006E6DBB" w:rsidRPr="002C4015" w:rsidRDefault="006E6DBB" w:rsidP="00973DD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Non-Current</w:t>
            </w:r>
          </w:p>
        </w:tc>
        <w:tc>
          <w:tcPr>
            <w:tcW w:w="1801" w:type="dxa"/>
            <w:vAlign w:val="bottom"/>
          </w:tcPr>
          <w:p w:rsidR="006E6DBB" w:rsidRPr="002C4015" w:rsidRDefault="006E6DBB" w:rsidP="00973DD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803" w:type="dxa"/>
          </w:tcPr>
          <w:p w:rsidR="006E6DBB" w:rsidRPr="002C4015" w:rsidRDefault="006E6DBB" w:rsidP="00973DD4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801" w:type="dxa"/>
            <w:vAlign w:val="bottom"/>
          </w:tcPr>
          <w:p w:rsidR="006E6DBB" w:rsidRPr="002C4015" w:rsidRDefault="006E6DBB" w:rsidP="006E6DB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</w:p>
        </w:tc>
      </w:tr>
      <w:tr w:rsidR="006E6DBB" w:rsidRPr="002C4015" w:rsidTr="00F04F54">
        <w:trPr>
          <w:trHeight w:val="227"/>
        </w:trPr>
        <w:tc>
          <w:tcPr>
            <w:tcW w:w="3238" w:type="dxa"/>
          </w:tcPr>
          <w:p w:rsidR="006E6DBB" w:rsidRPr="002C4015" w:rsidRDefault="006E6DBB" w:rsidP="00973D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 Property, Plant and Equipment</w:t>
            </w:r>
          </w:p>
        </w:tc>
        <w:tc>
          <w:tcPr>
            <w:tcW w:w="1801" w:type="dxa"/>
            <w:vAlign w:val="bottom"/>
          </w:tcPr>
          <w:p w:rsidR="006E6DBB" w:rsidRPr="002C4015" w:rsidRDefault="00CC05F9" w:rsidP="0040760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1.636</w:t>
            </w:r>
          </w:p>
        </w:tc>
        <w:tc>
          <w:tcPr>
            <w:tcW w:w="1803" w:type="dxa"/>
          </w:tcPr>
          <w:p w:rsidR="006E6DBB" w:rsidRPr="002C4015" w:rsidRDefault="00CC05F9" w:rsidP="002C40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1.365</w:t>
            </w:r>
          </w:p>
        </w:tc>
        <w:tc>
          <w:tcPr>
            <w:tcW w:w="1801" w:type="dxa"/>
            <w:vAlign w:val="bottom"/>
          </w:tcPr>
          <w:p w:rsidR="006E6DBB" w:rsidRPr="002C4015" w:rsidRDefault="006E6DBB" w:rsidP="006E6D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407</w:t>
            </w:r>
          </w:p>
        </w:tc>
      </w:tr>
      <w:tr w:rsidR="00965179" w:rsidRPr="002C4015" w:rsidTr="00F04F54">
        <w:trPr>
          <w:trHeight w:val="227"/>
        </w:trPr>
        <w:tc>
          <w:tcPr>
            <w:tcW w:w="3238" w:type="dxa"/>
          </w:tcPr>
          <w:p w:rsidR="00965179" w:rsidRPr="002C4015" w:rsidRDefault="00965179" w:rsidP="009651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Intangible Assets</w:t>
            </w:r>
          </w:p>
        </w:tc>
        <w:tc>
          <w:tcPr>
            <w:tcW w:w="1801" w:type="dxa"/>
            <w:vAlign w:val="bottom"/>
          </w:tcPr>
          <w:p w:rsidR="00965179" w:rsidRPr="002C4015" w:rsidRDefault="00965179" w:rsidP="0040760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0.052</w:t>
            </w:r>
          </w:p>
        </w:tc>
        <w:tc>
          <w:tcPr>
            <w:tcW w:w="1803" w:type="dxa"/>
          </w:tcPr>
          <w:p w:rsidR="00965179" w:rsidRPr="002C4015" w:rsidRDefault="00965179" w:rsidP="002C40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01" w:type="dxa"/>
            <w:vAlign w:val="bottom"/>
          </w:tcPr>
          <w:p w:rsidR="00965179" w:rsidRPr="002C4015" w:rsidRDefault="00965179" w:rsidP="006E6D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0.046</w:t>
            </w:r>
          </w:p>
        </w:tc>
      </w:tr>
      <w:tr w:rsidR="00965179" w:rsidRPr="00965179" w:rsidTr="00F04F54">
        <w:trPr>
          <w:trHeight w:val="227"/>
        </w:trPr>
        <w:tc>
          <w:tcPr>
            <w:tcW w:w="3238" w:type="dxa"/>
          </w:tcPr>
          <w:p w:rsidR="00965179" w:rsidRPr="002C4015" w:rsidRDefault="00965179" w:rsidP="009651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Closing Work in Progress</w:t>
            </w:r>
          </w:p>
        </w:tc>
        <w:tc>
          <w:tcPr>
            <w:tcW w:w="1801" w:type="dxa"/>
            <w:vAlign w:val="bottom"/>
          </w:tcPr>
          <w:p w:rsidR="00965179" w:rsidRPr="00965179" w:rsidRDefault="00965179" w:rsidP="0040760A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5179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803" w:type="dxa"/>
            <w:vAlign w:val="bottom"/>
          </w:tcPr>
          <w:p w:rsidR="00965179" w:rsidRPr="00965179" w:rsidRDefault="00965179" w:rsidP="002C401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5179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801" w:type="dxa"/>
            <w:vAlign w:val="bottom"/>
          </w:tcPr>
          <w:p w:rsidR="00965179" w:rsidRPr="00965179" w:rsidRDefault="00965179" w:rsidP="006E6DBB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5179">
              <w:rPr>
                <w:rFonts w:asciiTheme="minorHAnsi" w:hAnsiTheme="minorHAnsi" w:cstheme="minorHAnsi"/>
                <w:bCs/>
                <w:sz w:val="22"/>
                <w:szCs w:val="22"/>
              </w:rPr>
              <w:t>0.013</w:t>
            </w:r>
          </w:p>
        </w:tc>
      </w:tr>
      <w:tr w:rsidR="006E6DBB" w:rsidRPr="002C4015" w:rsidTr="00F04F54">
        <w:trPr>
          <w:trHeight w:val="227"/>
        </w:trPr>
        <w:tc>
          <w:tcPr>
            <w:tcW w:w="3238" w:type="dxa"/>
          </w:tcPr>
          <w:p w:rsidR="006E6DBB" w:rsidRPr="002C4015" w:rsidRDefault="006E6DBB" w:rsidP="00973DD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 Assets</w:t>
            </w:r>
          </w:p>
        </w:tc>
        <w:tc>
          <w:tcPr>
            <w:tcW w:w="1801" w:type="dxa"/>
            <w:vAlign w:val="bottom"/>
          </w:tcPr>
          <w:p w:rsidR="006E6DBB" w:rsidRPr="002C4015" w:rsidRDefault="00CC05F9" w:rsidP="0040760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2.96</w:t>
            </w:r>
            <w:r w:rsidR="009320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bottom"/>
          </w:tcPr>
          <w:p w:rsidR="006E6DBB" w:rsidRPr="002C4015" w:rsidRDefault="00CC05F9" w:rsidP="002C401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2.001</w:t>
            </w:r>
          </w:p>
        </w:tc>
        <w:tc>
          <w:tcPr>
            <w:tcW w:w="1801" w:type="dxa"/>
            <w:vAlign w:val="bottom"/>
          </w:tcPr>
          <w:p w:rsidR="006E6DBB" w:rsidRPr="002C4015" w:rsidRDefault="006E6DBB" w:rsidP="0096517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40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9651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</w:t>
            </w:r>
          </w:p>
        </w:tc>
      </w:tr>
    </w:tbl>
    <w:p w:rsidR="00FF05D3" w:rsidRDefault="00AA0A27" w:rsidP="00B2781E">
      <w:pPr>
        <w:pStyle w:val="Bodycopy"/>
        <w:jc w:val="both"/>
      </w:pPr>
      <w:r w:rsidRPr="002C4015">
        <w:br/>
      </w:r>
      <w:r w:rsidR="001E56C6" w:rsidRPr="002C4015">
        <w:t xml:space="preserve">The </w:t>
      </w:r>
      <w:r w:rsidR="00A40B0F" w:rsidRPr="002C4015">
        <w:t>T</w:t>
      </w:r>
      <w:r w:rsidR="001E56C6" w:rsidRPr="002C4015">
        <w:t xml:space="preserve">otal </w:t>
      </w:r>
      <w:r w:rsidR="00726103" w:rsidRPr="002C4015">
        <w:t>A</w:t>
      </w:r>
      <w:r w:rsidR="001E56C6" w:rsidRPr="002C4015">
        <w:t>sset</w:t>
      </w:r>
      <w:r w:rsidR="00147D53" w:rsidRPr="002C4015">
        <w:t xml:space="preserve"> position of $</w:t>
      </w:r>
      <w:r w:rsidR="002C4015" w:rsidRPr="002C4015">
        <w:t>2.</w:t>
      </w:r>
      <w:r w:rsidR="00CC05F9">
        <w:t>96</w:t>
      </w:r>
      <w:r w:rsidR="009320EE">
        <w:t>1</w:t>
      </w:r>
      <w:r w:rsidR="002C4015" w:rsidRPr="002C4015">
        <w:t xml:space="preserve">m </w:t>
      </w:r>
      <w:r w:rsidR="00501ADF" w:rsidRPr="002C4015">
        <w:t>at 30 June 20</w:t>
      </w:r>
      <w:r w:rsidR="001E6472" w:rsidRPr="002C4015">
        <w:t>1</w:t>
      </w:r>
      <w:r w:rsidR="00CC05F9">
        <w:t>4</w:t>
      </w:r>
      <w:r w:rsidR="00501ADF" w:rsidRPr="002C4015">
        <w:t xml:space="preserve"> </w:t>
      </w:r>
      <w:r w:rsidR="00302593" w:rsidRPr="002C4015">
        <w:t>was $</w:t>
      </w:r>
      <w:r w:rsidR="009A3A4D" w:rsidRPr="002C4015">
        <w:t>0.</w:t>
      </w:r>
      <w:r w:rsidR="00CC05F9">
        <w:t>9</w:t>
      </w:r>
      <w:r w:rsidR="009320EE">
        <w:t>60</w:t>
      </w:r>
      <w:r w:rsidR="009A3A4D" w:rsidRPr="002C4015">
        <w:t>m</w:t>
      </w:r>
      <w:r w:rsidR="00302593" w:rsidRPr="002C4015">
        <w:t xml:space="preserve"> </w:t>
      </w:r>
      <w:r w:rsidR="00007A21" w:rsidRPr="002C4015">
        <w:t xml:space="preserve">higher </w:t>
      </w:r>
      <w:r w:rsidR="00302593" w:rsidRPr="002C4015">
        <w:t xml:space="preserve">than the </w:t>
      </w:r>
      <w:r w:rsidR="003F5C87" w:rsidRPr="002C4015">
        <w:t>201</w:t>
      </w:r>
      <w:r w:rsidR="00CC05F9">
        <w:t>4</w:t>
      </w:r>
      <w:r w:rsidR="003F5C87" w:rsidRPr="002C4015">
        <w:t xml:space="preserve"> </w:t>
      </w:r>
      <w:proofErr w:type="gramStart"/>
      <w:r w:rsidR="00302593" w:rsidRPr="002C4015">
        <w:t>budget</w:t>
      </w:r>
      <w:r w:rsidR="003F5C87" w:rsidRPr="002C4015">
        <w:t>ed</w:t>
      </w:r>
      <w:proofErr w:type="gramEnd"/>
      <w:r w:rsidR="00302593" w:rsidRPr="002C4015">
        <w:t xml:space="preserve"> amount</w:t>
      </w:r>
      <w:r w:rsidR="00833F16">
        <w:t xml:space="preserve">. This was </w:t>
      </w:r>
      <w:r w:rsidR="00007A21" w:rsidRPr="002C4015">
        <w:t xml:space="preserve">mainly </w:t>
      </w:r>
      <w:r w:rsidR="00302593" w:rsidRPr="002C4015">
        <w:t>due</w:t>
      </w:r>
      <w:r w:rsidR="00C91DE3">
        <w:t xml:space="preserve"> to: </w:t>
      </w:r>
    </w:p>
    <w:p w:rsidR="00FF05D3" w:rsidRDefault="001E6472" w:rsidP="00B2781E">
      <w:pPr>
        <w:pStyle w:val="Dotties"/>
        <w:jc w:val="both"/>
      </w:pPr>
      <w:r w:rsidRPr="002C4015">
        <w:t xml:space="preserve">the </w:t>
      </w:r>
      <w:r w:rsidR="00982242" w:rsidRPr="002C4015">
        <w:t>higher</w:t>
      </w:r>
      <w:r w:rsidR="00EF0A0E" w:rsidRPr="002C4015">
        <w:t>-</w:t>
      </w:r>
      <w:r w:rsidR="00982242" w:rsidRPr="002C4015">
        <w:t>than</w:t>
      </w:r>
      <w:r w:rsidR="00EF0A0E" w:rsidRPr="002C4015">
        <w:t>-</w:t>
      </w:r>
      <w:r w:rsidR="00982242" w:rsidRPr="002C4015">
        <w:t>budgeted investment balance</w:t>
      </w:r>
      <w:r w:rsidR="00C91DE3">
        <w:t xml:space="preserve">; and </w:t>
      </w:r>
    </w:p>
    <w:p w:rsidR="003F5C87" w:rsidRPr="002C4015" w:rsidRDefault="00C91DE3" w:rsidP="00B2781E">
      <w:pPr>
        <w:pStyle w:val="Dotties"/>
        <w:jc w:val="both"/>
      </w:pPr>
      <w:proofErr w:type="gramStart"/>
      <w:r>
        <w:t>the</w:t>
      </w:r>
      <w:proofErr w:type="gramEnd"/>
      <w:r>
        <w:t xml:space="preserve"> asset revaluation that was performed in 201</w:t>
      </w:r>
      <w:r w:rsidR="00CC05F9">
        <w:t>3</w:t>
      </w:r>
      <w:r>
        <w:t>-1</w:t>
      </w:r>
      <w:r w:rsidR="00CC05F9">
        <w:t>4</w:t>
      </w:r>
      <w:r>
        <w:t>, resulting in a larger value being attributed to Property Plant and Equipment.</w:t>
      </w:r>
    </w:p>
    <w:p w:rsidR="00193EA3" w:rsidRPr="002C4015" w:rsidRDefault="00373752" w:rsidP="00B2781E">
      <w:pPr>
        <w:pStyle w:val="Heading3"/>
        <w:jc w:val="both"/>
      </w:pPr>
      <w:r w:rsidRPr="002C4015">
        <w:t xml:space="preserve">Comparison to </w:t>
      </w:r>
      <w:r w:rsidR="003F5C87" w:rsidRPr="002C4015">
        <w:t>30 June 201</w:t>
      </w:r>
      <w:r w:rsidR="00CC05F9">
        <w:t>3</w:t>
      </w:r>
      <w:r w:rsidR="003F5C87" w:rsidRPr="002C4015">
        <w:t xml:space="preserve"> </w:t>
      </w:r>
      <w:r w:rsidR="00726103" w:rsidRPr="002C4015">
        <w:t>Actual</w:t>
      </w:r>
    </w:p>
    <w:p w:rsidR="00373752" w:rsidRPr="002C4015" w:rsidRDefault="00100EDD" w:rsidP="00B2781E">
      <w:pPr>
        <w:pStyle w:val="Bodycopy"/>
        <w:jc w:val="both"/>
      </w:pPr>
      <w:r w:rsidRPr="002C4015">
        <w:t>T</w:t>
      </w:r>
      <w:r w:rsidR="001D52B1" w:rsidRPr="002C4015">
        <w:t xml:space="preserve">he </w:t>
      </w:r>
      <w:r w:rsidR="001E6472" w:rsidRPr="002C4015">
        <w:t xml:space="preserve">increase </w:t>
      </w:r>
      <w:r w:rsidR="00E84480" w:rsidRPr="002C4015">
        <w:t xml:space="preserve">of </w:t>
      </w:r>
      <w:r w:rsidR="00982242" w:rsidRPr="002C4015">
        <w:t>$</w:t>
      </w:r>
      <w:r w:rsidR="00DB3007" w:rsidRPr="002C4015">
        <w:t>0.</w:t>
      </w:r>
      <w:r w:rsidR="00CC05F9">
        <w:t>6</w:t>
      </w:r>
      <w:r w:rsidR="009320EE">
        <w:t>8</w:t>
      </w:r>
      <w:r w:rsidR="00982242" w:rsidRPr="002C4015">
        <w:t xml:space="preserve">m </w:t>
      </w:r>
      <w:r w:rsidR="00E84480" w:rsidRPr="002C4015">
        <w:t xml:space="preserve">from </w:t>
      </w:r>
      <w:r w:rsidR="004543C3" w:rsidRPr="002C4015">
        <w:t>the 30 June 20</w:t>
      </w:r>
      <w:r w:rsidR="00982242" w:rsidRPr="002C4015">
        <w:t>1</w:t>
      </w:r>
      <w:r w:rsidR="00CC05F9">
        <w:t>3</w:t>
      </w:r>
      <w:r w:rsidR="00A40B0F" w:rsidRPr="002C4015">
        <w:t xml:space="preserve"> T</w:t>
      </w:r>
      <w:r w:rsidR="00E84480" w:rsidRPr="002C4015">
        <w:t xml:space="preserve">otal Asset </w:t>
      </w:r>
      <w:r w:rsidR="009A3A4D" w:rsidRPr="002C4015">
        <w:t>V</w:t>
      </w:r>
      <w:r w:rsidR="00E84480" w:rsidRPr="002C4015">
        <w:t>alue</w:t>
      </w:r>
      <w:r w:rsidR="00E06EBB" w:rsidRPr="002C4015">
        <w:t xml:space="preserve"> </w:t>
      </w:r>
      <w:r w:rsidRPr="002C4015">
        <w:t>was mainly</w:t>
      </w:r>
      <w:r w:rsidR="00E84480" w:rsidRPr="002C4015">
        <w:t xml:space="preserve"> </w:t>
      </w:r>
      <w:r w:rsidR="00E06EBB" w:rsidRPr="002C4015">
        <w:t xml:space="preserve">due </w:t>
      </w:r>
      <w:r w:rsidR="00982242" w:rsidRPr="002C4015">
        <w:t xml:space="preserve">to the increased </w:t>
      </w:r>
      <w:r w:rsidR="00DB3007" w:rsidRPr="002C4015">
        <w:t>investment balance</w:t>
      </w:r>
      <w:r w:rsidR="00CC05F9">
        <w:t xml:space="preserve"> and the asset revaluation </w:t>
      </w:r>
      <w:r w:rsidR="00982242" w:rsidRPr="002C4015">
        <w:t>(</w:t>
      </w:r>
      <w:r w:rsidR="0064756C" w:rsidRPr="002C4015">
        <w:t>discussed above)</w:t>
      </w:r>
      <w:r w:rsidR="00CA66D4" w:rsidRPr="002C4015">
        <w:t xml:space="preserve">. </w:t>
      </w:r>
    </w:p>
    <w:p w:rsidR="00DF2D17" w:rsidRDefault="00DF2D17" w:rsidP="00B2781E">
      <w:pPr>
        <w:pStyle w:val="Heading3"/>
        <w:jc w:val="both"/>
      </w:pPr>
      <w:r>
        <w:t>Future trends</w:t>
      </w:r>
    </w:p>
    <w:p w:rsidR="00DF2D17" w:rsidRPr="00A150C2" w:rsidRDefault="00A7178B" w:rsidP="00B2781E">
      <w:pPr>
        <w:pStyle w:val="Bodycopy"/>
        <w:jc w:val="both"/>
      </w:pPr>
      <w:r>
        <w:t>The</w:t>
      </w:r>
      <w:r w:rsidR="00DF2D17">
        <w:t xml:space="preserve"> Office will </w:t>
      </w:r>
      <w:r w:rsidR="00CC05F9">
        <w:t xml:space="preserve">continue </w:t>
      </w:r>
      <w:r w:rsidR="00BA24EF">
        <w:t xml:space="preserve">to </w:t>
      </w:r>
      <w:r w:rsidR="00DF2D17">
        <w:t>adopt a strategy of increasing it</w:t>
      </w:r>
      <w:r w:rsidR="002C4015">
        <w:t>s</w:t>
      </w:r>
      <w:r w:rsidR="00DF2D17">
        <w:t xml:space="preserve"> </w:t>
      </w:r>
      <w:r>
        <w:t>financial assets</w:t>
      </w:r>
      <w:r w:rsidR="00BA24EF">
        <w:t xml:space="preserve"> </w:t>
      </w:r>
      <w:r w:rsidR="00DF2D17">
        <w:t>to offset employee benefit liabilities into the future.</w:t>
      </w:r>
    </w:p>
    <w:p w:rsidR="001D52B1" w:rsidRPr="00A150C2" w:rsidRDefault="00FF05D3" w:rsidP="00B2781E">
      <w:pPr>
        <w:pStyle w:val="Heading2"/>
        <w:jc w:val="both"/>
      </w:pPr>
      <w:r>
        <w:t>Total Liabilities</w:t>
      </w:r>
    </w:p>
    <w:p w:rsidR="00FB570C" w:rsidRPr="00A150C2" w:rsidRDefault="001D52B1" w:rsidP="00B2781E">
      <w:pPr>
        <w:pStyle w:val="Bodycopy"/>
        <w:jc w:val="both"/>
      </w:pPr>
      <w:r w:rsidRPr="00A150C2">
        <w:t xml:space="preserve">The </w:t>
      </w:r>
      <w:r w:rsidR="00FB570C" w:rsidRPr="00A150C2">
        <w:t xml:space="preserve">following table shows the composition of the </w:t>
      </w:r>
      <w:r w:rsidR="00E85F2B">
        <w:t>Office</w:t>
      </w:r>
      <w:r w:rsidRPr="00A150C2">
        <w:t xml:space="preserve">'s </w:t>
      </w:r>
      <w:r w:rsidR="00FF05D3">
        <w:t>Total Liabilities</w:t>
      </w:r>
      <w:r w:rsidRPr="00A150C2">
        <w:t xml:space="preserve"> </w:t>
      </w:r>
      <w:r w:rsidR="00FB570C" w:rsidRPr="00A150C2">
        <w:t xml:space="preserve">as </w:t>
      </w:r>
      <w:r w:rsidRPr="00A150C2">
        <w:t>at 30 June 20</w:t>
      </w:r>
      <w:r w:rsidR="001E6472" w:rsidRPr="00A150C2">
        <w:t>1</w:t>
      </w:r>
      <w:r w:rsidR="00552D78">
        <w:t>4</w:t>
      </w:r>
      <w:r w:rsidR="00FB570C" w:rsidRPr="00A150C2">
        <w:t xml:space="preserve">, </w:t>
      </w:r>
      <w:r w:rsidR="004543C3" w:rsidRPr="00A150C2">
        <w:t xml:space="preserve">compared to </w:t>
      </w:r>
      <w:r w:rsidR="00A40B0F">
        <w:t xml:space="preserve">the </w:t>
      </w:r>
      <w:r w:rsidR="004543C3" w:rsidRPr="00A150C2">
        <w:t>20</w:t>
      </w:r>
      <w:r w:rsidR="00333143" w:rsidRPr="00A150C2">
        <w:t>1</w:t>
      </w:r>
      <w:r w:rsidR="00552D78">
        <w:t>3</w:t>
      </w:r>
      <w:r w:rsidR="00333143" w:rsidRPr="00A150C2">
        <w:t>-1</w:t>
      </w:r>
      <w:r w:rsidR="00552D78">
        <w:t>4</w:t>
      </w:r>
      <w:r w:rsidR="001E6472" w:rsidRPr="00A150C2">
        <w:t xml:space="preserve"> </w:t>
      </w:r>
      <w:r w:rsidR="009E4C16">
        <w:t>B</w:t>
      </w:r>
      <w:r w:rsidR="001E6472" w:rsidRPr="00A150C2">
        <w:t>udget and as at 30 June 20</w:t>
      </w:r>
      <w:r w:rsidR="00333143" w:rsidRPr="00A150C2">
        <w:t>1</w:t>
      </w:r>
      <w:r w:rsidR="00552D78">
        <w:t>3</w:t>
      </w:r>
      <w:r w:rsidR="002C4015">
        <w:t>.</w:t>
      </w:r>
    </w:p>
    <w:p w:rsidR="004543C3" w:rsidRPr="00A150C2" w:rsidRDefault="004543C3" w:rsidP="001D52B1">
      <w:pPr>
        <w:pStyle w:val="Default"/>
        <w:ind w:firstLine="13"/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551"/>
        <w:gridCol w:w="1701"/>
        <w:gridCol w:w="1843"/>
      </w:tblGrid>
      <w:tr w:rsidR="00982242" w:rsidRPr="00C06689" w:rsidTr="00FF17FA">
        <w:trPr>
          <w:trHeight w:val="300"/>
        </w:trPr>
        <w:tc>
          <w:tcPr>
            <w:tcW w:w="2552" w:type="dxa"/>
            <w:shd w:val="clear" w:color="auto" w:fill="8DB3E2" w:themeFill="text2" w:themeFillTint="66"/>
            <w:noWrap/>
          </w:tcPr>
          <w:p w:rsidR="00982242" w:rsidRPr="00C06689" w:rsidRDefault="00982242" w:rsidP="00DB300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Liability </w:t>
            </w:r>
            <w:r w:rsidR="00DB300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ategory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vAlign w:val="bottom"/>
          </w:tcPr>
          <w:p w:rsidR="00982242" w:rsidRPr="00C06689" w:rsidRDefault="00982242" w:rsidP="0072610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Actual</w:t>
            </w:r>
          </w:p>
          <w:p w:rsidR="00982242" w:rsidRPr="00C06689" w:rsidRDefault="00982242" w:rsidP="0072610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30 June 201</w:t>
            </w:r>
            <w:r w:rsidR="009C3A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4</w:t>
            </w:r>
          </w:p>
          <w:p w:rsidR="00982242" w:rsidRPr="00C06689" w:rsidRDefault="00982242" w:rsidP="0072610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982242" w:rsidRPr="00C06689" w:rsidRDefault="00982242" w:rsidP="0072610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Original </w:t>
            </w:r>
            <w:r w:rsidR="00127B4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B</w:t>
            </w: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udget</w:t>
            </w:r>
          </w:p>
          <w:p w:rsidR="00982242" w:rsidRPr="00C06689" w:rsidRDefault="00982242" w:rsidP="0072610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30 June 201</w:t>
            </w:r>
            <w:r w:rsidR="009C3A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4</w:t>
            </w:r>
          </w:p>
          <w:p w:rsidR="00982242" w:rsidRPr="00C06689" w:rsidRDefault="00982242" w:rsidP="0072610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982242" w:rsidRPr="00C06689" w:rsidRDefault="00982242" w:rsidP="0098224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Actual</w:t>
            </w:r>
          </w:p>
          <w:p w:rsidR="00982242" w:rsidRPr="00C06689" w:rsidRDefault="00982242" w:rsidP="0098224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30 June 201</w:t>
            </w:r>
            <w:r w:rsidR="009C3A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3</w:t>
            </w:r>
          </w:p>
          <w:p w:rsidR="00982242" w:rsidRPr="00C06689" w:rsidRDefault="00982242" w:rsidP="0098224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</w:tr>
      <w:tr w:rsidR="00982242" w:rsidRPr="00C06689" w:rsidTr="003C53C3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982242" w:rsidRPr="002C4015" w:rsidRDefault="00982242" w:rsidP="00565A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Current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982242" w:rsidRPr="002C4015" w:rsidRDefault="009822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982242" w:rsidRPr="002C4015" w:rsidRDefault="009822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982242" w:rsidRPr="002C4015" w:rsidRDefault="00982242" w:rsidP="009822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AE3" w:rsidRPr="00C06689" w:rsidTr="003C53C3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9C3AE3" w:rsidRPr="002C4015" w:rsidRDefault="009C3AE3" w:rsidP="001D52B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Payables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9C3AE3" w:rsidRPr="002C4015" w:rsidRDefault="009C3AE3" w:rsidP="002C401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0.520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9C3AE3" w:rsidRPr="002C4015" w:rsidRDefault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0.331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C3AE3" w:rsidRPr="002C4015" w:rsidRDefault="009C3AE3" w:rsidP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4015">
              <w:rPr>
                <w:rFonts w:ascii="Calibri" w:hAnsi="Calibri"/>
                <w:sz w:val="22"/>
                <w:szCs w:val="22"/>
              </w:rPr>
              <w:t>0.299</w:t>
            </w:r>
          </w:p>
        </w:tc>
      </w:tr>
      <w:tr w:rsidR="009C3AE3" w:rsidRPr="00C06689" w:rsidTr="003C53C3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9C3AE3" w:rsidRPr="002C4015" w:rsidRDefault="009C3AE3" w:rsidP="001D52B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- Finance Leases 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9C3AE3" w:rsidRPr="002C4015" w:rsidRDefault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0.024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9C3AE3" w:rsidRPr="002C4015" w:rsidRDefault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0.012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C3AE3" w:rsidRPr="002C4015" w:rsidRDefault="009C3AE3" w:rsidP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4015">
              <w:rPr>
                <w:rFonts w:ascii="Calibri" w:hAnsi="Calibri"/>
                <w:sz w:val="22"/>
                <w:szCs w:val="22"/>
              </w:rPr>
              <w:t>0.009</w:t>
            </w:r>
          </w:p>
        </w:tc>
      </w:tr>
      <w:tr w:rsidR="009C3AE3" w:rsidRPr="00C06689" w:rsidTr="003C53C3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9C3AE3" w:rsidRPr="002C4015" w:rsidRDefault="009C3AE3" w:rsidP="001D52B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Employee Benefits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C3AE3" w:rsidRPr="002C4015" w:rsidRDefault="009C3AE3" w:rsidP="009320E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</w:t>
            </w:r>
            <w:r w:rsidR="009320EE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9C3AE3" w:rsidRPr="002C4015" w:rsidRDefault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1.519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C3AE3" w:rsidRPr="002C4015" w:rsidRDefault="009C3AE3" w:rsidP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4015">
              <w:rPr>
                <w:rFonts w:ascii="Calibri" w:hAnsi="Calibri"/>
                <w:sz w:val="22"/>
                <w:szCs w:val="22"/>
              </w:rPr>
              <w:t>1.466</w:t>
            </w:r>
          </w:p>
        </w:tc>
      </w:tr>
      <w:tr w:rsidR="009C3AE3" w:rsidRPr="00C06689" w:rsidTr="003C53C3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9C3AE3" w:rsidRPr="002C4015" w:rsidRDefault="009C3AE3" w:rsidP="00982242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Other Liabilities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C3AE3" w:rsidRPr="002C4015" w:rsidRDefault="009C3AE3" w:rsidP="002C401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9C3AE3" w:rsidRPr="002C4015" w:rsidRDefault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0.71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C3AE3" w:rsidRPr="002C4015" w:rsidRDefault="009C3AE3" w:rsidP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4015">
              <w:rPr>
                <w:rFonts w:ascii="Calibri" w:hAnsi="Calibri"/>
                <w:sz w:val="22"/>
                <w:szCs w:val="22"/>
              </w:rPr>
              <w:t>0.071</w:t>
            </w:r>
          </w:p>
        </w:tc>
      </w:tr>
      <w:tr w:rsidR="009C3AE3" w:rsidRPr="00C06689" w:rsidTr="003C53C3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9C3AE3" w:rsidRPr="002C4015" w:rsidRDefault="009C3AE3" w:rsidP="001D52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Non-Current Liabilities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9C3AE3" w:rsidRPr="002C4015" w:rsidRDefault="009C3A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9C3AE3" w:rsidRPr="002C4015" w:rsidRDefault="009C3A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9C3AE3" w:rsidRPr="002C4015" w:rsidRDefault="009C3AE3" w:rsidP="009C3A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AE3" w:rsidRPr="00C06689" w:rsidTr="003C53C3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9C3AE3" w:rsidRPr="002C4015" w:rsidRDefault="009C3AE3" w:rsidP="001D52B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Finance Leases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9C3AE3" w:rsidRPr="002C4015" w:rsidRDefault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9C3AE3" w:rsidRPr="002C4015" w:rsidRDefault="009C3AE3" w:rsidP="004076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C3AE3" w:rsidRPr="002C4015" w:rsidRDefault="009C3AE3" w:rsidP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4015">
              <w:rPr>
                <w:rFonts w:ascii="Calibri" w:hAnsi="Calibri"/>
                <w:sz w:val="22"/>
                <w:szCs w:val="22"/>
              </w:rPr>
              <w:t>0.024</w:t>
            </w:r>
          </w:p>
        </w:tc>
      </w:tr>
      <w:tr w:rsidR="009C3AE3" w:rsidRPr="00C06689" w:rsidTr="003C53C3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9C3AE3" w:rsidRPr="002C4015" w:rsidRDefault="009C3AE3" w:rsidP="001D52B1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Employee Benefits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C3AE3" w:rsidRPr="002C4015" w:rsidRDefault="009C3AE3" w:rsidP="009320E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</w:t>
            </w:r>
            <w:r w:rsidR="009320E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9C3AE3" w:rsidRPr="002C4015" w:rsidRDefault="009C3AE3" w:rsidP="002C401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0.193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C3AE3" w:rsidRPr="002C4015" w:rsidRDefault="009C3AE3" w:rsidP="009C3AE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4015">
              <w:rPr>
                <w:rFonts w:ascii="Calibri" w:hAnsi="Calibri"/>
                <w:sz w:val="22"/>
                <w:szCs w:val="22"/>
              </w:rPr>
              <w:t>0.084</w:t>
            </w:r>
          </w:p>
        </w:tc>
      </w:tr>
      <w:tr w:rsidR="009C3AE3" w:rsidRPr="00C06689" w:rsidTr="003C53C3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9C3AE3" w:rsidRPr="002C4015" w:rsidRDefault="009C3AE3" w:rsidP="001D52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Total Liabilities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9C3AE3" w:rsidRPr="002C4015" w:rsidRDefault="009C3AE3" w:rsidP="002C40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2.323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9C3AE3" w:rsidRPr="002C4015" w:rsidRDefault="009C3AE3" w:rsidP="002C401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2.149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C3AE3" w:rsidRPr="002C4015" w:rsidRDefault="009C3AE3" w:rsidP="009C3AE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4015">
              <w:rPr>
                <w:rFonts w:ascii="Calibri" w:hAnsi="Calibri"/>
                <w:b/>
                <w:bCs/>
                <w:sz w:val="22"/>
                <w:szCs w:val="22"/>
              </w:rPr>
              <w:t>1.953</w:t>
            </w:r>
          </w:p>
        </w:tc>
      </w:tr>
    </w:tbl>
    <w:p w:rsidR="001D52B1" w:rsidRDefault="001D52B1" w:rsidP="007131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1423B" w:rsidRDefault="00B2781E" w:rsidP="0071311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2781E">
        <w:rPr>
          <w:noProof/>
          <w:szCs w:val="22"/>
        </w:rPr>
        <w:lastRenderedPageBreak/>
        <w:drawing>
          <wp:inline distT="0" distB="0" distL="0" distR="0">
            <wp:extent cx="5490210" cy="3451566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45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27" w:rsidRDefault="00AA0A27" w:rsidP="00C02B99">
      <w:pPr>
        <w:pStyle w:val="Bodycopy"/>
      </w:pPr>
    </w:p>
    <w:p w:rsidR="009D1CD5" w:rsidRPr="00A150C2" w:rsidRDefault="007D780F" w:rsidP="00B2781E">
      <w:pPr>
        <w:pStyle w:val="Bodycopy"/>
        <w:jc w:val="both"/>
      </w:pPr>
      <w:r w:rsidRPr="00A150C2">
        <w:t>The value of c</w:t>
      </w:r>
      <w:r w:rsidR="00C22E78" w:rsidRPr="00A150C2">
        <w:t xml:space="preserve">urrent and non-current employee benefits </w:t>
      </w:r>
      <w:r w:rsidRPr="00A150C2">
        <w:t>at 30 June 201</w:t>
      </w:r>
      <w:r w:rsidR="00A43915">
        <w:t>4</w:t>
      </w:r>
      <w:r w:rsidRPr="00A150C2">
        <w:t xml:space="preserve"> </w:t>
      </w:r>
      <w:r w:rsidR="00F534E0" w:rsidRPr="00A150C2">
        <w:t>totalled $</w:t>
      </w:r>
      <w:r w:rsidR="00B46EF0" w:rsidRPr="002C4015">
        <w:t>1</w:t>
      </w:r>
      <w:r w:rsidR="009D1CD5" w:rsidRPr="002C4015">
        <w:t>.</w:t>
      </w:r>
      <w:r w:rsidR="00A43915">
        <w:t>676</w:t>
      </w:r>
      <w:r w:rsidR="00012670" w:rsidRPr="002C4015">
        <w:t xml:space="preserve">m </w:t>
      </w:r>
      <w:r w:rsidR="00F534E0" w:rsidRPr="002C4015">
        <w:t xml:space="preserve">and accounted for </w:t>
      </w:r>
      <w:r w:rsidR="00D82816" w:rsidRPr="002C4015">
        <w:t>7</w:t>
      </w:r>
      <w:r w:rsidR="00965179">
        <w:t>2</w:t>
      </w:r>
      <w:r w:rsidR="009D1CD5" w:rsidRPr="002C4015">
        <w:t xml:space="preserve"> per cent </w:t>
      </w:r>
      <w:r w:rsidR="00F534E0" w:rsidRPr="002C4015">
        <w:t xml:space="preserve">of </w:t>
      </w:r>
      <w:r w:rsidR="00FF05D3">
        <w:t>Total Liabilities</w:t>
      </w:r>
      <w:r w:rsidRPr="002C4015">
        <w:t xml:space="preserve"> at that date</w:t>
      </w:r>
      <w:r w:rsidR="0003344A" w:rsidRPr="002C4015">
        <w:t xml:space="preserve">. </w:t>
      </w:r>
      <w:r w:rsidR="004152E7">
        <w:t>T</w:t>
      </w:r>
      <w:r w:rsidR="003C63B5" w:rsidRPr="00A150C2">
        <w:t>he</w:t>
      </w:r>
      <w:r w:rsidR="009D1CD5">
        <w:t xml:space="preserve"> probability that </w:t>
      </w:r>
      <w:r w:rsidR="003C63B5" w:rsidRPr="00A150C2">
        <w:t xml:space="preserve">each staff member's leave entitlements </w:t>
      </w:r>
      <w:r w:rsidR="009D1CD5">
        <w:t xml:space="preserve">will </w:t>
      </w:r>
      <w:r w:rsidR="003C63B5" w:rsidRPr="00A150C2">
        <w:t xml:space="preserve">be paid out </w:t>
      </w:r>
      <w:r w:rsidR="009D1CD5">
        <w:t xml:space="preserve">in the event </w:t>
      </w:r>
      <w:proofErr w:type="gramStart"/>
      <w:r w:rsidR="009D1CD5">
        <w:t>that</w:t>
      </w:r>
      <w:proofErr w:type="gramEnd"/>
      <w:r w:rsidR="009D1CD5">
        <w:t xml:space="preserve"> </w:t>
      </w:r>
      <w:r w:rsidR="003C63B5" w:rsidRPr="00A150C2">
        <w:t>they resign or retire</w:t>
      </w:r>
      <w:r w:rsidR="00282E27">
        <w:t>,</w:t>
      </w:r>
      <w:r w:rsidR="003C63B5" w:rsidRPr="00A150C2">
        <w:t xml:space="preserve"> </w:t>
      </w:r>
      <w:r w:rsidR="00333143" w:rsidRPr="00A150C2">
        <w:t>and results in a high proportion of benefits being classified as current</w:t>
      </w:r>
      <w:r w:rsidR="00A40B0F">
        <w:t>. I</w:t>
      </w:r>
      <w:r w:rsidR="003C63B5" w:rsidRPr="00A150C2">
        <w:t>n practice, the likelihood that all staff would leave the organisation</w:t>
      </w:r>
      <w:r w:rsidR="009D1CD5">
        <w:t xml:space="preserve"> over the next 12 months is low.</w:t>
      </w:r>
      <w:r w:rsidR="00BA24EF">
        <w:t xml:space="preserve"> </w:t>
      </w:r>
      <w:r w:rsidR="009D1CD5">
        <w:t xml:space="preserve">However, as noted above, the Office </w:t>
      </w:r>
      <w:r w:rsidR="00BA24EF">
        <w:t>will</w:t>
      </w:r>
      <w:r w:rsidR="00A43915">
        <w:t xml:space="preserve"> continue </w:t>
      </w:r>
      <w:r w:rsidR="009D1CD5">
        <w:t xml:space="preserve">to make greater provision for current employee benefits liabilities in the out-years by way of </w:t>
      </w:r>
      <w:r w:rsidR="00BA24EF">
        <w:t xml:space="preserve">increasing </w:t>
      </w:r>
      <w:r w:rsidR="004152E7">
        <w:t>the Office’s</w:t>
      </w:r>
      <w:r w:rsidR="00BA24EF">
        <w:t xml:space="preserve"> financial asset position</w:t>
      </w:r>
      <w:r w:rsidR="009D1CD5">
        <w:t>.</w:t>
      </w:r>
    </w:p>
    <w:p w:rsidR="00133FFF" w:rsidRPr="00A150C2" w:rsidRDefault="00133FFF" w:rsidP="00B2781E">
      <w:pPr>
        <w:pStyle w:val="Heading3"/>
        <w:jc w:val="both"/>
      </w:pPr>
      <w:r w:rsidRPr="00A150C2">
        <w:t>Comparison to Budget</w:t>
      </w:r>
    </w:p>
    <w:p w:rsidR="0003344A" w:rsidRPr="002C4015" w:rsidRDefault="006508CD" w:rsidP="00B2781E">
      <w:pPr>
        <w:pStyle w:val="Default"/>
        <w:ind w:firstLine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>Total Liabilities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 recorded by the Office in 201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624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33F16">
        <w:rPr>
          <w:rFonts w:asciiTheme="minorHAnsi" w:hAnsiTheme="minorHAnsi" w:cstheme="minorHAnsi"/>
          <w:color w:val="auto"/>
          <w:sz w:val="22"/>
          <w:szCs w:val="22"/>
        </w:rPr>
        <w:t xml:space="preserve">were </w:t>
      </w:r>
      <w:r w:rsidR="00833F16" w:rsidRPr="002C4015">
        <w:rPr>
          <w:rFonts w:asciiTheme="minorHAnsi" w:hAnsiTheme="minorHAnsi" w:cstheme="minorHAnsi"/>
          <w:color w:val="auto"/>
          <w:sz w:val="22"/>
          <w:szCs w:val="22"/>
        </w:rPr>
        <w:t>$0.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174</w:t>
      </w:r>
      <w:r w:rsidR="00833F16"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m 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greater</w:t>
      </w:r>
      <w:r w:rsidR="00833F16">
        <w:rPr>
          <w:rFonts w:asciiTheme="minorHAnsi" w:hAnsiTheme="minorHAnsi" w:cstheme="minorHAnsi"/>
          <w:color w:val="auto"/>
          <w:sz w:val="22"/>
          <w:szCs w:val="22"/>
        </w:rPr>
        <w:t xml:space="preserve"> than</w:t>
      </w:r>
      <w:r w:rsidR="00B624A2">
        <w:rPr>
          <w:rFonts w:asciiTheme="minorHAnsi" w:hAnsiTheme="minorHAnsi" w:cstheme="minorHAnsi"/>
          <w:color w:val="auto"/>
          <w:sz w:val="22"/>
          <w:szCs w:val="22"/>
        </w:rPr>
        <w:t xml:space="preserve"> 201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624A2"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624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B624A2">
        <w:rPr>
          <w:rFonts w:asciiTheme="minorHAnsi" w:hAnsiTheme="minorHAnsi" w:cstheme="minorHAnsi"/>
          <w:color w:val="auto"/>
          <w:sz w:val="22"/>
          <w:szCs w:val="22"/>
        </w:rPr>
        <w:t>Budget</w:t>
      </w:r>
      <w:proofErr w:type="gramEnd"/>
      <w:r w:rsidR="00B624A2">
        <w:rPr>
          <w:rFonts w:asciiTheme="minorHAnsi" w:hAnsiTheme="minorHAnsi" w:cstheme="minorHAnsi"/>
          <w:color w:val="auto"/>
          <w:sz w:val="22"/>
          <w:szCs w:val="22"/>
        </w:rPr>
        <w:t xml:space="preserve">. This largely arose due to 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lower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-than-expected </w:t>
      </w:r>
      <w:r w:rsidR="004152E7">
        <w:rPr>
          <w:rFonts w:asciiTheme="minorHAnsi" w:hAnsiTheme="minorHAnsi" w:cstheme="minorHAnsi"/>
          <w:color w:val="auto"/>
          <w:sz w:val="22"/>
          <w:szCs w:val="22"/>
        </w:rPr>
        <w:t>use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="00710A7F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 leave entitlements </w:t>
      </w:r>
      <w:r w:rsidR="00B624A2">
        <w:rPr>
          <w:rFonts w:asciiTheme="minorHAnsi" w:hAnsiTheme="minorHAnsi" w:cstheme="minorHAnsi"/>
          <w:color w:val="auto"/>
          <w:sz w:val="22"/>
          <w:szCs w:val="22"/>
        </w:rPr>
        <w:t xml:space="preserve">during the period. </w:t>
      </w:r>
      <w:r w:rsidR="009D1CD5"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5D0659" w:rsidRPr="002C4015" w:rsidRDefault="005D0659" w:rsidP="00B2781E">
      <w:pPr>
        <w:pStyle w:val="Heading3"/>
        <w:jc w:val="both"/>
      </w:pPr>
      <w:r w:rsidRPr="002C4015">
        <w:t xml:space="preserve">Comparison to </w:t>
      </w:r>
      <w:r w:rsidR="00CA66D4" w:rsidRPr="002C4015">
        <w:t>20</w:t>
      </w:r>
      <w:r w:rsidR="00A73772" w:rsidRPr="002C4015">
        <w:t>1</w:t>
      </w:r>
      <w:r w:rsidR="00A43915">
        <w:t>2</w:t>
      </w:r>
      <w:r w:rsidR="00A73772" w:rsidRPr="002C4015">
        <w:t>-1</w:t>
      </w:r>
      <w:r w:rsidR="00A43915">
        <w:t>3</w:t>
      </w:r>
      <w:r w:rsidRPr="002C4015">
        <w:t xml:space="preserve"> </w:t>
      </w:r>
      <w:r w:rsidR="00515B69" w:rsidRPr="002C4015">
        <w:t>Actual</w:t>
      </w:r>
    </w:p>
    <w:p w:rsidR="005D0659" w:rsidRPr="00A150C2" w:rsidRDefault="009D1CD5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4015">
        <w:rPr>
          <w:rFonts w:asciiTheme="minorHAnsi" w:hAnsiTheme="minorHAnsi" w:cstheme="minorHAnsi"/>
          <w:color w:val="auto"/>
          <w:sz w:val="22"/>
          <w:szCs w:val="22"/>
        </w:rPr>
        <w:t>The Office recorded a $0.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370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m 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increase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 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>Total Liabilities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compared with </w:t>
      </w:r>
      <w:r w:rsidR="002C4015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772792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72792"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72792">
        <w:rPr>
          <w:rFonts w:asciiTheme="minorHAnsi" w:hAnsiTheme="minorHAnsi" w:cstheme="minorHAnsi"/>
          <w:color w:val="auto"/>
          <w:sz w:val="22"/>
          <w:szCs w:val="22"/>
        </w:rPr>
        <w:t>. This is mainly due to a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n increase</w:t>
      </w:r>
      <w:r w:rsidR="00772792">
        <w:rPr>
          <w:rFonts w:asciiTheme="minorHAnsi" w:hAnsiTheme="minorHAnsi" w:cstheme="minorHAnsi"/>
          <w:color w:val="auto"/>
          <w:sz w:val="22"/>
          <w:szCs w:val="22"/>
        </w:rPr>
        <w:t xml:space="preserve"> in leave liabilities associated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 with </w:t>
      </w:r>
      <w:r w:rsidR="00A43915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>creased u</w:t>
      </w:r>
      <w:r w:rsidR="004152E7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 of leave entitlements throughout the period. </w:t>
      </w:r>
    </w:p>
    <w:p w:rsidR="002666AF" w:rsidRPr="00B41C86" w:rsidRDefault="00A40B0F" w:rsidP="00B2781E">
      <w:pPr>
        <w:pStyle w:val="Heading1"/>
        <w:jc w:val="both"/>
        <w:rPr>
          <w:sz w:val="28"/>
        </w:rPr>
      </w:pPr>
      <w:r>
        <w:rPr>
          <w:rFonts w:cstheme="minorHAnsi"/>
          <w:szCs w:val="32"/>
          <w:u w:val="single"/>
        </w:rPr>
        <w:br w:type="page"/>
      </w:r>
      <w:r w:rsidR="002666AF" w:rsidRPr="00B41C86">
        <w:rPr>
          <w:sz w:val="28"/>
        </w:rPr>
        <w:lastRenderedPageBreak/>
        <w:t xml:space="preserve">Territorial Statement of </w:t>
      </w:r>
      <w:r w:rsidR="00F04F54" w:rsidRPr="00B41C86">
        <w:rPr>
          <w:sz w:val="28"/>
        </w:rPr>
        <w:t xml:space="preserve">Income </w:t>
      </w:r>
      <w:r w:rsidR="002666AF" w:rsidRPr="00B41C86">
        <w:rPr>
          <w:sz w:val="28"/>
        </w:rPr>
        <w:t xml:space="preserve">and Expenses </w:t>
      </w:r>
    </w:p>
    <w:p w:rsidR="002666AF" w:rsidRPr="00A150C2" w:rsidRDefault="002666AF" w:rsidP="00012670">
      <w:pPr>
        <w:pStyle w:val="Heading2"/>
      </w:pPr>
      <w:r w:rsidRPr="00A150C2">
        <w:t xml:space="preserve">Total Income </w:t>
      </w:r>
    </w:p>
    <w:p w:rsidR="007B3D18" w:rsidRPr="00772792" w:rsidRDefault="005049C3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50C2">
        <w:rPr>
          <w:rFonts w:asciiTheme="minorHAnsi" w:hAnsiTheme="minorHAnsi" w:cstheme="minorHAnsi"/>
          <w:sz w:val="22"/>
          <w:szCs w:val="22"/>
        </w:rPr>
        <w:t xml:space="preserve">Territorial income is </w:t>
      </w:r>
      <w:r w:rsidR="00555D64" w:rsidRPr="00A150C2">
        <w:rPr>
          <w:rFonts w:asciiTheme="minorHAnsi" w:hAnsiTheme="minorHAnsi" w:cstheme="minorHAnsi"/>
          <w:sz w:val="22"/>
          <w:szCs w:val="22"/>
        </w:rPr>
        <w:t xml:space="preserve">almost entirely </w:t>
      </w:r>
      <w:r w:rsidRPr="00A150C2">
        <w:rPr>
          <w:rFonts w:asciiTheme="minorHAnsi" w:hAnsiTheme="minorHAnsi" w:cstheme="minorHAnsi"/>
          <w:sz w:val="22"/>
          <w:szCs w:val="22"/>
        </w:rPr>
        <w:t>in the form of a Payment for Expenses on Behalf of the Territory</w:t>
      </w:r>
      <w:r w:rsidR="004016A9">
        <w:rPr>
          <w:rFonts w:asciiTheme="minorHAnsi" w:hAnsiTheme="minorHAnsi" w:cstheme="minorHAnsi"/>
          <w:sz w:val="22"/>
          <w:szCs w:val="22"/>
        </w:rPr>
        <w:t xml:space="preserve"> </w:t>
      </w:r>
      <w:r w:rsidR="007B3D18">
        <w:rPr>
          <w:rFonts w:asciiTheme="minorHAnsi" w:hAnsiTheme="minorHAnsi" w:cstheme="minorHAnsi"/>
          <w:sz w:val="22"/>
          <w:szCs w:val="22"/>
        </w:rPr>
        <w:t xml:space="preserve">to </w:t>
      </w:r>
      <w:r w:rsidR="00E660E1" w:rsidRPr="00A150C2">
        <w:rPr>
          <w:rFonts w:asciiTheme="minorHAnsi" w:hAnsiTheme="minorHAnsi" w:cstheme="minorHAnsi"/>
          <w:sz w:val="22"/>
          <w:szCs w:val="22"/>
        </w:rPr>
        <w:t>meet the cost of salaries and related employment entitlements for non</w:t>
      </w:r>
      <w:r w:rsidR="00E660E1" w:rsidRPr="00A150C2">
        <w:rPr>
          <w:rFonts w:asciiTheme="minorHAnsi" w:hAnsiTheme="minorHAnsi" w:cstheme="minorHAnsi"/>
          <w:sz w:val="22"/>
          <w:szCs w:val="22"/>
        </w:rPr>
        <w:noBreakHyphen/>
      </w:r>
      <w:proofErr w:type="spellStart"/>
      <w:r w:rsidR="008B3DAB">
        <w:rPr>
          <w:rFonts w:asciiTheme="minorHAnsi" w:hAnsiTheme="minorHAnsi" w:cstheme="minorHAnsi"/>
          <w:sz w:val="22"/>
          <w:szCs w:val="22"/>
        </w:rPr>
        <w:t>executive</w:t>
      </w:r>
      <w:proofErr w:type="spellEnd"/>
      <w:r w:rsidR="004016A9">
        <w:rPr>
          <w:rFonts w:asciiTheme="minorHAnsi" w:hAnsiTheme="minorHAnsi" w:cstheme="minorHAnsi"/>
          <w:sz w:val="22"/>
          <w:szCs w:val="22"/>
        </w:rPr>
        <w:t xml:space="preserve"> </w:t>
      </w:r>
      <w:r w:rsidR="00A40B0F">
        <w:rPr>
          <w:rFonts w:asciiTheme="minorHAnsi" w:hAnsiTheme="minorHAnsi" w:cstheme="minorHAnsi"/>
          <w:sz w:val="22"/>
          <w:szCs w:val="22"/>
        </w:rPr>
        <w:t>MLA</w:t>
      </w:r>
      <w:r w:rsidR="00775582">
        <w:rPr>
          <w:rFonts w:asciiTheme="minorHAnsi" w:hAnsiTheme="minorHAnsi" w:cstheme="minorHAnsi"/>
          <w:sz w:val="22"/>
          <w:szCs w:val="22"/>
        </w:rPr>
        <w:t xml:space="preserve">s and their staff. </w:t>
      </w:r>
    </w:p>
    <w:p w:rsidR="007B3D18" w:rsidRPr="00772792" w:rsidRDefault="007B3D18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039D7" w:rsidRPr="00772792" w:rsidRDefault="00E014D9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The payment for </w:t>
      </w:r>
      <w:r w:rsidR="00E660E1" w:rsidRPr="0077279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772792">
        <w:rPr>
          <w:rFonts w:asciiTheme="minorHAnsi" w:hAnsiTheme="minorHAnsi" w:cstheme="minorHAnsi"/>
          <w:color w:val="auto"/>
          <w:sz w:val="22"/>
          <w:szCs w:val="22"/>
        </w:rPr>
        <w:t>xpenses on Behalf of the Territory</w:t>
      </w:r>
      <w:r w:rsidR="00E660E1"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 was $</w:t>
      </w:r>
      <w:r w:rsidR="0003787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039D7" w:rsidRPr="0077279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37870">
        <w:rPr>
          <w:rFonts w:asciiTheme="minorHAnsi" w:hAnsiTheme="minorHAnsi" w:cstheme="minorHAnsi"/>
          <w:color w:val="auto"/>
          <w:sz w:val="22"/>
          <w:szCs w:val="22"/>
        </w:rPr>
        <w:t>410</w:t>
      </w:r>
      <w:r w:rsidR="00775582" w:rsidRPr="00772792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E660E1"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 in 201</w:t>
      </w:r>
      <w:r w:rsidR="0003787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75582" w:rsidRPr="00772792"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03787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E660E1" w:rsidRPr="00772792">
        <w:rPr>
          <w:rFonts w:asciiTheme="minorHAnsi" w:hAnsiTheme="minorHAnsi" w:cstheme="minorHAnsi"/>
          <w:color w:val="auto"/>
          <w:sz w:val="22"/>
          <w:szCs w:val="22"/>
        </w:rPr>
        <w:t>, which was $</w:t>
      </w:r>
      <w:r w:rsidR="008039D7" w:rsidRPr="00772792">
        <w:rPr>
          <w:rFonts w:asciiTheme="minorHAnsi" w:hAnsiTheme="minorHAnsi" w:cstheme="minorHAnsi"/>
          <w:color w:val="auto"/>
          <w:sz w:val="22"/>
          <w:szCs w:val="22"/>
        </w:rPr>
        <w:t>0.3</w:t>
      </w:r>
      <w:r w:rsidR="00037870">
        <w:rPr>
          <w:rFonts w:asciiTheme="minorHAnsi" w:hAnsiTheme="minorHAnsi" w:cstheme="minorHAnsi"/>
          <w:color w:val="auto"/>
          <w:sz w:val="22"/>
          <w:szCs w:val="22"/>
        </w:rPr>
        <w:t>34</w:t>
      </w:r>
      <w:r w:rsidR="00E660E1" w:rsidRPr="00772792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9651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2E7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AD3EEF"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6 </w:t>
      </w:r>
      <w:r w:rsidR="008039D7" w:rsidRPr="00772792">
        <w:rPr>
          <w:rFonts w:asciiTheme="minorHAnsi" w:hAnsiTheme="minorHAnsi" w:cstheme="minorHAnsi"/>
          <w:color w:val="auto"/>
          <w:sz w:val="22"/>
          <w:szCs w:val="22"/>
        </w:rPr>
        <w:t>per cent</w:t>
      </w:r>
      <w:r w:rsidR="004152E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039D7" w:rsidRPr="007727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660E1"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5582"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more than originally </w:t>
      </w:r>
      <w:r w:rsidR="00E660E1" w:rsidRPr="00772792">
        <w:rPr>
          <w:rFonts w:asciiTheme="minorHAnsi" w:hAnsiTheme="minorHAnsi" w:cstheme="minorHAnsi"/>
          <w:color w:val="auto"/>
          <w:sz w:val="22"/>
          <w:szCs w:val="22"/>
        </w:rPr>
        <w:t>budgeted</w:t>
      </w:r>
      <w:r w:rsidR="00775582" w:rsidRPr="0077279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039D7"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014D9" w:rsidRPr="00772792" w:rsidRDefault="00E014D9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F513B" w:rsidRPr="00772792" w:rsidRDefault="00E014D9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037870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crease was mainly due to </w:t>
      </w:r>
      <w:r w:rsidR="00037870">
        <w:rPr>
          <w:rFonts w:asciiTheme="minorHAnsi" w:hAnsiTheme="minorHAnsi" w:cstheme="minorHAnsi"/>
          <w:color w:val="auto"/>
          <w:sz w:val="22"/>
          <w:szCs w:val="22"/>
        </w:rPr>
        <w:t xml:space="preserve">a reduction in employee expenses for </w:t>
      </w:r>
      <w:r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the reporting 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 xml:space="preserve">period resulting from </w:t>
      </w:r>
      <w:r w:rsidR="00037870">
        <w:rPr>
          <w:rFonts w:asciiTheme="minorHAnsi" w:hAnsiTheme="minorHAnsi" w:cstheme="minorHAnsi"/>
          <w:color w:val="auto"/>
          <w:sz w:val="22"/>
          <w:szCs w:val="22"/>
        </w:rPr>
        <w:t>lower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 xml:space="preserve"> than anticipated vehicle lease expenses for the non-executive </w:t>
      </w:r>
      <w:proofErr w:type="gramStart"/>
      <w:r w:rsidR="00BC5D33">
        <w:rPr>
          <w:rFonts w:asciiTheme="minorHAnsi" w:hAnsiTheme="minorHAnsi" w:cstheme="minorHAnsi"/>
          <w:color w:val="auto"/>
          <w:sz w:val="22"/>
          <w:szCs w:val="22"/>
        </w:rPr>
        <w:t>members</w:t>
      </w:r>
      <w:proofErr w:type="gramEnd"/>
      <w:r w:rsidR="00BC5D33">
        <w:rPr>
          <w:rFonts w:asciiTheme="minorHAnsi" w:hAnsiTheme="minorHAnsi" w:cstheme="minorHAnsi"/>
          <w:color w:val="auto"/>
          <w:sz w:val="22"/>
          <w:szCs w:val="22"/>
        </w:rPr>
        <w:t xml:space="preserve"> motor vehicles and wages and salaries.</w:t>
      </w:r>
    </w:p>
    <w:p w:rsidR="007B3D18" w:rsidRPr="00772792" w:rsidRDefault="007B3D18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B3D18" w:rsidRPr="00772792" w:rsidRDefault="007B3D18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Total Income for the 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>Territorial Entity</w:t>
      </w:r>
      <w:r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 was $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83D97" w:rsidRPr="0077279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>791</w:t>
      </w:r>
      <w:r w:rsidR="00B83D97" w:rsidRPr="00772792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83D97"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 which was $0.3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>92</w:t>
      </w:r>
      <w:r w:rsidR="00B83D97"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m 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>less</w:t>
      </w:r>
      <w:r w:rsidR="00B83D97"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 than originally 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>budgeted.</w:t>
      </w:r>
    </w:p>
    <w:p w:rsidR="007B3D18" w:rsidRPr="00772792" w:rsidRDefault="007B3D18" w:rsidP="00B2781E">
      <w:pPr>
        <w:jc w:val="both"/>
      </w:pPr>
    </w:p>
    <w:p w:rsidR="002666AF" w:rsidRPr="00772792" w:rsidRDefault="002666AF" w:rsidP="00B2781E">
      <w:pPr>
        <w:pStyle w:val="Heading2"/>
        <w:jc w:val="both"/>
      </w:pPr>
      <w:r w:rsidRPr="00772792">
        <w:t xml:space="preserve">Total Expenditure </w:t>
      </w:r>
    </w:p>
    <w:p w:rsidR="000C31D4" w:rsidRPr="00772792" w:rsidRDefault="00555D64" w:rsidP="00B2781E">
      <w:pPr>
        <w:pStyle w:val="Default"/>
        <w:ind w:left="1000" w:hanging="10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72792">
        <w:rPr>
          <w:rFonts w:asciiTheme="minorHAnsi" w:hAnsiTheme="minorHAnsi" w:cstheme="minorHAnsi"/>
          <w:color w:val="auto"/>
          <w:sz w:val="22"/>
          <w:szCs w:val="22"/>
        </w:rPr>
        <w:t>Total Territorial expenditure for 201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E83ADD" w:rsidRPr="00772792"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772792">
        <w:rPr>
          <w:rFonts w:asciiTheme="minorHAnsi" w:hAnsiTheme="minorHAnsi" w:cstheme="minorHAnsi"/>
          <w:color w:val="auto"/>
          <w:sz w:val="22"/>
          <w:szCs w:val="22"/>
        </w:rPr>
        <w:t xml:space="preserve"> was </w:t>
      </w:r>
      <w:r w:rsidR="004E5220" w:rsidRPr="00772792">
        <w:rPr>
          <w:rFonts w:asciiTheme="minorHAnsi" w:hAnsiTheme="minorHAnsi" w:cstheme="minorHAnsi"/>
          <w:color w:val="auto"/>
          <w:sz w:val="22"/>
          <w:szCs w:val="22"/>
        </w:rPr>
        <w:t>$6.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>31</w:t>
      </w:r>
      <w:r w:rsidR="00B2781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014D9" w:rsidRPr="00772792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4E5220" w:rsidRPr="0077279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1120E" w:rsidRPr="00772792" w:rsidRDefault="00F1120E" w:rsidP="00B2781E">
      <w:pPr>
        <w:pStyle w:val="Heading3"/>
        <w:jc w:val="both"/>
      </w:pPr>
      <w:r w:rsidRPr="00772792">
        <w:t xml:space="preserve">Comparison to </w:t>
      </w:r>
      <w:r w:rsidR="00D76DE4">
        <w:t xml:space="preserve">2013-14 </w:t>
      </w:r>
      <w:r w:rsidRPr="00772792">
        <w:t>Budget</w:t>
      </w:r>
    </w:p>
    <w:p w:rsidR="00AD6A8D" w:rsidRDefault="00555D64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50C2">
        <w:rPr>
          <w:rFonts w:asciiTheme="minorHAnsi" w:hAnsiTheme="minorHAnsi" w:cstheme="minorHAnsi"/>
          <w:color w:val="auto"/>
          <w:sz w:val="22"/>
          <w:szCs w:val="22"/>
        </w:rPr>
        <w:t>Total expenditure</w:t>
      </w:r>
      <w:r w:rsidR="00F1120E" w:rsidRPr="00A150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1120E" w:rsidRPr="00642383">
        <w:rPr>
          <w:rFonts w:asciiTheme="minorHAnsi" w:hAnsiTheme="minorHAnsi" w:cstheme="minorHAnsi"/>
          <w:color w:val="auto"/>
          <w:sz w:val="22"/>
          <w:szCs w:val="22"/>
        </w:rPr>
        <w:t>was $</w:t>
      </w:r>
      <w:r w:rsidR="00E014D9" w:rsidRPr="00642383">
        <w:rPr>
          <w:rFonts w:asciiTheme="minorHAnsi" w:hAnsiTheme="minorHAnsi" w:cstheme="minorHAnsi"/>
          <w:color w:val="auto"/>
          <w:sz w:val="22"/>
          <w:szCs w:val="22"/>
        </w:rPr>
        <w:t>0.</w:t>
      </w:r>
      <w:r w:rsidR="00BC5D33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781E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F1120E" w:rsidRPr="00642383">
        <w:rPr>
          <w:rFonts w:asciiTheme="minorHAnsi" w:hAnsiTheme="minorHAnsi" w:cstheme="minorHAnsi"/>
          <w:color w:val="auto"/>
          <w:sz w:val="22"/>
          <w:szCs w:val="22"/>
        </w:rPr>
        <w:t xml:space="preserve">m </w:t>
      </w:r>
      <w:r w:rsidR="00E014D9" w:rsidRPr="00642383">
        <w:rPr>
          <w:rFonts w:asciiTheme="minorHAnsi" w:hAnsiTheme="minorHAnsi" w:cstheme="minorHAnsi"/>
          <w:color w:val="auto"/>
          <w:sz w:val="22"/>
          <w:szCs w:val="22"/>
        </w:rPr>
        <w:t xml:space="preserve">less </w:t>
      </w:r>
      <w:r w:rsidR="00730C69" w:rsidRPr="00642383">
        <w:rPr>
          <w:rFonts w:asciiTheme="minorHAnsi" w:hAnsiTheme="minorHAnsi" w:cstheme="minorHAnsi"/>
          <w:color w:val="auto"/>
          <w:sz w:val="22"/>
          <w:szCs w:val="22"/>
        </w:rPr>
        <w:t>than budgeted</w:t>
      </w:r>
      <w:r w:rsidR="00E014D9">
        <w:rPr>
          <w:rFonts w:asciiTheme="minorHAnsi" w:hAnsiTheme="minorHAnsi" w:cstheme="minorHAnsi"/>
          <w:color w:val="auto"/>
          <w:sz w:val="22"/>
          <w:szCs w:val="22"/>
        </w:rPr>
        <w:t xml:space="preserve">. This </w:t>
      </w:r>
      <w:r w:rsidR="00833F16">
        <w:rPr>
          <w:rFonts w:asciiTheme="minorHAnsi" w:hAnsiTheme="minorHAnsi" w:cstheme="minorHAnsi"/>
          <w:color w:val="auto"/>
          <w:sz w:val="22"/>
          <w:szCs w:val="22"/>
        </w:rPr>
        <w:t xml:space="preserve">lower-than-budgeted </w:t>
      </w:r>
      <w:r w:rsidR="00E014D9">
        <w:rPr>
          <w:rFonts w:asciiTheme="minorHAnsi" w:hAnsiTheme="minorHAnsi" w:cstheme="minorHAnsi"/>
          <w:color w:val="auto"/>
          <w:sz w:val="22"/>
          <w:szCs w:val="22"/>
        </w:rPr>
        <w:t xml:space="preserve">expenditure is largely </w:t>
      </w:r>
      <w:r w:rsidR="00AD6A8D">
        <w:rPr>
          <w:rFonts w:asciiTheme="minorHAnsi" w:hAnsiTheme="minorHAnsi" w:cstheme="minorHAnsi"/>
          <w:color w:val="auto"/>
          <w:sz w:val="22"/>
          <w:szCs w:val="22"/>
        </w:rPr>
        <w:t xml:space="preserve">due to 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the following </w:t>
      </w:r>
      <w:r w:rsidR="00AD6A8D">
        <w:rPr>
          <w:rFonts w:asciiTheme="minorHAnsi" w:hAnsiTheme="minorHAnsi" w:cstheme="minorHAnsi"/>
          <w:color w:val="auto"/>
          <w:sz w:val="22"/>
          <w:szCs w:val="22"/>
        </w:rPr>
        <w:t xml:space="preserve">factors: </w:t>
      </w:r>
    </w:p>
    <w:p w:rsidR="00AD6A8D" w:rsidRDefault="00AD6A8D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D6A8D" w:rsidRPr="00A7178B" w:rsidRDefault="00B6686C" w:rsidP="00B2781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178B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AD6A8D" w:rsidRPr="00A7178B">
        <w:rPr>
          <w:rFonts w:asciiTheme="minorHAnsi" w:hAnsiTheme="minorHAnsi" w:cstheme="minorHAnsi"/>
          <w:color w:val="auto"/>
          <w:sz w:val="22"/>
          <w:szCs w:val="22"/>
        </w:rPr>
        <w:t>ower</w:t>
      </w:r>
      <w:r w:rsidRPr="00A7178B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AD6A8D" w:rsidRPr="00A7178B">
        <w:rPr>
          <w:rFonts w:asciiTheme="minorHAnsi" w:hAnsiTheme="minorHAnsi" w:cstheme="minorHAnsi"/>
          <w:color w:val="auto"/>
          <w:sz w:val="22"/>
          <w:szCs w:val="22"/>
        </w:rPr>
        <w:t>than</w:t>
      </w:r>
      <w:r w:rsidRPr="00A7178B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AD6A8D" w:rsidRPr="00A7178B">
        <w:rPr>
          <w:rFonts w:asciiTheme="minorHAnsi" w:hAnsiTheme="minorHAnsi" w:cstheme="minorHAnsi"/>
          <w:color w:val="auto"/>
          <w:sz w:val="22"/>
          <w:szCs w:val="22"/>
        </w:rPr>
        <w:t>anticipated staffin</w:t>
      </w:r>
      <w:r w:rsidR="00397448" w:rsidRPr="00A7178B">
        <w:rPr>
          <w:rFonts w:asciiTheme="minorHAnsi" w:hAnsiTheme="minorHAnsi" w:cstheme="minorHAnsi"/>
          <w:color w:val="auto"/>
          <w:sz w:val="22"/>
          <w:szCs w:val="22"/>
        </w:rPr>
        <w:t>g in members’ offices</w:t>
      </w:r>
      <w:r w:rsidR="00A7178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397448" w:rsidRPr="00397448" w:rsidRDefault="00397448" w:rsidP="00B2781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lower-than-anticipated superannuation expenses ($0.1</w:t>
      </w:r>
      <w:r w:rsidR="00B2781E">
        <w:rPr>
          <w:rFonts w:asciiTheme="minorHAnsi" w:hAnsiTheme="minorHAnsi" w:cstheme="minorHAnsi"/>
          <w:color w:val="auto"/>
          <w:sz w:val="22"/>
          <w:szCs w:val="22"/>
        </w:rPr>
        <w:t>61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m) due to a </w:t>
      </w:r>
      <w:r w:rsidR="00A7178B">
        <w:rPr>
          <w:rFonts w:asciiTheme="minorHAnsi" w:hAnsiTheme="minorHAnsi" w:cstheme="minorHAnsi"/>
          <w:color w:val="auto"/>
          <w:sz w:val="22"/>
          <w:szCs w:val="22"/>
        </w:rPr>
        <w:t xml:space="preserve">reduction </w:t>
      </w:r>
      <w:r>
        <w:rPr>
          <w:rFonts w:asciiTheme="minorHAnsi" w:hAnsiTheme="minorHAnsi" w:cstheme="minorHAnsi"/>
          <w:color w:val="auto"/>
          <w:sz w:val="22"/>
          <w:szCs w:val="22"/>
        </w:rPr>
        <w:t>in</w:t>
      </w:r>
      <w:r w:rsidR="00A7178B">
        <w:rPr>
          <w:rFonts w:asciiTheme="minorHAnsi" w:hAnsiTheme="minorHAnsi" w:cstheme="minorHAnsi"/>
          <w:color w:val="auto"/>
          <w:sz w:val="22"/>
          <w:szCs w:val="22"/>
        </w:rPr>
        <w:t xml:space="preserve"> the number of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employees </w:t>
      </w:r>
      <w:r w:rsidR="00A7178B">
        <w:rPr>
          <w:rFonts w:asciiTheme="minorHAnsi" w:hAnsiTheme="minorHAnsi" w:cstheme="minorHAnsi"/>
          <w:color w:val="auto"/>
          <w:sz w:val="22"/>
          <w:szCs w:val="22"/>
        </w:rPr>
        <w:t xml:space="preserve">who were entitled to be members of a </w:t>
      </w:r>
      <w:r>
        <w:rPr>
          <w:rFonts w:asciiTheme="minorHAnsi" w:hAnsiTheme="minorHAnsi" w:cstheme="minorHAnsi"/>
          <w:color w:val="auto"/>
          <w:sz w:val="22"/>
          <w:szCs w:val="22"/>
        </w:rPr>
        <w:t>defined benefit scheme</w:t>
      </w:r>
      <w:r w:rsidR="00A7178B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and a</w:t>
      </w:r>
      <w:r w:rsidR="00A7178B">
        <w:rPr>
          <w:rFonts w:asciiTheme="minorHAnsi" w:hAnsiTheme="minorHAnsi" w:cstheme="minorHAnsi"/>
          <w:color w:val="auto"/>
          <w:sz w:val="22"/>
          <w:szCs w:val="22"/>
        </w:rPr>
        <w:t xml:space="preserve"> corresponding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increase in </w:t>
      </w:r>
      <w:r w:rsidR="00AE6711">
        <w:rPr>
          <w:rFonts w:asciiTheme="minorHAnsi" w:hAnsiTheme="minorHAnsi" w:cstheme="minorHAnsi"/>
          <w:color w:val="auto"/>
          <w:sz w:val="22"/>
          <w:szCs w:val="22"/>
        </w:rPr>
        <w:t xml:space="preserve">the number of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employees </w:t>
      </w:r>
      <w:r w:rsidR="00AE6711">
        <w:rPr>
          <w:rFonts w:asciiTheme="minorHAnsi" w:hAnsiTheme="minorHAnsi" w:cstheme="minorHAnsi"/>
          <w:color w:val="auto"/>
          <w:sz w:val="22"/>
          <w:szCs w:val="22"/>
        </w:rPr>
        <w:t xml:space="preserve">in lower rate </w:t>
      </w:r>
      <w:r>
        <w:rPr>
          <w:rFonts w:asciiTheme="minorHAnsi" w:hAnsiTheme="minorHAnsi" w:cstheme="minorHAnsi"/>
          <w:color w:val="auto"/>
          <w:sz w:val="22"/>
          <w:szCs w:val="22"/>
        </w:rPr>
        <w:t>fund</w:t>
      </w:r>
      <w:r w:rsidR="00AE6711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</w:rPr>
        <w:t>of</w:t>
      </w:r>
      <w:r w:rsidR="00AE6711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color w:val="auto"/>
          <w:sz w:val="22"/>
          <w:szCs w:val="22"/>
        </w:rPr>
        <w:t>choice</w:t>
      </w:r>
      <w:r w:rsidR="00AE6711">
        <w:rPr>
          <w:rFonts w:asciiTheme="minorHAnsi" w:hAnsiTheme="minorHAnsi" w:cstheme="minorHAnsi"/>
          <w:color w:val="auto"/>
          <w:sz w:val="22"/>
          <w:szCs w:val="22"/>
        </w:rPr>
        <w:t xml:space="preserve"> schemes</w:t>
      </w:r>
      <w:r w:rsidR="00A7178B">
        <w:rPr>
          <w:rFonts w:asciiTheme="minorHAnsi" w:hAnsiTheme="minorHAnsi" w:cstheme="minorHAnsi"/>
          <w:color w:val="auto"/>
          <w:sz w:val="22"/>
          <w:szCs w:val="22"/>
        </w:rPr>
        <w:t>; and</w:t>
      </w:r>
    </w:p>
    <w:p w:rsidR="009C7340" w:rsidRDefault="00AD6A8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2383">
        <w:rPr>
          <w:rFonts w:asciiTheme="minorHAnsi" w:hAnsiTheme="minorHAnsi" w:cstheme="minorHAnsi"/>
          <w:color w:val="auto"/>
          <w:sz w:val="22"/>
          <w:szCs w:val="22"/>
        </w:rPr>
        <w:t xml:space="preserve">a reduction </w:t>
      </w:r>
      <w:r w:rsidR="00FF05D3" w:rsidRPr="00642383">
        <w:rPr>
          <w:rFonts w:asciiTheme="minorHAnsi" w:hAnsiTheme="minorHAnsi" w:cstheme="minorHAnsi"/>
          <w:color w:val="auto"/>
          <w:sz w:val="22"/>
          <w:szCs w:val="22"/>
        </w:rPr>
        <w:t>($0.</w:t>
      </w:r>
      <w:r w:rsidR="0039744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F05D3" w:rsidRPr="00642383">
        <w:rPr>
          <w:rFonts w:asciiTheme="minorHAnsi" w:hAnsiTheme="minorHAnsi" w:cstheme="minorHAnsi"/>
          <w:color w:val="auto"/>
          <w:sz w:val="22"/>
          <w:szCs w:val="22"/>
        </w:rPr>
        <w:t>39m)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42383">
        <w:rPr>
          <w:rFonts w:asciiTheme="minorHAnsi" w:hAnsiTheme="minorHAnsi" w:cstheme="minorHAnsi"/>
          <w:color w:val="auto"/>
          <w:sz w:val="22"/>
          <w:szCs w:val="22"/>
        </w:rPr>
        <w:t xml:space="preserve">in the Vehicle Lease Expenses incurred </w:t>
      </w:r>
      <w:r w:rsidR="00670F4A" w:rsidRPr="00642383">
        <w:rPr>
          <w:rFonts w:asciiTheme="minorHAnsi" w:hAnsiTheme="minorHAnsi" w:cstheme="minorHAnsi"/>
          <w:color w:val="auto"/>
          <w:sz w:val="22"/>
          <w:szCs w:val="22"/>
        </w:rPr>
        <w:t xml:space="preserve">due to a </w:t>
      </w:r>
      <w:r w:rsidR="008B3DAB" w:rsidRPr="00642383">
        <w:rPr>
          <w:rFonts w:asciiTheme="minorHAnsi" w:hAnsiTheme="minorHAnsi" w:cstheme="minorHAnsi"/>
          <w:color w:val="auto"/>
          <w:sz w:val="22"/>
          <w:szCs w:val="22"/>
        </w:rPr>
        <w:t xml:space="preserve">reduction in the number of members 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electing to </w:t>
      </w:r>
      <w:r w:rsidR="008B3DAB" w:rsidRPr="00642383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152E7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="008B3DAB" w:rsidRPr="00642383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>ir</w:t>
      </w:r>
      <w:r w:rsidR="00670F4A" w:rsidRPr="00642383">
        <w:rPr>
          <w:rFonts w:asciiTheme="minorHAnsi" w:hAnsiTheme="minorHAnsi" w:cstheme="minorHAnsi"/>
          <w:color w:val="auto"/>
          <w:sz w:val="22"/>
          <w:szCs w:val="22"/>
        </w:rPr>
        <w:t xml:space="preserve"> entitlement to a</w:t>
      </w:r>
      <w:r w:rsidR="008B3DAB" w:rsidRPr="00642383">
        <w:rPr>
          <w:rFonts w:asciiTheme="minorHAnsi" w:hAnsiTheme="minorHAnsi" w:cstheme="minorHAnsi"/>
          <w:color w:val="auto"/>
          <w:sz w:val="22"/>
          <w:szCs w:val="22"/>
        </w:rPr>
        <w:t xml:space="preserve"> fully maintained vehicle</w:t>
      </w:r>
      <w:r w:rsidR="00FF05D3">
        <w:rPr>
          <w:rFonts w:asciiTheme="minorHAnsi" w:hAnsiTheme="minorHAnsi" w:cstheme="minorHAnsi"/>
          <w:color w:val="auto"/>
          <w:sz w:val="22"/>
          <w:szCs w:val="22"/>
        </w:rPr>
        <w:t xml:space="preserve"> and instead opting to receive an in lieu payment</w:t>
      </w:r>
      <w:r w:rsidR="008B3DAB" w:rsidRPr="0064238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1120E" w:rsidRPr="00A150C2" w:rsidRDefault="00F1120E" w:rsidP="00B2781E">
      <w:pPr>
        <w:pStyle w:val="Heading3"/>
        <w:jc w:val="both"/>
      </w:pPr>
      <w:r w:rsidRPr="00A150C2">
        <w:t>Comparison to 20</w:t>
      </w:r>
      <w:r w:rsidR="00E83ADD">
        <w:t>1</w:t>
      </w:r>
      <w:r w:rsidR="00397448">
        <w:t>2</w:t>
      </w:r>
      <w:r w:rsidR="00E83ADD">
        <w:t>-1</w:t>
      </w:r>
      <w:r w:rsidR="00397448">
        <w:t>3</w:t>
      </w:r>
      <w:r w:rsidRPr="00A150C2">
        <w:t xml:space="preserve"> Actual </w:t>
      </w:r>
      <w:r w:rsidR="00D76DE4">
        <w:t>Expenditure</w:t>
      </w:r>
    </w:p>
    <w:p w:rsidR="008B3DAB" w:rsidRPr="00B624A2" w:rsidRDefault="00D76DE4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 t</w:t>
      </w:r>
      <w:r w:rsidR="008B3DAB" w:rsidRPr="00B624A2">
        <w:rPr>
          <w:rFonts w:asciiTheme="minorHAnsi" w:hAnsiTheme="minorHAnsi" w:cstheme="minorHAnsi"/>
          <w:color w:val="auto"/>
          <w:sz w:val="22"/>
          <w:szCs w:val="22"/>
        </w:rPr>
        <w:t xml:space="preserve">otal 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454D4" w:rsidRPr="00B624A2">
        <w:rPr>
          <w:rFonts w:asciiTheme="minorHAnsi" w:hAnsiTheme="minorHAnsi" w:cstheme="minorHAnsi"/>
          <w:color w:val="auto"/>
          <w:sz w:val="22"/>
          <w:szCs w:val="22"/>
        </w:rPr>
        <w:t>xpenditure</w:t>
      </w:r>
      <w:r w:rsidR="00194CA3" w:rsidRPr="00B624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of $6.311m </w:t>
      </w:r>
      <w:r w:rsidR="00194CA3" w:rsidRPr="00B624A2">
        <w:rPr>
          <w:rFonts w:asciiTheme="minorHAnsi" w:hAnsiTheme="minorHAnsi" w:cstheme="minorHAnsi"/>
          <w:color w:val="auto"/>
          <w:sz w:val="22"/>
          <w:szCs w:val="22"/>
        </w:rPr>
        <w:t>in 201</w:t>
      </w:r>
      <w:r w:rsidR="0039744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94CA3" w:rsidRPr="00B624A2"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39744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454D4" w:rsidRPr="00B624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54D4" w:rsidRPr="004740CA">
        <w:rPr>
          <w:rFonts w:asciiTheme="minorHAnsi" w:hAnsiTheme="minorHAnsi" w:cstheme="minorHAnsi"/>
          <w:color w:val="auto"/>
          <w:sz w:val="22"/>
          <w:szCs w:val="22"/>
        </w:rPr>
        <w:t xml:space="preserve">was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$0.390m </w:t>
      </w:r>
      <w:r w:rsidR="00763712">
        <w:rPr>
          <w:rFonts w:asciiTheme="minorHAnsi" w:hAnsiTheme="minorHAnsi" w:cstheme="minorHAnsi"/>
          <w:color w:val="auto"/>
          <w:sz w:val="22"/>
          <w:szCs w:val="22"/>
        </w:rPr>
        <w:t>less</w:t>
      </w:r>
      <w:bookmarkStart w:id="0" w:name="_GoBack"/>
      <w:bookmarkEnd w:id="0"/>
      <w:r w:rsidR="00FF31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810FBF">
        <w:rPr>
          <w:rFonts w:asciiTheme="minorHAnsi" w:hAnsiTheme="minorHAnsi" w:cstheme="minorHAnsi"/>
          <w:color w:val="auto"/>
          <w:sz w:val="22"/>
          <w:szCs w:val="22"/>
        </w:rPr>
        <w:t xml:space="preserve">5.8 per cent) </w:t>
      </w:r>
      <w:r w:rsidR="00763712">
        <w:rPr>
          <w:rFonts w:asciiTheme="minorHAnsi" w:hAnsiTheme="minorHAnsi" w:cstheme="minorHAnsi"/>
          <w:color w:val="auto"/>
          <w:sz w:val="22"/>
          <w:szCs w:val="22"/>
        </w:rPr>
        <w:t>than</w:t>
      </w:r>
      <w:r w:rsidR="00810F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3DAB" w:rsidRPr="00B624A2">
        <w:rPr>
          <w:rFonts w:asciiTheme="minorHAnsi" w:hAnsiTheme="minorHAnsi" w:cstheme="minorHAnsi"/>
          <w:color w:val="auto"/>
          <w:sz w:val="22"/>
          <w:szCs w:val="22"/>
        </w:rPr>
        <w:t>for the previous financial year ($</w:t>
      </w:r>
      <w:r w:rsidR="00AE6711" w:rsidRPr="00B624A2">
        <w:rPr>
          <w:rFonts w:asciiTheme="minorHAnsi" w:hAnsiTheme="minorHAnsi" w:cstheme="minorHAnsi"/>
          <w:color w:val="auto"/>
          <w:sz w:val="22"/>
          <w:szCs w:val="22"/>
        </w:rPr>
        <w:t>6.701m</w:t>
      </w:r>
      <w:r w:rsidR="00810FBF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AE6711" w:rsidRDefault="00AE6711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B3D18" w:rsidRDefault="007B3D18" w:rsidP="00B2781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components of Total Territorial </w:t>
      </w:r>
      <w:r w:rsidR="004C0AAC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>xpenditure for 201</w:t>
      </w:r>
      <w:r w:rsidR="00397448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>-1</w:t>
      </w:r>
      <w:r w:rsidR="00397448">
        <w:rPr>
          <w:rFonts w:asciiTheme="minorHAnsi" w:hAnsiTheme="minorHAnsi" w:cstheme="minorHAnsi"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are set out in the table and illustrated in the chart below.</w:t>
      </w:r>
    </w:p>
    <w:p w:rsidR="00FA74FE" w:rsidRPr="00BB06F4" w:rsidRDefault="00FA74FE" w:rsidP="00BB06F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9186" w:type="dxa"/>
        <w:tblInd w:w="108" w:type="dxa"/>
        <w:tblLayout w:type="fixed"/>
        <w:tblLook w:val="00BF"/>
      </w:tblPr>
      <w:tblGrid>
        <w:gridCol w:w="1531"/>
        <w:gridCol w:w="1730"/>
        <w:gridCol w:w="1332"/>
        <w:gridCol w:w="1531"/>
        <w:gridCol w:w="1531"/>
        <w:gridCol w:w="1531"/>
      </w:tblGrid>
      <w:tr w:rsidR="005607C8" w:rsidRPr="00C06689" w:rsidTr="00FF17FA">
        <w:tc>
          <w:tcPr>
            <w:tcW w:w="1531" w:type="dxa"/>
            <w:shd w:val="clear" w:color="auto" w:fill="8DB3E2" w:themeFill="text2" w:themeFillTint="66"/>
          </w:tcPr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Employee Expenses</w:t>
            </w:r>
          </w:p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  <w:tc>
          <w:tcPr>
            <w:tcW w:w="1730" w:type="dxa"/>
            <w:shd w:val="clear" w:color="auto" w:fill="8DB3E2" w:themeFill="text2" w:themeFillTint="66"/>
          </w:tcPr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Superannuation Expenses</w:t>
            </w:r>
          </w:p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Supplies and Services</w:t>
            </w:r>
          </w:p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Depreciation </w:t>
            </w:r>
          </w:p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Borrowing Costs</w:t>
            </w:r>
            <w:r w:rsidR="001E68FE"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Other Expenses</w:t>
            </w:r>
          </w:p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  <w:p w:rsidR="005607C8" w:rsidRPr="00C06689" w:rsidRDefault="005607C8" w:rsidP="00A7377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$m</w:t>
            </w:r>
          </w:p>
        </w:tc>
      </w:tr>
      <w:tr w:rsidR="005607C8" w:rsidRPr="00B624A2" w:rsidTr="00C91DE3">
        <w:trPr>
          <w:trHeight w:val="466"/>
        </w:trPr>
        <w:tc>
          <w:tcPr>
            <w:tcW w:w="1531" w:type="dxa"/>
            <w:vAlign w:val="bottom"/>
          </w:tcPr>
          <w:p w:rsidR="005607C8" w:rsidRPr="00B624A2" w:rsidRDefault="00397448" w:rsidP="0039744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="00E73EDA" w:rsidRPr="00B62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63</w:t>
            </w:r>
            <w:r w:rsidR="004740C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730" w:type="dxa"/>
            <w:vAlign w:val="bottom"/>
          </w:tcPr>
          <w:p w:rsidR="005607C8" w:rsidRPr="00B624A2" w:rsidRDefault="00E73EDA" w:rsidP="00B624A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62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0.</w:t>
            </w:r>
            <w:r w:rsidR="003974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568</w:t>
            </w:r>
          </w:p>
        </w:tc>
        <w:tc>
          <w:tcPr>
            <w:tcW w:w="1332" w:type="dxa"/>
            <w:vAlign w:val="bottom"/>
          </w:tcPr>
          <w:p w:rsidR="005607C8" w:rsidRPr="00B624A2" w:rsidRDefault="00E73EDA" w:rsidP="00B2781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62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0.</w:t>
            </w:r>
            <w:r w:rsidR="003974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="00B2781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3974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bottom"/>
          </w:tcPr>
          <w:p w:rsidR="005607C8" w:rsidRPr="00B624A2" w:rsidRDefault="00E73EDA" w:rsidP="00B624A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62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0.5</w:t>
            </w:r>
            <w:r w:rsidR="003974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56</w:t>
            </w:r>
          </w:p>
        </w:tc>
        <w:tc>
          <w:tcPr>
            <w:tcW w:w="1531" w:type="dxa"/>
          </w:tcPr>
          <w:p w:rsidR="00C815EE" w:rsidRPr="00B624A2" w:rsidRDefault="00C91DE3" w:rsidP="00FF317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11127C" w:rsidRPr="00B62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0.0</w:t>
            </w:r>
            <w:r w:rsidR="00FF317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3974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bottom"/>
          </w:tcPr>
          <w:p w:rsidR="005607C8" w:rsidRPr="00B624A2" w:rsidRDefault="00187912" w:rsidP="00AB1D5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62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6.</w:t>
            </w:r>
            <w:r w:rsidR="003974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31</w:t>
            </w:r>
            <w:r w:rsidR="00B2781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</w:tr>
    </w:tbl>
    <w:p w:rsidR="000647BB" w:rsidRDefault="000647BB" w:rsidP="007B3D18">
      <w:pPr>
        <w:pStyle w:val="Heading2"/>
      </w:pPr>
    </w:p>
    <w:p w:rsidR="000647BB" w:rsidRDefault="000647BB" w:rsidP="000647BB">
      <w:pPr>
        <w:rPr>
          <w:rFonts w:ascii="Calibri" w:eastAsiaTheme="majorEastAsia" w:hAnsi="Calibri" w:cstheme="majorBidi"/>
          <w:sz w:val="24"/>
          <w:szCs w:val="26"/>
        </w:rPr>
      </w:pPr>
      <w:r>
        <w:br w:type="page"/>
      </w:r>
    </w:p>
    <w:p w:rsidR="0093184C" w:rsidRDefault="007B3D18" w:rsidP="007B3D18">
      <w:pPr>
        <w:pStyle w:val="Heading2"/>
      </w:pPr>
      <w:r>
        <w:lastRenderedPageBreak/>
        <w:t>Breakdown of Total Expenditure</w:t>
      </w:r>
      <w:r w:rsidR="00E0519A">
        <w:t xml:space="preserve"> 2</w:t>
      </w:r>
      <w:r w:rsidR="00397448">
        <w:t>013</w:t>
      </w:r>
      <w:r w:rsidR="00E0519A">
        <w:t>-1</w:t>
      </w:r>
      <w:r w:rsidR="00397448">
        <w:t>4</w:t>
      </w:r>
    </w:p>
    <w:p w:rsidR="00397448" w:rsidRDefault="00397448" w:rsidP="00397448"/>
    <w:p w:rsidR="00397448" w:rsidRPr="00397448" w:rsidRDefault="00397448" w:rsidP="00397448"/>
    <w:p w:rsidR="00585215" w:rsidRDefault="001B5C62" w:rsidP="0093184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B5C62">
        <w:rPr>
          <w:noProof/>
          <w:szCs w:val="23"/>
        </w:rPr>
        <w:drawing>
          <wp:inline distT="0" distB="0" distL="0" distR="0">
            <wp:extent cx="5490210" cy="3532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5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36" w:rsidRDefault="009C1636" w:rsidP="0093184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585215" w:rsidRPr="00B41C86" w:rsidRDefault="00585215" w:rsidP="00585215">
      <w:pPr>
        <w:pStyle w:val="Heading1"/>
        <w:jc w:val="both"/>
        <w:rPr>
          <w:sz w:val="28"/>
        </w:rPr>
      </w:pPr>
      <w:r>
        <w:rPr>
          <w:sz w:val="28"/>
        </w:rPr>
        <w:t xml:space="preserve">Territorial </w:t>
      </w:r>
      <w:r w:rsidRPr="00B41C86">
        <w:rPr>
          <w:sz w:val="28"/>
        </w:rPr>
        <w:t>Financial Position</w:t>
      </w:r>
    </w:p>
    <w:p w:rsidR="00585215" w:rsidRPr="00EF137B" w:rsidRDefault="00585215" w:rsidP="00585215">
      <w:pPr>
        <w:pStyle w:val="Heading2"/>
        <w:jc w:val="both"/>
      </w:pPr>
      <w:r w:rsidRPr="00EF137B">
        <w:t>Total Assets</w:t>
      </w:r>
    </w:p>
    <w:p w:rsidR="00585215" w:rsidRPr="00EF137B" w:rsidRDefault="00585215" w:rsidP="00585215">
      <w:pPr>
        <w:pStyle w:val="Bodycopy"/>
        <w:jc w:val="both"/>
      </w:pPr>
      <w:r w:rsidRPr="00EF137B">
        <w:t>The value of the Office's</w:t>
      </w:r>
      <w:r>
        <w:t xml:space="preserve"> Territorial</w:t>
      </w:r>
      <w:r w:rsidRPr="00EF137B">
        <w:t xml:space="preserve"> Total Assets at 30 June 201</w:t>
      </w:r>
      <w:r>
        <w:t>4</w:t>
      </w:r>
      <w:r w:rsidRPr="00EF137B">
        <w:t xml:space="preserve"> was $</w:t>
      </w:r>
      <w:r>
        <w:t>31</w:t>
      </w:r>
      <w:r w:rsidRPr="00EF137B">
        <w:t>.</w:t>
      </w:r>
      <w:r>
        <w:t>058</w:t>
      </w:r>
      <w:r w:rsidRPr="00EF137B">
        <w:t>m. The composition and proportions of this total amount are shown in the following table and chart</w:t>
      </w:r>
      <w:r>
        <w:t>.</w:t>
      </w:r>
    </w:p>
    <w:p w:rsidR="00585215" w:rsidRPr="00EF137B" w:rsidRDefault="00585215" w:rsidP="00585215">
      <w:pPr>
        <w:pStyle w:val="Default"/>
        <w:ind w:firstLine="13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8789" w:type="dxa"/>
        <w:tblInd w:w="108" w:type="dxa"/>
        <w:tblLook w:val="00BF"/>
      </w:tblPr>
      <w:tblGrid>
        <w:gridCol w:w="5245"/>
        <w:gridCol w:w="3544"/>
      </w:tblGrid>
      <w:tr w:rsidR="00585215" w:rsidRPr="00EF137B" w:rsidTr="00585215">
        <w:tc>
          <w:tcPr>
            <w:tcW w:w="5245" w:type="dxa"/>
            <w:shd w:val="clear" w:color="auto" w:fill="8DB3E2" w:themeFill="text2" w:themeFillTint="66"/>
          </w:tcPr>
          <w:p w:rsidR="00585215" w:rsidRPr="00EF137B" w:rsidRDefault="00585215" w:rsidP="005852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Asset category</w:t>
            </w:r>
          </w:p>
        </w:tc>
        <w:tc>
          <w:tcPr>
            <w:tcW w:w="3544" w:type="dxa"/>
            <w:shd w:val="clear" w:color="auto" w:fill="8DB3E2" w:themeFill="text2" w:themeFillTint="66"/>
            <w:vAlign w:val="bottom"/>
          </w:tcPr>
          <w:p w:rsidR="00585215" w:rsidRPr="00EF137B" w:rsidRDefault="00585215" w:rsidP="0058521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Value</w:t>
            </w:r>
          </w:p>
          <w:p w:rsidR="00585215" w:rsidRPr="00EF137B" w:rsidRDefault="00585215" w:rsidP="0058521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EF13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</w:tr>
      <w:tr w:rsidR="00585215" w:rsidRPr="00EF137B" w:rsidTr="00585215">
        <w:tc>
          <w:tcPr>
            <w:tcW w:w="5245" w:type="dxa"/>
          </w:tcPr>
          <w:p w:rsidR="00585215" w:rsidRPr="00EF137B" w:rsidRDefault="00585215" w:rsidP="00585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</w:t>
            </w:r>
          </w:p>
        </w:tc>
        <w:tc>
          <w:tcPr>
            <w:tcW w:w="3544" w:type="dxa"/>
            <w:vAlign w:val="bottom"/>
          </w:tcPr>
          <w:p w:rsidR="00585215" w:rsidRPr="00EF137B" w:rsidRDefault="00585215" w:rsidP="00585215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en-AU"/>
              </w:rPr>
            </w:pPr>
          </w:p>
        </w:tc>
      </w:tr>
      <w:tr w:rsidR="00585215" w:rsidRPr="00EF137B" w:rsidTr="00585215">
        <w:tc>
          <w:tcPr>
            <w:tcW w:w="5245" w:type="dxa"/>
          </w:tcPr>
          <w:p w:rsidR="00585215" w:rsidRPr="00EF137B" w:rsidRDefault="00585215" w:rsidP="0058521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Cash and cash equivalents</w:t>
            </w:r>
          </w:p>
        </w:tc>
        <w:tc>
          <w:tcPr>
            <w:tcW w:w="3544" w:type="dxa"/>
            <w:vAlign w:val="bottom"/>
          </w:tcPr>
          <w:p w:rsidR="00585215" w:rsidRPr="00EF137B" w:rsidRDefault="00585215" w:rsidP="005852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254</w:t>
            </w:r>
          </w:p>
        </w:tc>
      </w:tr>
      <w:tr w:rsidR="00585215" w:rsidRPr="00EF137B" w:rsidTr="00585215">
        <w:tc>
          <w:tcPr>
            <w:tcW w:w="5245" w:type="dxa"/>
          </w:tcPr>
          <w:p w:rsidR="00585215" w:rsidRPr="00EF137B" w:rsidRDefault="00585215" w:rsidP="0058521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Receivables</w:t>
            </w:r>
          </w:p>
        </w:tc>
        <w:tc>
          <w:tcPr>
            <w:tcW w:w="3544" w:type="dxa"/>
            <w:vAlign w:val="bottom"/>
          </w:tcPr>
          <w:p w:rsidR="00585215" w:rsidRPr="00EF137B" w:rsidRDefault="00585215" w:rsidP="005852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014</w:t>
            </w:r>
          </w:p>
        </w:tc>
      </w:tr>
      <w:tr w:rsidR="00585215" w:rsidRPr="00EF137B" w:rsidTr="00585215">
        <w:tc>
          <w:tcPr>
            <w:tcW w:w="5245" w:type="dxa"/>
          </w:tcPr>
          <w:p w:rsidR="00585215" w:rsidRPr="00EF137B" w:rsidRDefault="00585215" w:rsidP="005852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Non-Current</w:t>
            </w:r>
          </w:p>
        </w:tc>
        <w:tc>
          <w:tcPr>
            <w:tcW w:w="3544" w:type="dxa"/>
            <w:vAlign w:val="bottom"/>
          </w:tcPr>
          <w:p w:rsidR="00585215" w:rsidRPr="00EF137B" w:rsidRDefault="00585215" w:rsidP="005852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215" w:rsidRPr="00EF137B" w:rsidTr="00585215">
        <w:tc>
          <w:tcPr>
            <w:tcW w:w="5245" w:type="dxa"/>
          </w:tcPr>
          <w:p w:rsidR="00585215" w:rsidRPr="00EF137B" w:rsidRDefault="00585215" w:rsidP="0058521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Property, Plant and Equipment</w:t>
            </w:r>
          </w:p>
        </w:tc>
        <w:tc>
          <w:tcPr>
            <w:tcW w:w="3544" w:type="dxa"/>
            <w:vAlign w:val="bottom"/>
          </w:tcPr>
          <w:p w:rsidR="00585215" w:rsidRPr="00EF137B" w:rsidRDefault="00585215" w:rsidP="005852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EF13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790</w:t>
            </w:r>
          </w:p>
        </w:tc>
      </w:tr>
      <w:tr w:rsidR="00585215" w:rsidRPr="00EF137B" w:rsidTr="00585215">
        <w:tc>
          <w:tcPr>
            <w:tcW w:w="5245" w:type="dxa"/>
          </w:tcPr>
          <w:p w:rsidR="00585215" w:rsidRPr="00EF137B" w:rsidRDefault="00585215" w:rsidP="005852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F137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3544" w:type="dxa"/>
            <w:vAlign w:val="bottom"/>
          </w:tcPr>
          <w:p w:rsidR="00585215" w:rsidRPr="00EF137B" w:rsidRDefault="00585215" w:rsidP="0058521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31.058</w:t>
            </w:r>
          </w:p>
        </w:tc>
      </w:tr>
    </w:tbl>
    <w:p w:rsidR="00585215" w:rsidRPr="00EF137B" w:rsidRDefault="00585215" w:rsidP="0058521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53EBE" w:rsidRDefault="00253EBE" w:rsidP="00253EBE">
      <w:pPr>
        <w:pStyle w:val="Bodycopy"/>
        <w:jc w:val="both"/>
      </w:pPr>
      <w:r w:rsidRPr="002C4015">
        <w:t>The Total Asset position of $</w:t>
      </w:r>
      <w:r>
        <w:t>31</w:t>
      </w:r>
      <w:r w:rsidRPr="002C4015">
        <w:t>.</w:t>
      </w:r>
      <w:r>
        <w:t>058</w:t>
      </w:r>
      <w:r w:rsidRPr="002C4015">
        <w:t>m at 30 June 201</w:t>
      </w:r>
      <w:r>
        <w:t>4</w:t>
      </w:r>
      <w:r w:rsidRPr="002C4015">
        <w:t xml:space="preserve"> was $</w:t>
      </w:r>
      <w:r>
        <w:t>2</w:t>
      </w:r>
      <w:r w:rsidRPr="002C4015">
        <w:t>.</w:t>
      </w:r>
      <w:r>
        <w:t>939</w:t>
      </w:r>
      <w:r w:rsidRPr="002C4015">
        <w:t>m higher than the 201</w:t>
      </w:r>
      <w:r>
        <w:t>4</w:t>
      </w:r>
      <w:r w:rsidRPr="002C4015">
        <w:t xml:space="preserve"> </w:t>
      </w:r>
      <w:proofErr w:type="gramStart"/>
      <w:r w:rsidRPr="002C4015">
        <w:t>budgeted</w:t>
      </w:r>
      <w:proofErr w:type="gramEnd"/>
      <w:r w:rsidRPr="002C4015">
        <w:t xml:space="preserve"> amount</w:t>
      </w:r>
      <w:r>
        <w:t xml:space="preserve">. This was </w:t>
      </w:r>
      <w:r w:rsidRPr="002C4015">
        <w:t>mainly due</w:t>
      </w:r>
      <w:r>
        <w:t xml:space="preserve"> to: </w:t>
      </w:r>
    </w:p>
    <w:p w:rsidR="00253EBE" w:rsidRPr="002C4015" w:rsidRDefault="00253EBE" w:rsidP="00253EBE">
      <w:pPr>
        <w:pStyle w:val="Dotties"/>
        <w:jc w:val="both"/>
      </w:pPr>
      <w:proofErr w:type="gramStart"/>
      <w:r>
        <w:t>the</w:t>
      </w:r>
      <w:proofErr w:type="gramEnd"/>
      <w:r>
        <w:t xml:space="preserve"> asset revaluation that was performed in 2013-14, resulting in a larger value being attributed to Property Plant and Equipment.</w:t>
      </w:r>
    </w:p>
    <w:p w:rsidR="00725915" w:rsidRDefault="00725915">
      <w:pPr>
        <w:rPr>
          <w:rFonts w:asciiTheme="minorHAnsi" w:eastAsiaTheme="majorEastAsia" w:hAnsiTheme="minorHAnsi" w:cstheme="majorBidi"/>
          <w:b/>
          <w:bCs/>
          <w:sz w:val="22"/>
          <w:u w:val="single"/>
        </w:rPr>
      </w:pPr>
      <w:r>
        <w:br w:type="page"/>
      </w:r>
    </w:p>
    <w:p w:rsidR="00253EBE" w:rsidRPr="002C4015" w:rsidRDefault="00253EBE" w:rsidP="00253EBE">
      <w:pPr>
        <w:pStyle w:val="Heading3"/>
        <w:jc w:val="both"/>
      </w:pPr>
      <w:r w:rsidRPr="002C4015">
        <w:lastRenderedPageBreak/>
        <w:t>Comparison to 30 June 201</w:t>
      </w:r>
      <w:r>
        <w:t>3</w:t>
      </w:r>
      <w:r w:rsidRPr="002C4015">
        <w:t xml:space="preserve"> Actual</w:t>
      </w:r>
    </w:p>
    <w:p w:rsidR="00253EBE" w:rsidRPr="002C4015" w:rsidRDefault="00253EBE" w:rsidP="00253EBE">
      <w:pPr>
        <w:pStyle w:val="Bodycopy"/>
        <w:jc w:val="both"/>
      </w:pPr>
      <w:r w:rsidRPr="002C4015">
        <w:t>The increase of $</w:t>
      </w:r>
      <w:r>
        <w:t>2</w:t>
      </w:r>
      <w:r w:rsidRPr="002C4015">
        <w:t>.</w:t>
      </w:r>
      <w:r>
        <w:t>368</w:t>
      </w:r>
      <w:r w:rsidRPr="002C4015">
        <w:t>m from the 30 June 201</w:t>
      </w:r>
      <w:r>
        <w:t>3</w:t>
      </w:r>
      <w:r w:rsidRPr="002C4015">
        <w:t xml:space="preserve"> Total Asset Value was mainly due to the increased </w:t>
      </w:r>
      <w:r>
        <w:t xml:space="preserve">asset revaluation </w:t>
      </w:r>
      <w:r w:rsidRPr="002C4015">
        <w:t xml:space="preserve">(discussed above). </w:t>
      </w:r>
    </w:p>
    <w:p w:rsidR="00253EBE" w:rsidRDefault="00253EBE" w:rsidP="00640F2A">
      <w:pPr>
        <w:pStyle w:val="Heading3"/>
        <w:jc w:val="both"/>
      </w:pPr>
      <w:r>
        <w:t>Future trends</w:t>
      </w:r>
    </w:p>
    <w:p w:rsidR="00640F2A" w:rsidRPr="00640F2A" w:rsidRDefault="00640F2A" w:rsidP="00640F2A">
      <w:pPr>
        <w:jc w:val="both"/>
        <w:rPr>
          <w:rFonts w:asciiTheme="minorHAnsi" w:hAnsiTheme="minorHAnsi"/>
          <w:sz w:val="22"/>
          <w:szCs w:val="22"/>
        </w:rPr>
      </w:pPr>
      <w:r w:rsidRPr="00640F2A">
        <w:rPr>
          <w:rFonts w:asciiTheme="minorHAnsi" w:hAnsiTheme="minorHAnsi"/>
          <w:sz w:val="22"/>
          <w:szCs w:val="22"/>
        </w:rPr>
        <w:t>It is anticipated</w:t>
      </w:r>
      <w:r>
        <w:rPr>
          <w:rFonts w:asciiTheme="minorHAnsi" w:hAnsiTheme="minorHAnsi"/>
          <w:sz w:val="22"/>
          <w:szCs w:val="22"/>
        </w:rPr>
        <w:t xml:space="preserve"> that there</w:t>
      </w:r>
      <w:r w:rsidR="00725915">
        <w:rPr>
          <w:rFonts w:asciiTheme="minorHAnsi" w:hAnsiTheme="minorHAnsi"/>
          <w:sz w:val="22"/>
          <w:szCs w:val="22"/>
        </w:rPr>
        <w:t xml:space="preserve"> will be</w:t>
      </w:r>
      <w:r>
        <w:rPr>
          <w:rFonts w:asciiTheme="minorHAnsi" w:hAnsiTheme="minorHAnsi"/>
          <w:sz w:val="22"/>
          <w:szCs w:val="22"/>
        </w:rPr>
        <w:t xml:space="preserve"> </w:t>
      </w:r>
      <w:r w:rsidR="002F2A7E">
        <w:rPr>
          <w:rFonts w:asciiTheme="minorHAnsi" w:hAnsiTheme="minorHAnsi"/>
          <w:sz w:val="22"/>
          <w:szCs w:val="22"/>
        </w:rPr>
        <w:t>ad</w:t>
      </w:r>
      <w:r w:rsidR="00725915">
        <w:rPr>
          <w:rFonts w:asciiTheme="minorHAnsi" w:hAnsiTheme="minorHAnsi"/>
          <w:sz w:val="22"/>
          <w:szCs w:val="22"/>
        </w:rPr>
        <w:t>ditional costs incurred by the O</w:t>
      </w:r>
      <w:r w:rsidR="002F2A7E">
        <w:rPr>
          <w:rFonts w:asciiTheme="minorHAnsi" w:hAnsiTheme="minorHAnsi"/>
          <w:sz w:val="22"/>
          <w:szCs w:val="22"/>
        </w:rPr>
        <w:t>ffice’s Territorial Entity in the event that the Assembly’s membership is enlarged to 25 in 2016</w:t>
      </w:r>
      <w:r>
        <w:rPr>
          <w:rFonts w:asciiTheme="minorHAnsi" w:hAnsiTheme="minorHAnsi"/>
          <w:sz w:val="22"/>
          <w:szCs w:val="22"/>
        </w:rPr>
        <w:t>.</w:t>
      </w:r>
    </w:p>
    <w:p w:rsidR="00253EBE" w:rsidRPr="00A150C2" w:rsidRDefault="00253EBE" w:rsidP="00253EBE">
      <w:pPr>
        <w:pStyle w:val="Heading2"/>
        <w:jc w:val="both"/>
      </w:pPr>
      <w:r>
        <w:t>Total Liabilities</w:t>
      </w:r>
    </w:p>
    <w:p w:rsidR="00253EBE" w:rsidRPr="00A150C2" w:rsidRDefault="00253EBE" w:rsidP="00253EBE">
      <w:pPr>
        <w:pStyle w:val="Bodycopy"/>
        <w:jc w:val="both"/>
      </w:pPr>
      <w:r w:rsidRPr="00A150C2">
        <w:t xml:space="preserve">The following table shows the composition of the </w:t>
      </w:r>
      <w:r>
        <w:t>Office</w:t>
      </w:r>
      <w:r w:rsidRPr="00A150C2">
        <w:t xml:space="preserve">'s </w:t>
      </w:r>
      <w:r>
        <w:t>Territorial Total Liabilities</w:t>
      </w:r>
      <w:r w:rsidRPr="00A150C2">
        <w:t xml:space="preserve"> as at </w:t>
      </w:r>
      <w:r w:rsidR="002F2A7E">
        <w:br/>
      </w:r>
      <w:r w:rsidRPr="00A150C2">
        <w:t>30 June 201</w:t>
      </w:r>
      <w:r>
        <w:t>4</w:t>
      </w:r>
      <w:r w:rsidRPr="00A150C2">
        <w:t xml:space="preserve">, compared to </w:t>
      </w:r>
      <w:r>
        <w:t xml:space="preserve">the </w:t>
      </w:r>
      <w:r w:rsidRPr="00A150C2">
        <w:t>201</w:t>
      </w:r>
      <w:r>
        <w:t>3</w:t>
      </w:r>
      <w:r w:rsidRPr="00A150C2">
        <w:t>-1</w:t>
      </w:r>
      <w:r>
        <w:t>4</w:t>
      </w:r>
      <w:r w:rsidRPr="00A150C2">
        <w:t xml:space="preserve"> </w:t>
      </w:r>
      <w:r>
        <w:t>B</w:t>
      </w:r>
      <w:r w:rsidRPr="00A150C2">
        <w:t>udget and as at 30 June 201</w:t>
      </w:r>
      <w:r>
        <w:t>3.</w:t>
      </w:r>
    </w:p>
    <w:p w:rsidR="00253EBE" w:rsidRPr="00A150C2" w:rsidRDefault="00253EBE" w:rsidP="00253EBE">
      <w:pPr>
        <w:pStyle w:val="Default"/>
        <w:ind w:firstLine="13"/>
        <w:rPr>
          <w:rFonts w:asciiTheme="minorHAnsi" w:hAnsiTheme="minorHAnsi" w:cstheme="minorHAnsi"/>
          <w:sz w:val="22"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551"/>
        <w:gridCol w:w="1701"/>
        <w:gridCol w:w="1843"/>
      </w:tblGrid>
      <w:tr w:rsidR="00253EBE" w:rsidRPr="00C06689" w:rsidTr="00253EBE">
        <w:trPr>
          <w:trHeight w:val="300"/>
        </w:trPr>
        <w:tc>
          <w:tcPr>
            <w:tcW w:w="2552" w:type="dxa"/>
            <w:shd w:val="clear" w:color="auto" w:fill="8DB3E2" w:themeFill="text2" w:themeFillTint="66"/>
            <w:noWrap/>
          </w:tcPr>
          <w:p w:rsidR="00253EBE" w:rsidRPr="00C06689" w:rsidRDefault="00253EBE" w:rsidP="00253E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Liability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06689">
              <w:rPr>
                <w:rFonts w:asciiTheme="minorHAnsi" w:hAnsiTheme="minorHAnsi" w:cstheme="minorHAnsi"/>
                <w:b/>
                <w:sz w:val="22"/>
                <w:szCs w:val="22"/>
              </w:rPr>
              <w:t>ategory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vAlign w:val="bottom"/>
          </w:tcPr>
          <w:p w:rsidR="00253EBE" w:rsidRPr="00C06689" w:rsidRDefault="00253EBE" w:rsidP="00253EB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Actual</w:t>
            </w:r>
          </w:p>
          <w:p w:rsidR="00253EBE" w:rsidRPr="00C06689" w:rsidRDefault="00253EBE" w:rsidP="00253EB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30 June 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4</w:t>
            </w:r>
          </w:p>
          <w:p w:rsidR="00253EBE" w:rsidRPr="00C06689" w:rsidRDefault="00253EBE" w:rsidP="00253EB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253EBE" w:rsidRPr="00C06689" w:rsidRDefault="00253EBE" w:rsidP="00253EB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Original </w:t>
            </w:r>
            <w:r w:rsidR="002F2A7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B</w:t>
            </w: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udget</w:t>
            </w:r>
          </w:p>
          <w:p w:rsidR="00253EBE" w:rsidRPr="00C06689" w:rsidRDefault="00253EBE" w:rsidP="00253EB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30 June 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4</w:t>
            </w:r>
          </w:p>
          <w:p w:rsidR="00253EBE" w:rsidRPr="00C06689" w:rsidRDefault="00253EBE" w:rsidP="00253EB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253EBE" w:rsidRPr="00C06689" w:rsidRDefault="00253EBE" w:rsidP="00253EB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Actual</w:t>
            </w:r>
          </w:p>
          <w:p w:rsidR="00253EBE" w:rsidRPr="00C06689" w:rsidRDefault="00253EBE" w:rsidP="00253EB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30 June 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3</w:t>
            </w:r>
          </w:p>
          <w:p w:rsidR="00253EBE" w:rsidRPr="00C06689" w:rsidRDefault="00253EBE" w:rsidP="00253EB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C066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$m</w:t>
            </w:r>
          </w:p>
        </w:tc>
      </w:tr>
      <w:tr w:rsidR="00253EBE" w:rsidRPr="00C06689" w:rsidTr="00253EBE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Current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EBE" w:rsidRPr="00C06689" w:rsidTr="00253EBE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Payables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0.096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0.071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4015">
              <w:rPr>
                <w:rFonts w:ascii="Calibri" w:hAnsi="Calibri"/>
                <w:sz w:val="22"/>
                <w:szCs w:val="22"/>
              </w:rPr>
              <w:t>0.</w:t>
            </w:r>
            <w:r>
              <w:rPr>
                <w:rFonts w:ascii="Calibri" w:hAnsi="Calibri"/>
                <w:sz w:val="22"/>
                <w:szCs w:val="22"/>
              </w:rPr>
              <w:t>070</w:t>
            </w:r>
          </w:p>
        </w:tc>
      </w:tr>
      <w:tr w:rsidR="00253EBE" w:rsidRPr="00C06689" w:rsidTr="00253EBE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- Finance Leases 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0.124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4015">
              <w:rPr>
                <w:rFonts w:ascii="Calibri" w:hAnsi="Calibri"/>
                <w:sz w:val="22"/>
                <w:szCs w:val="22"/>
              </w:rPr>
              <w:t>0.0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2C4015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253EBE" w:rsidRPr="00C06689" w:rsidTr="00253EBE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Employee Benefits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0.389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0.475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Pr="002C401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308</w:t>
            </w:r>
          </w:p>
        </w:tc>
      </w:tr>
      <w:tr w:rsidR="00253EBE" w:rsidRPr="00C06689" w:rsidTr="00253EBE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Non-Current Liabilities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EBE" w:rsidRPr="00C06689" w:rsidTr="00253EBE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Finance Leases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0.139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4015">
              <w:rPr>
                <w:rFonts w:ascii="Calibri" w:hAnsi="Calibri"/>
                <w:sz w:val="22"/>
                <w:szCs w:val="22"/>
              </w:rPr>
              <w:t>0.0</w:t>
            </w: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253EBE" w:rsidRPr="00C06689" w:rsidTr="00253EBE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2C401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- Employee Benefits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0.002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0.002</w:t>
            </w:r>
          </w:p>
        </w:tc>
      </w:tr>
      <w:tr w:rsidR="00253EBE" w:rsidRPr="00C06689" w:rsidTr="00253EBE">
        <w:trPr>
          <w:trHeight w:val="227"/>
        </w:trPr>
        <w:tc>
          <w:tcPr>
            <w:tcW w:w="2552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Total Liabilities</w:t>
            </w:r>
          </w:p>
        </w:tc>
        <w:tc>
          <w:tcPr>
            <w:tcW w:w="255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0.719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0.844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253EBE" w:rsidRPr="002C4015" w:rsidRDefault="00253EBE" w:rsidP="00253EB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Pr="002C4015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546</w:t>
            </w:r>
          </w:p>
        </w:tc>
      </w:tr>
    </w:tbl>
    <w:p w:rsidR="00253EBE" w:rsidRDefault="00253EBE" w:rsidP="00253E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03894" w:rsidRDefault="001F2A33" w:rsidP="005038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value of current and non-current employee benefits at 30 June 2014 totalled $0.389m and accounted for 54 per cent of Total Liabilities at that date. Each staff member’s leave entitlements are classified as current. </w:t>
      </w:r>
    </w:p>
    <w:p w:rsidR="001F2A33" w:rsidRPr="00A150C2" w:rsidRDefault="001F2A33" w:rsidP="001F2A33">
      <w:pPr>
        <w:pStyle w:val="Heading3"/>
        <w:jc w:val="both"/>
      </w:pPr>
      <w:r w:rsidRPr="00A150C2">
        <w:t>Comparison to Budget</w:t>
      </w:r>
    </w:p>
    <w:p w:rsidR="001F2A33" w:rsidRPr="002C4015" w:rsidRDefault="001F2A33" w:rsidP="001F2A33">
      <w:pPr>
        <w:pStyle w:val="Default"/>
        <w:ind w:firstLine="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Total Liabilities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 recorded by the Office in 201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>-1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4 were 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>$0.</w:t>
      </w:r>
      <w:r>
        <w:rPr>
          <w:rFonts w:asciiTheme="minorHAnsi" w:hAnsiTheme="minorHAnsi" w:cstheme="minorHAnsi"/>
          <w:color w:val="auto"/>
          <w:sz w:val="22"/>
          <w:szCs w:val="22"/>
        </w:rPr>
        <w:t>125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m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lower than 2013-14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Budget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. This largely arose due to a higher-than-expected use of leave </w:t>
      </w:r>
      <w:r w:rsidR="00640F2A">
        <w:rPr>
          <w:rFonts w:asciiTheme="minorHAnsi" w:hAnsiTheme="minorHAnsi" w:cstheme="minorHAnsi"/>
          <w:color w:val="auto"/>
          <w:sz w:val="22"/>
          <w:szCs w:val="22"/>
        </w:rPr>
        <w:t>entitlements during the period and a lower</w:t>
      </w:r>
      <w:r w:rsidR="002F2A7E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640F2A">
        <w:rPr>
          <w:rFonts w:asciiTheme="minorHAnsi" w:hAnsiTheme="minorHAnsi" w:cstheme="minorHAnsi"/>
          <w:color w:val="auto"/>
          <w:sz w:val="22"/>
          <w:szCs w:val="22"/>
        </w:rPr>
        <w:t>than</w:t>
      </w:r>
      <w:r w:rsidR="002F2A7E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640F2A">
        <w:rPr>
          <w:rFonts w:asciiTheme="minorHAnsi" w:hAnsiTheme="minorHAnsi" w:cstheme="minorHAnsi"/>
          <w:color w:val="auto"/>
          <w:sz w:val="22"/>
          <w:szCs w:val="22"/>
        </w:rPr>
        <w:t xml:space="preserve">anticipated number of members opting to use their entitlement for a fully maintained motor vehicle under a finance lease. 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F2A33" w:rsidRPr="002C4015" w:rsidRDefault="001F2A33" w:rsidP="001F2A33">
      <w:pPr>
        <w:pStyle w:val="Heading3"/>
        <w:jc w:val="both"/>
      </w:pPr>
      <w:r w:rsidRPr="002C4015">
        <w:t>Comparison to 201</w:t>
      </w:r>
      <w:r>
        <w:t>2</w:t>
      </w:r>
      <w:r w:rsidRPr="002C4015">
        <w:t>-1</w:t>
      </w:r>
      <w:r>
        <w:t>3</w:t>
      </w:r>
      <w:r w:rsidRPr="002C4015">
        <w:t xml:space="preserve"> Actual</w:t>
      </w:r>
    </w:p>
    <w:p w:rsidR="001F2A33" w:rsidRPr="00A150C2" w:rsidRDefault="001F2A33" w:rsidP="001F2A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4015">
        <w:rPr>
          <w:rFonts w:asciiTheme="minorHAnsi" w:hAnsiTheme="minorHAnsi" w:cstheme="minorHAnsi"/>
          <w:color w:val="auto"/>
          <w:sz w:val="22"/>
          <w:szCs w:val="22"/>
        </w:rPr>
        <w:t>The Office recorded a $0.</w:t>
      </w:r>
      <w:r>
        <w:rPr>
          <w:rFonts w:asciiTheme="minorHAnsi" w:hAnsiTheme="minorHAnsi" w:cstheme="minorHAnsi"/>
          <w:color w:val="auto"/>
          <w:sz w:val="22"/>
          <w:szCs w:val="22"/>
        </w:rPr>
        <w:t>173</w:t>
      </w:r>
      <w:r w:rsidRPr="002C4015">
        <w:rPr>
          <w:rFonts w:asciiTheme="minorHAnsi" w:hAnsiTheme="minorHAnsi" w:cstheme="minorHAnsi"/>
          <w:color w:val="auto"/>
          <w:sz w:val="22"/>
          <w:szCs w:val="22"/>
        </w:rPr>
        <w:t xml:space="preserve">m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increase in Total Liabilities compared with 2012-13. This is mainly due to an increase in motor vehicles under </w:t>
      </w:r>
      <w:r w:rsidR="00640F2A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finance lease.  A greater number of members opted to use their entitlement to a fully maintained motor vehicle at </w:t>
      </w:r>
      <w:r w:rsidR="00640F2A">
        <w:rPr>
          <w:rFonts w:asciiTheme="minorHAnsi" w:hAnsiTheme="minorHAnsi" w:cstheme="minorHAnsi"/>
          <w:color w:val="auto"/>
          <w:sz w:val="22"/>
          <w:szCs w:val="22"/>
        </w:rPr>
        <w:t>the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end of the reporting period in lieu of a cash allowance. </w:t>
      </w:r>
    </w:p>
    <w:p w:rsidR="001F2A33" w:rsidRPr="00A150C2" w:rsidRDefault="001F2A33" w:rsidP="001F2A3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1F2A33" w:rsidRPr="00A150C2" w:rsidSect="00BB06F4">
      <w:type w:val="continuous"/>
      <w:pgSz w:w="12240" w:h="15840"/>
      <w:pgMar w:top="851" w:right="1797" w:bottom="709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15" w:rsidRDefault="00725915">
      <w:r>
        <w:separator/>
      </w:r>
    </w:p>
  </w:endnote>
  <w:endnote w:type="continuationSeparator" w:id="0">
    <w:p w:rsidR="00725915" w:rsidRDefault="0072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15" w:rsidRDefault="00725915">
      <w:r>
        <w:separator/>
      </w:r>
    </w:p>
  </w:footnote>
  <w:footnote w:type="continuationSeparator" w:id="0">
    <w:p w:rsidR="00725915" w:rsidRDefault="0072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007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221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8E0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C40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7CA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F6B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68F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CB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046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A62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E00C5"/>
    <w:multiLevelType w:val="hybridMultilevel"/>
    <w:tmpl w:val="F4B8EA28"/>
    <w:lvl w:ilvl="0" w:tplc="84EE24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46B7C"/>
    <w:multiLevelType w:val="hybridMultilevel"/>
    <w:tmpl w:val="89503922"/>
    <w:lvl w:ilvl="0" w:tplc="14D0C9BC">
      <w:start w:val="1"/>
      <w:numFmt w:val="bullet"/>
      <w:pStyle w:val="Dotpoints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2">
    <w:nsid w:val="29BD766F"/>
    <w:multiLevelType w:val="hybridMultilevel"/>
    <w:tmpl w:val="8E2CD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8023E">
      <w:start w:val="1"/>
      <w:numFmt w:val="bullet"/>
      <w:pStyle w:val="Dotti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52C38"/>
    <w:multiLevelType w:val="hybridMultilevel"/>
    <w:tmpl w:val="4F528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D724C"/>
    <w:multiLevelType w:val="hybridMultilevel"/>
    <w:tmpl w:val="0AB0741E"/>
    <w:lvl w:ilvl="0" w:tplc="BD9A5B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1A5E"/>
    <w:multiLevelType w:val="hybridMultilevel"/>
    <w:tmpl w:val="8C04F8B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F3DFE"/>
    <w:multiLevelType w:val="hybridMultilevel"/>
    <w:tmpl w:val="5388FE06"/>
    <w:lvl w:ilvl="0" w:tplc="6BC8745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23D30"/>
    <w:multiLevelType w:val="hybridMultilevel"/>
    <w:tmpl w:val="83885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1301B"/>
    <w:multiLevelType w:val="hybridMultilevel"/>
    <w:tmpl w:val="5D1C5A9A"/>
    <w:lvl w:ilvl="0" w:tplc="659C70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453FD"/>
    <w:multiLevelType w:val="hybridMultilevel"/>
    <w:tmpl w:val="9F90D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164D4"/>
    <w:multiLevelType w:val="hybridMultilevel"/>
    <w:tmpl w:val="33408F1A"/>
    <w:lvl w:ilvl="0" w:tplc="7862C55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360"/>
      </w:pPr>
    </w:lvl>
    <w:lvl w:ilvl="1" w:tplc="3DA2EE5A">
      <w:start w:val="1"/>
      <w:numFmt w:val="bullet"/>
      <w:pStyle w:val="dfdf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97CBB"/>
    <w:multiLevelType w:val="hybridMultilevel"/>
    <w:tmpl w:val="B7502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341F"/>
    <w:multiLevelType w:val="hybridMultilevel"/>
    <w:tmpl w:val="69A41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32632"/>
    <w:multiLevelType w:val="hybridMultilevel"/>
    <w:tmpl w:val="C70232E0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1"/>
  </w:num>
  <w:num w:numId="5">
    <w:abstractNumId w:val="13"/>
  </w:num>
  <w:num w:numId="6">
    <w:abstractNumId w:val="17"/>
  </w:num>
  <w:num w:numId="7">
    <w:abstractNumId w:val="21"/>
  </w:num>
  <w:num w:numId="8">
    <w:abstractNumId w:val="15"/>
  </w:num>
  <w:num w:numId="9">
    <w:abstractNumId w:val="22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9"/>
  </w:num>
  <w:num w:numId="22">
    <w:abstractNumId w:val="14"/>
  </w:num>
  <w:num w:numId="23">
    <w:abstractNumId w:val="10"/>
  </w:num>
  <w:num w:numId="24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6AF"/>
    <w:rsid w:val="00001CC1"/>
    <w:rsid w:val="00003DDB"/>
    <w:rsid w:val="000056B3"/>
    <w:rsid w:val="00007A21"/>
    <w:rsid w:val="00012670"/>
    <w:rsid w:val="0001451D"/>
    <w:rsid w:val="00015004"/>
    <w:rsid w:val="000229D7"/>
    <w:rsid w:val="00023168"/>
    <w:rsid w:val="000235EE"/>
    <w:rsid w:val="00026C6D"/>
    <w:rsid w:val="0003344A"/>
    <w:rsid w:val="00035609"/>
    <w:rsid w:val="000368BF"/>
    <w:rsid w:val="00037870"/>
    <w:rsid w:val="0004296E"/>
    <w:rsid w:val="000462CD"/>
    <w:rsid w:val="00050C81"/>
    <w:rsid w:val="00050F70"/>
    <w:rsid w:val="00054A8B"/>
    <w:rsid w:val="0005683F"/>
    <w:rsid w:val="00057FC4"/>
    <w:rsid w:val="000637FF"/>
    <w:rsid w:val="000639A0"/>
    <w:rsid w:val="000647BB"/>
    <w:rsid w:val="000701B5"/>
    <w:rsid w:val="00081871"/>
    <w:rsid w:val="00083F90"/>
    <w:rsid w:val="000977A1"/>
    <w:rsid w:val="000A212C"/>
    <w:rsid w:val="000A4293"/>
    <w:rsid w:val="000B0A86"/>
    <w:rsid w:val="000B4B6F"/>
    <w:rsid w:val="000B5BDF"/>
    <w:rsid w:val="000B6AE4"/>
    <w:rsid w:val="000B7C11"/>
    <w:rsid w:val="000C15F8"/>
    <w:rsid w:val="000C31D4"/>
    <w:rsid w:val="000C45B4"/>
    <w:rsid w:val="000C5B32"/>
    <w:rsid w:val="000C6FC1"/>
    <w:rsid w:val="000D0064"/>
    <w:rsid w:val="000D51D0"/>
    <w:rsid w:val="000D69A4"/>
    <w:rsid w:val="000E121A"/>
    <w:rsid w:val="000E1570"/>
    <w:rsid w:val="000E303B"/>
    <w:rsid w:val="000E505A"/>
    <w:rsid w:val="000F25B0"/>
    <w:rsid w:val="000F34DD"/>
    <w:rsid w:val="000F6C7E"/>
    <w:rsid w:val="000F6CEC"/>
    <w:rsid w:val="001002E4"/>
    <w:rsid w:val="00100A0E"/>
    <w:rsid w:val="00100EDD"/>
    <w:rsid w:val="0011127C"/>
    <w:rsid w:val="00111380"/>
    <w:rsid w:val="00112507"/>
    <w:rsid w:val="0012347D"/>
    <w:rsid w:val="0012632F"/>
    <w:rsid w:val="00126FCC"/>
    <w:rsid w:val="00127B40"/>
    <w:rsid w:val="0013011A"/>
    <w:rsid w:val="0013101A"/>
    <w:rsid w:val="00133FFF"/>
    <w:rsid w:val="00137F52"/>
    <w:rsid w:val="001400E4"/>
    <w:rsid w:val="00143A73"/>
    <w:rsid w:val="00146D00"/>
    <w:rsid w:val="00147D53"/>
    <w:rsid w:val="00154C95"/>
    <w:rsid w:val="001559F4"/>
    <w:rsid w:val="00161074"/>
    <w:rsid w:val="001640E9"/>
    <w:rsid w:val="00166BBB"/>
    <w:rsid w:val="00167908"/>
    <w:rsid w:val="00174899"/>
    <w:rsid w:val="001771D6"/>
    <w:rsid w:val="00184247"/>
    <w:rsid w:val="00187912"/>
    <w:rsid w:val="00190E78"/>
    <w:rsid w:val="00193EA3"/>
    <w:rsid w:val="00194CA3"/>
    <w:rsid w:val="001A274E"/>
    <w:rsid w:val="001A4C8B"/>
    <w:rsid w:val="001B17FF"/>
    <w:rsid w:val="001B556F"/>
    <w:rsid w:val="001B5C62"/>
    <w:rsid w:val="001B5F99"/>
    <w:rsid w:val="001B7617"/>
    <w:rsid w:val="001C09B7"/>
    <w:rsid w:val="001D52B1"/>
    <w:rsid w:val="001E56C6"/>
    <w:rsid w:val="001E6472"/>
    <w:rsid w:val="001E68FE"/>
    <w:rsid w:val="001F0B33"/>
    <w:rsid w:val="001F1020"/>
    <w:rsid w:val="001F2A33"/>
    <w:rsid w:val="0020069B"/>
    <w:rsid w:val="00205194"/>
    <w:rsid w:val="002072DD"/>
    <w:rsid w:val="002077AC"/>
    <w:rsid w:val="00210706"/>
    <w:rsid w:val="002174D5"/>
    <w:rsid w:val="002208F6"/>
    <w:rsid w:val="0022114E"/>
    <w:rsid w:val="0022156A"/>
    <w:rsid w:val="002226FD"/>
    <w:rsid w:val="00224C74"/>
    <w:rsid w:val="00232147"/>
    <w:rsid w:val="002352E2"/>
    <w:rsid w:val="00237B62"/>
    <w:rsid w:val="00237E10"/>
    <w:rsid w:val="00241D66"/>
    <w:rsid w:val="002421D7"/>
    <w:rsid w:val="00244DBA"/>
    <w:rsid w:val="002501D1"/>
    <w:rsid w:val="00252FDD"/>
    <w:rsid w:val="00253EBE"/>
    <w:rsid w:val="00254DAF"/>
    <w:rsid w:val="00257CFA"/>
    <w:rsid w:val="00260163"/>
    <w:rsid w:val="00264027"/>
    <w:rsid w:val="002666AF"/>
    <w:rsid w:val="00270A77"/>
    <w:rsid w:val="00273C03"/>
    <w:rsid w:val="002811EC"/>
    <w:rsid w:val="002816AA"/>
    <w:rsid w:val="00282E27"/>
    <w:rsid w:val="002974ED"/>
    <w:rsid w:val="002A3E0C"/>
    <w:rsid w:val="002B1053"/>
    <w:rsid w:val="002B300E"/>
    <w:rsid w:val="002C4015"/>
    <w:rsid w:val="002D0119"/>
    <w:rsid w:val="002D10BC"/>
    <w:rsid w:val="002D3D0E"/>
    <w:rsid w:val="002D7AA1"/>
    <w:rsid w:val="002E40EF"/>
    <w:rsid w:val="002E5A22"/>
    <w:rsid w:val="002F2A7E"/>
    <w:rsid w:val="002F2DE3"/>
    <w:rsid w:val="00302593"/>
    <w:rsid w:val="003164C3"/>
    <w:rsid w:val="00317D34"/>
    <w:rsid w:val="00326EEF"/>
    <w:rsid w:val="003275B5"/>
    <w:rsid w:val="00333143"/>
    <w:rsid w:val="00333574"/>
    <w:rsid w:val="00335FE3"/>
    <w:rsid w:val="003365AD"/>
    <w:rsid w:val="00336E58"/>
    <w:rsid w:val="00337AE5"/>
    <w:rsid w:val="003454D4"/>
    <w:rsid w:val="003553EA"/>
    <w:rsid w:val="0036181C"/>
    <w:rsid w:val="00362A26"/>
    <w:rsid w:val="00370060"/>
    <w:rsid w:val="0037039B"/>
    <w:rsid w:val="00373752"/>
    <w:rsid w:val="00374443"/>
    <w:rsid w:val="0038132C"/>
    <w:rsid w:val="00382B55"/>
    <w:rsid w:val="00383DA4"/>
    <w:rsid w:val="00384338"/>
    <w:rsid w:val="00386872"/>
    <w:rsid w:val="003927D8"/>
    <w:rsid w:val="003950B1"/>
    <w:rsid w:val="00397448"/>
    <w:rsid w:val="003A0CCC"/>
    <w:rsid w:val="003A1A6E"/>
    <w:rsid w:val="003A2E48"/>
    <w:rsid w:val="003A534D"/>
    <w:rsid w:val="003A7EEB"/>
    <w:rsid w:val="003B0533"/>
    <w:rsid w:val="003B1AFF"/>
    <w:rsid w:val="003C0D37"/>
    <w:rsid w:val="003C0E30"/>
    <w:rsid w:val="003C3C52"/>
    <w:rsid w:val="003C40F0"/>
    <w:rsid w:val="003C53C3"/>
    <w:rsid w:val="003C63B5"/>
    <w:rsid w:val="003D0B3D"/>
    <w:rsid w:val="003D1010"/>
    <w:rsid w:val="003D1B90"/>
    <w:rsid w:val="003D3215"/>
    <w:rsid w:val="003D5219"/>
    <w:rsid w:val="003D70C9"/>
    <w:rsid w:val="003E2ED0"/>
    <w:rsid w:val="003E6290"/>
    <w:rsid w:val="003E7D5D"/>
    <w:rsid w:val="003F0FD1"/>
    <w:rsid w:val="003F1C68"/>
    <w:rsid w:val="003F5A73"/>
    <w:rsid w:val="003F5C87"/>
    <w:rsid w:val="004016A9"/>
    <w:rsid w:val="0040604C"/>
    <w:rsid w:val="0040760A"/>
    <w:rsid w:val="00407F32"/>
    <w:rsid w:val="004152E7"/>
    <w:rsid w:val="004210DC"/>
    <w:rsid w:val="00423426"/>
    <w:rsid w:val="004272CB"/>
    <w:rsid w:val="00434D5E"/>
    <w:rsid w:val="00435999"/>
    <w:rsid w:val="00440A46"/>
    <w:rsid w:val="004410E9"/>
    <w:rsid w:val="00441570"/>
    <w:rsid w:val="00441FFC"/>
    <w:rsid w:val="00450B00"/>
    <w:rsid w:val="004543C3"/>
    <w:rsid w:val="0045474B"/>
    <w:rsid w:val="004564FA"/>
    <w:rsid w:val="0045732A"/>
    <w:rsid w:val="004677BD"/>
    <w:rsid w:val="00467C93"/>
    <w:rsid w:val="004740CA"/>
    <w:rsid w:val="004741C8"/>
    <w:rsid w:val="00474787"/>
    <w:rsid w:val="00475E6A"/>
    <w:rsid w:val="00477812"/>
    <w:rsid w:val="00477FB7"/>
    <w:rsid w:val="00481A3E"/>
    <w:rsid w:val="0049484A"/>
    <w:rsid w:val="004A699A"/>
    <w:rsid w:val="004A753B"/>
    <w:rsid w:val="004B4C45"/>
    <w:rsid w:val="004B5359"/>
    <w:rsid w:val="004C0AAC"/>
    <w:rsid w:val="004C3488"/>
    <w:rsid w:val="004C4719"/>
    <w:rsid w:val="004D3A10"/>
    <w:rsid w:val="004D4031"/>
    <w:rsid w:val="004E121D"/>
    <w:rsid w:val="004E48ED"/>
    <w:rsid w:val="004E4BC7"/>
    <w:rsid w:val="004E5220"/>
    <w:rsid w:val="004E62C0"/>
    <w:rsid w:val="004F35A8"/>
    <w:rsid w:val="004F513B"/>
    <w:rsid w:val="004F7547"/>
    <w:rsid w:val="00501ADF"/>
    <w:rsid w:val="00503894"/>
    <w:rsid w:val="005049C3"/>
    <w:rsid w:val="0051175A"/>
    <w:rsid w:val="00515B69"/>
    <w:rsid w:val="0051617A"/>
    <w:rsid w:val="00520480"/>
    <w:rsid w:val="00523B7A"/>
    <w:rsid w:val="00543F8D"/>
    <w:rsid w:val="00547928"/>
    <w:rsid w:val="00552AE8"/>
    <w:rsid w:val="00552D78"/>
    <w:rsid w:val="00555D64"/>
    <w:rsid w:val="005601EF"/>
    <w:rsid w:val="0056046D"/>
    <w:rsid w:val="005607C8"/>
    <w:rsid w:val="00560BD2"/>
    <w:rsid w:val="00561735"/>
    <w:rsid w:val="00561CE3"/>
    <w:rsid w:val="00563138"/>
    <w:rsid w:val="00565AF6"/>
    <w:rsid w:val="00565F50"/>
    <w:rsid w:val="005663A2"/>
    <w:rsid w:val="005771FC"/>
    <w:rsid w:val="00577CFD"/>
    <w:rsid w:val="00585215"/>
    <w:rsid w:val="0058770F"/>
    <w:rsid w:val="0059402C"/>
    <w:rsid w:val="00596427"/>
    <w:rsid w:val="00596931"/>
    <w:rsid w:val="005A6B10"/>
    <w:rsid w:val="005B0E9B"/>
    <w:rsid w:val="005B1EE3"/>
    <w:rsid w:val="005B28E4"/>
    <w:rsid w:val="005B385F"/>
    <w:rsid w:val="005B450D"/>
    <w:rsid w:val="005B6A38"/>
    <w:rsid w:val="005C1212"/>
    <w:rsid w:val="005C62FF"/>
    <w:rsid w:val="005C7355"/>
    <w:rsid w:val="005D0659"/>
    <w:rsid w:val="005D36D8"/>
    <w:rsid w:val="005E1A00"/>
    <w:rsid w:val="005E3B1C"/>
    <w:rsid w:val="005E6BBA"/>
    <w:rsid w:val="005F06D5"/>
    <w:rsid w:val="005F396B"/>
    <w:rsid w:val="005F71B2"/>
    <w:rsid w:val="006015F0"/>
    <w:rsid w:val="00604F85"/>
    <w:rsid w:val="00606B6C"/>
    <w:rsid w:val="0061180B"/>
    <w:rsid w:val="00615649"/>
    <w:rsid w:val="00622A17"/>
    <w:rsid w:val="00624F8B"/>
    <w:rsid w:val="006254F1"/>
    <w:rsid w:val="00633F1C"/>
    <w:rsid w:val="00635BF8"/>
    <w:rsid w:val="00640F2A"/>
    <w:rsid w:val="0064187F"/>
    <w:rsid w:val="00641DFE"/>
    <w:rsid w:val="00642241"/>
    <w:rsid w:val="00642383"/>
    <w:rsid w:val="0064546D"/>
    <w:rsid w:val="0064756C"/>
    <w:rsid w:val="006506B6"/>
    <w:rsid w:val="006508CD"/>
    <w:rsid w:val="0066062B"/>
    <w:rsid w:val="00664457"/>
    <w:rsid w:val="006655CC"/>
    <w:rsid w:val="006674B9"/>
    <w:rsid w:val="00670F4A"/>
    <w:rsid w:val="00671A13"/>
    <w:rsid w:val="00673461"/>
    <w:rsid w:val="0067441C"/>
    <w:rsid w:val="00675F9E"/>
    <w:rsid w:val="00676D1D"/>
    <w:rsid w:val="006814AD"/>
    <w:rsid w:val="006834E8"/>
    <w:rsid w:val="006842E0"/>
    <w:rsid w:val="006845A7"/>
    <w:rsid w:val="00685CC1"/>
    <w:rsid w:val="00687253"/>
    <w:rsid w:val="00687DB8"/>
    <w:rsid w:val="00690310"/>
    <w:rsid w:val="00693AC0"/>
    <w:rsid w:val="006A1096"/>
    <w:rsid w:val="006A3E41"/>
    <w:rsid w:val="006A516A"/>
    <w:rsid w:val="006B6AA7"/>
    <w:rsid w:val="006C0B22"/>
    <w:rsid w:val="006C17DB"/>
    <w:rsid w:val="006C382A"/>
    <w:rsid w:val="006C3A72"/>
    <w:rsid w:val="006D6368"/>
    <w:rsid w:val="006E043C"/>
    <w:rsid w:val="006E115B"/>
    <w:rsid w:val="006E1276"/>
    <w:rsid w:val="006E6DBB"/>
    <w:rsid w:val="006F7F29"/>
    <w:rsid w:val="0070278B"/>
    <w:rsid w:val="00710A7F"/>
    <w:rsid w:val="00712F26"/>
    <w:rsid w:val="0071311F"/>
    <w:rsid w:val="00713BBA"/>
    <w:rsid w:val="00714F87"/>
    <w:rsid w:val="007174FA"/>
    <w:rsid w:val="00720EDA"/>
    <w:rsid w:val="0072129E"/>
    <w:rsid w:val="00725915"/>
    <w:rsid w:val="00726103"/>
    <w:rsid w:val="00730C69"/>
    <w:rsid w:val="00731909"/>
    <w:rsid w:val="00736764"/>
    <w:rsid w:val="0073707E"/>
    <w:rsid w:val="0073721B"/>
    <w:rsid w:val="007448B9"/>
    <w:rsid w:val="00747F4B"/>
    <w:rsid w:val="007565F5"/>
    <w:rsid w:val="00763712"/>
    <w:rsid w:val="00766D20"/>
    <w:rsid w:val="00771BFD"/>
    <w:rsid w:val="00772792"/>
    <w:rsid w:val="00772904"/>
    <w:rsid w:val="00775582"/>
    <w:rsid w:val="00776849"/>
    <w:rsid w:val="00786089"/>
    <w:rsid w:val="007A5419"/>
    <w:rsid w:val="007A7918"/>
    <w:rsid w:val="007B04CA"/>
    <w:rsid w:val="007B3D18"/>
    <w:rsid w:val="007B3E3D"/>
    <w:rsid w:val="007B4ABC"/>
    <w:rsid w:val="007B7B5F"/>
    <w:rsid w:val="007C12B7"/>
    <w:rsid w:val="007D59CC"/>
    <w:rsid w:val="007D65EA"/>
    <w:rsid w:val="007D67EA"/>
    <w:rsid w:val="007D780F"/>
    <w:rsid w:val="007E4DB4"/>
    <w:rsid w:val="007E51BB"/>
    <w:rsid w:val="007F3500"/>
    <w:rsid w:val="007F40EF"/>
    <w:rsid w:val="008039D7"/>
    <w:rsid w:val="00805379"/>
    <w:rsid w:val="00806B6E"/>
    <w:rsid w:val="00807D39"/>
    <w:rsid w:val="00810FBF"/>
    <w:rsid w:val="008138E9"/>
    <w:rsid w:val="00814678"/>
    <w:rsid w:val="0081605A"/>
    <w:rsid w:val="00817BBC"/>
    <w:rsid w:val="0082105F"/>
    <w:rsid w:val="00822C54"/>
    <w:rsid w:val="00826464"/>
    <w:rsid w:val="00831FA9"/>
    <w:rsid w:val="00833F16"/>
    <w:rsid w:val="00840CB7"/>
    <w:rsid w:val="00851FDC"/>
    <w:rsid w:val="00857153"/>
    <w:rsid w:val="008600F6"/>
    <w:rsid w:val="00861066"/>
    <w:rsid w:val="0086114D"/>
    <w:rsid w:val="008748D7"/>
    <w:rsid w:val="0087561E"/>
    <w:rsid w:val="00875FC9"/>
    <w:rsid w:val="00884922"/>
    <w:rsid w:val="00894535"/>
    <w:rsid w:val="008A286A"/>
    <w:rsid w:val="008A4A9B"/>
    <w:rsid w:val="008B0EBC"/>
    <w:rsid w:val="008B36E2"/>
    <w:rsid w:val="008B3DAB"/>
    <w:rsid w:val="008B3ED4"/>
    <w:rsid w:val="008C044A"/>
    <w:rsid w:val="008C0988"/>
    <w:rsid w:val="008C3833"/>
    <w:rsid w:val="008C5981"/>
    <w:rsid w:val="008D12E4"/>
    <w:rsid w:val="008D1CFA"/>
    <w:rsid w:val="008D5850"/>
    <w:rsid w:val="008D5C97"/>
    <w:rsid w:val="008D5F69"/>
    <w:rsid w:val="008D7374"/>
    <w:rsid w:val="008D7F1A"/>
    <w:rsid w:val="008E3FB2"/>
    <w:rsid w:val="008E4A8F"/>
    <w:rsid w:val="008F41FC"/>
    <w:rsid w:val="00900DEB"/>
    <w:rsid w:val="00900FA2"/>
    <w:rsid w:val="00901838"/>
    <w:rsid w:val="009202A2"/>
    <w:rsid w:val="00920525"/>
    <w:rsid w:val="00921283"/>
    <w:rsid w:val="00921E9B"/>
    <w:rsid w:val="009232DF"/>
    <w:rsid w:val="00924401"/>
    <w:rsid w:val="00926CB3"/>
    <w:rsid w:val="0093184C"/>
    <w:rsid w:val="00931937"/>
    <w:rsid w:val="009320EE"/>
    <w:rsid w:val="0093319A"/>
    <w:rsid w:val="009341AC"/>
    <w:rsid w:val="00934B87"/>
    <w:rsid w:val="00935E9E"/>
    <w:rsid w:val="0093740F"/>
    <w:rsid w:val="00937854"/>
    <w:rsid w:val="009421D9"/>
    <w:rsid w:val="00951184"/>
    <w:rsid w:val="00951CEF"/>
    <w:rsid w:val="0095464A"/>
    <w:rsid w:val="0095547C"/>
    <w:rsid w:val="00965179"/>
    <w:rsid w:val="009652C5"/>
    <w:rsid w:val="0096658C"/>
    <w:rsid w:val="00973DD4"/>
    <w:rsid w:val="00980A8D"/>
    <w:rsid w:val="00982242"/>
    <w:rsid w:val="009860EA"/>
    <w:rsid w:val="00986265"/>
    <w:rsid w:val="00986C34"/>
    <w:rsid w:val="00993D39"/>
    <w:rsid w:val="00994376"/>
    <w:rsid w:val="00994E05"/>
    <w:rsid w:val="00995894"/>
    <w:rsid w:val="0099686B"/>
    <w:rsid w:val="00997CFD"/>
    <w:rsid w:val="009A08C8"/>
    <w:rsid w:val="009A2BF2"/>
    <w:rsid w:val="009A3A4D"/>
    <w:rsid w:val="009A4966"/>
    <w:rsid w:val="009B1882"/>
    <w:rsid w:val="009B198F"/>
    <w:rsid w:val="009B2741"/>
    <w:rsid w:val="009B4535"/>
    <w:rsid w:val="009B69E3"/>
    <w:rsid w:val="009B6FFC"/>
    <w:rsid w:val="009B7A8A"/>
    <w:rsid w:val="009C06AB"/>
    <w:rsid w:val="009C148F"/>
    <w:rsid w:val="009C1636"/>
    <w:rsid w:val="009C3AE3"/>
    <w:rsid w:val="009C4630"/>
    <w:rsid w:val="009C7340"/>
    <w:rsid w:val="009D1CD5"/>
    <w:rsid w:val="009D420F"/>
    <w:rsid w:val="009D69D1"/>
    <w:rsid w:val="009E1C74"/>
    <w:rsid w:val="009E4C16"/>
    <w:rsid w:val="009E6309"/>
    <w:rsid w:val="009E64AF"/>
    <w:rsid w:val="009F0E1D"/>
    <w:rsid w:val="009F51A5"/>
    <w:rsid w:val="009F568C"/>
    <w:rsid w:val="009F5A43"/>
    <w:rsid w:val="009F5EE7"/>
    <w:rsid w:val="009F5F80"/>
    <w:rsid w:val="00A0330C"/>
    <w:rsid w:val="00A03C99"/>
    <w:rsid w:val="00A04A6B"/>
    <w:rsid w:val="00A0603B"/>
    <w:rsid w:val="00A10000"/>
    <w:rsid w:val="00A10916"/>
    <w:rsid w:val="00A113B7"/>
    <w:rsid w:val="00A114DA"/>
    <w:rsid w:val="00A150C2"/>
    <w:rsid w:val="00A20F91"/>
    <w:rsid w:val="00A2450F"/>
    <w:rsid w:val="00A26EF9"/>
    <w:rsid w:val="00A40903"/>
    <w:rsid w:val="00A40B0F"/>
    <w:rsid w:val="00A42B5A"/>
    <w:rsid w:val="00A43850"/>
    <w:rsid w:val="00A43915"/>
    <w:rsid w:val="00A43DDA"/>
    <w:rsid w:val="00A44474"/>
    <w:rsid w:val="00A452C6"/>
    <w:rsid w:val="00A478C7"/>
    <w:rsid w:val="00A574BD"/>
    <w:rsid w:val="00A6091C"/>
    <w:rsid w:val="00A60F13"/>
    <w:rsid w:val="00A63FA9"/>
    <w:rsid w:val="00A7178B"/>
    <w:rsid w:val="00A73772"/>
    <w:rsid w:val="00A7564B"/>
    <w:rsid w:val="00A7788A"/>
    <w:rsid w:val="00A81F13"/>
    <w:rsid w:val="00A8418E"/>
    <w:rsid w:val="00A8503B"/>
    <w:rsid w:val="00A85926"/>
    <w:rsid w:val="00A86E06"/>
    <w:rsid w:val="00A911CE"/>
    <w:rsid w:val="00A921CE"/>
    <w:rsid w:val="00A943F4"/>
    <w:rsid w:val="00A94D5E"/>
    <w:rsid w:val="00A96641"/>
    <w:rsid w:val="00AA0A27"/>
    <w:rsid w:val="00AA5936"/>
    <w:rsid w:val="00AB015F"/>
    <w:rsid w:val="00AB06D3"/>
    <w:rsid w:val="00AB1C9C"/>
    <w:rsid w:val="00AB1D58"/>
    <w:rsid w:val="00AB36A6"/>
    <w:rsid w:val="00AB4EA7"/>
    <w:rsid w:val="00AC57F7"/>
    <w:rsid w:val="00AC7F60"/>
    <w:rsid w:val="00AD0B31"/>
    <w:rsid w:val="00AD0E54"/>
    <w:rsid w:val="00AD3EEF"/>
    <w:rsid w:val="00AD6A8D"/>
    <w:rsid w:val="00AE0A35"/>
    <w:rsid w:val="00AE0C60"/>
    <w:rsid w:val="00AE166A"/>
    <w:rsid w:val="00AE25E7"/>
    <w:rsid w:val="00AE6711"/>
    <w:rsid w:val="00AF583C"/>
    <w:rsid w:val="00AF611C"/>
    <w:rsid w:val="00AF79C1"/>
    <w:rsid w:val="00B010DA"/>
    <w:rsid w:val="00B02D79"/>
    <w:rsid w:val="00B03F90"/>
    <w:rsid w:val="00B11C1B"/>
    <w:rsid w:val="00B12CC8"/>
    <w:rsid w:val="00B13B36"/>
    <w:rsid w:val="00B17B15"/>
    <w:rsid w:val="00B2134F"/>
    <w:rsid w:val="00B269CA"/>
    <w:rsid w:val="00B2781E"/>
    <w:rsid w:val="00B41C86"/>
    <w:rsid w:val="00B46EF0"/>
    <w:rsid w:val="00B537B5"/>
    <w:rsid w:val="00B53911"/>
    <w:rsid w:val="00B560FD"/>
    <w:rsid w:val="00B614D2"/>
    <w:rsid w:val="00B62494"/>
    <w:rsid w:val="00B624A2"/>
    <w:rsid w:val="00B6483E"/>
    <w:rsid w:val="00B656E7"/>
    <w:rsid w:val="00B6686C"/>
    <w:rsid w:val="00B67453"/>
    <w:rsid w:val="00B808CC"/>
    <w:rsid w:val="00B8124D"/>
    <w:rsid w:val="00B81A6B"/>
    <w:rsid w:val="00B83D97"/>
    <w:rsid w:val="00B933F7"/>
    <w:rsid w:val="00B93AD9"/>
    <w:rsid w:val="00B97C1B"/>
    <w:rsid w:val="00BA02C1"/>
    <w:rsid w:val="00BA24EF"/>
    <w:rsid w:val="00BA621A"/>
    <w:rsid w:val="00BB06F4"/>
    <w:rsid w:val="00BB0855"/>
    <w:rsid w:val="00BC19B5"/>
    <w:rsid w:val="00BC3F2B"/>
    <w:rsid w:val="00BC55DE"/>
    <w:rsid w:val="00BC5D33"/>
    <w:rsid w:val="00BD3968"/>
    <w:rsid w:val="00BD4BF1"/>
    <w:rsid w:val="00BE3E5B"/>
    <w:rsid w:val="00BE4CDA"/>
    <w:rsid w:val="00BE6081"/>
    <w:rsid w:val="00BE7B8E"/>
    <w:rsid w:val="00BF0173"/>
    <w:rsid w:val="00BF4C67"/>
    <w:rsid w:val="00BF5191"/>
    <w:rsid w:val="00C0154A"/>
    <w:rsid w:val="00C02B99"/>
    <w:rsid w:val="00C05B0C"/>
    <w:rsid w:val="00C06689"/>
    <w:rsid w:val="00C0776A"/>
    <w:rsid w:val="00C10288"/>
    <w:rsid w:val="00C2163E"/>
    <w:rsid w:val="00C22617"/>
    <w:rsid w:val="00C22E78"/>
    <w:rsid w:val="00C24AF3"/>
    <w:rsid w:val="00C305D4"/>
    <w:rsid w:val="00C312F7"/>
    <w:rsid w:val="00C33360"/>
    <w:rsid w:val="00C35CBE"/>
    <w:rsid w:val="00C43922"/>
    <w:rsid w:val="00C46E6A"/>
    <w:rsid w:val="00C5263B"/>
    <w:rsid w:val="00C53265"/>
    <w:rsid w:val="00C54F52"/>
    <w:rsid w:val="00C6035A"/>
    <w:rsid w:val="00C60A04"/>
    <w:rsid w:val="00C643D0"/>
    <w:rsid w:val="00C65017"/>
    <w:rsid w:val="00C654ED"/>
    <w:rsid w:val="00C676BD"/>
    <w:rsid w:val="00C70074"/>
    <w:rsid w:val="00C72E85"/>
    <w:rsid w:val="00C73D98"/>
    <w:rsid w:val="00C815EE"/>
    <w:rsid w:val="00C815F6"/>
    <w:rsid w:val="00C8566C"/>
    <w:rsid w:val="00C856FE"/>
    <w:rsid w:val="00C86638"/>
    <w:rsid w:val="00C91DE3"/>
    <w:rsid w:val="00C91F0A"/>
    <w:rsid w:val="00C93593"/>
    <w:rsid w:val="00C95DB1"/>
    <w:rsid w:val="00CA179E"/>
    <w:rsid w:val="00CA1A6F"/>
    <w:rsid w:val="00CA66BE"/>
    <w:rsid w:val="00CA66D4"/>
    <w:rsid w:val="00CA6B3C"/>
    <w:rsid w:val="00CB19A1"/>
    <w:rsid w:val="00CC05F9"/>
    <w:rsid w:val="00CC0DC0"/>
    <w:rsid w:val="00CC1883"/>
    <w:rsid w:val="00CD00D1"/>
    <w:rsid w:val="00CD3DE8"/>
    <w:rsid w:val="00CD5953"/>
    <w:rsid w:val="00CD5D18"/>
    <w:rsid w:val="00CD6351"/>
    <w:rsid w:val="00CD66A6"/>
    <w:rsid w:val="00CE1CDE"/>
    <w:rsid w:val="00CF0EF9"/>
    <w:rsid w:val="00CF2483"/>
    <w:rsid w:val="00CF4C3B"/>
    <w:rsid w:val="00CF4D26"/>
    <w:rsid w:val="00D1113C"/>
    <w:rsid w:val="00D22EF8"/>
    <w:rsid w:val="00D27C3A"/>
    <w:rsid w:val="00D27FB9"/>
    <w:rsid w:val="00D363C1"/>
    <w:rsid w:val="00D4695F"/>
    <w:rsid w:val="00D50DE4"/>
    <w:rsid w:val="00D550EB"/>
    <w:rsid w:val="00D56463"/>
    <w:rsid w:val="00D62541"/>
    <w:rsid w:val="00D64D2A"/>
    <w:rsid w:val="00D665CA"/>
    <w:rsid w:val="00D717D9"/>
    <w:rsid w:val="00D72D52"/>
    <w:rsid w:val="00D76DE4"/>
    <w:rsid w:val="00D76F08"/>
    <w:rsid w:val="00D822F5"/>
    <w:rsid w:val="00D82816"/>
    <w:rsid w:val="00D85265"/>
    <w:rsid w:val="00DA12BD"/>
    <w:rsid w:val="00DB3007"/>
    <w:rsid w:val="00DB4B91"/>
    <w:rsid w:val="00DB6D6B"/>
    <w:rsid w:val="00DB7562"/>
    <w:rsid w:val="00DC3316"/>
    <w:rsid w:val="00DD02CB"/>
    <w:rsid w:val="00DD3D3A"/>
    <w:rsid w:val="00DD600D"/>
    <w:rsid w:val="00DE162A"/>
    <w:rsid w:val="00DE3DB2"/>
    <w:rsid w:val="00DE4DB5"/>
    <w:rsid w:val="00DE6FB1"/>
    <w:rsid w:val="00DE706A"/>
    <w:rsid w:val="00DF2D17"/>
    <w:rsid w:val="00E014D9"/>
    <w:rsid w:val="00E01561"/>
    <w:rsid w:val="00E02EAA"/>
    <w:rsid w:val="00E03309"/>
    <w:rsid w:val="00E041D9"/>
    <w:rsid w:val="00E0519A"/>
    <w:rsid w:val="00E06EBB"/>
    <w:rsid w:val="00E13CCA"/>
    <w:rsid w:val="00E14078"/>
    <w:rsid w:val="00E1728A"/>
    <w:rsid w:val="00E17979"/>
    <w:rsid w:val="00E22998"/>
    <w:rsid w:val="00E233DC"/>
    <w:rsid w:val="00E32007"/>
    <w:rsid w:val="00E32EC9"/>
    <w:rsid w:val="00E332F4"/>
    <w:rsid w:val="00E35459"/>
    <w:rsid w:val="00E448E9"/>
    <w:rsid w:val="00E46524"/>
    <w:rsid w:val="00E46B9B"/>
    <w:rsid w:val="00E50DB5"/>
    <w:rsid w:val="00E55328"/>
    <w:rsid w:val="00E607AF"/>
    <w:rsid w:val="00E61473"/>
    <w:rsid w:val="00E62994"/>
    <w:rsid w:val="00E63082"/>
    <w:rsid w:val="00E660E1"/>
    <w:rsid w:val="00E7032F"/>
    <w:rsid w:val="00E73EDA"/>
    <w:rsid w:val="00E77C86"/>
    <w:rsid w:val="00E818BC"/>
    <w:rsid w:val="00E83221"/>
    <w:rsid w:val="00E83ADD"/>
    <w:rsid w:val="00E84480"/>
    <w:rsid w:val="00E85F2B"/>
    <w:rsid w:val="00E95E29"/>
    <w:rsid w:val="00EA056B"/>
    <w:rsid w:val="00EA245C"/>
    <w:rsid w:val="00EA48D8"/>
    <w:rsid w:val="00EA5562"/>
    <w:rsid w:val="00EA55E3"/>
    <w:rsid w:val="00EB426F"/>
    <w:rsid w:val="00EB6707"/>
    <w:rsid w:val="00EC0FEB"/>
    <w:rsid w:val="00ED2D28"/>
    <w:rsid w:val="00ED4DBD"/>
    <w:rsid w:val="00EE2E35"/>
    <w:rsid w:val="00EE3702"/>
    <w:rsid w:val="00EF0A0E"/>
    <w:rsid w:val="00EF137B"/>
    <w:rsid w:val="00EF2543"/>
    <w:rsid w:val="00EF4EE9"/>
    <w:rsid w:val="00F04F54"/>
    <w:rsid w:val="00F05557"/>
    <w:rsid w:val="00F06037"/>
    <w:rsid w:val="00F1120E"/>
    <w:rsid w:val="00F136E2"/>
    <w:rsid w:val="00F1423B"/>
    <w:rsid w:val="00F14F9E"/>
    <w:rsid w:val="00F15CB7"/>
    <w:rsid w:val="00F1618C"/>
    <w:rsid w:val="00F16F4C"/>
    <w:rsid w:val="00F21816"/>
    <w:rsid w:val="00F23A44"/>
    <w:rsid w:val="00F302EA"/>
    <w:rsid w:val="00F34290"/>
    <w:rsid w:val="00F346C4"/>
    <w:rsid w:val="00F40115"/>
    <w:rsid w:val="00F47CE6"/>
    <w:rsid w:val="00F47EE7"/>
    <w:rsid w:val="00F534E0"/>
    <w:rsid w:val="00F54E79"/>
    <w:rsid w:val="00F57720"/>
    <w:rsid w:val="00F66B69"/>
    <w:rsid w:val="00F76B5B"/>
    <w:rsid w:val="00F76EED"/>
    <w:rsid w:val="00F910E8"/>
    <w:rsid w:val="00F91D34"/>
    <w:rsid w:val="00F93599"/>
    <w:rsid w:val="00F93FDB"/>
    <w:rsid w:val="00F970EF"/>
    <w:rsid w:val="00FA03B1"/>
    <w:rsid w:val="00FA21D0"/>
    <w:rsid w:val="00FA74FE"/>
    <w:rsid w:val="00FA7E79"/>
    <w:rsid w:val="00FB4FE2"/>
    <w:rsid w:val="00FB51E4"/>
    <w:rsid w:val="00FB570C"/>
    <w:rsid w:val="00FD38AB"/>
    <w:rsid w:val="00FD4FC7"/>
    <w:rsid w:val="00FD6169"/>
    <w:rsid w:val="00FE2B66"/>
    <w:rsid w:val="00FE465E"/>
    <w:rsid w:val="00FE5D94"/>
    <w:rsid w:val="00FF05D3"/>
    <w:rsid w:val="00FF17FA"/>
    <w:rsid w:val="00FF1BDE"/>
    <w:rsid w:val="00FF21B3"/>
    <w:rsid w:val="00FF2914"/>
    <w:rsid w:val="00FF2A45"/>
    <w:rsid w:val="00FF2D5D"/>
    <w:rsid w:val="00FF317D"/>
    <w:rsid w:val="00FF4C71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0D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15F8"/>
    <w:pPr>
      <w:keepNext/>
      <w:keepLines/>
      <w:spacing w:before="12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C15F8"/>
    <w:pPr>
      <w:keepNext/>
      <w:keepLines/>
      <w:spacing w:before="12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85F2B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6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number">
    <w:name w:val="table number"/>
    <w:basedOn w:val="Normal"/>
    <w:rsid w:val="003950B1"/>
    <w:pPr>
      <w:numPr>
        <w:numId w:val="1"/>
      </w:numPr>
      <w:ind w:left="0" w:firstLine="0"/>
    </w:pPr>
    <w:rPr>
      <w:rFonts w:ascii="Arial Narrow" w:hAnsi="Arial Narrow"/>
      <w:b/>
      <w:bCs/>
      <w:sz w:val="24"/>
      <w:szCs w:val="24"/>
    </w:rPr>
  </w:style>
  <w:style w:type="paragraph" w:customStyle="1" w:styleId="dfdfd">
    <w:name w:val="dfdfd"/>
    <w:basedOn w:val="BodyTextIndent3"/>
    <w:rsid w:val="003950B1"/>
    <w:pPr>
      <w:numPr>
        <w:ilvl w:val="1"/>
        <w:numId w:val="1"/>
      </w:numPr>
      <w:spacing w:after="0"/>
    </w:pPr>
    <w:rPr>
      <w:rFonts w:ascii="Arial Narrow" w:hAnsi="Arial Narrow"/>
      <w:b/>
      <w:bCs/>
      <w:sz w:val="24"/>
      <w:szCs w:val="24"/>
      <w:u w:val="single"/>
    </w:rPr>
  </w:style>
  <w:style w:type="paragraph" w:styleId="BodyTextIndent3">
    <w:name w:val="Body Text Indent 3"/>
    <w:basedOn w:val="Normal"/>
    <w:rsid w:val="003950B1"/>
    <w:pPr>
      <w:spacing w:after="120"/>
      <w:ind w:left="283"/>
    </w:pPr>
    <w:rPr>
      <w:sz w:val="16"/>
      <w:szCs w:val="16"/>
    </w:rPr>
  </w:style>
  <w:style w:type="paragraph" w:customStyle="1" w:styleId="outcome">
    <w:name w:val="outcome"/>
    <w:basedOn w:val="dfdfd"/>
    <w:rsid w:val="003950B1"/>
    <w:pPr>
      <w:numPr>
        <w:ilvl w:val="0"/>
        <w:numId w:val="0"/>
      </w:numPr>
      <w:outlineLvl w:val="0"/>
    </w:pPr>
    <w:rPr>
      <w:rFonts w:ascii="Arial" w:hAnsi="Arial" w:cs="Arial"/>
      <w:color w:val="000000"/>
      <w:sz w:val="20"/>
      <w:szCs w:val="20"/>
      <w:u w:val="none"/>
    </w:rPr>
  </w:style>
  <w:style w:type="table" w:styleId="TableGrid">
    <w:name w:val="Table Grid"/>
    <w:basedOn w:val="TableNormal"/>
    <w:rsid w:val="00BB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71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71FC"/>
    <w:pPr>
      <w:tabs>
        <w:tab w:val="center" w:pos="4153"/>
        <w:tab w:val="right" w:pos="8306"/>
      </w:tabs>
    </w:pPr>
  </w:style>
  <w:style w:type="paragraph" w:customStyle="1" w:styleId="Normy">
    <w:name w:val="Normy"/>
    <w:basedOn w:val="Normal"/>
    <w:rsid w:val="00EE3702"/>
    <w:pPr>
      <w:spacing w:before="120" w:after="120"/>
    </w:pPr>
    <w:rPr>
      <w:rFonts w:ascii="Century Gothic" w:hAnsi="Century Gothic"/>
    </w:rPr>
  </w:style>
  <w:style w:type="character" w:styleId="Hyperlink">
    <w:name w:val="Hyperlink"/>
    <w:basedOn w:val="DefaultParagraphFont"/>
    <w:rsid w:val="001D52B1"/>
    <w:rPr>
      <w:color w:val="0000FF"/>
      <w:u w:val="single"/>
    </w:rPr>
  </w:style>
  <w:style w:type="paragraph" w:styleId="BalloonText">
    <w:name w:val="Balloon Text"/>
    <w:basedOn w:val="Normal"/>
    <w:semiHidden/>
    <w:rsid w:val="00EF4EE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1F1020"/>
    <w:pPr>
      <w:numPr>
        <w:numId w:val="3"/>
      </w:numPr>
    </w:pPr>
  </w:style>
  <w:style w:type="paragraph" w:styleId="EndnoteText">
    <w:name w:val="endnote text"/>
    <w:basedOn w:val="Normal"/>
    <w:link w:val="EndnoteTextChar"/>
    <w:rsid w:val="00935E9E"/>
  </w:style>
  <w:style w:type="character" w:customStyle="1" w:styleId="EndnoteTextChar">
    <w:name w:val="Endnote Text Char"/>
    <w:basedOn w:val="DefaultParagraphFont"/>
    <w:link w:val="EndnoteText"/>
    <w:rsid w:val="00935E9E"/>
    <w:rPr>
      <w:lang w:eastAsia="en-US"/>
    </w:rPr>
  </w:style>
  <w:style w:type="character" w:styleId="EndnoteReference">
    <w:name w:val="endnote reference"/>
    <w:basedOn w:val="DefaultParagraphFont"/>
    <w:rsid w:val="00935E9E"/>
    <w:rPr>
      <w:vertAlign w:val="superscript"/>
    </w:rPr>
  </w:style>
  <w:style w:type="paragraph" w:styleId="FootnoteText">
    <w:name w:val="footnote text"/>
    <w:basedOn w:val="Normal"/>
    <w:link w:val="FootnoteTextChar"/>
    <w:rsid w:val="00935E9E"/>
  </w:style>
  <w:style w:type="character" w:customStyle="1" w:styleId="FootnoteTextChar">
    <w:name w:val="Footnote Text Char"/>
    <w:basedOn w:val="DefaultParagraphFont"/>
    <w:link w:val="FootnoteText"/>
    <w:rsid w:val="00935E9E"/>
    <w:rPr>
      <w:lang w:eastAsia="en-US"/>
    </w:rPr>
  </w:style>
  <w:style w:type="character" w:styleId="FootnoteReference">
    <w:name w:val="footnote reference"/>
    <w:basedOn w:val="DefaultParagraphFont"/>
    <w:rsid w:val="00935E9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C15F8"/>
    <w:rPr>
      <w:rFonts w:asciiTheme="minorHAnsi" w:eastAsiaTheme="majorEastAsia" w:hAnsiTheme="min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C15F8"/>
    <w:rPr>
      <w:rFonts w:ascii="Calibri" w:eastAsiaTheme="majorEastAsia" w:hAnsi="Calibri" w:cstheme="majorBidi"/>
      <w:b/>
      <w:bCs/>
      <w:sz w:val="24"/>
      <w:szCs w:val="26"/>
      <w:lang w:eastAsia="en-US"/>
    </w:rPr>
  </w:style>
  <w:style w:type="paragraph" w:customStyle="1" w:styleId="Bodycopy">
    <w:name w:val="Body copy"/>
    <w:basedOn w:val="Normal"/>
    <w:rsid w:val="00851FDC"/>
    <w:pPr>
      <w:autoSpaceDE w:val="0"/>
      <w:autoSpaceDN w:val="0"/>
      <w:adjustRightInd w:val="0"/>
    </w:pPr>
    <w:rPr>
      <w:rFonts w:asciiTheme="minorHAnsi" w:hAnsiTheme="minorHAnsi" w:cstheme="minorHAnsi"/>
      <w:sz w:val="2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rsid w:val="00E85F2B"/>
    <w:rPr>
      <w:rFonts w:asciiTheme="minorHAnsi" w:eastAsiaTheme="majorEastAsia" w:hAnsiTheme="minorHAnsi" w:cstheme="majorBidi"/>
      <w:b/>
      <w:bCs/>
      <w:sz w:val="22"/>
      <w:u w:val="single"/>
      <w:lang w:eastAsia="en-US"/>
    </w:rPr>
  </w:style>
  <w:style w:type="paragraph" w:customStyle="1" w:styleId="Dotpoints">
    <w:name w:val="Dot points"/>
    <w:basedOn w:val="Default"/>
    <w:rsid w:val="00CD3DE8"/>
    <w:pPr>
      <w:numPr>
        <w:numId w:val="4"/>
      </w:numPr>
    </w:pPr>
    <w:rPr>
      <w:rFonts w:asciiTheme="minorHAnsi" w:hAnsiTheme="minorHAnsi" w:cs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B7A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2347D"/>
    <w:rPr>
      <w:b/>
      <w:bCs/>
      <w:i w:val="0"/>
      <w:iCs w:val="0"/>
    </w:rPr>
  </w:style>
  <w:style w:type="character" w:customStyle="1" w:styleId="st1">
    <w:name w:val="st1"/>
    <w:basedOn w:val="DefaultParagraphFont"/>
    <w:rsid w:val="0012347D"/>
  </w:style>
  <w:style w:type="paragraph" w:styleId="BodyText3">
    <w:name w:val="Body Text 3"/>
    <w:basedOn w:val="Normal"/>
    <w:link w:val="BodyText3Char"/>
    <w:rsid w:val="00CF24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2483"/>
    <w:rPr>
      <w:sz w:val="16"/>
      <w:szCs w:val="16"/>
      <w:lang w:eastAsia="en-US"/>
    </w:rPr>
  </w:style>
  <w:style w:type="paragraph" w:customStyle="1" w:styleId="Dotties">
    <w:name w:val="Dotties"/>
    <w:basedOn w:val="Bodycopy"/>
    <w:rsid w:val="00477812"/>
    <w:pPr>
      <w:numPr>
        <w:ilvl w:val="3"/>
        <w:numId w:val="10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ct.gov.au\assembly\lasec\Finance\5.%20Financial%20Statements%202013-14%20(to%20be%20reviewed%20and%20filed%20in%20OLAris%20upon%20completion)\Management%20&amp;%20Discussion%20analysis%20(olaris%20FIN14-0003)\2.%20Charts%20for%20management%20discussion%20and%20analysis%202013-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ct.gov.au\assembly\lasec\Finance\5.%20Financial%20Statements%202013-14%20(to%20be%20reviewed%20and%20filed%20in%20OLAris%20upon%20completion)\Management%20&amp;%20Discussion%20analysis\Copy%20of%20Portal%20-charts%20for%20management%20discussion%20and%20analysis%202013-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ct.gov.au\assembly\lasec\Finance\5.%20Financial%20Statements%202013-14%20(to%20be%20reviewed%20and%20filed%20in%20OLAris%20upon%20completion)\Management%20&amp;%20Discussion%20analysis\Copy%20of%20Portal%20-charts%20for%20management%20discussion%20and%20analysis%202013-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roundedCorners val="1"/>
  <c:chart>
    <c:autoTitleDeleted val="1"/>
    <c:plotArea>
      <c:layout>
        <c:manualLayout>
          <c:layoutTarget val="inner"/>
          <c:xMode val="edge"/>
          <c:yMode val="edge"/>
          <c:x val="8.3926297901173258E-2"/>
          <c:y val="5.02912376834459E-2"/>
          <c:w val="0.66634248671330265"/>
          <c:h val="0.58167741750175384"/>
        </c:manualLayout>
      </c:layout>
      <c:lineChart>
        <c:grouping val="standard"/>
        <c:ser>
          <c:idx val="0"/>
          <c:order val="0"/>
          <c:tx>
            <c:strRef>
              <c:f>'Actual v Budgets - controlled'!$A$3</c:f>
              <c:strCache>
                <c:ptCount val="1"/>
                <c:pt idx="0">
                  <c:v>Total expenditure</c:v>
                </c:pt>
              </c:strCache>
            </c:strRef>
          </c:tx>
          <c:cat>
            <c:strRef>
              <c:f>'Actual v Budgets - controlled'!$B$2:$G$2</c:f>
              <c:strCache>
                <c:ptCount val="6"/>
                <c:pt idx="0">
                  <c:v>Actual 2012-13 $m</c:v>
                </c:pt>
                <c:pt idx="1">
                  <c:v>Budget 2013-14 $m</c:v>
                </c:pt>
                <c:pt idx="2">
                  <c:v>Actual 2013-14 $m</c:v>
                </c:pt>
                <c:pt idx="3">
                  <c:v>Budget 2014-15 $m</c:v>
                </c:pt>
                <c:pt idx="4">
                  <c:v>Forward estimate 2015-16 $m</c:v>
                </c:pt>
                <c:pt idx="5">
                  <c:v>Forward estimate 2016-17 $m</c:v>
                </c:pt>
              </c:strCache>
            </c:strRef>
          </c:cat>
          <c:val>
            <c:numRef>
              <c:f>'Actual v Budgets - controlled'!$B$3:$G$3</c:f>
              <c:numCache>
                <c:formatCode>General</c:formatCode>
                <c:ptCount val="6"/>
                <c:pt idx="0">
                  <c:v>7.9470000000000001</c:v>
                </c:pt>
                <c:pt idx="1">
                  <c:v>8.4409999999999989</c:v>
                </c:pt>
                <c:pt idx="2">
                  <c:v>8.2260000000000009</c:v>
                </c:pt>
                <c:pt idx="3">
                  <c:v>8.7349999999999994</c:v>
                </c:pt>
                <c:pt idx="4">
                  <c:v>9.0030000000000001</c:v>
                </c:pt>
                <c:pt idx="5">
                  <c:v>9.0350000000000001</c:v>
                </c:pt>
              </c:numCache>
            </c:numRef>
          </c:val>
        </c:ser>
        <c:ser>
          <c:idx val="1"/>
          <c:order val="1"/>
          <c:tx>
            <c:strRef>
              <c:f>'Actual v Budgets - controlled'!$A$4</c:f>
              <c:strCache>
                <c:ptCount val="1"/>
                <c:pt idx="0">
                  <c:v>Total own source revenue</c:v>
                </c:pt>
              </c:strCache>
            </c:strRef>
          </c:tx>
          <c:cat>
            <c:strRef>
              <c:f>'Actual v Budgets - controlled'!$B$2:$G$2</c:f>
              <c:strCache>
                <c:ptCount val="6"/>
                <c:pt idx="0">
                  <c:v>Actual 2012-13 $m</c:v>
                </c:pt>
                <c:pt idx="1">
                  <c:v>Budget 2013-14 $m</c:v>
                </c:pt>
                <c:pt idx="2">
                  <c:v>Actual 2013-14 $m</c:v>
                </c:pt>
                <c:pt idx="3">
                  <c:v>Budget 2014-15 $m</c:v>
                </c:pt>
                <c:pt idx="4">
                  <c:v>Forward estimate 2015-16 $m</c:v>
                </c:pt>
                <c:pt idx="5">
                  <c:v>Forward estimate 2016-17 $m</c:v>
                </c:pt>
              </c:strCache>
            </c:strRef>
          </c:cat>
          <c:val>
            <c:numRef>
              <c:f>'Actual v Budgets - controlled'!$B$4:$G$4</c:f>
              <c:numCache>
                <c:formatCode>General</c:formatCode>
                <c:ptCount val="6"/>
                <c:pt idx="0">
                  <c:v>0.91900000000000004</c:v>
                </c:pt>
                <c:pt idx="1">
                  <c:v>0.86500000000000044</c:v>
                </c:pt>
                <c:pt idx="2">
                  <c:v>0.73200000000000043</c:v>
                </c:pt>
                <c:pt idx="3">
                  <c:v>0.91500000000000004</c:v>
                </c:pt>
                <c:pt idx="4">
                  <c:v>0.94399999999999995</c:v>
                </c:pt>
                <c:pt idx="5">
                  <c:v>0.94399999999999995</c:v>
                </c:pt>
              </c:numCache>
            </c:numRef>
          </c:val>
        </c:ser>
        <c:ser>
          <c:idx val="2"/>
          <c:order val="2"/>
          <c:tx>
            <c:strRef>
              <c:f>'Actual v Budgets - controlled'!$A$5</c:f>
              <c:strCache>
                <c:ptCount val="1"/>
                <c:pt idx="0">
                  <c:v>Net cost of services</c:v>
                </c:pt>
              </c:strCache>
            </c:strRef>
          </c:tx>
          <c:cat>
            <c:strRef>
              <c:f>'Actual v Budgets - controlled'!$B$2:$G$2</c:f>
              <c:strCache>
                <c:ptCount val="6"/>
                <c:pt idx="0">
                  <c:v>Actual 2012-13 $m</c:v>
                </c:pt>
                <c:pt idx="1">
                  <c:v>Budget 2013-14 $m</c:v>
                </c:pt>
                <c:pt idx="2">
                  <c:v>Actual 2013-14 $m</c:v>
                </c:pt>
                <c:pt idx="3">
                  <c:v>Budget 2014-15 $m</c:v>
                </c:pt>
                <c:pt idx="4">
                  <c:v>Forward estimate 2015-16 $m</c:v>
                </c:pt>
                <c:pt idx="5">
                  <c:v>Forward estimate 2016-17 $m</c:v>
                </c:pt>
              </c:strCache>
            </c:strRef>
          </c:cat>
          <c:val>
            <c:numRef>
              <c:f>'Actual v Budgets - controlled'!$B$5:$G$5</c:f>
              <c:numCache>
                <c:formatCode>General</c:formatCode>
                <c:ptCount val="6"/>
                <c:pt idx="0">
                  <c:v>7.0280000000000005</c:v>
                </c:pt>
                <c:pt idx="1">
                  <c:v>7.5759999999999996</c:v>
                </c:pt>
                <c:pt idx="2">
                  <c:v>7.4940000000000007</c:v>
                </c:pt>
                <c:pt idx="3" formatCode="0.000">
                  <c:v>7.8199999999999985</c:v>
                </c:pt>
                <c:pt idx="4">
                  <c:v>8.0590000000000028</c:v>
                </c:pt>
                <c:pt idx="5">
                  <c:v>8.0910000000000011</c:v>
                </c:pt>
              </c:numCache>
            </c:numRef>
          </c:val>
        </c:ser>
        <c:marker val="1"/>
        <c:axId val="111505408"/>
        <c:axId val="111506944"/>
      </c:lineChart>
      <c:catAx>
        <c:axId val="111505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460000" vert="horz"/>
          <a:lstStyle/>
          <a:p>
            <a:pPr>
              <a:defRPr/>
            </a:pPr>
            <a:endParaRPr lang="en-US"/>
          </a:p>
        </c:txPr>
        <c:crossAx val="111506944"/>
        <c:crosses val="autoZero"/>
        <c:auto val="1"/>
        <c:lblAlgn val="ctr"/>
        <c:lblOffset val="100"/>
      </c:catAx>
      <c:valAx>
        <c:axId val="1115069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$m</a:t>
                </a:r>
              </a:p>
            </c:rich>
          </c:tx>
        </c:title>
        <c:numFmt formatCode="General" sourceLinked="1"/>
        <c:majorTickMark val="none"/>
        <c:tickLblPos val="nextTo"/>
        <c:crossAx val="11150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68841082581564"/>
          <c:y val="0.24501233093703645"/>
          <c:w val="0.19743233865371274"/>
          <c:h val="0.35978561173337581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Arial Narrow" pitchFamily="34" charset="0"/>
          <a:ea typeface="+mn-ea"/>
          <a:cs typeface="+mn-cs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roundedCorners val="1"/>
  <c:chart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6213451443569488"/>
                  <c:y val="-5.98611111111115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4374378159848503E-2"/>
                  <c:y val="3.35648148148147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49351377952756"/>
                  <c:y val="1.0416666666666703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'own source revenue - controlled'!$A$4:$A$6</c:f>
              <c:strCache>
                <c:ptCount val="3"/>
                <c:pt idx="0">
                  <c:v>Resources Received Free of Charge</c:v>
                </c:pt>
                <c:pt idx="1">
                  <c:v>Interest, Distributions and Gains</c:v>
                </c:pt>
                <c:pt idx="2">
                  <c:v>Other Revenue</c:v>
                </c:pt>
              </c:strCache>
            </c:strRef>
          </c:cat>
          <c:val>
            <c:numRef>
              <c:f>'own source revenue - controlled'!$B$4:$B$6</c:f>
              <c:numCache>
                <c:formatCode>General</c:formatCode>
                <c:ptCount val="3"/>
                <c:pt idx="0">
                  <c:v>0.66200000000000103</c:v>
                </c:pt>
                <c:pt idx="1">
                  <c:v>3.9000000000000014E-2</c:v>
                </c:pt>
                <c:pt idx="2">
                  <c:v>3.1000000000000034E-2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roundedCorners val="1"/>
  <c:chart>
    <c:plotArea>
      <c:layout/>
      <c:pieChart>
        <c:varyColors val="1"/>
        <c:ser>
          <c:idx val="0"/>
          <c:order val="0"/>
          <c:explosion val="15"/>
          <c:dLbls>
            <c:dLbl>
              <c:idx val="1"/>
              <c:layout>
                <c:manualLayout>
                  <c:x val="-0.21278164836725319"/>
                  <c:y val="-3.922254616132171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'cash and cash equivalents - con'!$A$1:$B$1</c:f>
              <c:strCache>
                <c:ptCount val="2"/>
                <c:pt idx="0">
                  <c:v>Cash at Bank and Cash on Hand</c:v>
                </c:pt>
                <c:pt idx="1">
                  <c:v>Investments</c:v>
                </c:pt>
              </c:strCache>
            </c:strRef>
          </c:cat>
          <c:val>
            <c:numRef>
              <c:f>'cash and cash equivalents - con'!$A$2:$B$2</c:f>
              <c:numCache>
                <c:formatCode>General</c:formatCode>
                <c:ptCount val="2"/>
                <c:pt idx="0">
                  <c:v>3.1000000000000034E-2</c:v>
                </c:pt>
                <c:pt idx="1">
                  <c:v>1.1950000000000001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ln w="19050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BB95-3F68-4327-A004-BD86B5A8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2852</Words>
  <Characters>15528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Discussion and Analysis</vt:lpstr>
    </vt:vector>
  </TitlesOfParts>
  <Company>ACT Government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Discussion and Analysis</dc:title>
  <dc:creator>david skinner</dc:creator>
  <cp:lastModifiedBy>FIONA MATZ</cp:lastModifiedBy>
  <cp:revision>2</cp:revision>
  <cp:lastPrinted>2014-08-21T02:07:00Z</cp:lastPrinted>
  <dcterms:created xsi:type="dcterms:W3CDTF">2014-10-28T02:59:00Z</dcterms:created>
  <dcterms:modified xsi:type="dcterms:W3CDTF">2014-10-28T02:59:00Z</dcterms:modified>
</cp:coreProperties>
</file>