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FFFF" w14:textId="001BD2E6" w:rsidR="00B25B71" w:rsidRPr="000273BC" w:rsidRDefault="000273BC" w:rsidP="000273BC">
      <w:pPr>
        <w:tabs>
          <w:tab w:val="left" w:pos="5245"/>
        </w:tabs>
        <w:ind w:right="-228"/>
      </w:pPr>
      <w:proofErr w:type="spellStart"/>
      <w:r>
        <w:rPr>
          <w:szCs w:val="22"/>
        </w:rPr>
        <w:t>Chiaka</w:t>
      </w:r>
      <w:proofErr w:type="spellEnd"/>
      <w:r>
        <w:rPr>
          <w:szCs w:val="22"/>
        </w:rPr>
        <w:t xml:space="preserve"> Barry MLA</w:t>
      </w:r>
      <w:r w:rsidR="00B25B71">
        <w:rPr>
          <w:sz w:val="24"/>
        </w:rPr>
        <w:tab/>
      </w:r>
      <w:r w:rsidR="00D9723E">
        <w:rPr>
          <w:sz w:val="24"/>
        </w:rPr>
        <w:tab/>
      </w:r>
      <w:r w:rsidR="00D9723E">
        <w:rPr>
          <w:sz w:val="24"/>
        </w:rPr>
        <w:tab/>
      </w:r>
      <w:r w:rsidR="00D9723E">
        <w:rPr>
          <w:sz w:val="24"/>
        </w:rPr>
        <w:tab/>
      </w:r>
      <w:r w:rsidR="00B25B71" w:rsidRPr="00A05B96">
        <w:rPr>
          <w:sz w:val="20"/>
          <w:szCs w:val="20"/>
        </w:rPr>
        <w:t xml:space="preserve">Our ref: </w:t>
      </w:r>
      <w:r w:rsidR="00DB6FC5">
        <w:rPr>
          <w:sz w:val="20"/>
          <w:szCs w:val="20"/>
        </w:rPr>
        <w:t>CMTEDD2025/2796</w:t>
      </w:r>
    </w:p>
    <w:p w14:paraId="6DED91AE" w14:textId="65DD9AE4" w:rsidR="00B25B71" w:rsidRPr="00B25B71" w:rsidRDefault="000273BC" w:rsidP="00B25B71">
      <w:pPr>
        <w:tabs>
          <w:tab w:val="left" w:pos="3420"/>
        </w:tabs>
        <w:rPr>
          <w:szCs w:val="22"/>
        </w:rPr>
      </w:pPr>
      <w:r>
        <w:rPr>
          <w:szCs w:val="22"/>
        </w:rPr>
        <w:t>Chair</w:t>
      </w:r>
      <w:r w:rsidR="00FA5BFC">
        <w:rPr>
          <w:szCs w:val="22"/>
        </w:rPr>
        <w:t>,</w:t>
      </w:r>
      <w:r>
        <w:rPr>
          <w:szCs w:val="22"/>
        </w:rPr>
        <w:t xml:space="preserve"> Standing Committee on Legal Affairs</w:t>
      </w:r>
    </w:p>
    <w:p w14:paraId="4DFABB51" w14:textId="7C611343" w:rsidR="00B25B71" w:rsidRDefault="00685437" w:rsidP="00B25B71">
      <w:pPr>
        <w:rPr>
          <w:szCs w:val="22"/>
        </w:rPr>
      </w:pPr>
      <w:r>
        <w:rPr>
          <w:szCs w:val="22"/>
        </w:rPr>
        <w:t xml:space="preserve">ACT </w:t>
      </w:r>
      <w:r w:rsidR="000273BC">
        <w:rPr>
          <w:szCs w:val="22"/>
        </w:rPr>
        <w:t>Legislative Assembly</w:t>
      </w:r>
    </w:p>
    <w:p w14:paraId="065A2B3F" w14:textId="7EE9605A" w:rsidR="00FA5BFC" w:rsidRDefault="00FA5BFC" w:rsidP="00B25B71">
      <w:pPr>
        <w:rPr>
          <w:szCs w:val="22"/>
        </w:rPr>
      </w:pPr>
      <w:hyperlink r:id="rId11" w:history="1">
        <w:r w:rsidRPr="002F6C31">
          <w:rPr>
            <w:rStyle w:val="Hyperlink"/>
            <w:szCs w:val="22"/>
          </w:rPr>
          <w:t>Scrutiny@parliament.act.gov.au</w:t>
        </w:r>
      </w:hyperlink>
      <w:r>
        <w:rPr>
          <w:szCs w:val="22"/>
        </w:rPr>
        <w:t xml:space="preserve"> </w:t>
      </w:r>
    </w:p>
    <w:p w14:paraId="4F5476AC" w14:textId="467666F2" w:rsidR="00E27CC3" w:rsidRPr="00B25B71" w:rsidRDefault="00D9723E" w:rsidP="00B25B71">
      <w:pPr>
        <w:rPr>
          <w:szCs w:val="22"/>
        </w:rPr>
      </w:pPr>
      <w:r>
        <w:rPr>
          <w:szCs w:val="22"/>
        </w:rPr>
        <w:br/>
      </w:r>
    </w:p>
    <w:p w14:paraId="7A640FBA" w14:textId="7DB409D0" w:rsidR="005E35F5" w:rsidRDefault="000273BC" w:rsidP="00D9723E">
      <w:pPr>
        <w:ind w:firstLine="426"/>
        <w:rPr>
          <w:lang w:val="en-US"/>
        </w:rPr>
      </w:pPr>
      <w:r>
        <w:rPr>
          <w:lang w:val="en-US"/>
        </w:rPr>
        <w:t>September 2025</w:t>
      </w:r>
      <w:r w:rsidR="00D9723E">
        <w:rPr>
          <w:lang w:val="en-US"/>
        </w:rPr>
        <w:br/>
      </w:r>
    </w:p>
    <w:p w14:paraId="302E0538" w14:textId="4E66DC5A" w:rsidR="005E35F5" w:rsidRDefault="008263E5" w:rsidP="00D9723E">
      <w:pPr>
        <w:spacing w:before="180"/>
      </w:pPr>
      <w:r w:rsidRPr="00A031A0">
        <w:rPr>
          <w:lang w:val="en-US"/>
        </w:rPr>
        <w:t>Dea</w:t>
      </w:r>
      <w:r w:rsidR="00D9723E">
        <w:rPr>
          <w:lang w:val="en-US"/>
        </w:rPr>
        <w:t>r</w:t>
      </w:r>
      <w:r>
        <w:rPr>
          <w:lang w:val="en-US"/>
        </w:rPr>
        <w:t xml:space="preserve"> </w:t>
      </w:r>
      <w:proofErr w:type="spellStart"/>
      <w:r w:rsidR="000273BC">
        <w:rPr>
          <w:lang w:val="en-US"/>
        </w:rPr>
        <w:t>Ms</w:t>
      </w:r>
      <w:proofErr w:type="spellEnd"/>
      <w:r w:rsidR="000273BC">
        <w:rPr>
          <w:lang w:val="en-US"/>
        </w:rPr>
        <w:t xml:space="preserve"> Barry</w:t>
      </w:r>
    </w:p>
    <w:p w14:paraId="658DFA52" w14:textId="4C509A62" w:rsidR="00E421ED" w:rsidRDefault="00E421ED" w:rsidP="00D9723E">
      <w:pPr>
        <w:spacing w:before="180"/>
      </w:pPr>
      <w:r>
        <w:t xml:space="preserve">I refer to </w:t>
      </w:r>
      <w:r w:rsidRPr="00FC5A67">
        <w:t xml:space="preserve">Scrutiny Report 9 </w:t>
      </w:r>
      <w:r>
        <w:t xml:space="preserve">of the </w:t>
      </w:r>
      <w:r w:rsidR="00685437" w:rsidRPr="00FC5A67">
        <w:t xml:space="preserve">Standing Committee on </w:t>
      </w:r>
      <w:r w:rsidR="00BF22BB">
        <w:t>L</w:t>
      </w:r>
      <w:r w:rsidR="00685437" w:rsidRPr="00FC5A67">
        <w:t>egal Affairs (Legislative Scrutiny Role) (the Committee)</w:t>
      </w:r>
      <w:r w:rsidR="00FA5BFC">
        <w:t xml:space="preserve"> and comments of the Committee on the Workplace Legislation Amendment Bill 2025 (No 2) (the Bill)</w:t>
      </w:r>
      <w:r>
        <w:t>.</w:t>
      </w:r>
    </w:p>
    <w:p w14:paraId="2DADA88D" w14:textId="4B3F791E" w:rsidR="00FC730C" w:rsidRPr="0068107F" w:rsidRDefault="00E421ED" w:rsidP="00D9723E">
      <w:pPr>
        <w:spacing w:before="180"/>
      </w:pPr>
      <w:r>
        <w:t xml:space="preserve">The Government thanks the Committee for its urgent </w:t>
      </w:r>
      <w:r w:rsidR="00FA5BFC">
        <w:t xml:space="preserve">and valuable </w:t>
      </w:r>
      <w:r>
        <w:t xml:space="preserve">consideration of the Bill. </w:t>
      </w:r>
      <w:r w:rsidR="009F004A">
        <w:t>In responding to comments made and to assist the Committee, I provide the following information</w:t>
      </w:r>
      <w:r>
        <w:t xml:space="preserve">. </w:t>
      </w:r>
    </w:p>
    <w:p w14:paraId="51D5ABA7" w14:textId="5D1653BB" w:rsidR="00965DD6" w:rsidRPr="00D9723E" w:rsidRDefault="003817E3" w:rsidP="00D9723E">
      <w:pPr>
        <w:spacing w:before="180"/>
        <w:rPr>
          <w:u w:val="single"/>
        </w:rPr>
      </w:pPr>
      <w:r>
        <w:rPr>
          <w:u w:val="single"/>
        </w:rPr>
        <w:t>A</w:t>
      </w:r>
      <w:r w:rsidR="00965DD6" w:rsidRPr="00965DD6">
        <w:rPr>
          <w:u w:val="single"/>
        </w:rPr>
        <w:t xml:space="preserve">mendments to </w:t>
      </w:r>
      <w:r w:rsidR="00965DD6" w:rsidRPr="00965DD6">
        <w:rPr>
          <w:rFonts w:cs="Calibri"/>
          <w:szCs w:val="22"/>
          <w:u w:val="single"/>
        </w:rPr>
        <w:t xml:space="preserve">the </w:t>
      </w:r>
      <w:r w:rsidR="00965DD6" w:rsidRPr="00965DD6">
        <w:rPr>
          <w:rFonts w:cs="Calibri"/>
          <w:i/>
          <w:iCs/>
          <w:szCs w:val="22"/>
          <w:u w:val="single"/>
        </w:rPr>
        <w:t>Evidence (Miscellaneous Provisions) Act 1991</w:t>
      </w:r>
      <w:r w:rsidR="00FA5BFC">
        <w:rPr>
          <w:rFonts w:cs="Calibri"/>
          <w:i/>
          <w:iCs/>
          <w:szCs w:val="22"/>
          <w:u w:val="single"/>
        </w:rPr>
        <w:t xml:space="preserve"> – part 2 of the Bill</w:t>
      </w:r>
    </w:p>
    <w:p w14:paraId="5DA59CA7" w14:textId="3C9712FD" w:rsidR="009F004A" w:rsidRDefault="009F004A" w:rsidP="00D9723E">
      <w:pPr>
        <w:spacing w:before="180"/>
      </w:pPr>
      <w:proofErr w:type="gramStart"/>
      <w:r>
        <w:t>A number of</w:t>
      </w:r>
      <w:proofErr w:type="gramEnd"/>
      <w:r>
        <w:t xml:space="preserve"> comments made </w:t>
      </w:r>
      <w:r w:rsidR="00D05003">
        <w:t xml:space="preserve">(at paragraphs 1.42, 1.48 and 1.51) </w:t>
      </w:r>
      <w:r w:rsidR="000A2867">
        <w:t xml:space="preserve">by the Committee </w:t>
      </w:r>
      <w:r>
        <w:t>seek to understand the purpose</w:t>
      </w:r>
      <w:r w:rsidR="000A2867">
        <w:t>,</w:t>
      </w:r>
      <w:r>
        <w:t xml:space="preserve"> effect </w:t>
      </w:r>
      <w:r w:rsidR="000A2867">
        <w:t xml:space="preserve">and definitional elements </w:t>
      </w:r>
      <w:r>
        <w:t>of part 2 of the Bill and in particular, clauses 5 and 6.</w:t>
      </w:r>
    </w:p>
    <w:p w14:paraId="4A71FAA4" w14:textId="0AC03686" w:rsidR="00C9069F" w:rsidRDefault="000A2867" w:rsidP="00D9723E">
      <w:pPr>
        <w:spacing w:before="180"/>
      </w:pPr>
      <w:r>
        <w:t xml:space="preserve">The stated purpose and effect of </w:t>
      </w:r>
      <w:r w:rsidRPr="0068107F">
        <w:t>the amendment</w:t>
      </w:r>
      <w:r>
        <w:t xml:space="preserve"> is in </w:t>
      </w:r>
      <w:r w:rsidRPr="0068107F">
        <w:t>extend</w:t>
      </w:r>
      <w:r>
        <w:t>ing</w:t>
      </w:r>
      <w:r w:rsidRPr="0068107F">
        <w:t xml:space="preserve"> </w:t>
      </w:r>
      <w:r>
        <w:t>special</w:t>
      </w:r>
      <w:r w:rsidRPr="0068107F">
        <w:t xml:space="preserve"> protections</w:t>
      </w:r>
      <w:r>
        <w:t xml:space="preserve">, </w:t>
      </w:r>
      <w:r w:rsidRPr="0068107F">
        <w:t>c</w:t>
      </w:r>
      <w:r>
        <w:t xml:space="preserve">urrently </w:t>
      </w:r>
      <w:r w:rsidRPr="0068107F">
        <w:t xml:space="preserve">available </w:t>
      </w:r>
      <w:r>
        <w:t xml:space="preserve">to a ‘complainant’ </w:t>
      </w:r>
      <w:r w:rsidRPr="0068107F">
        <w:t>in sexual</w:t>
      </w:r>
      <w:r>
        <w:t xml:space="preserve"> offence</w:t>
      </w:r>
      <w:r w:rsidRPr="0068107F">
        <w:t>, violent, and family violence proceedings</w:t>
      </w:r>
      <w:r>
        <w:t xml:space="preserve">, </w:t>
      </w:r>
      <w:r w:rsidRPr="0068107F">
        <w:t xml:space="preserve">to </w:t>
      </w:r>
      <w:r>
        <w:t xml:space="preserve">those in workplace proceedings under the </w:t>
      </w:r>
      <w:r w:rsidRPr="003817E3">
        <w:rPr>
          <w:i/>
          <w:iCs/>
        </w:rPr>
        <w:t xml:space="preserve">Work Health and Safety Act 2011 </w:t>
      </w:r>
      <w:r>
        <w:t xml:space="preserve">(WHS Act) where the WHS breach involves sexual assault or harassment. </w:t>
      </w:r>
    </w:p>
    <w:p w14:paraId="669704BB" w14:textId="471BF375" w:rsidR="00C9069F" w:rsidRDefault="000A2867" w:rsidP="00D9723E">
      <w:pPr>
        <w:spacing w:before="180"/>
      </w:pPr>
      <w:r>
        <w:t xml:space="preserve">In summary these amendments </w:t>
      </w:r>
      <w:r w:rsidRPr="00732B3C">
        <w:rPr>
          <w:rFonts w:cs="Calibri"/>
          <w:szCs w:val="22"/>
        </w:rPr>
        <w:t>aim to encourage reporting, reduce trauma, and address power imbalances, without altering the legal standing of other parties.</w:t>
      </w:r>
      <w:r w:rsidR="00C9069F">
        <w:t xml:space="preserve"> </w:t>
      </w:r>
      <w:r>
        <w:t xml:space="preserve">The changes made, </w:t>
      </w:r>
      <w:proofErr w:type="gramStart"/>
      <w:r>
        <w:t>in particular those</w:t>
      </w:r>
      <w:proofErr w:type="gramEnd"/>
      <w:r>
        <w:t xml:space="preserve"> in clauses 5 and 6, are necessary to ensure this aim is achieved. </w:t>
      </w:r>
    </w:p>
    <w:p w14:paraId="622D2A0C" w14:textId="16579FC1" w:rsidR="00985B6E" w:rsidRDefault="00C9069F" w:rsidP="00D9723E">
      <w:pPr>
        <w:spacing w:before="180"/>
      </w:pPr>
      <w:r>
        <w:t>WHS</w:t>
      </w:r>
      <w:r w:rsidR="000A2867">
        <w:t xml:space="preserve"> proceedings are not inquiring into </w:t>
      </w:r>
      <w:proofErr w:type="gramStart"/>
      <w:r>
        <w:t>whether or not</w:t>
      </w:r>
      <w:proofErr w:type="gramEnd"/>
      <w:r>
        <w:t xml:space="preserve"> a sexual offence under the </w:t>
      </w:r>
      <w:r w:rsidRPr="00C9069F">
        <w:rPr>
          <w:i/>
          <w:iCs/>
        </w:rPr>
        <w:t>Crimes Act 1900</w:t>
      </w:r>
      <w:r>
        <w:t xml:space="preserve"> has been committed. Given this</w:t>
      </w:r>
      <w:r w:rsidR="000A2867">
        <w:t xml:space="preserve">, </w:t>
      </w:r>
      <w:r>
        <w:t xml:space="preserve">the WHS offence the subject of the WHS proceeding </w:t>
      </w:r>
      <w:r w:rsidR="00985B6E">
        <w:t xml:space="preserve">is distinct from and separate to </w:t>
      </w:r>
      <w:r>
        <w:t xml:space="preserve">the </w:t>
      </w:r>
      <w:r w:rsidR="00985B6E">
        <w:t>criminal offence of the act</w:t>
      </w:r>
      <w:r>
        <w:t xml:space="preserve"> of sexual violence itself</w:t>
      </w:r>
      <w:r w:rsidR="00985B6E">
        <w:t xml:space="preserve">. </w:t>
      </w:r>
      <w:r>
        <w:t xml:space="preserve"> </w:t>
      </w:r>
      <w:r w:rsidR="00985B6E">
        <w:t xml:space="preserve">In other words, a WHS offence is less likely to be committed against the complainant in the same way that a criminal offence would. Considering this and without the </w:t>
      </w:r>
      <w:r>
        <w:t>amendment in clause 6</w:t>
      </w:r>
      <w:r w:rsidR="00985B6E">
        <w:t>, extending legal protections for sexual violence complainants to WHS proceedings in clause 4 may be rendered ineffective.</w:t>
      </w:r>
    </w:p>
    <w:p w14:paraId="062188F7" w14:textId="77777777" w:rsidR="00D9723E" w:rsidRDefault="00D9723E" w:rsidP="00D9723E">
      <w:pPr>
        <w:spacing w:before="180"/>
      </w:pPr>
    </w:p>
    <w:p w14:paraId="4F24AEE1" w14:textId="4F90305D" w:rsidR="00BE45AB" w:rsidRDefault="00985B6E" w:rsidP="00D9723E">
      <w:pPr>
        <w:spacing w:before="180"/>
      </w:pPr>
      <w:r>
        <w:lastRenderedPageBreak/>
        <w:t xml:space="preserve">Additionally, to ensure the effectiveness of extending these protections to a complainant in relation to a WHS proceeding the Bill </w:t>
      </w:r>
      <w:r w:rsidR="00BE45AB">
        <w:t>ensures and makes it clear that an accused includes the person alleged or suspected to have committed the sexual assault or sexual harassment</w:t>
      </w:r>
      <w:r>
        <w:t xml:space="preserve"> </w:t>
      </w:r>
      <w:r w:rsidR="00BE45AB">
        <w:t xml:space="preserve">for the purposes of and in the context of relevant protections as stated in clause 5 of the Bill. </w:t>
      </w:r>
      <w:r w:rsidR="00D05003">
        <w:t xml:space="preserve">This directly responds to the specific nature and context of a WHS proceeding </w:t>
      </w:r>
      <w:r w:rsidR="00D05003" w:rsidRPr="00D05003">
        <w:t>acknowledg</w:t>
      </w:r>
      <w:r w:rsidR="00D05003">
        <w:t>ing that in these</w:t>
      </w:r>
      <w:r w:rsidR="00D05003" w:rsidRPr="00D05003">
        <w:t xml:space="preserve"> circumstances the perpetrator of the alleged or suspected violence and the WHS duty holder may, and in fact are likely to not be the same person.</w:t>
      </w:r>
    </w:p>
    <w:p w14:paraId="054FB582" w14:textId="699C484F" w:rsidR="00BE45AB" w:rsidRDefault="00BE45AB" w:rsidP="00D9723E">
      <w:pPr>
        <w:spacing w:before="180"/>
      </w:pPr>
      <w:r>
        <w:t xml:space="preserve">Relevantly, it is noted that the </w:t>
      </w:r>
      <w:r w:rsidRPr="00B479E0">
        <w:rPr>
          <w:rFonts w:cs="Calibri"/>
          <w:i/>
          <w:iCs/>
          <w:szCs w:val="22"/>
        </w:rPr>
        <w:t>Evidence (Miscellaneous Provisions) Act 1991</w:t>
      </w:r>
      <w:r w:rsidRPr="00E45BEB">
        <w:t xml:space="preserve"> </w:t>
      </w:r>
      <w:r>
        <w:t xml:space="preserve">does not define the term ‘accused’, and as such, no amendment </w:t>
      </w:r>
      <w:proofErr w:type="gramStart"/>
      <w:r>
        <w:t>in the nature of clause</w:t>
      </w:r>
      <w:proofErr w:type="gramEnd"/>
      <w:r>
        <w:t xml:space="preserve"> 5 is required </w:t>
      </w:r>
      <w:proofErr w:type="gramStart"/>
      <w:r>
        <w:t>in order to</w:t>
      </w:r>
      <w:proofErr w:type="gramEnd"/>
      <w:r>
        <w:t xml:space="preserve"> capture the duty holder in this regard and against whom the WHS breach is being prosecuted.</w:t>
      </w:r>
    </w:p>
    <w:p w14:paraId="36CDAB88" w14:textId="2B8EE773" w:rsidR="000A2867" w:rsidRDefault="00985B6E" w:rsidP="00D9723E">
      <w:pPr>
        <w:spacing w:before="180"/>
      </w:pPr>
      <w:r>
        <w:t xml:space="preserve">In this context, </w:t>
      </w:r>
      <w:r w:rsidR="00BE45AB">
        <w:t>the</w:t>
      </w:r>
      <w:r>
        <w:t xml:space="preserve"> explanatory statement sets out variously </w:t>
      </w:r>
      <w:r w:rsidR="00FD4FAA">
        <w:t xml:space="preserve">how human rights may be engaged </w:t>
      </w:r>
      <w:r>
        <w:t xml:space="preserve">and justifies </w:t>
      </w:r>
      <w:r w:rsidR="00FD4FAA">
        <w:t>proportion</w:t>
      </w:r>
      <w:r w:rsidR="007A5A49">
        <w:t xml:space="preserve">ality </w:t>
      </w:r>
      <w:r w:rsidR="00FD4FAA">
        <w:t xml:space="preserve">where those rights may be limited, </w:t>
      </w:r>
      <w:r w:rsidR="00BE45AB">
        <w:t>for example in relation to rights in criminal proceedings and rights to a fair trial</w:t>
      </w:r>
      <w:r>
        <w:t>.</w:t>
      </w:r>
      <w:r w:rsidR="00BE45AB" w:rsidRPr="00BE45AB">
        <w:t xml:space="preserve"> </w:t>
      </w:r>
      <w:r w:rsidR="00BE45AB">
        <w:t xml:space="preserve">They </w:t>
      </w:r>
      <w:r w:rsidR="00BE45AB" w:rsidRPr="004C1D4F">
        <w:rPr>
          <w:rFonts w:cs="Calibri"/>
          <w:szCs w:val="22"/>
        </w:rPr>
        <w:t>are narrowly scoped, context-specific, and subject to judicial oversight to preserve fairness. They do not alter the legal standing of other parties, but rather aim to reduce trauma, encourage reporting, and address power imbalances</w:t>
      </w:r>
      <w:r w:rsidR="00BE45AB">
        <w:rPr>
          <w:rFonts w:cs="Calibri"/>
          <w:szCs w:val="22"/>
        </w:rPr>
        <w:t>.</w:t>
      </w:r>
    </w:p>
    <w:p w14:paraId="485AB4D5" w14:textId="2451FE12" w:rsidR="000A2867" w:rsidRDefault="00BE45AB" w:rsidP="00D9723E">
      <w:pPr>
        <w:spacing w:before="180"/>
      </w:pPr>
      <w:r>
        <w:t>While t</w:t>
      </w:r>
      <w:r w:rsidR="000A160B" w:rsidRPr="000A160B">
        <w:t xml:space="preserve">he revised </w:t>
      </w:r>
      <w:r w:rsidR="000A2867">
        <w:t>e</w:t>
      </w:r>
      <w:r w:rsidR="000A160B" w:rsidRPr="000A160B">
        <w:t xml:space="preserve">xplanatory </w:t>
      </w:r>
      <w:r w:rsidR="000A2867">
        <w:t>s</w:t>
      </w:r>
      <w:r w:rsidR="000A160B" w:rsidRPr="000A160B">
        <w:t xml:space="preserve">tatement </w:t>
      </w:r>
      <w:r w:rsidR="005B783B">
        <w:t xml:space="preserve">provided with the Bill </w:t>
      </w:r>
      <w:r>
        <w:t>has explained</w:t>
      </w:r>
      <w:r w:rsidR="00595309">
        <w:t xml:space="preserve"> </w:t>
      </w:r>
      <w:r w:rsidR="000A160B" w:rsidRPr="000A160B">
        <w:t xml:space="preserve">the purpose and effect of </w:t>
      </w:r>
      <w:r w:rsidR="003A145B">
        <w:t>the</w:t>
      </w:r>
      <w:r>
        <w:t>se</w:t>
      </w:r>
      <w:r w:rsidR="003A145B">
        <w:t xml:space="preserve"> amendment</w:t>
      </w:r>
      <w:r>
        <w:t xml:space="preserve">s, </w:t>
      </w:r>
      <w:r w:rsidR="000A2867">
        <w:t xml:space="preserve">I have provided some additional clarity in </w:t>
      </w:r>
      <w:r>
        <w:t xml:space="preserve">the attached </w:t>
      </w:r>
      <w:r w:rsidR="000A2867">
        <w:t>revisions to the revised explanatory statement</w:t>
      </w:r>
      <w:r>
        <w:t xml:space="preserve"> within</w:t>
      </w:r>
      <w:r w:rsidR="000A2867">
        <w:t xml:space="preserve"> the outline of the Bill.</w:t>
      </w:r>
    </w:p>
    <w:p w14:paraId="67465892" w14:textId="788CC377" w:rsidR="00965DD6" w:rsidRPr="00D9723E" w:rsidRDefault="00965DD6" w:rsidP="00D9723E">
      <w:pPr>
        <w:spacing w:before="180"/>
        <w:rPr>
          <w:u w:val="single"/>
        </w:rPr>
      </w:pPr>
      <w:r w:rsidRPr="00725CED">
        <w:rPr>
          <w:u w:val="single"/>
        </w:rPr>
        <w:t xml:space="preserve">Amendments to the </w:t>
      </w:r>
      <w:r w:rsidRPr="00725CED">
        <w:rPr>
          <w:i/>
          <w:iCs/>
          <w:u w:val="single"/>
        </w:rPr>
        <w:t>Workers Compensation Act 1951</w:t>
      </w:r>
      <w:r w:rsidR="00FA5BFC">
        <w:rPr>
          <w:i/>
          <w:iCs/>
          <w:u w:val="single"/>
        </w:rPr>
        <w:t xml:space="preserve"> – part 3 of the Bill</w:t>
      </w:r>
    </w:p>
    <w:p w14:paraId="417193EE" w14:textId="4B339EA5" w:rsidR="00304488" w:rsidRDefault="00D05003" w:rsidP="00D9723E">
      <w:pPr>
        <w:spacing w:before="180"/>
      </w:pPr>
      <w:r>
        <w:t xml:space="preserve">Noting the Committee’s </w:t>
      </w:r>
      <w:r w:rsidR="000A160B">
        <w:t xml:space="preserve">comment at paragraph 1.61, </w:t>
      </w:r>
      <w:r w:rsidR="00473B14">
        <w:t xml:space="preserve">a </w:t>
      </w:r>
      <w:r w:rsidR="000A160B" w:rsidRPr="00095B2B">
        <w:t xml:space="preserve">determination </w:t>
      </w:r>
      <w:r w:rsidR="00473B14">
        <w:t xml:space="preserve">allowed </w:t>
      </w:r>
      <w:r w:rsidR="000A160B" w:rsidRPr="00095B2B">
        <w:t>under</w:t>
      </w:r>
      <w:r w:rsidR="00473B14">
        <w:t xml:space="preserve"> the</w:t>
      </w:r>
      <w:r w:rsidR="000A160B" w:rsidRPr="00095B2B">
        <w:t xml:space="preserve"> new section</w:t>
      </w:r>
      <w:r w:rsidR="00304488">
        <w:t> </w:t>
      </w:r>
      <w:r w:rsidR="000A160B" w:rsidRPr="00095B2B">
        <w:t xml:space="preserve">166J </w:t>
      </w:r>
      <w:r w:rsidR="002836D6">
        <w:t>is to be made in the form of</w:t>
      </w:r>
      <w:r w:rsidR="00E421ED">
        <w:t xml:space="preserve"> </w:t>
      </w:r>
      <w:r w:rsidR="000A160B" w:rsidRPr="00095B2B">
        <w:t>a notifiable instrument</w:t>
      </w:r>
      <w:r w:rsidR="00473B14">
        <w:t>. This</w:t>
      </w:r>
      <w:r w:rsidR="000A160B" w:rsidRPr="00095B2B">
        <w:t xml:space="preserve"> enable</w:t>
      </w:r>
      <w:r w:rsidR="00473B14">
        <w:t>s</w:t>
      </w:r>
      <w:r w:rsidR="000A160B" w:rsidRPr="00095B2B">
        <w:t xml:space="preserve"> timely and </w:t>
      </w:r>
      <w:r w:rsidR="002836D6">
        <w:t xml:space="preserve">limited </w:t>
      </w:r>
      <w:r w:rsidR="000A160B" w:rsidRPr="00095B2B">
        <w:t xml:space="preserve">intervention </w:t>
      </w:r>
      <w:r w:rsidR="002836D6">
        <w:t xml:space="preserve">to effectively avert </w:t>
      </w:r>
      <w:r w:rsidR="000A160B" w:rsidRPr="00095B2B">
        <w:t xml:space="preserve">potential market </w:t>
      </w:r>
      <w:r w:rsidR="002836D6">
        <w:t xml:space="preserve">failure and </w:t>
      </w:r>
      <w:r w:rsidR="000A160B" w:rsidRPr="00095B2B">
        <w:t xml:space="preserve">instability within the workers compensation insurance sector. </w:t>
      </w:r>
    </w:p>
    <w:p w14:paraId="35EA3C3D" w14:textId="165A07DF" w:rsidR="00D10F77" w:rsidRDefault="00304488" w:rsidP="00D9723E">
      <w:pPr>
        <w:spacing w:before="180"/>
      </w:pPr>
      <w:r>
        <w:t>Relevantly, exercising th</w:t>
      </w:r>
      <w:r w:rsidR="00473B14">
        <w:t>is</w:t>
      </w:r>
      <w:r>
        <w:t xml:space="preserve"> legislative power </w:t>
      </w:r>
      <w:r w:rsidR="00473B14">
        <w:t xml:space="preserve">by the Executive </w:t>
      </w:r>
      <w:r>
        <w:t xml:space="preserve">would not alter existing rights and obligations under the </w:t>
      </w:r>
      <w:r w:rsidRPr="00304488">
        <w:rPr>
          <w:i/>
          <w:iCs/>
        </w:rPr>
        <w:t>Workers Compensation Act 1951</w:t>
      </w:r>
      <w:r w:rsidR="002836D6">
        <w:t xml:space="preserve">. It </w:t>
      </w:r>
      <w:r w:rsidR="000A160B" w:rsidRPr="00095B2B">
        <w:t xml:space="preserve">supports continuity and certainty of </w:t>
      </w:r>
      <w:r w:rsidR="002836D6">
        <w:t xml:space="preserve">insurance </w:t>
      </w:r>
      <w:r w:rsidR="000A160B" w:rsidRPr="00095B2B">
        <w:t>coverage</w:t>
      </w:r>
      <w:r w:rsidR="002836D6">
        <w:t xml:space="preserve"> in limited and </w:t>
      </w:r>
      <w:r w:rsidR="000A160B" w:rsidRPr="00095B2B">
        <w:t>urgent circumstances</w:t>
      </w:r>
      <w:r w:rsidR="00D10F77">
        <w:t xml:space="preserve">. In this way it is not dissimilar or </w:t>
      </w:r>
      <w:r w:rsidR="002836D6">
        <w:t>inconsistent with other instrument</w:t>
      </w:r>
      <w:r w:rsidR="00D10F77">
        <w:t xml:space="preserve"> making powers</w:t>
      </w:r>
      <w:r w:rsidR="002836D6">
        <w:t xml:space="preserve"> under the workers’ compensation scheme</w:t>
      </w:r>
      <w:r w:rsidR="00D10F77">
        <w:t xml:space="preserve"> in relation to classifying workers and declaring certain categories of workers to be workers for that Act</w:t>
      </w:r>
      <w:r w:rsidR="000A160B" w:rsidRPr="00095B2B">
        <w:t xml:space="preserve">. </w:t>
      </w:r>
    </w:p>
    <w:p w14:paraId="639D8FC2" w14:textId="16ECA705" w:rsidR="000A160B" w:rsidRPr="00095B2B" w:rsidRDefault="00D10F77" w:rsidP="00D9723E">
      <w:pPr>
        <w:spacing w:before="180"/>
      </w:pPr>
      <w:r>
        <w:t xml:space="preserve">As a notifiable instrument there is transparency and accountability provided in where the new determination making powers are exercised under section 166J in the Bill. </w:t>
      </w:r>
    </w:p>
    <w:p w14:paraId="5E01EB84" w14:textId="0FD0165A" w:rsidR="008108C2" w:rsidRPr="008108C2" w:rsidRDefault="00E421ED" w:rsidP="00D9723E">
      <w:pPr>
        <w:spacing w:before="180"/>
      </w:pPr>
      <w:r>
        <w:t>T</w:t>
      </w:r>
      <w:r w:rsidR="008108C2" w:rsidRPr="008108C2">
        <w:t>o ensure absolute clarity</w:t>
      </w:r>
      <w:r w:rsidR="00D10F77">
        <w:t xml:space="preserve"> in relation to comments made at paragraph 1.63</w:t>
      </w:r>
      <w:r w:rsidR="008108C2" w:rsidRPr="008108C2">
        <w:t xml:space="preserve"> </w:t>
      </w:r>
      <w:r w:rsidR="00D10F77">
        <w:t xml:space="preserve">and noting that all rights considered to be engaged and limited have been addressed in the explanatory statement, </w:t>
      </w:r>
      <w:r w:rsidR="008108C2">
        <w:t xml:space="preserve">additional wording </w:t>
      </w:r>
      <w:r>
        <w:t xml:space="preserve">has been added </w:t>
      </w:r>
      <w:r w:rsidR="00D10F77">
        <w:t>confirming that part 3 of the Bill does not limit human rights.</w:t>
      </w:r>
    </w:p>
    <w:p w14:paraId="4DE59907" w14:textId="5138E164" w:rsidR="00965DD6" w:rsidRPr="00095B2B" w:rsidRDefault="002836D6" w:rsidP="00D9723E">
      <w:pPr>
        <w:spacing w:before="180"/>
      </w:pPr>
      <w:r>
        <w:t>I</w:t>
      </w:r>
      <w:r w:rsidR="00E421ED">
        <w:t xml:space="preserve"> otherwise </w:t>
      </w:r>
      <w:r w:rsidR="00E421ED" w:rsidRPr="00E421ED">
        <w:rPr>
          <w:b/>
          <w:bCs/>
          <w:i/>
          <w:iCs/>
        </w:rPr>
        <w:t>enclose</w:t>
      </w:r>
      <w:r w:rsidR="00E421ED" w:rsidRPr="00E421ED">
        <w:rPr>
          <w:b/>
          <w:bCs/>
        </w:rPr>
        <w:t xml:space="preserve"> </w:t>
      </w:r>
      <w:r w:rsidR="00E421ED">
        <w:t xml:space="preserve">a copy of the </w:t>
      </w:r>
      <w:r>
        <w:t>revisions made to the revised</w:t>
      </w:r>
      <w:r w:rsidR="00E421ED">
        <w:t xml:space="preserve"> Explanatory Statement. </w:t>
      </w:r>
      <w:r w:rsidR="007A5A49">
        <w:t>I</w:t>
      </w:r>
      <w:r w:rsidR="00E421ED">
        <w:t xml:space="preserve"> trust this provides the Committee with sufficient context and assurance regarding the Bill’s intent. </w:t>
      </w:r>
    </w:p>
    <w:p w14:paraId="07D97020" w14:textId="77777777" w:rsidR="00685437" w:rsidRDefault="00685437" w:rsidP="008263E5"/>
    <w:p w14:paraId="2E029AEF" w14:textId="06231367" w:rsidR="008263E5" w:rsidRDefault="008263E5" w:rsidP="008263E5">
      <w:r w:rsidRPr="00A031A0">
        <w:t>Yours sincerely</w:t>
      </w:r>
    </w:p>
    <w:p w14:paraId="34FE8F2D" w14:textId="506FA3B2" w:rsidR="008263E5" w:rsidRDefault="008263E5" w:rsidP="008263E5"/>
    <w:p w14:paraId="421D9980" w14:textId="77777777" w:rsidR="008263E5" w:rsidRDefault="008263E5" w:rsidP="008263E5"/>
    <w:p w14:paraId="1ED47EAA" w14:textId="77777777" w:rsidR="008263E5" w:rsidRDefault="008263E5" w:rsidP="008263E5"/>
    <w:p w14:paraId="647E65CF" w14:textId="11E845CD" w:rsidR="002A42D2" w:rsidRDefault="00432144" w:rsidP="008263E5">
      <w:r>
        <w:t>Michael Pettersson</w:t>
      </w:r>
      <w:r w:rsidR="008263E5">
        <w:t xml:space="preserve"> ML</w:t>
      </w:r>
      <w:r w:rsidR="00691922">
        <w:t>A</w:t>
      </w:r>
    </w:p>
    <w:p w14:paraId="26689477" w14:textId="434D39E0" w:rsidR="00BF22BB" w:rsidRPr="00B25B71" w:rsidRDefault="00BF22BB" w:rsidP="008263E5">
      <w:r>
        <w:t>Minister for Skills, Training and Industrial Relations</w:t>
      </w:r>
    </w:p>
    <w:sectPr w:rsidR="00BF22BB" w:rsidRPr="00B25B71" w:rsidSect="00607FD6">
      <w:headerReference w:type="default" r:id="rId12"/>
      <w:headerReference w:type="first" r:id="rId13"/>
      <w:footerReference w:type="first" r:id="rId14"/>
      <w:pgSz w:w="11906" w:h="16838"/>
      <w:pgMar w:top="737" w:right="1474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1457" w14:textId="77777777" w:rsidR="002B4FE7" w:rsidRDefault="002B4FE7" w:rsidP="00315A45">
      <w:r>
        <w:separator/>
      </w:r>
    </w:p>
  </w:endnote>
  <w:endnote w:type="continuationSeparator" w:id="0">
    <w:p w14:paraId="626D4A02" w14:textId="77777777" w:rsidR="002B4FE7" w:rsidRDefault="002B4FE7" w:rsidP="0031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DE64" w14:textId="77777777" w:rsidR="00965ACD" w:rsidRDefault="00965ACD"/>
  <w:p w14:paraId="796F5053" w14:textId="77777777" w:rsidR="00965ACD" w:rsidRDefault="00965ACD"/>
  <w:p w14:paraId="6F8DBEE4" w14:textId="77777777" w:rsidR="00965ACD" w:rsidRDefault="00965ACD"/>
  <w:p w14:paraId="768ACF73" w14:textId="77777777" w:rsidR="00965ACD" w:rsidRDefault="00965ACD"/>
  <w:p w14:paraId="6F9D11EA" w14:textId="77777777" w:rsidR="00965ACD" w:rsidRDefault="00965AC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3"/>
      <w:gridCol w:w="3203"/>
      <w:gridCol w:w="2465"/>
    </w:tblGrid>
    <w:tr w:rsidR="006A57A6" w14:paraId="79AAE169" w14:textId="77777777" w:rsidTr="0047109B">
      <w:tc>
        <w:tcPr>
          <w:tcW w:w="3743" w:type="dxa"/>
        </w:tcPr>
        <w:p w14:paraId="0D816FFE" w14:textId="77777777" w:rsidR="006A57A6" w:rsidRDefault="006A57A6" w:rsidP="006A57A6">
          <w:pPr>
            <w:pStyle w:val="Footer"/>
          </w:pPr>
          <w:r w:rsidRPr="001C500A">
            <w:rPr>
              <w:b/>
              <w:bCs/>
            </w:rPr>
            <w:t>ACT Legislative Assembly</w:t>
          </w:r>
          <w:r>
            <w:br/>
            <w:t>London Circuit, GPO Box 1020,</w:t>
          </w:r>
          <w:r>
            <w:br/>
            <w:t>Canberra ACT 2601</w:t>
          </w:r>
        </w:p>
      </w:tc>
      <w:tc>
        <w:tcPr>
          <w:tcW w:w="3203" w:type="dxa"/>
        </w:tcPr>
        <w:p w14:paraId="39B22A15" w14:textId="77777777" w:rsidR="006A57A6" w:rsidRDefault="006A57A6" w:rsidP="006A57A6">
          <w:pPr>
            <w:pStyle w:val="Footer"/>
          </w:pPr>
          <w:r>
            <w:t>+61 2 6205 1436</w:t>
          </w:r>
          <w:r>
            <w:br/>
            <w:t>pettersson@act.gov.au</w:t>
          </w:r>
        </w:p>
      </w:tc>
      <w:tc>
        <w:tcPr>
          <w:tcW w:w="2465" w:type="dxa"/>
        </w:tcPr>
        <w:p w14:paraId="0305340F" w14:textId="77777777" w:rsidR="006A57A6" w:rsidRDefault="006A57A6" w:rsidP="006A57A6">
          <w:pPr>
            <w:pStyle w:val="Footer"/>
          </w:pPr>
          <w:r w:rsidRPr="004C446D">
            <w:rPr>
              <w:rFonts w:cs="Times New Roman (Body CS)"/>
              <w:noProof/>
              <w:position w:val="-6"/>
            </w:rPr>
            <w:drawing>
              <wp:inline distT="0" distB="0" distL="0" distR="0" wp14:anchorId="47F94594" wp14:editId="40EF0B0B">
                <wp:extent cx="140400" cy="140400"/>
                <wp:effectExtent l="0" t="0" r="0" b="0"/>
                <wp:docPr id="1331660608" name="Picture 2" descr="Icon for social media platform Facebook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57715" name="Picture 2" descr="Icon for social media platform Facebook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C446D">
            <w:rPr>
              <w:rFonts w:cs="Times New Roman (Body CS)"/>
              <w:position w:val="-6"/>
            </w:rPr>
            <w:t xml:space="preserve">  </w:t>
          </w:r>
          <w:proofErr w:type="spellStart"/>
          <w:r>
            <w:rPr>
              <w:rFonts w:cs="Times New Roman (Body CS)"/>
              <w:position w:val="-6"/>
            </w:rPr>
            <w:t>michael_pettersson</w:t>
          </w:r>
          <w:proofErr w:type="spellEnd"/>
          <w:r>
            <w:br/>
          </w:r>
          <w:r w:rsidRPr="004C446D">
            <w:rPr>
              <w:rFonts w:cs="Times New Roman (Body CS)"/>
              <w:noProof/>
              <w:position w:val="-6"/>
            </w:rPr>
            <w:drawing>
              <wp:inline distT="0" distB="0" distL="0" distR="0" wp14:anchorId="2D877B64" wp14:editId="41956F5D">
                <wp:extent cx="140400" cy="140400"/>
                <wp:effectExtent l="0" t="0" r="0" b="0"/>
                <wp:docPr id="624795921" name="Picture 2" descr="Icon for social media platform Instagra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068804" name="Picture 2" descr="Icon for social media platform Instagram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C446D">
            <w:rPr>
              <w:rFonts w:cs="Times New Roman (Body CS)"/>
              <w:position w:val="-6"/>
            </w:rPr>
            <w:t xml:space="preserve">  </w:t>
          </w:r>
          <w:proofErr w:type="spellStart"/>
          <w:r>
            <w:rPr>
              <w:rFonts w:cs="Times New Roman (Body CS)"/>
              <w:position w:val="-6"/>
            </w:rPr>
            <w:t>petterssonmla</w:t>
          </w:r>
          <w:proofErr w:type="spellEnd"/>
        </w:p>
      </w:tc>
    </w:tr>
  </w:tbl>
  <w:p w14:paraId="7ED009ED" w14:textId="77777777" w:rsidR="006A57A6" w:rsidRDefault="006A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B865" w14:textId="77777777" w:rsidR="002B4FE7" w:rsidRDefault="002B4FE7" w:rsidP="00315A45">
      <w:r>
        <w:separator/>
      </w:r>
    </w:p>
  </w:footnote>
  <w:footnote w:type="continuationSeparator" w:id="0">
    <w:p w14:paraId="21762764" w14:textId="77777777" w:rsidR="002B4FE7" w:rsidRDefault="002B4FE7" w:rsidP="0031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D661" w14:textId="77777777" w:rsidR="00965ACD" w:rsidRDefault="00965ACD">
    <w:pPr>
      <w:pStyle w:val="Header"/>
    </w:pPr>
  </w:p>
  <w:p w14:paraId="6401DA05" w14:textId="77777777" w:rsidR="00965ACD" w:rsidRDefault="00965ACD">
    <w:pPr>
      <w:pStyle w:val="Header"/>
    </w:pPr>
  </w:p>
  <w:p w14:paraId="026881B3" w14:textId="77777777" w:rsidR="00965ACD" w:rsidRDefault="00965ACD">
    <w:pPr>
      <w:pStyle w:val="Header"/>
    </w:pPr>
  </w:p>
  <w:p w14:paraId="217ED3F8" w14:textId="77777777" w:rsidR="00965ACD" w:rsidRDefault="00965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5E59" w14:textId="77777777" w:rsidR="006A57A6" w:rsidRPr="005C3D1A" w:rsidRDefault="006A57A6" w:rsidP="006A57A6">
    <w:pPr>
      <w:jc w:val="right"/>
      <w:rPr>
        <w:szCs w:val="22"/>
      </w:rPr>
    </w:pPr>
    <w:r w:rsidRPr="005C3D1A">
      <w:rPr>
        <w:b/>
        <w:bCs/>
        <w:noProof/>
        <w:szCs w:val="22"/>
        <w:lang w:eastAsia="en-AU"/>
      </w:rPr>
      <w:drawing>
        <wp:anchor distT="0" distB="0" distL="114300" distR="114300" simplePos="0" relativeHeight="251662336" behindDoc="1" locked="0" layoutInCell="1" allowOverlap="1" wp14:anchorId="6959DCDD" wp14:editId="377AE805">
          <wp:simplePos x="0" y="0"/>
          <wp:positionH relativeFrom="page">
            <wp:posOffset>0</wp:posOffset>
          </wp:positionH>
          <wp:positionV relativeFrom="paragraph">
            <wp:posOffset>-435873</wp:posOffset>
          </wp:positionV>
          <wp:extent cx="7560633" cy="10699200"/>
          <wp:effectExtent l="0" t="0" r="0" b="0"/>
          <wp:wrapNone/>
          <wp:docPr id="419742761" name="Picture 4197427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490952" name="Picture 37949095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33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123EA93" wp14:editId="59EACC50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1288800" cy="655200"/>
          <wp:effectExtent l="0" t="0" r="0" b="5715"/>
          <wp:wrapNone/>
          <wp:docPr id="1694835518" name="Picture 1" descr="ACT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66956" name="Picture 1" descr="ACT Government Cres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Cs w:val="22"/>
        <w:lang w:eastAsia="en-AU"/>
      </w:rPr>
      <w:t>Michael Pettersson</w:t>
    </w:r>
    <w:r w:rsidRPr="005C3D1A">
      <w:rPr>
        <w:b/>
        <w:bCs/>
        <w:szCs w:val="22"/>
      </w:rPr>
      <w:t xml:space="preserve"> MLA</w:t>
    </w:r>
  </w:p>
  <w:p w14:paraId="52D16AB3" w14:textId="77777777" w:rsidR="006A57A6" w:rsidRDefault="006A57A6" w:rsidP="006A57A6">
    <w:pPr>
      <w:jc w:val="right"/>
      <w:rPr>
        <w:color w:val="0F270A"/>
        <w:spacing w:val="-1"/>
        <w:sz w:val="18"/>
        <w:szCs w:val="18"/>
      </w:rPr>
    </w:pPr>
    <w:r>
      <w:rPr>
        <w:color w:val="0F270A"/>
        <w:spacing w:val="-1"/>
        <w:sz w:val="18"/>
        <w:szCs w:val="18"/>
      </w:rPr>
      <w:t>Minister for Business, Arts and Creative Industries</w:t>
    </w:r>
    <w:r>
      <w:rPr>
        <w:color w:val="0F270A"/>
        <w:spacing w:val="-1"/>
        <w:sz w:val="18"/>
        <w:szCs w:val="18"/>
      </w:rPr>
      <w:br/>
      <w:t>Minister for Children, Youth and Families</w:t>
    </w:r>
    <w:r>
      <w:rPr>
        <w:color w:val="0F270A"/>
        <w:spacing w:val="-1"/>
        <w:sz w:val="18"/>
        <w:szCs w:val="18"/>
      </w:rPr>
      <w:br/>
      <w:t>Minister for Multicultural Affairs</w:t>
    </w:r>
    <w:r>
      <w:rPr>
        <w:color w:val="0F270A"/>
        <w:spacing w:val="-1"/>
        <w:sz w:val="18"/>
        <w:szCs w:val="18"/>
      </w:rPr>
      <w:br/>
      <w:t>Minister for Skills, Training and Industrial Relations</w:t>
    </w:r>
  </w:p>
  <w:p w14:paraId="46F74439" w14:textId="77777777" w:rsidR="006A57A6" w:rsidRPr="008C114C" w:rsidRDefault="006A57A6" w:rsidP="006A57A6">
    <w:pPr>
      <w:jc w:val="right"/>
      <w:rPr>
        <w:color w:val="0F270A"/>
        <w:spacing w:val="-1"/>
        <w:sz w:val="18"/>
        <w:szCs w:val="18"/>
      </w:rPr>
    </w:pPr>
    <w:r>
      <w:rPr>
        <w:color w:val="0F270A"/>
        <w:spacing w:val="-1"/>
        <w:sz w:val="18"/>
        <w:szCs w:val="18"/>
      </w:rPr>
      <w:t xml:space="preserve">Member for </w:t>
    </w:r>
    <w:proofErr w:type="spellStart"/>
    <w:r>
      <w:rPr>
        <w:color w:val="0F270A"/>
        <w:spacing w:val="-1"/>
        <w:sz w:val="18"/>
        <w:szCs w:val="18"/>
      </w:rPr>
      <w:t>Yerrabi</w:t>
    </w:r>
    <w:proofErr w:type="spellEnd"/>
  </w:p>
  <w:p w14:paraId="17010777" w14:textId="77777777" w:rsidR="006A57A6" w:rsidRDefault="006A57A6" w:rsidP="006A57A6">
    <w:pPr>
      <w:pStyle w:val="Header"/>
    </w:pPr>
  </w:p>
  <w:p w14:paraId="1D882205" w14:textId="77777777" w:rsidR="006A57A6" w:rsidRDefault="006A57A6" w:rsidP="006A57A6">
    <w:pPr>
      <w:pStyle w:val="Header"/>
    </w:pPr>
  </w:p>
  <w:p w14:paraId="0A8DDFBA" w14:textId="77777777" w:rsidR="006A57A6" w:rsidRDefault="006A57A6" w:rsidP="006A57A6">
    <w:pPr>
      <w:pStyle w:val="Header"/>
    </w:pPr>
  </w:p>
  <w:p w14:paraId="6E2F298F" w14:textId="77777777" w:rsidR="006A57A6" w:rsidRDefault="006A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A3387"/>
    <w:multiLevelType w:val="hybridMultilevel"/>
    <w:tmpl w:val="FB5A41E2"/>
    <w:lvl w:ilvl="0" w:tplc="944C99F2">
      <w:start w:val="1"/>
      <w:numFmt w:val="bullet"/>
      <w:pStyle w:val="ListParagraph"/>
      <w:lvlText w:val=""/>
      <w:lvlJc w:val="left"/>
      <w:pPr>
        <w:ind w:left="510" w:hanging="226"/>
      </w:pPr>
      <w:rPr>
        <w:rFonts w:ascii="Symbol" w:hAnsi="Symbol" w:hint="default"/>
        <w:w w:val="15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731541"/>
    <w:multiLevelType w:val="multilevel"/>
    <w:tmpl w:val="68CA7BB4"/>
    <w:styleLink w:val="CurrentList3"/>
    <w:lvl w:ilvl="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8700E7"/>
    <w:multiLevelType w:val="hybridMultilevel"/>
    <w:tmpl w:val="9E521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07F3A"/>
    <w:multiLevelType w:val="multilevel"/>
    <w:tmpl w:val="AE4662DE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B453C"/>
    <w:multiLevelType w:val="multilevel"/>
    <w:tmpl w:val="03E49A8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4831996">
    <w:abstractNumId w:val="0"/>
  </w:num>
  <w:num w:numId="2" w16cid:durableId="1473863430">
    <w:abstractNumId w:val="4"/>
  </w:num>
  <w:num w:numId="3" w16cid:durableId="530804760">
    <w:abstractNumId w:val="3"/>
  </w:num>
  <w:num w:numId="4" w16cid:durableId="508297634">
    <w:abstractNumId w:val="1"/>
  </w:num>
  <w:num w:numId="5" w16cid:durableId="184550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45"/>
    <w:rsid w:val="000135A0"/>
    <w:rsid w:val="000273BC"/>
    <w:rsid w:val="00033948"/>
    <w:rsid w:val="00054B75"/>
    <w:rsid w:val="000705BF"/>
    <w:rsid w:val="000763D1"/>
    <w:rsid w:val="0008138D"/>
    <w:rsid w:val="00081C2E"/>
    <w:rsid w:val="00095B2B"/>
    <w:rsid w:val="000A160B"/>
    <w:rsid w:val="000A2867"/>
    <w:rsid w:val="000E07CF"/>
    <w:rsid w:val="000E1502"/>
    <w:rsid w:val="0014143E"/>
    <w:rsid w:val="00163DB8"/>
    <w:rsid w:val="00171FC0"/>
    <w:rsid w:val="00191541"/>
    <w:rsid w:val="0019168D"/>
    <w:rsid w:val="001A0CA3"/>
    <w:rsid w:val="001C500A"/>
    <w:rsid w:val="001C5FDD"/>
    <w:rsid w:val="001F595C"/>
    <w:rsid w:val="001F78F4"/>
    <w:rsid w:val="00200D02"/>
    <w:rsid w:val="0022198B"/>
    <w:rsid w:val="0022344D"/>
    <w:rsid w:val="00260C37"/>
    <w:rsid w:val="002836D6"/>
    <w:rsid w:val="00287FB4"/>
    <w:rsid w:val="002A42D2"/>
    <w:rsid w:val="002A7695"/>
    <w:rsid w:val="002B4FE7"/>
    <w:rsid w:val="002E278C"/>
    <w:rsid w:val="002E4E80"/>
    <w:rsid w:val="002F3B51"/>
    <w:rsid w:val="002F5690"/>
    <w:rsid w:val="00301750"/>
    <w:rsid w:val="00304488"/>
    <w:rsid w:val="00306CBA"/>
    <w:rsid w:val="00315A45"/>
    <w:rsid w:val="003250BF"/>
    <w:rsid w:val="0034162D"/>
    <w:rsid w:val="0034281C"/>
    <w:rsid w:val="003537B7"/>
    <w:rsid w:val="00366A73"/>
    <w:rsid w:val="003817E3"/>
    <w:rsid w:val="003846C7"/>
    <w:rsid w:val="00384C8E"/>
    <w:rsid w:val="003873D6"/>
    <w:rsid w:val="00390402"/>
    <w:rsid w:val="003A145B"/>
    <w:rsid w:val="003A2E45"/>
    <w:rsid w:val="003A3BAE"/>
    <w:rsid w:val="003A6C94"/>
    <w:rsid w:val="003B2E79"/>
    <w:rsid w:val="003C03BA"/>
    <w:rsid w:val="003E4F41"/>
    <w:rsid w:val="003F4482"/>
    <w:rsid w:val="003F710F"/>
    <w:rsid w:val="00413BAB"/>
    <w:rsid w:val="0042047D"/>
    <w:rsid w:val="00426CBB"/>
    <w:rsid w:val="00431517"/>
    <w:rsid w:val="00432144"/>
    <w:rsid w:val="00464C70"/>
    <w:rsid w:val="00473B14"/>
    <w:rsid w:val="00474779"/>
    <w:rsid w:val="0048139D"/>
    <w:rsid w:val="004A388B"/>
    <w:rsid w:val="004C446D"/>
    <w:rsid w:val="004C696B"/>
    <w:rsid w:val="004F1373"/>
    <w:rsid w:val="00520111"/>
    <w:rsid w:val="00556887"/>
    <w:rsid w:val="00582466"/>
    <w:rsid w:val="00584D55"/>
    <w:rsid w:val="00595309"/>
    <w:rsid w:val="005A20E9"/>
    <w:rsid w:val="005B783B"/>
    <w:rsid w:val="005C0979"/>
    <w:rsid w:val="005C3D1A"/>
    <w:rsid w:val="005C7350"/>
    <w:rsid w:val="005E19B4"/>
    <w:rsid w:val="005E35F5"/>
    <w:rsid w:val="005F271C"/>
    <w:rsid w:val="00607FD6"/>
    <w:rsid w:val="00612DC1"/>
    <w:rsid w:val="0067428D"/>
    <w:rsid w:val="0068107F"/>
    <w:rsid w:val="00685437"/>
    <w:rsid w:val="00691922"/>
    <w:rsid w:val="00693A28"/>
    <w:rsid w:val="006A57A6"/>
    <w:rsid w:val="006B22C5"/>
    <w:rsid w:val="00710A41"/>
    <w:rsid w:val="00725CED"/>
    <w:rsid w:val="00743027"/>
    <w:rsid w:val="00764C51"/>
    <w:rsid w:val="007A5A49"/>
    <w:rsid w:val="007D6B27"/>
    <w:rsid w:val="007E63C8"/>
    <w:rsid w:val="008108C2"/>
    <w:rsid w:val="008263E5"/>
    <w:rsid w:val="00836AA3"/>
    <w:rsid w:val="00844975"/>
    <w:rsid w:val="00856AB1"/>
    <w:rsid w:val="008E29D1"/>
    <w:rsid w:val="008F637C"/>
    <w:rsid w:val="00965272"/>
    <w:rsid w:val="00965ACD"/>
    <w:rsid w:val="00965DD6"/>
    <w:rsid w:val="0098047F"/>
    <w:rsid w:val="00985B6E"/>
    <w:rsid w:val="00997FDF"/>
    <w:rsid w:val="009B46E5"/>
    <w:rsid w:val="009E0C55"/>
    <w:rsid w:val="009F004A"/>
    <w:rsid w:val="00A0036C"/>
    <w:rsid w:val="00A4662E"/>
    <w:rsid w:val="00A666DC"/>
    <w:rsid w:val="00A66883"/>
    <w:rsid w:val="00A71FA4"/>
    <w:rsid w:val="00A81E37"/>
    <w:rsid w:val="00A97E63"/>
    <w:rsid w:val="00AC1C16"/>
    <w:rsid w:val="00AD5344"/>
    <w:rsid w:val="00AF12CF"/>
    <w:rsid w:val="00B14FCA"/>
    <w:rsid w:val="00B25B71"/>
    <w:rsid w:val="00B358A4"/>
    <w:rsid w:val="00B42C89"/>
    <w:rsid w:val="00B479E0"/>
    <w:rsid w:val="00B64CF0"/>
    <w:rsid w:val="00B741E2"/>
    <w:rsid w:val="00B7768F"/>
    <w:rsid w:val="00B8609F"/>
    <w:rsid w:val="00B96B3C"/>
    <w:rsid w:val="00BA5888"/>
    <w:rsid w:val="00BD6CFC"/>
    <w:rsid w:val="00BE45AB"/>
    <w:rsid w:val="00BF22BB"/>
    <w:rsid w:val="00C17619"/>
    <w:rsid w:val="00C31D4A"/>
    <w:rsid w:val="00C50B04"/>
    <w:rsid w:val="00C53026"/>
    <w:rsid w:val="00C74D01"/>
    <w:rsid w:val="00C81086"/>
    <w:rsid w:val="00C82C2D"/>
    <w:rsid w:val="00C9069F"/>
    <w:rsid w:val="00CE0318"/>
    <w:rsid w:val="00CE457D"/>
    <w:rsid w:val="00CF61E1"/>
    <w:rsid w:val="00D00649"/>
    <w:rsid w:val="00D05003"/>
    <w:rsid w:val="00D05FF3"/>
    <w:rsid w:val="00D10F77"/>
    <w:rsid w:val="00D30660"/>
    <w:rsid w:val="00D54162"/>
    <w:rsid w:val="00D66139"/>
    <w:rsid w:val="00D80A85"/>
    <w:rsid w:val="00D9723E"/>
    <w:rsid w:val="00DB3629"/>
    <w:rsid w:val="00DB58E7"/>
    <w:rsid w:val="00DB6FC5"/>
    <w:rsid w:val="00DC019C"/>
    <w:rsid w:val="00DC22A5"/>
    <w:rsid w:val="00E22E8C"/>
    <w:rsid w:val="00E27CC3"/>
    <w:rsid w:val="00E421ED"/>
    <w:rsid w:val="00E45BEB"/>
    <w:rsid w:val="00E6594B"/>
    <w:rsid w:val="00E833A5"/>
    <w:rsid w:val="00E867C9"/>
    <w:rsid w:val="00EC704F"/>
    <w:rsid w:val="00ED73E0"/>
    <w:rsid w:val="00EE6237"/>
    <w:rsid w:val="00EF6671"/>
    <w:rsid w:val="00F11E4F"/>
    <w:rsid w:val="00F53E3B"/>
    <w:rsid w:val="00F56877"/>
    <w:rsid w:val="00F72FB7"/>
    <w:rsid w:val="00F84265"/>
    <w:rsid w:val="00F91E92"/>
    <w:rsid w:val="00FA5BFC"/>
    <w:rsid w:val="00FB692A"/>
    <w:rsid w:val="00FC2593"/>
    <w:rsid w:val="00FC5A67"/>
    <w:rsid w:val="00FC730C"/>
    <w:rsid w:val="00FD2FD0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72D70"/>
  <w15:chartTrackingRefBased/>
  <w15:docId w15:val="{5A4021C4-9BAE-174F-9E9A-C023626B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B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D1A"/>
    <w:pPr>
      <w:keepNext/>
      <w:keepLines/>
      <w:spacing w:before="360" w:after="720"/>
      <w:outlineLvl w:val="0"/>
    </w:pPr>
    <w:rPr>
      <w:rFonts w:ascii="Montserrat" w:eastAsiaTheme="majorEastAsia" w:hAnsi="Montserrat" w:cstheme="majorBidi"/>
      <w:b/>
      <w:color w:val="6E46E0"/>
      <w:sz w:val="7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D1A"/>
    <w:pPr>
      <w:keepNext/>
      <w:keepLines/>
      <w:spacing w:before="160" w:after="360"/>
      <w:outlineLvl w:val="1"/>
    </w:pPr>
    <w:rPr>
      <w:rFonts w:ascii="Montserrat SemiBold" w:eastAsiaTheme="majorEastAsia" w:hAnsi="Montserrat SemiBold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FDF"/>
    <w:pPr>
      <w:keepNext/>
      <w:keepLines/>
      <w:spacing w:before="160" w:after="24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1A"/>
    <w:rPr>
      <w:rFonts w:ascii="Montserrat" w:eastAsiaTheme="majorEastAsia" w:hAnsi="Montserrat" w:cstheme="majorBidi"/>
      <w:b/>
      <w:color w:val="6E46E0"/>
      <w:sz w:val="7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D1A"/>
    <w:rPr>
      <w:rFonts w:ascii="Montserrat SemiBold" w:eastAsiaTheme="majorEastAsia" w:hAnsi="Montserrat SemiBold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7FDF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402"/>
    <w:pPr>
      <w:spacing w:after="80"/>
      <w:contextualSpacing/>
    </w:pPr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402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1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A45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qFormat/>
    <w:rsid w:val="00315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A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A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A45"/>
  </w:style>
  <w:style w:type="paragraph" w:styleId="Footer">
    <w:name w:val="footer"/>
    <w:basedOn w:val="Normal"/>
    <w:link w:val="FooterChar"/>
    <w:uiPriority w:val="99"/>
    <w:unhideWhenUsed/>
    <w:rsid w:val="00315A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A45"/>
  </w:style>
  <w:style w:type="character" w:styleId="Hyperlink">
    <w:name w:val="Hyperlink"/>
    <w:basedOn w:val="DefaultParagraphFont"/>
    <w:uiPriority w:val="99"/>
    <w:unhideWhenUsed/>
    <w:rsid w:val="00315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A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A4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315A45"/>
    <w:pPr>
      <w:numPr>
        <w:numId w:val="2"/>
      </w:numPr>
    </w:pPr>
  </w:style>
  <w:style w:type="numbering" w:customStyle="1" w:styleId="CurrentList2">
    <w:name w:val="Current List2"/>
    <w:uiPriority w:val="99"/>
    <w:rsid w:val="00315A45"/>
    <w:pPr>
      <w:numPr>
        <w:numId w:val="3"/>
      </w:numPr>
    </w:pPr>
  </w:style>
  <w:style w:type="numbering" w:customStyle="1" w:styleId="CurrentList3">
    <w:name w:val="Current List3"/>
    <w:uiPriority w:val="99"/>
    <w:rsid w:val="00315A45"/>
    <w:pPr>
      <w:numPr>
        <w:numId w:val="4"/>
      </w:numPr>
    </w:pPr>
  </w:style>
  <w:style w:type="paragraph" w:customStyle="1" w:styleId="BasicParagraph">
    <w:name w:val="[Basic Paragraph]"/>
    <w:basedOn w:val="Normal"/>
    <w:uiPriority w:val="99"/>
    <w:rsid w:val="005C3D1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B25B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4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2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643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5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72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21" ma:contentTypeDescription="Create a new document." ma:contentTypeScope="" ma:versionID="3dc0a0aa5d813c1ccc1c9af56cf373e2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0107a8091404721e33c13c5070e93ff5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47241e-7224-40da-83d9-1113ff4a4334">
      <UserInfo>
        <DisplayName/>
        <AccountId xsi:nil="true"/>
        <AccountType/>
      </UserInfo>
    </SharedWithUsers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1799D5-5DC1-4D17-BAD4-8E6EACFC0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48C6A-709A-4221-A805-B3138285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5916F-F2FB-499C-A3E0-CF6DFC983FE3}">
  <ds:schemaRefs>
    <ds:schemaRef ds:uri="http://schemas.microsoft.com/office/2006/metadata/properties"/>
    <ds:schemaRef ds:uri="http://schemas.microsoft.com/office/infopath/2007/PartnerControls"/>
    <ds:schemaRef ds:uri="4d47241e-7224-40da-83d9-1113ff4a4334"/>
    <ds:schemaRef ds:uri="f6c841be-bb08-4901-87b0-0033aa80d2c6"/>
  </ds:schemaRefs>
</ds:datastoreItem>
</file>

<file path=customXml/itemProps4.xml><?xml version="1.0" encoding="utf-8"?>
<ds:datastoreItem xmlns:ds="http://schemas.openxmlformats.org/officeDocument/2006/customXml" ds:itemID="{778991E6-7C2E-904C-9315-139834F5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Attar, Hiba</dc:creator>
  <cp:keywords/>
  <dc:description/>
  <cp:lastModifiedBy>Trpkovski, MelissaS</cp:lastModifiedBy>
  <cp:revision>2</cp:revision>
  <dcterms:created xsi:type="dcterms:W3CDTF">2025-09-18T04:29:00Z</dcterms:created>
  <dcterms:modified xsi:type="dcterms:W3CDTF">2025-09-18T04:29:00Z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2025-06-16T01:33:40Z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9eecc774-fcd7-49f3-887c-90833360fecf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50, 3, 0, 1</vt:lpwstr>
  </property>
  <property fmtid="{D5CDD505-2E9C-101B-9397-08002B2CF9AE}" pid="10" name="Order">
    <vt:r8>230800</vt:r8>
  </property>
  <property fmtid="{D5CDD505-2E9C-101B-9397-08002B2CF9AE}" pid="11" name="MediaServiceImageTags">
    <vt:lpwstr/>
  </property>
  <property fmtid="{D5CDD505-2E9C-101B-9397-08002B2CF9AE}" pid="12" name="ContentTypeId">
    <vt:lpwstr>0x010100190D9B5854DD0943985B1931B7971495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