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E7E4" w14:textId="77777777" w:rsidR="00481401" w:rsidRPr="00F725CE" w:rsidRDefault="00481401" w:rsidP="00481401">
      <w:pPr>
        <w:spacing w:line="257" w:lineRule="auto"/>
        <w:ind w:left="720" w:hanging="360"/>
        <w:jc w:val="center"/>
        <w:rPr>
          <w:b/>
          <w:bCs/>
          <w:sz w:val="32"/>
        </w:rPr>
      </w:pPr>
      <w:r w:rsidRPr="00F725CE">
        <w:rPr>
          <w:b/>
          <w:bCs/>
          <w:sz w:val="32"/>
        </w:rPr>
        <w:t>Opening Statement to the</w:t>
      </w:r>
    </w:p>
    <w:p w14:paraId="1C04D957" w14:textId="77777777" w:rsidR="00481401" w:rsidRPr="00F725CE" w:rsidRDefault="00481401" w:rsidP="00481401">
      <w:pPr>
        <w:spacing w:line="360" w:lineRule="auto"/>
        <w:jc w:val="center"/>
        <w:rPr>
          <w:b/>
          <w:bCs/>
          <w:sz w:val="32"/>
        </w:rPr>
      </w:pPr>
      <w:bookmarkStart w:id="0" w:name="_Hlk61594356"/>
      <w:r w:rsidRPr="00F725CE">
        <w:rPr>
          <w:b/>
          <w:bCs/>
          <w:sz w:val="32"/>
        </w:rPr>
        <w:t>STANDING COMMITTEE ON HEALTH AND COMMUNITY WELLBEING</w:t>
      </w:r>
      <w:r>
        <w:rPr>
          <w:b/>
          <w:bCs/>
          <w:sz w:val="32"/>
        </w:rPr>
        <w:t xml:space="preserve">  Annual Report Hearings 2022-23</w:t>
      </w:r>
    </w:p>
    <w:p w14:paraId="0112AB56" w14:textId="77777777" w:rsidR="00481401" w:rsidRPr="00F725CE" w:rsidRDefault="00481401" w:rsidP="00481401">
      <w:pPr>
        <w:spacing w:line="360" w:lineRule="auto"/>
        <w:jc w:val="center"/>
        <w:rPr>
          <w:b/>
          <w:bCs/>
          <w:sz w:val="32"/>
        </w:rPr>
      </w:pPr>
      <w:r w:rsidRPr="00F725CE">
        <w:rPr>
          <w:b/>
          <w:bCs/>
          <w:sz w:val="32"/>
        </w:rPr>
        <w:t>by Rebecca Vassarotti</w:t>
      </w:r>
      <w:r>
        <w:rPr>
          <w:b/>
          <w:bCs/>
          <w:sz w:val="32"/>
        </w:rPr>
        <w:t xml:space="preserve"> MLA</w:t>
      </w:r>
      <w:r w:rsidRPr="00F725CE">
        <w:rPr>
          <w:b/>
          <w:bCs/>
          <w:sz w:val="32"/>
        </w:rPr>
        <w:t xml:space="preserve">, </w:t>
      </w:r>
    </w:p>
    <w:p w14:paraId="4443B5B8" w14:textId="77777777" w:rsidR="00481401" w:rsidRPr="00F725CE" w:rsidRDefault="00481401" w:rsidP="00481401">
      <w:pPr>
        <w:spacing w:line="360" w:lineRule="auto"/>
        <w:jc w:val="center"/>
        <w:rPr>
          <w:b/>
          <w:bCs/>
          <w:sz w:val="32"/>
        </w:rPr>
      </w:pPr>
      <w:r w:rsidRPr="00F725CE">
        <w:rPr>
          <w:b/>
          <w:bCs/>
          <w:sz w:val="32"/>
        </w:rPr>
        <w:t>Minister for Homelessness and Housing Services</w:t>
      </w:r>
    </w:p>
    <w:p w14:paraId="749F2584" w14:textId="77777777" w:rsidR="00481401" w:rsidRDefault="00481401" w:rsidP="00481401">
      <w:pPr>
        <w:spacing w:line="360" w:lineRule="auto"/>
        <w:jc w:val="center"/>
        <w:rPr>
          <w:sz w:val="32"/>
        </w:rPr>
      </w:pPr>
    </w:p>
    <w:p w14:paraId="59B7134D" w14:textId="27F57C3E" w:rsidR="00481401" w:rsidRPr="00481401" w:rsidRDefault="00481401" w:rsidP="00481401">
      <w:pPr>
        <w:pStyle w:val="BodyText"/>
        <w:spacing w:before="0" w:line="360" w:lineRule="auto"/>
        <w:ind w:left="0" w:firstLine="0"/>
        <w:jc w:val="center"/>
        <w:rPr>
          <w:sz w:val="32"/>
          <w:szCs w:val="22"/>
        </w:rPr>
      </w:pPr>
      <w:r>
        <w:rPr>
          <w:sz w:val="32"/>
          <w:szCs w:val="22"/>
        </w:rPr>
        <w:t>NOVEMBER 2023</w:t>
      </w:r>
      <w:bookmarkEnd w:id="0"/>
    </w:p>
    <w:p w14:paraId="03324BDA" w14:textId="77777777" w:rsidR="002754CF" w:rsidRDefault="002754CF" w:rsidP="00D605C2">
      <w:pPr>
        <w:spacing w:before="60" w:after="60" w:line="360" w:lineRule="auto"/>
        <w:ind w:left="644" w:hanging="360"/>
        <w:contextualSpacing/>
      </w:pPr>
    </w:p>
    <w:p w14:paraId="508057C6" w14:textId="12BDF4E3" w:rsidR="0079717D" w:rsidRPr="00183340" w:rsidRDefault="000F46C8" w:rsidP="00C51191">
      <w:pPr>
        <w:pStyle w:val="ListParagraph"/>
        <w:numPr>
          <w:ilvl w:val="0"/>
          <w:numId w:val="6"/>
        </w:numPr>
        <w:spacing w:before="60" w:after="60" w:line="360" w:lineRule="auto"/>
        <w:ind w:left="641" w:hanging="357"/>
        <w:contextualSpacing w:val="0"/>
        <w:rPr>
          <w:sz w:val="28"/>
          <w:szCs w:val="28"/>
        </w:rPr>
      </w:pPr>
      <w:r w:rsidRPr="00183340">
        <w:rPr>
          <w:sz w:val="28"/>
          <w:szCs w:val="28"/>
        </w:rPr>
        <w:t>The ACT Government recognises access to safe, affordable</w:t>
      </w:r>
      <w:r w:rsidR="0079717D" w:rsidRPr="00E678E3">
        <w:rPr>
          <w:sz w:val="28"/>
          <w:szCs w:val="28"/>
        </w:rPr>
        <w:t>,</w:t>
      </w:r>
      <w:r w:rsidRPr="00183340">
        <w:rPr>
          <w:sz w:val="28"/>
          <w:szCs w:val="28"/>
        </w:rPr>
        <w:t xml:space="preserve"> and appropriate long-term housing improves individual and community</w:t>
      </w:r>
      <w:r w:rsidR="00593FB4" w:rsidRPr="00183340">
        <w:rPr>
          <w:sz w:val="28"/>
          <w:szCs w:val="28"/>
        </w:rPr>
        <w:t xml:space="preserve"> outcomes, cohesiveness and</w:t>
      </w:r>
      <w:r w:rsidRPr="00183340">
        <w:rPr>
          <w:sz w:val="28"/>
          <w:szCs w:val="28"/>
        </w:rPr>
        <w:t xml:space="preserve"> wellbeing.</w:t>
      </w:r>
      <w:r w:rsidR="00183340" w:rsidRPr="00183340">
        <w:rPr>
          <w:sz w:val="28"/>
          <w:szCs w:val="28"/>
        </w:rPr>
        <w:t xml:space="preserve"> </w:t>
      </w:r>
      <w:r w:rsidR="0079717D" w:rsidRPr="00183340">
        <w:rPr>
          <w:sz w:val="28"/>
          <w:szCs w:val="28"/>
        </w:rPr>
        <w:t xml:space="preserve">This is </w:t>
      </w:r>
      <w:r w:rsidR="00183340">
        <w:rPr>
          <w:sz w:val="28"/>
          <w:szCs w:val="28"/>
        </w:rPr>
        <w:t xml:space="preserve">one of the </w:t>
      </w:r>
      <w:r w:rsidR="0079717D" w:rsidRPr="00183340">
        <w:rPr>
          <w:sz w:val="28"/>
          <w:szCs w:val="28"/>
        </w:rPr>
        <w:t>pillar</w:t>
      </w:r>
      <w:r w:rsidR="00183340">
        <w:rPr>
          <w:sz w:val="28"/>
          <w:szCs w:val="28"/>
        </w:rPr>
        <w:t>s</w:t>
      </w:r>
      <w:r w:rsidR="0079717D" w:rsidRPr="00183340">
        <w:rPr>
          <w:sz w:val="28"/>
          <w:szCs w:val="28"/>
        </w:rPr>
        <w:t xml:space="preserve"> of our Wellbeing Strategy.</w:t>
      </w:r>
    </w:p>
    <w:p w14:paraId="430D7C88" w14:textId="232BB215" w:rsidR="0079717D" w:rsidRDefault="000F46C8" w:rsidP="00C51191">
      <w:pPr>
        <w:pStyle w:val="ListParagraph"/>
        <w:numPr>
          <w:ilvl w:val="0"/>
          <w:numId w:val="6"/>
        </w:numPr>
        <w:spacing w:before="60" w:after="60" w:line="360" w:lineRule="auto"/>
        <w:ind w:left="641" w:hanging="357"/>
        <w:contextualSpacing w:val="0"/>
        <w:rPr>
          <w:sz w:val="28"/>
          <w:szCs w:val="28"/>
        </w:rPr>
      </w:pPr>
      <w:r>
        <w:rPr>
          <w:sz w:val="28"/>
          <w:szCs w:val="28"/>
        </w:rPr>
        <w:t xml:space="preserve">In 2022-23, our efforts </w:t>
      </w:r>
      <w:r w:rsidR="0079717D">
        <w:rPr>
          <w:sz w:val="28"/>
          <w:szCs w:val="28"/>
        </w:rPr>
        <w:t xml:space="preserve">continued to </w:t>
      </w:r>
      <w:r>
        <w:rPr>
          <w:sz w:val="28"/>
          <w:szCs w:val="28"/>
        </w:rPr>
        <w:t xml:space="preserve">focus on </w:t>
      </w:r>
      <w:r w:rsidR="0079717D">
        <w:rPr>
          <w:sz w:val="28"/>
          <w:szCs w:val="28"/>
        </w:rPr>
        <w:t>improving</w:t>
      </w:r>
      <w:r w:rsidRPr="004508CB">
        <w:rPr>
          <w:sz w:val="28"/>
          <w:szCs w:val="28"/>
        </w:rPr>
        <w:t xml:space="preserve"> housing for low income and disadvantaged individuals and families within our community. </w:t>
      </w:r>
    </w:p>
    <w:p w14:paraId="4FF9BC5F" w14:textId="155BE428" w:rsidR="0079717D" w:rsidRDefault="0079717D" w:rsidP="00C51191">
      <w:pPr>
        <w:pStyle w:val="ListParagraph"/>
        <w:numPr>
          <w:ilvl w:val="0"/>
          <w:numId w:val="6"/>
        </w:numPr>
        <w:spacing w:before="60" w:after="60" w:line="360" w:lineRule="auto"/>
        <w:ind w:left="641" w:hanging="357"/>
        <w:contextualSpacing w:val="0"/>
        <w:rPr>
          <w:sz w:val="28"/>
          <w:szCs w:val="28"/>
        </w:rPr>
      </w:pPr>
      <w:r>
        <w:rPr>
          <w:sz w:val="28"/>
          <w:szCs w:val="28"/>
        </w:rPr>
        <w:t>Provision of</w:t>
      </w:r>
      <w:r w:rsidR="00192A2C">
        <w:rPr>
          <w:sz w:val="28"/>
          <w:szCs w:val="28"/>
        </w:rPr>
        <w:t xml:space="preserve"> social</w:t>
      </w:r>
      <w:r>
        <w:rPr>
          <w:sz w:val="28"/>
          <w:szCs w:val="28"/>
        </w:rPr>
        <w:t xml:space="preserve"> housing</w:t>
      </w:r>
      <w:r w:rsidR="00192A2C">
        <w:rPr>
          <w:sz w:val="28"/>
          <w:szCs w:val="28"/>
        </w:rPr>
        <w:t xml:space="preserve"> assistance</w:t>
      </w:r>
      <w:r>
        <w:rPr>
          <w:sz w:val="28"/>
          <w:szCs w:val="28"/>
        </w:rPr>
        <w:t xml:space="preserve"> is a critical part of the overall housing response to support individuals and families in need. This, along with affordable housing options, rental relief and cost of living supports, aim </w:t>
      </w:r>
      <w:r w:rsidR="00183340">
        <w:rPr>
          <w:sz w:val="28"/>
          <w:szCs w:val="28"/>
        </w:rPr>
        <w:t>to ease</w:t>
      </w:r>
      <w:r>
        <w:rPr>
          <w:sz w:val="28"/>
          <w:szCs w:val="28"/>
        </w:rPr>
        <w:t xml:space="preserve"> the housing burden.</w:t>
      </w:r>
    </w:p>
    <w:p w14:paraId="7071103F" w14:textId="0F6457CF" w:rsidR="0021320C" w:rsidRDefault="00192A2C" w:rsidP="00D605C2">
      <w:pPr>
        <w:pStyle w:val="ListParagraph"/>
        <w:numPr>
          <w:ilvl w:val="0"/>
          <w:numId w:val="6"/>
        </w:numPr>
        <w:spacing w:before="60" w:after="60" w:line="360" w:lineRule="auto"/>
        <w:ind w:left="644"/>
        <w:rPr>
          <w:sz w:val="28"/>
          <w:szCs w:val="28"/>
        </w:rPr>
      </w:pPr>
      <w:r>
        <w:rPr>
          <w:sz w:val="28"/>
          <w:szCs w:val="28"/>
        </w:rPr>
        <w:t>The</w:t>
      </w:r>
      <w:r w:rsidR="0021320C">
        <w:rPr>
          <w:sz w:val="28"/>
          <w:szCs w:val="28"/>
        </w:rPr>
        <w:t xml:space="preserve"> </w:t>
      </w:r>
      <w:r>
        <w:rPr>
          <w:sz w:val="28"/>
          <w:szCs w:val="28"/>
        </w:rPr>
        <w:t xml:space="preserve">ACT </w:t>
      </w:r>
      <w:r w:rsidR="0021320C">
        <w:rPr>
          <w:sz w:val="28"/>
          <w:szCs w:val="28"/>
        </w:rPr>
        <w:t xml:space="preserve">Government continued to support low-income households in most need through the rental rebate. </w:t>
      </w:r>
    </w:p>
    <w:p w14:paraId="7737B83A" w14:textId="572C65FF" w:rsidR="00192A2C" w:rsidRDefault="00A71EBA" w:rsidP="00D605C2">
      <w:pPr>
        <w:pStyle w:val="ListParagraph"/>
        <w:numPr>
          <w:ilvl w:val="1"/>
          <w:numId w:val="6"/>
        </w:numPr>
        <w:spacing w:before="60" w:after="60" w:line="360" w:lineRule="auto"/>
        <w:rPr>
          <w:sz w:val="28"/>
          <w:szCs w:val="28"/>
        </w:rPr>
      </w:pPr>
      <w:r w:rsidRPr="004508CB">
        <w:rPr>
          <w:sz w:val="28"/>
          <w:szCs w:val="28"/>
        </w:rPr>
        <w:t>93 per</w:t>
      </w:r>
      <w:r w:rsidR="00C51191">
        <w:rPr>
          <w:sz w:val="28"/>
          <w:szCs w:val="28"/>
        </w:rPr>
        <w:t xml:space="preserve"> </w:t>
      </w:r>
      <w:r w:rsidRPr="004508CB">
        <w:rPr>
          <w:sz w:val="28"/>
          <w:szCs w:val="28"/>
        </w:rPr>
        <w:t xml:space="preserve">cent of public housing </w:t>
      </w:r>
      <w:r w:rsidR="0021320C">
        <w:rPr>
          <w:sz w:val="28"/>
          <w:szCs w:val="28"/>
        </w:rPr>
        <w:t>tenants</w:t>
      </w:r>
      <w:r w:rsidR="0021320C" w:rsidRPr="004508CB">
        <w:rPr>
          <w:sz w:val="28"/>
          <w:szCs w:val="28"/>
        </w:rPr>
        <w:t xml:space="preserve"> </w:t>
      </w:r>
      <w:r w:rsidRPr="004508CB">
        <w:rPr>
          <w:sz w:val="28"/>
          <w:szCs w:val="28"/>
        </w:rPr>
        <w:t xml:space="preserve">were in receipt of </w:t>
      </w:r>
      <w:r w:rsidR="00B137CC" w:rsidRPr="004508CB">
        <w:rPr>
          <w:sz w:val="28"/>
          <w:szCs w:val="28"/>
        </w:rPr>
        <w:t xml:space="preserve">a </w:t>
      </w:r>
      <w:r w:rsidRPr="004508CB">
        <w:rPr>
          <w:sz w:val="28"/>
          <w:szCs w:val="28"/>
        </w:rPr>
        <w:t>rental rebate, meaning they pa</w:t>
      </w:r>
      <w:r w:rsidR="0021320C">
        <w:rPr>
          <w:sz w:val="28"/>
          <w:szCs w:val="28"/>
        </w:rPr>
        <w:t>id</w:t>
      </w:r>
      <w:r w:rsidRPr="004508CB">
        <w:rPr>
          <w:sz w:val="28"/>
          <w:szCs w:val="28"/>
        </w:rPr>
        <w:t xml:space="preserve"> no more than 25 </w:t>
      </w:r>
      <w:r w:rsidR="001B224E" w:rsidRPr="004508CB">
        <w:rPr>
          <w:sz w:val="28"/>
          <w:szCs w:val="28"/>
        </w:rPr>
        <w:t>per</w:t>
      </w:r>
      <w:r w:rsidR="00C51191">
        <w:rPr>
          <w:sz w:val="28"/>
          <w:szCs w:val="28"/>
        </w:rPr>
        <w:t xml:space="preserve"> </w:t>
      </w:r>
      <w:r w:rsidR="001B224E" w:rsidRPr="004508CB">
        <w:rPr>
          <w:sz w:val="28"/>
          <w:szCs w:val="28"/>
        </w:rPr>
        <w:t>cent</w:t>
      </w:r>
      <w:r w:rsidRPr="004508CB">
        <w:rPr>
          <w:sz w:val="28"/>
          <w:szCs w:val="28"/>
        </w:rPr>
        <w:t xml:space="preserve"> of their income as rent</w:t>
      </w:r>
      <w:r w:rsidR="00192A2C">
        <w:rPr>
          <w:sz w:val="28"/>
          <w:szCs w:val="28"/>
        </w:rPr>
        <w:t>.</w:t>
      </w:r>
      <w:r w:rsidRPr="004508CB">
        <w:rPr>
          <w:sz w:val="28"/>
          <w:szCs w:val="28"/>
        </w:rPr>
        <w:t xml:space="preserve"> </w:t>
      </w:r>
    </w:p>
    <w:p w14:paraId="5B2754ED" w14:textId="09D1EBBB" w:rsidR="00422842" w:rsidRDefault="00192A2C" w:rsidP="00C51191">
      <w:pPr>
        <w:pStyle w:val="ListParagraph"/>
        <w:numPr>
          <w:ilvl w:val="1"/>
          <w:numId w:val="6"/>
        </w:numPr>
        <w:spacing w:before="60" w:after="60" w:line="360" w:lineRule="auto"/>
        <w:ind w:left="1434" w:hanging="357"/>
        <w:contextualSpacing w:val="0"/>
        <w:rPr>
          <w:sz w:val="28"/>
          <w:szCs w:val="28"/>
        </w:rPr>
      </w:pPr>
      <w:r>
        <w:rPr>
          <w:sz w:val="28"/>
          <w:szCs w:val="28"/>
        </w:rPr>
        <w:lastRenderedPageBreak/>
        <w:t>This amounts to a rental</w:t>
      </w:r>
      <w:r w:rsidR="00A71EBA" w:rsidRPr="004508CB">
        <w:rPr>
          <w:sz w:val="28"/>
          <w:szCs w:val="28"/>
        </w:rPr>
        <w:t xml:space="preserve"> subsidy of approximately $141 million over the financial year.</w:t>
      </w:r>
    </w:p>
    <w:p w14:paraId="4C90876A" w14:textId="63E1D3FD" w:rsidR="0034252D" w:rsidRDefault="00192A2C" w:rsidP="00D605C2">
      <w:pPr>
        <w:pStyle w:val="ListParagraph"/>
        <w:numPr>
          <w:ilvl w:val="0"/>
          <w:numId w:val="6"/>
        </w:numPr>
        <w:spacing w:before="60" w:after="60" w:line="360" w:lineRule="auto"/>
        <w:ind w:left="644"/>
        <w:rPr>
          <w:sz w:val="28"/>
          <w:szCs w:val="28"/>
        </w:rPr>
      </w:pPr>
      <w:r>
        <w:rPr>
          <w:sz w:val="28"/>
          <w:szCs w:val="28"/>
        </w:rPr>
        <w:t xml:space="preserve">We saw an increase in the number of </w:t>
      </w:r>
      <w:r w:rsidR="0034252D">
        <w:rPr>
          <w:sz w:val="28"/>
          <w:szCs w:val="28"/>
        </w:rPr>
        <w:t>applications for social housing assistance.</w:t>
      </w:r>
    </w:p>
    <w:p w14:paraId="2CBCC58B" w14:textId="71C8D4CE" w:rsidR="007D52FC" w:rsidRPr="004508CB" w:rsidRDefault="000F2CAE" w:rsidP="00D605C2">
      <w:pPr>
        <w:pStyle w:val="ListParagraph"/>
        <w:numPr>
          <w:ilvl w:val="1"/>
          <w:numId w:val="6"/>
        </w:numPr>
        <w:spacing w:before="60" w:after="60" w:line="360" w:lineRule="auto"/>
        <w:rPr>
          <w:sz w:val="28"/>
          <w:szCs w:val="28"/>
        </w:rPr>
      </w:pPr>
      <w:r w:rsidRPr="004508CB">
        <w:rPr>
          <w:sz w:val="28"/>
          <w:szCs w:val="28"/>
        </w:rPr>
        <w:t xml:space="preserve">930 applications </w:t>
      </w:r>
      <w:r w:rsidR="007D52FC" w:rsidRPr="004508CB">
        <w:rPr>
          <w:sz w:val="28"/>
          <w:szCs w:val="28"/>
        </w:rPr>
        <w:t xml:space="preserve">were received </w:t>
      </w:r>
      <w:r w:rsidRPr="004508CB">
        <w:rPr>
          <w:sz w:val="28"/>
          <w:szCs w:val="28"/>
        </w:rPr>
        <w:t>for social housing assistance</w:t>
      </w:r>
      <w:r w:rsidR="007D52FC" w:rsidRPr="004508CB">
        <w:rPr>
          <w:sz w:val="28"/>
          <w:szCs w:val="28"/>
        </w:rPr>
        <w:t xml:space="preserve">, an increase </w:t>
      </w:r>
      <w:r w:rsidR="004508CB" w:rsidRPr="004508CB">
        <w:rPr>
          <w:sz w:val="28"/>
          <w:szCs w:val="28"/>
        </w:rPr>
        <w:t xml:space="preserve">from </w:t>
      </w:r>
      <w:r w:rsidR="007D52FC" w:rsidRPr="004508CB">
        <w:rPr>
          <w:sz w:val="28"/>
          <w:szCs w:val="28"/>
        </w:rPr>
        <w:t xml:space="preserve">704 </w:t>
      </w:r>
      <w:r w:rsidR="007D52FC" w:rsidRPr="00DC29AB">
        <w:rPr>
          <w:sz w:val="28"/>
          <w:szCs w:val="28"/>
        </w:rPr>
        <w:t>in 2021-22</w:t>
      </w:r>
      <w:r w:rsidR="007D52FC" w:rsidRPr="004508CB">
        <w:rPr>
          <w:sz w:val="28"/>
          <w:szCs w:val="28"/>
        </w:rPr>
        <w:t>.</w:t>
      </w:r>
      <w:r w:rsidR="0088303A">
        <w:rPr>
          <w:sz w:val="28"/>
          <w:szCs w:val="28"/>
        </w:rPr>
        <w:t xml:space="preserve"> </w:t>
      </w:r>
    </w:p>
    <w:p w14:paraId="22BD0C36" w14:textId="5D51DD46" w:rsidR="000F2CAE" w:rsidRDefault="000F2CAE" w:rsidP="00C51191">
      <w:pPr>
        <w:pStyle w:val="ListParagraph"/>
        <w:numPr>
          <w:ilvl w:val="1"/>
          <w:numId w:val="6"/>
        </w:numPr>
        <w:spacing w:before="60" w:after="60" w:line="360" w:lineRule="auto"/>
        <w:ind w:left="1434" w:hanging="357"/>
        <w:contextualSpacing w:val="0"/>
        <w:rPr>
          <w:sz w:val="28"/>
          <w:szCs w:val="28"/>
        </w:rPr>
      </w:pPr>
      <w:r w:rsidRPr="000F2CAE">
        <w:rPr>
          <w:sz w:val="28"/>
          <w:szCs w:val="28"/>
        </w:rPr>
        <w:t xml:space="preserve">414 new tenancies were </w:t>
      </w:r>
      <w:r w:rsidR="00192A2C">
        <w:rPr>
          <w:sz w:val="28"/>
          <w:szCs w:val="28"/>
        </w:rPr>
        <w:t>offered,</w:t>
      </w:r>
      <w:r w:rsidR="004508CB" w:rsidRPr="004508CB">
        <w:rPr>
          <w:sz w:val="28"/>
          <w:szCs w:val="28"/>
        </w:rPr>
        <w:t xml:space="preserve"> </w:t>
      </w:r>
      <w:r w:rsidR="004508CB" w:rsidRPr="000F2CAE">
        <w:rPr>
          <w:sz w:val="28"/>
          <w:szCs w:val="28"/>
        </w:rPr>
        <w:t>housing 897 people</w:t>
      </w:r>
      <w:r w:rsidR="004508CB" w:rsidRPr="004508CB">
        <w:rPr>
          <w:sz w:val="28"/>
          <w:szCs w:val="28"/>
        </w:rPr>
        <w:t xml:space="preserve"> </w:t>
      </w:r>
      <w:r w:rsidR="007D52FC" w:rsidRPr="004508CB">
        <w:rPr>
          <w:sz w:val="28"/>
          <w:szCs w:val="28"/>
        </w:rPr>
        <w:t xml:space="preserve">compared to 244 </w:t>
      </w:r>
      <w:r w:rsidR="004508CB" w:rsidRPr="004508CB">
        <w:rPr>
          <w:sz w:val="28"/>
          <w:szCs w:val="28"/>
        </w:rPr>
        <w:t xml:space="preserve">new tenancies housing </w:t>
      </w:r>
      <w:r w:rsidR="00DC29AB">
        <w:rPr>
          <w:sz w:val="28"/>
          <w:szCs w:val="28"/>
        </w:rPr>
        <w:t>429</w:t>
      </w:r>
      <w:r w:rsidR="00DC29AB" w:rsidRPr="004508CB">
        <w:rPr>
          <w:sz w:val="28"/>
          <w:szCs w:val="28"/>
        </w:rPr>
        <w:t xml:space="preserve"> </w:t>
      </w:r>
      <w:r w:rsidR="004508CB" w:rsidRPr="004508CB">
        <w:rPr>
          <w:sz w:val="28"/>
          <w:szCs w:val="28"/>
        </w:rPr>
        <w:t xml:space="preserve">people </w:t>
      </w:r>
      <w:r w:rsidR="007D52FC" w:rsidRPr="002615B8">
        <w:rPr>
          <w:sz w:val="28"/>
          <w:szCs w:val="28"/>
        </w:rPr>
        <w:t>in 2021-22</w:t>
      </w:r>
      <w:r w:rsidRPr="000F2CAE">
        <w:rPr>
          <w:sz w:val="28"/>
          <w:szCs w:val="28"/>
        </w:rPr>
        <w:t>, with 99 per</w:t>
      </w:r>
      <w:r w:rsidR="00C51191">
        <w:rPr>
          <w:sz w:val="28"/>
          <w:szCs w:val="28"/>
        </w:rPr>
        <w:t xml:space="preserve"> </w:t>
      </w:r>
      <w:r w:rsidRPr="000F2CAE">
        <w:rPr>
          <w:sz w:val="28"/>
          <w:szCs w:val="28"/>
        </w:rPr>
        <w:t xml:space="preserve">cent </w:t>
      </w:r>
      <w:r w:rsidR="00783D5F">
        <w:rPr>
          <w:sz w:val="28"/>
          <w:szCs w:val="28"/>
        </w:rPr>
        <w:t xml:space="preserve">of </w:t>
      </w:r>
      <w:r w:rsidR="00192A2C">
        <w:rPr>
          <w:sz w:val="28"/>
          <w:szCs w:val="28"/>
        </w:rPr>
        <w:t xml:space="preserve">people offered housing assistance </w:t>
      </w:r>
      <w:r w:rsidRPr="000F2CAE">
        <w:rPr>
          <w:sz w:val="28"/>
          <w:szCs w:val="28"/>
        </w:rPr>
        <w:t>being greatest in need</w:t>
      </w:r>
      <w:r w:rsidR="004508CB" w:rsidRPr="004508CB">
        <w:rPr>
          <w:sz w:val="28"/>
          <w:szCs w:val="28"/>
        </w:rPr>
        <w:t>.</w:t>
      </w:r>
      <w:r w:rsidR="00961A1F">
        <w:rPr>
          <w:sz w:val="28"/>
          <w:szCs w:val="28"/>
        </w:rPr>
        <w:t xml:space="preserve"> Meeting our annual target.</w:t>
      </w:r>
    </w:p>
    <w:p w14:paraId="36B194B4" w14:textId="235FE1D0" w:rsidR="00015CA0" w:rsidRDefault="00961A1F" w:rsidP="00C51191">
      <w:pPr>
        <w:pStyle w:val="ListParagraph"/>
        <w:numPr>
          <w:ilvl w:val="0"/>
          <w:numId w:val="6"/>
        </w:numPr>
        <w:spacing w:before="60" w:after="60" w:line="360" w:lineRule="auto"/>
        <w:ind w:left="641" w:hanging="357"/>
        <w:contextualSpacing w:val="0"/>
        <w:rPr>
          <w:sz w:val="28"/>
          <w:szCs w:val="28"/>
        </w:rPr>
      </w:pPr>
      <w:r>
        <w:rPr>
          <w:sz w:val="28"/>
          <w:szCs w:val="28"/>
        </w:rPr>
        <w:t xml:space="preserve">To support our tenants, </w:t>
      </w:r>
      <w:r w:rsidR="00015CA0" w:rsidRPr="004508CB">
        <w:rPr>
          <w:sz w:val="28"/>
          <w:szCs w:val="28"/>
        </w:rPr>
        <w:t xml:space="preserve">a total of 10,405 visits were undertaken during 2022–23, </w:t>
      </w:r>
      <w:r w:rsidR="0088303A">
        <w:rPr>
          <w:sz w:val="28"/>
          <w:szCs w:val="28"/>
        </w:rPr>
        <w:t>achieving 95.6</w:t>
      </w:r>
      <w:r w:rsidR="00D605C2">
        <w:rPr>
          <w:sz w:val="28"/>
          <w:szCs w:val="28"/>
        </w:rPr>
        <w:t xml:space="preserve"> per cent</w:t>
      </w:r>
      <w:r w:rsidR="0088303A">
        <w:rPr>
          <w:sz w:val="28"/>
          <w:szCs w:val="28"/>
        </w:rPr>
        <w:t xml:space="preserve"> of the annual target</w:t>
      </w:r>
      <w:proofErr w:type="gramStart"/>
      <w:r w:rsidR="00D1694C" w:rsidRPr="004508CB">
        <w:rPr>
          <w:sz w:val="28"/>
          <w:szCs w:val="28"/>
        </w:rPr>
        <w:t>.</w:t>
      </w:r>
      <w:r w:rsidR="00D1694C">
        <w:rPr>
          <w:sz w:val="28"/>
          <w:szCs w:val="28"/>
        </w:rPr>
        <w:t xml:space="preserve"> </w:t>
      </w:r>
      <w:r w:rsidR="00C51191">
        <w:rPr>
          <w:sz w:val="28"/>
          <w:szCs w:val="28"/>
        </w:rPr>
        <w:t xml:space="preserve"> </w:t>
      </w:r>
      <w:proofErr w:type="gramEnd"/>
      <w:r w:rsidR="00C51191">
        <w:rPr>
          <w:sz w:val="28"/>
          <w:szCs w:val="28"/>
        </w:rPr>
        <w:t xml:space="preserve">                                 </w:t>
      </w:r>
      <w:r>
        <w:rPr>
          <w:sz w:val="28"/>
          <w:szCs w:val="28"/>
        </w:rPr>
        <w:t>This is slightly lower than the annual target due to the ongoing impact of COVID-19 in accessing properties.</w:t>
      </w:r>
    </w:p>
    <w:p w14:paraId="445AA158" w14:textId="45447160" w:rsidR="00345458" w:rsidRDefault="00961A1F" w:rsidP="00C51191">
      <w:pPr>
        <w:pStyle w:val="ListParagraph"/>
        <w:numPr>
          <w:ilvl w:val="0"/>
          <w:numId w:val="6"/>
        </w:numPr>
        <w:spacing w:before="60" w:after="60" w:line="360" w:lineRule="auto"/>
        <w:ind w:left="714" w:hanging="357"/>
        <w:contextualSpacing w:val="0"/>
        <w:rPr>
          <w:rFonts w:eastAsia="Times New Roman" w:cs="Arial"/>
          <w:sz w:val="28"/>
          <w:szCs w:val="28"/>
        </w:rPr>
      </w:pPr>
      <w:r w:rsidRPr="00D605C2">
        <w:rPr>
          <w:sz w:val="28"/>
          <w:szCs w:val="28"/>
        </w:rPr>
        <w:t xml:space="preserve">These visits are important as they </w:t>
      </w:r>
      <w:r w:rsidR="00345458" w:rsidRPr="00D605C2">
        <w:rPr>
          <w:rFonts w:eastAsia="Times New Roman" w:cs="Arial"/>
          <w:sz w:val="28"/>
          <w:szCs w:val="28"/>
        </w:rPr>
        <w:t xml:space="preserve">provide an opportunity for tenants to meet with their Housing Manager face to face and provide information on additional support which can be provided including access to information and support </w:t>
      </w:r>
      <w:r w:rsidR="00345458">
        <w:rPr>
          <w:rFonts w:eastAsia="Times New Roman" w:cs="Arial"/>
          <w:sz w:val="28"/>
          <w:szCs w:val="28"/>
        </w:rPr>
        <w:t>for</w:t>
      </w:r>
      <w:r w:rsidR="00345458" w:rsidRPr="00D605C2">
        <w:rPr>
          <w:rFonts w:eastAsia="Times New Roman" w:cs="Arial"/>
          <w:sz w:val="28"/>
          <w:szCs w:val="28"/>
        </w:rPr>
        <w:t xml:space="preserve"> family safety matters, financial or legal advice, counselling and support services and parenting services.</w:t>
      </w:r>
    </w:p>
    <w:p w14:paraId="1D7EF4B8" w14:textId="0851F97C" w:rsidR="00A6711B" w:rsidRPr="004508CB" w:rsidRDefault="00961A1F" w:rsidP="00D605C2">
      <w:pPr>
        <w:pStyle w:val="ListParagraph"/>
        <w:numPr>
          <w:ilvl w:val="0"/>
          <w:numId w:val="6"/>
        </w:numPr>
        <w:spacing w:before="60" w:after="60" w:line="360" w:lineRule="auto"/>
        <w:ind w:left="644"/>
        <w:rPr>
          <w:sz w:val="28"/>
          <w:szCs w:val="28"/>
        </w:rPr>
      </w:pPr>
      <w:r>
        <w:rPr>
          <w:sz w:val="28"/>
          <w:szCs w:val="28"/>
        </w:rPr>
        <w:t xml:space="preserve">Improving tenant </w:t>
      </w:r>
      <w:r w:rsidR="00A873BE">
        <w:rPr>
          <w:sz w:val="28"/>
          <w:szCs w:val="28"/>
        </w:rPr>
        <w:t xml:space="preserve">experience </w:t>
      </w:r>
      <w:r>
        <w:rPr>
          <w:sz w:val="28"/>
          <w:szCs w:val="28"/>
        </w:rPr>
        <w:t xml:space="preserve">accessing and </w:t>
      </w:r>
      <w:r w:rsidR="00A873BE">
        <w:rPr>
          <w:sz w:val="28"/>
          <w:szCs w:val="28"/>
        </w:rPr>
        <w:t>living in public housing</w:t>
      </w:r>
      <w:r>
        <w:rPr>
          <w:sz w:val="28"/>
          <w:szCs w:val="28"/>
        </w:rPr>
        <w:t xml:space="preserve"> has been a strong focus.</w:t>
      </w:r>
    </w:p>
    <w:p w14:paraId="7BD99C8B" w14:textId="2C2F573B" w:rsidR="00B264CD" w:rsidRPr="00C51191" w:rsidRDefault="00A6711B" w:rsidP="00C51191">
      <w:pPr>
        <w:pStyle w:val="ListParagraph"/>
        <w:numPr>
          <w:ilvl w:val="1"/>
          <w:numId w:val="6"/>
        </w:numPr>
        <w:spacing w:before="60" w:after="60" w:line="360" w:lineRule="auto"/>
        <w:ind w:left="1434" w:hanging="357"/>
        <w:contextualSpacing w:val="0"/>
        <w:rPr>
          <w:sz w:val="28"/>
          <w:szCs w:val="28"/>
        </w:rPr>
      </w:pPr>
      <w:r w:rsidRPr="00C51191">
        <w:rPr>
          <w:sz w:val="28"/>
          <w:szCs w:val="28"/>
        </w:rPr>
        <w:t xml:space="preserve">The </w:t>
      </w:r>
      <w:r w:rsidR="00CD7EDF" w:rsidRPr="00C51191">
        <w:rPr>
          <w:sz w:val="28"/>
          <w:szCs w:val="28"/>
        </w:rPr>
        <w:t xml:space="preserve">Connecting Communities </w:t>
      </w:r>
      <w:r w:rsidR="00961A1F" w:rsidRPr="00C51191">
        <w:rPr>
          <w:sz w:val="28"/>
          <w:szCs w:val="28"/>
        </w:rPr>
        <w:t>S</w:t>
      </w:r>
      <w:r w:rsidR="00CD7EDF" w:rsidRPr="00C51191">
        <w:rPr>
          <w:sz w:val="28"/>
          <w:szCs w:val="28"/>
        </w:rPr>
        <w:t>trategy was piloted across 5 multi-unit complexes</w:t>
      </w:r>
      <w:r w:rsidR="0034252D" w:rsidRPr="00C51191">
        <w:rPr>
          <w:sz w:val="28"/>
          <w:szCs w:val="28"/>
        </w:rPr>
        <w:t>.</w:t>
      </w:r>
      <w:r w:rsidR="00C51191" w:rsidRPr="00C51191">
        <w:rPr>
          <w:sz w:val="28"/>
          <w:szCs w:val="28"/>
        </w:rPr>
        <w:t xml:space="preserve"> </w:t>
      </w:r>
      <w:r w:rsidR="00B264CD" w:rsidRPr="00C51191">
        <w:rPr>
          <w:sz w:val="28"/>
          <w:szCs w:val="28"/>
        </w:rPr>
        <w:t xml:space="preserve">Early indicators from the pilot show the targeted engagement approach has increased access to services where required, increased tenant participation in community initiated events and created opportunities for tenants to identify issues of </w:t>
      </w:r>
      <w:r w:rsidR="00B264CD" w:rsidRPr="00C51191">
        <w:rPr>
          <w:sz w:val="28"/>
          <w:szCs w:val="28"/>
        </w:rPr>
        <w:lastRenderedPageBreak/>
        <w:t>importance and have them acknowledged and addressed in a timely manner.</w:t>
      </w:r>
      <w:r w:rsidR="008C0428" w:rsidRPr="00C51191">
        <w:rPr>
          <w:sz w:val="28"/>
          <w:szCs w:val="28"/>
        </w:rPr>
        <w:t xml:space="preserve"> This work has provided valuable data which will allow our work in multi-unit properties to evolve and improve the communities which we serve. Improvements in this area will continue over coming years. </w:t>
      </w:r>
    </w:p>
    <w:p w14:paraId="1026ADDB" w14:textId="0E088872" w:rsidR="00015CA0" w:rsidRPr="004508CB" w:rsidRDefault="00015CA0" w:rsidP="00D605C2">
      <w:pPr>
        <w:pStyle w:val="ListParagraph"/>
        <w:numPr>
          <w:ilvl w:val="1"/>
          <w:numId w:val="6"/>
        </w:numPr>
        <w:spacing w:before="60" w:after="60" w:line="360" w:lineRule="auto"/>
        <w:rPr>
          <w:sz w:val="28"/>
          <w:szCs w:val="28"/>
        </w:rPr>
      </w:pPr>
      <w:r w:rsidRPr="004508CB">
        <w:rPr>
          <w:sz w:val="28"/>
          <w:szCs w:val="28"/>
        </w:rPr>
        <w:t>A new online Housing Assistance eligibility checker was introduced in late 2022 to support people accessing services online</w:t>
      </w:r>
      <w:r w:rsidR="00C51191" w:rsidRPr="004508CB">
        <w:rPr>
          <w:sz w:val="28"/>
          <w:szCs w:val="28"/>
        </w:rPr>
        <w:t xml:space="preserve">. </w:t>
      </w:r>
      <w:r w:rsidRPr="004508CB">
        <w:rPr>
          <w:sz w:val="28"/>
          <w:szCs w:val="28"/>
        </w:rPr>
        <w:t xml:space="preserve">There were approximately 120 </w:t>
      </w:r>
      <w:r w:rsidR="004508CB">
        <w:rPr>
          <w:sz w:val="28"/>
          <w:szCs w:val="28"/>
        </w:rPr>
        <w:t xml:space="preserve">online </w:t>
      </w:r>
      <w:r w:rsidRPr="004508CB">
        <w:rPr>
          <w:sz w:val="28"/>
          <w:szCs w:val="28"/>
        </w:rPr>
        <w:t>visits each month</w:t>
      </w:r>
      <w:r w:rsidR="008C0428">
        <w:rPr>
          <w:sz w:val="28"/>
          <w:szCs w:val="28"/>
        </w:rPr>
        <w:t>.</w:t>
      </w:r>
      <w:r w:rsidRPr="004508CB">
        <w:rPr>
          <w:sz w:val="28"/>
          <w:szCs w:val="28"/>
        </w:rPr>
        <w:t xml:space="preserve"> Of those, 66</w:t>
      </w:r>
      <w:r w:rsidR="001B224E" w:rsidRPr="004508CB">
        <w:rPr>
          <w:sz w:val="28"/>
          <w:szCs w:val="28"/>
        </w:rPr>
        <w:t xml:space="preserve"> per</w:t>
      </w:r>
      <w:r w:rsidR="00D605C2">
        <w:rPr>
          <w:sz w:val="28"/>
          <w:szCs w:val="28"/>
        </w:rPr>
        <w:t xml:space="preserve"> </w:t>
      </w:r>
      <w:r w:rsidR="001B224E" w:rsidRPr="004508CB">
        <w:rPr>
          <w:sz w:val="28"/>
          <w:szCs w:val="28"/>
        </w:rPr>
        <w:t>cent</w:t>
      </w:r>
      <w:r w:rsidRPr="004508CB">
        <w:rPr>
          <w:sz w:val="28"/>
          <w:szCs w:val="28"/>
        </w:rPr>
        <w:t xml:space="preserve"> accessed the checker on their mobile phone, re</w:t>
      </w:r>
      <w:r w:rsidR="00480389">
        <w:rPr>
          <w:sz w:val="28"/>
          <w:szCs w:val="28"/>
        </w:rPr>
        <w:t>flecting the</w:t>
      </w:r>
      <w:r w:rsidRPr="004508CB">
        <w:rPr>
          <w:sz w:val="28"/>
          <w:szCs w:val="28"/>
        </w:rPr>
        <w:t xml:space="preserve"> increase</w:t>
      </w:r>
      <w:r w:rsidR="00480389">
        <w:rPr>
          <w:sz w:val="28"/>
          <w:szCs w:val="28"/>
        </w:rPr>
        <w:t>d</w:t>
      </w:r>
      <w:r w:rsidRPr="004508CB">
        <w:rPr>
          <w:sz w:val="28"/>
          <w:szCs w:val="28"/>
        </w:rPr>
        <w:t xml:space="preserve"> usability of this service.</w:t>
      </w:r>
    </w:p>
    <w:p w14:paraId="133D1B5F" w14:textId="3B388295" w:rsidR="000F2CAE" w:rsidRDefault="00AE73ED" w:rsidP="00C51191">
      <w:pPr>
        <w:pStyle w:val="ListParagraph"/>
        <w:numPr>
          <w:ilvl w:val="1"/>
          <w:numId w:val="6"/>
        </w:numPr>
        <w:spacing w:before="60" w:after="60" w:line="360" w:lineRule="auto"/>
        <w:ind w:left="1434" w:hanging="357"/>
        <w:contextualSpacing w:val="0"/>
        <w:rPr>
          <w:sz w:val="28"/>
          <w:szCs w:val="28"/>
        </w:rPr>
      </w:pPr>
      <w:r w:rsidRPr="004508CB">
        <w:rPr>
          <w:sz w:val="28"/>
          <w:szCs w:val="28"/>
        </w:rPr>
        <w:t>The Tenant Participation Grants program provide</w:t>
      </w:r>
      <w:r w:rsidR="004159AB" w:rsidRPr="004508CB">
        <w:rPr>
          <w:sz w:val="28"/>
          <w:szCs w:val="28"/>
        </w:rPr>
        <w:t xml:space="preserve">d </w:t>
      </w:r>
      <w:r w:rsidRPr="004508CB">
        <w:rPr>
          <w:sz w:val="28"/>
          <w:szCs w:val="28"/>
        </w:rPr>
        <w:t>$65,538 worth of grants</w:t>
      </w:r>
      <w:r w:rsidR="00480389">
        <w:rPr>
          <w:sz w:val="28"/>
          <w:szCs w:val="28"/>
        </w:rPr>
        <w:t xml:space="preserve"> over the financial year</w:t>
      </w:r>
      <w:r w:rsidRPr="004508CB">
        <w:rPr>
          <w:sz w:val="28"/>
          <w:szCs w:val="28"/>
        </w:rPr>
        <w:t xml:space="preserve"> to 211 individuals across 121 households in both public and community housing to support involvement in the community and</w:t>
      </w:r>
      <w:r w:rsidR="004508CB">
        <w:rPr>
          <w:sz w:val="28"/>
          <w:szCs w:val="28"/>
        </w:rPr>
        <w:t xml:space="preserve"> </w:t>
      </w:r>
      <w:r w:rsidRPr="004508CB">
        <w:rPr>
          <w:sz w:val="28"/>
          <w:szCs w:val="28"/>
        </w:rPr>
        <w:t>connect with others.</w:t>
      </w:r>
    </w:p>
    <w:p w14:paraId="1EA3D866" w14:textId="1480A6E9" w:rsidR="00961A1F" w:rsidRDefault="00961A1F" w:rsidP="00C51191">
      <w:pPr>
        <w:pStyle w:val="ListParagraph"/>
        <w:numPr>
          <w:ilvl w:val="0"/>
          <w:numId w:val="6"/>
        </w:numPr>
        <w:spacing w:before="60" w:after="60" w:line="360" w:lineRule="auto"/>
        <w:ind w:left="641" w:hanging="357"/>
        <w:contextualSpacing w:val="0"/>
        <w:rPr>
          <w:sz w:val="28"/>
          <w:szCs w:val="28"/>
        </w:rPr>
      </w:pPr>
      <w:r>
        <w:rPr>
          <w:sz w:val="28"/>
          <w:szCs w:val="28"/>
        </w:rPr>
        <w:t>To measure tenants</w:t>
      </w:r>
      <w:r w:rsidR="00CE56DD">
        <w:rPr>
          <w:sz w:val="28"/>
          <w:szCs w:val="28"/>
        </w:rPr>
        <w:t>’</w:t>
      </w:r>
      <w:r>
        <w:rPr>
          <w:sz w:val="28"/>
          <w:szCs w:val="28"/>
        </w:rPr>
        <w:t xml:space="preserve"> experience, a</w:t>
      </w:r>
      <w:r w:rsidRPr="004508CB">
        <w:rPr>
          <w:sz w:val="28"/>
          <w:szCs w:val="28"/>
        </w:rPr>
        <w:t xml:space="preserve"> Client Experience Measurement </w:t>
      </w:r>
      <w:r>
        <w:rPr>
          <w:sz w:val="28"/>
          <w:szCs w:val="28"/>
        </w:rPr>
        <w:t>S</w:t>
      </w:r>
      <w:r w:rsidRPr="004508CB">
        <w:rPr>
          <w:sz w:val="28"/>
          <w:szCs w:val="28"/>
        </w:rPr>
        <w:t xml:space="preserve">urvey was undertaken to understand the client experience for </w:t>
      </w:r>
      <w:r>
        <w:rPr>
          <w:sz w:val="28"/>
          <w:szCs w:val="28"/>
        </w:rPr>
        <w:t xml:space="preserve">applicants </w:t>
      </w:r>
      <w:r w:rsidR="008C0428">
        <w:rPr>
          <w:sz w:val="28"/>
          <w:szCs w:val="28"/>
        </w:rPr>
        <w:t>for</w:t>
      </w:r>
      <w:r w:rsidRPr="004508CB">
        <w:rPr>
          <w:sz w:val="28"/>
          <w:szCs w:val="28"/>
        </w:rPr>
        <w:t xml:space="preserve"> social housing assistance and the experience of existing public housing tenants. Of the 2,202 responses received, 71 per cent of respondents rated Housing ACT service delivery as very good or excellent.</w:t>
      </w:r>
    </w:p>
    <w:p w14:paraId="3737AE7D" w14:textId="6499352A" w:rsidR="00961A1F" w:rsidRPr="004508CB" w:rsidRDefault="00961A1F" w:rsidP="00D605C2">
      <w:pPr>
        <w:pStyle w:val="ListParagraph"/>
        <w:numPr>
          <w:ilvl w:val="0"/>
          <w:numId w:val="6"/>
        </w:numPr>
        <w:spacing w:before="60" w:after="60" w:line="360" w:lineRule="auto"/>
        <w:ind w:left="644"/>
        <w:rPr>
          <w:sz w:val="28"/>
          <w:szCs w:val="28"/>
        </w:rPr>
      </w:pPr>
      <w:r>
        <w:rPr>
          <w:sz w:val="28"/>
          <w:szCs w:val="28"/>
        </w:rPr>
        <w:t>We are using the outcomes of this survey to continue to improve tenant experience.</w:t>
      </w:r>
    </w:p>
    <w:p w14:paraId="150D6627" w14:textId="1E89D28A" w:rsidR="00DF3F37" w:rsidRDefault="00DF3F37" w:rsidP="00C51191">
      <w:pPr>
        <w:pStyle w:val="ListParagraph"/>
        <w:numPr>
          <w:ilvl w:val="0"/>
          <w:numId w:val="6"/>
        </w:numPr>
        <w:spacing w:before="60" w:after="60" w:line="360" w:lineRule="auto"/>
        <w:ind w:left="641" w:hanging="357"/>
        <w:contextualSpacing w:val="0"/>
        <w:rPr>
          <w:sz w:val="28"/>
          <w:szCs w:val="28"/>
        </w:rPr>
      </w:pPr>
      <w:r>
        <w:rPr>
          <w:sz w:val="28"/>
          <w:szCs w:val="28"/>
        </w:rPr>
        <w:t xml:space="preserve">In 2022-23, the ACT Government </w:t>
      </w:r>
      <w:r w:rsidRPr="000F46C8">
        <w:rPr>
          <w:sz w:val="28"/>
          <w:szCs w:val="28"/>
        </w:rPr>
        <w:t xml:space="preserve">continued to provide specialist homelessness funding to assist people who </w:t>
      </w:r>
      <w:r>
        <w:rPr>
          <w:sz w:val="28"/>
          <w:szCs w:val="28"/>
        </w:rPr>
        <w:t>are</w:t>
      </w:r>
      <w:r w:rsidRPr="000F46C8">
        <w:rPr>
          <w:sz w:val="28"/>
          <w:szCs w:val="28"/>
        </w:rPr>
        <w:t xml:space="preserve"> homeless</w:t>
      </w:r>
      <w:r>
        <w:rPr>
          <w:sz w:val="28"/>
          <w:szCs w:val="28"/>
        </w:rPr>
        <w:t>,</w:t>
      </w:r>
      <w:r w:rsidRPr="000F46C8">
        <w:rPr>
          <w:sz w:val="28"/>
          <w:szCs w:val="28"/>
        </w:rPr>
        <w:t xml:space="preserve"> or who are at risk of becoming homeless</w:t>
      </w:r>
      <w:r>
        <w:rPr>
          <w:sz w:val="28"/>
          <w:szCs w:val="28"/>
        </w:rPr>
        <w:t>, in the ACT</w:t>
      </w:r>
      <w:r w:rsidRPr="000F46C8">
        <w:rPr>
          <w:sz w:val="28"/>
          <w:szCs w:val="28"/>
        </w:rPr>
        <w:t>.</w:t>
      </w:r>
    </w:p>
    <w:p w14:paraId="6178CF5F" w14:textId="6BA97763" w:rsidR="00480389" w:rsidRDefault="00A631D4" w:rsidP="00C51191">
      <w:pPr>
        <w:pStyle w:val="ListParagraph"/>
        <w:numPr>
          <w:ilvl w:val="0"/>
          <w:numId w:val="6"/>
        </w:numPr>
        <w:spacing w:before="60" w:after="60" w:line="360" w:lineRule="auto"/>
        <w:ind w:left="641" w:hanging="357"/>
        <w:contextualSpacing w:val="0"/>
        <w:rPr>
          <w:sz w:val="28"/>
          <w:szCs w:val="28"/>
        </w:rPr>
      </w:pPr>
      <w:r w:rsidRPr="004508CB">
        <w:rPr>
          <w:sz w:val="28"/>
          <w:szCs w:val="28"/>
        </w:rPr>
        <w:lastRenderedPageBreak/>
        <w:t xml:space="preserve">The 2022–23 ACT Budget announced $2.216 million in funding over </w:t>
      </w:r>
      <w:r w:rsidR="00920ACD">
        <w:rPr>
          <w:sz w:val="28"/>
          <w:szCs w:val="28"/>
        </w:rPr>
        <w:br/>
      </w:r>
      <w:r w:rsidRPr="004508CB">
        <w:rPr>
          <w:sz w:val="28"/>
          <w:szCs w:val="28"/>
        </w:rPr>
        <w:t xml:space="preserve">2 years, to continue specialist homelessness programs that commenced operation during the COVID–19 pandemic. </w:t>
      </w:r>
    </w:p>
    <w:p w14:paraId="45BCDAF2" w14:textId="41CEE343" w:rsidR="00920ACD" w:rsidRDefault="00920ACD" w:rsidP="00D605C2">
      <w:pPr>
        <w:pStyle w:val="ListParagraph"/>
        <w:numPr>
          <w:ilvl w:val="0"/>
          <w:numId w:val="6"/>
        </w:numPr>
        <w:spacing w:before="60" w:after="60" w:line="360" w:lineRule="auto"/>
        <w:rPr>
          <w:sz w:val="28"/>
          <w:szCs w:val="28"/>
        </w:rPr>
      </w:pPr>
      <w:r>
        <w:rPr>
          <w:sz w:val="28"/>
          <w:szCs w:val="28"/>
        </w:rPr>
        <w:t xml:space="preserve">This </w:t>
      </w:r>
      <w:r w:rsidR="00183340">
        <w:rPr>
          <w:sz w:val="28"/>
          <w:szCs w:val="28"/>
        </w:rPr>
        <w:t>was</w:t>
      </w:r>
      <w:r>
        <w:rPr>
          <w:sz w:val="28"/>
          <w:szCs w:val="28"/>
        </w:rPr>
        <w:t xml:space="preserve"> in addition to the ongoing base funding for the homelessness sector. Initiatives funded include</w:t>
      </w:r>
      <w:r w:rsidR="00183340">
        <w:rPr>
          <w:sz w:val="28"/>
          <w:szCs w:val="28"/>
        </w:rPr>
        <w:t>d</w:t>
      </w:r>
      <w:r>
        <w:rPr>
          <w:sz w:val="28"/>
          <w:szCs w:val="28"/>
        </w:rPr>
        <w:t>:</w:t>
      </w:r>
    </w:p>
    <w:p w14:paraId="148E9791" w14:textId="4635E886" w:rsidR="005946E8" w:rsidRDefault="00920ACD" w:rsidP="00D605C2">
      <w:pPr>
        <w:pStyle w:val="ListParagraph"/>
        <w:numPr>
          <w:ilvl w:val="1"/>
          <w:numId w:val="6"/>
        </w:numPr>
        <w:spacing w:before="60" w:after="60" w:line="360" w:lineRule="auto"/>
        <w:rPr>
          <w:sz w:val="28"/>
          <w:szCs w:val="28"/>
        </w:rPr>
      </w:pPr>
      <w:r w:rsidRPr="00D605C2">
        <w:rPr>
          <w:sz w:val="28"/>
          <w:szCs w:val="28"/>
          <w:u w:val="single"/>
        </w:rPr>
        <w:t>Onelink Client Support Fund</w:t>
      </w:r>
      <w:r>
        <w:rPr>
          <w:sz w:val="28"/>
          <w:szCs w:val="28"/>
        </w:rPr>
        <w:t xml:space="preserve"> </w:t>
      </w:r>
      <w:r w:rsidR="005946E8">
        <w:rPr>
          <w:sz w:val="28"/>
          <w:szCs w:val="28"/>
        </w:rPr>
        <w:t>–</w:t>
      </w:r>
      <w:r>
        <w:rPr>
          <w:sz w:val="28"/>
          <w:szCs w:val="28"/>
        </w:rPr>
        <w:t xml:space="preserve"> </w:t>
      </w:r>
      <w:r w:rsidR="00183340">
        <w:rPr>
          <w:sz w:val="28"/>
          <w:szCs w:val="28"/>
        </w:rPr>
        <w:t xml:space="preserve">which </w:t>
      </w:r>
      <w:r w:rsidR="005946E8">
        <w:rPr>
          <w:sz w:val="28"/>
          <w:szCs w:val="28"/>
        </w:rPr>
        <w:t xml:space="preserve">provided </w:t>
      </w:r>
      <w:r w:rsidR="005946E8" w:rsidRPr="004508CB">
        <w:rPr>
          <w:sz w:val="28"/>
          <w:szCs w:val="28"/>
        </w:rPr>
        <w:t>159 individuals and families</w:t>
      </w:r>
      <w:r w:rsidR="005946E8">
        <w:rPr>
          <w:sz w:val="28"/>
          <w:szCs w:val="28"/>
        </w:rPr>
        <w:t xml:space="preserve"> with</w:t>
      </w:r>
      <w:r w:rsidR="005946E8" w:rsidRPr="004508CB">
        <w:rPr>
          <w:sz w:val="28"/>
          <w:szCs w:val="28"/>
        </w:rPr>
        <w:t xml:space="preserve"> hotel accommodation</w:t>
      </w:r>
      <w:r w:rsidR="005946E8">
        <w:rPr>
          <w:sz w:val="28"/>
          <w:szCs w:val="28"/>
        </w:rPr>
        <w:t xml:space="preserve">. Overall, OneLink </w:t>
      </w:r>
      <w:r w:rsidR="005946E8" w:rsidRPr="004508CB">
        <w:rPr>
          <w:sz w:val="28"/>
          <w:szCs w:val="28"/>
        </w:rPr>
        <w:t>support</w:t>
      </w:r>
      <w:r w:rsidR="005946E8">
        <w:rPr>
          <w:sz w:val="28"/>
          <w:szCs w:val="28"/>
        </w:rPr>
        <w:t>ed</w:t>
      </w:r>
      <w:r w:rsidR="005946E8" w:rsidRPr="004508CB">
        <w:rPr>
          <w:sz w:val="28"/>
          <w:szCs w:val="28"/>
        </w:rPr>
        <w:t xml:space="preserve"> 174 individuals and families with 146 accompanying children</w:t>
      </w:r>
      <w:r w:rsidR="005946E8">
        <w:rPr>
          <w:sz w:val="28"/>
          <w:szCs w:val="28"/>
        </w:rPr>
        <w:t xml:space="preserve"> over the financial year</w:t>
      </w:r>
      <w:r w:rsidR="005946E8" w:rsidRPr="004508CB">
        <w:rPr>
          <w:sz w:val="28"/>
          <w:szCs w:val="28"/>
        </w:rPr>
        <w:t>.</w:t>
      </w:r>
    </w:p>
    <w:p w14:paraId="79285525" w14:textId="74A261CB" w:rsidR="00920ACD" w:rsidRDefault="005946E8" w:rsidP="00D605C2">
      <w:pPr>
        <w:pStyle w:val="ListParagraph"/>
        <w:numPr>
          <w:ilvl w:val="2"/>
          <w:numId w:val="6"/>
        </w:numPr>
        <w:spacing w:before="60" w:after="60" w:line="360" w:lineRule="auto"/>
        <w:rPr>
          <w:sz w:val="28"/>
          <w:szCs w:val="28"/>
        </w:rPr>
      </w:pPr>
      <w:r>
        <w:rPr>
          <w:sz w:val="28"/>
          <w:szCs w:val="28"/>
        </w:rPr>
        <w:t>Additional funding of $2.6 million was provided in late 2022 to meet increased demand.</w:t>
      </w:r>
    </w:p>
    <w:p w14:paraId="1B57677A" w14:textId="401A090A" w:rsidR="00920ACD" w:rsidRDefault="00920ACD" w:rsidP="00D605C2">
      <w:pPr>
        <w:pStyle w:val="ListParagraph"/>
        <w:numPr>
          <w:ilvl w:val="1"/>
          <w:numId w:val="6"/>
        </w:numPr>
        <w:spacing w:before="60" w:after="60" w:line="360" w:lineRule="auto"/>
        <w:rPr>
          <w:sz w:val="28"/>
          <w:szCs w:val="28"/>
        </w:rPr>
      </w:pPr>
      <w:r w:rsidRPr="00D605C2">
        <w:rPr>
          <w:sz w:val="28"/>
          <w:szCs w:val="28"/>
          <w:u w:val="single"/>
        </w:rPr>
        <w:t>Ainslie Lodge</w:t>
      </w:r>
      <w:r>
        <w:rPr>
          <w:sz w:val="28"/>
          <w:szCs w:val="28"/>
        </w:rPr>
        <w:t xml:space="preserve"> – a </w:t>
      </w:r>
      <w:r w:rsidRPr="004508CB">
        <w:rPr>
          <w:sz w:val="28"/>
          <w:szCs w:val="28"/>
        </w:rPr>
        <w:t xml:space="preserve">18-bed facility </w:t>
      </w:r>
      <w:r>
        <w:rPr>
          <w:sz w:val="28"/>
          <w:szCs w:val="28"/>
        </w:rPr>
        <w:t>that assisted</w:t>
      </w:r>
      <w:r w:rsidRPr="004508CB">
        <w:rPr>
          <w:sz w:val="28"/>
          <w:szCs w:val="28"/>
        </w:rPr>
        <w:t xml:space="preserve"> 162 individuals during the financial year.</w:t>
      </w:r>
    </w:p>
    <w:p w14:paraId="032970B1" w14:textId="7B76EAE0" w:rsidR="00920ACD" w:rsidRDefault="005946E8" w:rsidP="00D605C2">
      <w:pPr>
        <w:pStyle w:val="ListParagraph"/>
        <w:numPr>
          <w:ilvl w:val="1"/>
          <w:numId w:val="6"/>
        </w:numPr>
        <w:spacing w:before="60" w:after="60" w:line="360" w:lineRule="auto"/>
        <w:rPr>
          <w:sz w:val="28"/>
          <w:szCs w:val="28"/>
        </w:rPr>
      </w:pPr>
      <w:r w:rsidRPr="00D605C2">
        <w:rPr>
          <w:sz w:val="28"/>
          <w:szCs w:val="28"/>
          <w:u w:val="single"/>
        </w:rPr>
        <w:t>Street to Home Program</w:t>
      </w:r>
      <w:r>
        <w:rPr>
          <w:sz w:val="28"/>
          <w:szCs w:val="28"/>
        </w:rPr>
        <w:t xml:space="preserve"> –</w:t>
      </w:r>
      <w:r w:rsidRPr="001B224E">
        <w:rPr>
          <w:rFonts w:asciiTheme="minorHAnsi" w:hAnsiTheme="minorHAnsi" w:cstheme="minorHAnsi"/>
          <w:color w:val="313131"/>
          <w:sz w:val="28"/>
          <w:szCs w:val="28"/>
        </w:rPr>
        <w:t>accommodated 63 men</w:t>
      </w:r>
      <w:r>
        <w:rPr>
          <w:rFonts w:asciiTheme="minorHAnsi" w:hAnsiTheme="minorHAnsi" w:cstheme="minorHAnsi"/>
          <w:color w:val="313131"/>
          <w:sz w:val="28"/>
          <w:szCs w:val="28"/>
        </w:rPr>
        <w:t xml:space="preserve"> during the financial year</w:t>
      </w:r>
      <w:r w:rsidRPr="001B224E">
        <w:rPr>
          <w:rFonts w:asciiTheme="minorHAnsi" w:hAnsiTheme="minorHAnsi" w:cstheme="minorHAnsi"/>
          <w:color w:val="313131"/>
          <w:sz w:val="28"/>
          <w:szCs w:val="28"/>
        </w:rPr>
        <w:t>, providing support to stabilise and empower them to access long term accommodation.</w:t>
      </w:r>
    </w:p>
    <w:p w14:paraId="67D4E0B5" w14:textId="5BC83B28" w:rsidR="00920ACD" w:rsidRDefault="00920ACD" w:rsidP="00D605C2">
      <w:pPr>
        <w:pStyle w:val="ListParagraph"/>
        <w:numPr>
          <w:ilvl w:val="1"/>
          <w:numId w:val="6"/>
        </w:numPr>
        <w:spacing w:before="60" w:after="60" w:line="360" w:lineRule="auto"/>
        <w:rPr>
          <w:sz w:val="28"/>
          <w:szCs w:val="28"/>
        </w:rPr>
      </w:pPr>
      <w:r w:rsidRPr="00D605C2">
        <w:rPr>
          <w:sz w:val="28"/>
          <w:szCs w:val="28"/>
          <w:u w:val="single"/>
        </w:rPr>
        <w:t>Early Morning Centre</w:t>
      </w:r>
      <w:r>
        <w:rPr>
          <w:sz w:val="28"/>
          <w:szCs w:val="28"/>
        </w:rPr>
        <w:t xml:space="preserve"> – </w:t>
      </w:r>
      <w:r>
        <w:rPr>
          <w:rFonts w:asciiTheme="minorHAnsi" w:hAnsiTheme="minorHAnsi" w:cstheme="minorHAnsi"/>
          <w:color w:val="313131"/>
          <w:sz w:val="28"/>
          <w:szCs w:val="28"/>
        </w:rPr>
        <w:t>provid</w:t>
      </w:r>
      <w:r w:rsidR="005946E8">
        <w:rPr>
          <w:rFonts w:asciiTheme="minorHAnsi" w:hAnsiTheme="minorHAnsi" w:cstheme="minorHAnsi"/>
          <w:color w:val="313131"/>
          <w:sz w:val="28"/>
          <w:szCs w:val="28"/>
        </w:rPr>
        <w:t>ed</w:t>
      </w:r>
      <w:r>
        <w:rPr>
          <w:rFonts w:asciiTheme="minorHAnsi" w:hAnsiTheme="minorHAnsi" w:cstheme="minorHAnsi"/>
          <w:color w:val="313131"/>
          <w:sz w:val="28"/>
          <w:szCs w:val="28"/>
        </w:rPr>
        <w:t xml:space="preserve"> access to meals on</w:t>
      </w:r>
      <w:r w:rsidRPr="004508CB">
        <w:rPr>
          <w:rFonts w:asciiTheme="minorHAnsi" w:hAnsiTheme="minorHAnsi" w:cstheme="minorHAnsi"/>
          <w:color w:val="313131"/>
          <w:sz w:val="28"/>
          <w:szCs w:val="28"/>
        </w:rPr>
        <w:t xml:space="preserve"> average </w:t>
      </w:r>
      <w:r>
        <w:rPr>
          <w:rFonts w:asciiTheme="minorHAnsi" w:hAnsiTheme="minorHAnsi" w:cstheme="minorHAnsi"/>
          <w:color w:val="313131"/>
          <w:sz w:val="28"/>
          <w:szCs w:val="28"/>
        </w:rPr>
        <w:t>to</w:t>
      </w:r>
      <w:r w:rsidRPr="004508CB">
        <w:rPr>
          <w:rFonts w:asciiTheme="minorHAnsi" w:hAnsiTheme="minorHAnsi" w:cstheme="minorHAnsi"/>
          <w:color w:val="313131"/>
          <w:sz w:val="28"/>
          <w:szCs w:val="28"/>
        </w:rPr>
        <w:t xml:space="preserve"> 70–80 individuals </w:t>
      </w:r>
      <w:r>
        <w:rPr>
          <w:rFonts w:asciiTheme="minorHAnsi" w:hAnsiTheme="minorHAnsi" w:cstheme="minorHAnsi"/>
          <w:color w:val="313131"/>
          <w:sz w:val="28"/>
          <w:szCs w:val="28"/>
        </w:rPr>
        <w:t>each weekday,</w:t>
      </w:r>
      <w:r w:rsidRPr="004508CB">
        <w:rPr>
          <w:rFonts w:asciiTheme="minorHAnsi" w:hAnsiTheme="minorHAnsi" w:cstheme="minorHAnsi"/>
          <w:color w:val="313131"/>
          <w:sz w:val="28"/>
          <w:szCs w:val="28"/>
        </w:rPr>
        <w:t xml:space="preserve"> and </w:t>
      </w:r>
      <w:r>
        <w:rPr>
          <w:rFonts w:asciiTheme="minorHAnsi" w:hAnsiTheme="minorHAnsi" w:cstheme="minorHAnsi"/>
          <w:color w:val="313131"/>
          <w:sz w:val="28"/>
          <w:szCs w:val="28"/>
        </w:rPr>
        <w:t xml:space="preserve">to </w:t>
      </w:r>
      <w:r w:rsidRPr="004508CB">
        <w:rPr>
          <w:rFonts w:asciiTheme="minorHAnsi" w:hAnsiTheme="minorHAnsi" w:cstheme="minorHAnsi"/>
          <w:color w:val="313131"/>
          <w:sz w:val="28"/>
          <w:szCs w:val="28"/>
        </w:rPr>
        <w:t xml:space="preserve">30-40 </w:t>
      </w:r>
      <w:r>
        <w:rPr>
          <w:rFonts w:asciiTheme="minorHAnsi" w:hAnsiTheme="minorHAnsi" w:cstheme="minorHAnsi"/>
          <w:color w:val="313131"/>
          <w:sz w:val="28"/>
          <w:szCs w:val="28"/>
        </w:rPr>
        <w:t xml:space="preserve">individuals </w:t>
      </w:r>
      <w:r w:rsidRPr="004508CB">
        <w:rPr>
          <w:rFonts w:asciiTheme="minorHAnsi" w:hAnsiTheme="minorHAnsi" w:cstheme="minorHAnsi"/>
          <w:color w:val="313131"/>
          <w:sz w:val="28"/>
          <w:szCs w:val="28"/>
        </w:rPr>
        <w:t>for weekend services.</w:t>
      </w:r>
      <w:r>
        <w:rPr>
          <w:sz w:val="28"/>
          <w:szCs w:val="28"/>
        </w:rPr>
        <w:t xml:space="preserve"> </w:t>
      </w:r>
    </w:p>
    <w:p w14:paraId="0BFD093E" w14:textId="2DA73F83" w:rsidR="005946E8" w:rsidRPr="00D605C2" w:rsidRDefault="005946E8" w:rsidP="00D605C2">
      <w:pPr>
        <w:pStyle w:val="ListParagraph"/>
        <w:numPr>
          <w:ilvl w:val="1"/>
          <w:numId w:val="6"/>
        </w:numPr>
        <w:spacing w:before="60" w:after="60" w:line="360" w:lineRule="auto"/>
        <w:rPr>
          <w:sz w:val="28"/>
          <w:szCs w:val="28"/>
        </w:rPr>
      </w:pPr>
      <w:r>
        <w:rPr>
          <w:sz w:val="28"/>
          <w:szCs w:val="28"/>
          <w:u w:val="single"/>
        </w:rPr>
        <w:t>Karinya Housing -</w:t>
      </w:r>
      <w:r>
        <w:rPr>
          <w:sz w:val="28"/>
          <w:szCs w:val="28"/>
        </w:rPr>
        <w:t xml:space="preserve"> </w:t>
      </w:r>
      <w:r w:rsidRPr="004508CB">
        <w:rPr>
          <w:sz w:val="28"/>
          <w:szCs w:val="28"/>
        </w:rPr>
        <w:t>support</w:t>
      </w:r>
      <w:r>
        <w:rPr>
          <w:sz w:val="28"/>
          <w:szCs w:val="28"/>
        </w:rPr>
        <w:t>ed</w:t>
      </w:r>
      <w:r w:rsidRPr="004508CB">
        <w:rPr>
          <w:sz w:val="28"/>
          <w:szCs w:val="28"/>
        </w:rPr>
        <w:t xml:space="preserve"> women who are pregnant or parenting </w:t>
      </w:r>
      <w:r>
        <w:rPr>
          <w:sz w:val="28"/>
          <w:szCs w:val="28"/>
        </w:rPr>
        <w:t xml:space="preserve">by </w:t>
      </w:r>
      <w:r w:rsidRPr="004508CB">
        <w:rPr>
          <w:sz w:val="28"/>
          <w:szCs w:val="28"/>
        </w:rPr>
        <w:t>providing specialist support and</w:t>
      </w:r>
      <w:r w:rsidRPr="001B224E">
        <w:rPr>
          <w:rFonts w:asciiTheme="minorHAnsi" w:hAnsiTheme="minorHAnsi" w:cstheme="minorHAnsi"/>
          <w:color w:val="313131"/>
          <w:sz w:val="28"/>
          <w:szCs w:val="28"/>
        </w:rPr>
        <w:t xml:space="preserve"> accommodation services</w:t>
      </w:r>
      <w:r>
        <w:rPr>
          <w:rFonts w:asciiTheme="minorHAnsi" w:hAnsiTheme="minorHAnsi" w:cstheme="minorHAnsi"/>
          <w:color w:val="313131"/>
          <w:sz w:val="28"/>
          <w:szCs w:val="28"/>
        </w:rPr>
        <w:t xml:space="preserve"> with </w:t>
      </w:r>
      <w:r w:rsidRPr="001B224E">
        <w:rPr>
          <w:rFonts w:asciiTheme="minorHAnsi" w:hAnsiTheme="minorHAnsi" w:cstheme="minorHAnsi"/>
          <w:color w:val="313131"/>
          <w:sz w:val="28"/>
          <w:szCs w:val="28"/>
        </w:rPr>
        <w:t>180 women supported</w:t>
      </w:r>
      <w:r>
        <w:rPr>
          <w:rFonts w:asciiTheme="minorHAnsi" w:hAnsiTheme="minorHAnsi" w:cstheme="minorHAnsi"/>
          <w:color w:val="313131"/>
          <w:sz w:val="28"/>
          <w:szCs w:val="28"/>
        </w:rPr>
        <w:t xml:space="preserve"> through case work </w:t>
      </w:r>
      <w:r w:rsidRPr="001B224E">
        <w:rPr>
          <w:rFonts w:asciiTheme="minorHAnsi" w:hAnsiTheme="minorHAnsi" w:cstheme="minorHAnsi"/>
          <w:color w:val="313131"/>
          <w:sz w:val="28"/>
          <w:szCs w:val="28"/>
        </w:rPr>
        <w:t>, and of th</w:t>
      </w:r>
      <w:r>
        <w:rPr>
          <w:rFonts w:asciiTheme="minorHAnsi" w:hAnsiTheme="minorHAnsi" w:cstheme="minorHAnsi"/>
          <w:color w:val="313131"/>
          <w:sz w:val="28"/>
          <w:szCs w:val="28"/>
        </w:rPr>
        <w:t>ese</w:t>
      </w:r>
      <w:r w:rsidRPr="001B224E">
        <w:rPr>
          <w:rFonts w:asciiTheme="minorHAnsi" w:hAnsiTheme="minorHAnsi" w:cstheme="minorHAnsi"/>
          <w:color w:val="313131"/>
          <w:sz w:val="28"/>
          <w:szCs w:val="28"/>
        </w:rPr>
        <w:t>, 23 individual women and their 29 children or babies were provided with safe accommodation. This equated to 7,759 nights of providing women</w:t>
      </w:r>
      <w:r>
        <w:rPr>
          <w:rFonts w:asciiTheme="minorHAnsi" w:hAnsiTheme="minorHAnsi" w:cstheme="minorHAnsi"/>
          <w:color w:val="313131"/>
          <w:sz w:val="28"/>
          <w:szCs w:val="28"/>
        </w:rPr>
        <w:t xml:space="preserve"> </w:t>
      </w:r>
      <w:r w:rsidRPr="001B224E">
        <w:rPr>
          <w:rFonts w:asciiTheme="minorHAnsi" w:hAnsiTheme="minorHAnsi" w:cstheme="minorHAnsi"/>
          <w:color w:val="313131"/>
          <w:sz w:val="28"/>
          <w:szCs w:val="28"/>
        </w:rPr>
        <w:t>and their children somewhere safe to sleep</w:t>
      </w:r>
      <w:r>
        <w:rPr>
          <w:rFonts w:asciiTheme="minorHAnsi" w:hAnsiTheme="minorHAnsi" w:cstheme="minorHAnsi"/>
          <w:color w:val="313131"/>
          <w:sz w:val="28"/>
          <w:szCs w:val="28"/>
        </w:rPr>
        <w:t>.</w:t>
      </w:r>
    </w:p>
    <w:p w14:paraId="23DA23BA" w14:textId="219262CF" w:rsidR="005946E8" w:rsidRDefault="005946E8" w:rsidP="00C51191">
      <w:pPr>
        <w:pStyle w:val="ListParagraph"/>
        <w:numPr>
          <w:ilvl w:val="1"/>
          <w:numId w:val="6"/>
        </w:numPr>
        <w:spacing w:before="60" w:after="60" w:line="360" w:lineRule="auto"/>
        <w:ind w:left="1434" w:hanging="357"/>
        <w:contextualSpacing w:val="0"/>
        <w:rPr>
          <w:sz w:val="28"/>
          <w:szCs w:val="28"/>
        </w:rPr>
      </w:pPr>
      <w:r w:rsidRPr="00D605C2">
        <w:rPr>
          <w:rFonts w:asciiTheme="minorHAnsi" w:hAnsiTheme="minorHAnsi" w:cstheme="minorHAnsi"/>
          <w:color w:val="313131"/>
          <w:sz w:val="28"/>
          <w:szCs w:val="28"/>
          <w:u w:val="single"/>
        </w:rPr>
        <w:lastRenderedPageBreak/>
        <w:t xml:space="preserve">YWCA’s </w:t>
      </w:r>
      <w:r w:rsidR="00183340" w:rsidRPr="00183340">
        <w:rPr>
          <w:rFonts w:asciiTheme="minorHAnsi" w:hAnsiTheme="minorHAnsi" w:cstheme="minorHAnsi"/>
          <w:color w:val="313131"/>
          <w:sz w:val="28"/>
          <w:szCs w:val="28"/>
          <w:u w:val="single"/>
        </w:rPr>
        <w:t>Next-Door</w:t>
      </w:r>
      <w:r w:rsidRPr="00D605C2">
        <w:rPr>
          <w:rFonts w:asciiTheme="minorHAnsi" w:hAnsiTheme="minorHAnsi" w:cstheme="minorHAnsi"/>
          <w:color w:val="313131"/>
          <w:sz w:val="28"/>
          <w:szCs w:val="28"/>
          <w:u w:val="single"/>
        </w:rPr>
        <w:t xml:space="preserve"> </w:t>
      </w:r>
      <w:r w:rsidR="00183340">
        <w:rPr>
          <w:rFonts w:asciiTheme="minorHAnsi" w:hAnsiTheme="minorHAnsi" w:cstheme="minorHAnsi"/>
          <w:color w:val="313131"/>
          <w:sz w:val="28"/>
          <w:szCs w:val="28"/>
          <w:u w:val="single"/>
        </w:rPr>
        <w:t>S</w:t>
      </w:r>
      <w:r w:rsidRPr="00D605C2">
        <w:rPr>
          <w:rFonts w:asciiTheme="minorHAnsi" w:hAnsiTheme="minorHAnsi" w:cstheme="minorHAnsi"/>
          <w:color w:val="313131"/>
          <w:sz w:val="28"/>
          <w:szCs w:val="28"/>
          <w:u w:val="single"/>
        </w:rPr>
        <w:t>ervice</w:t>
      </w:r>
      <w:r>
        <w:rPr>
          <w:rFonts w:asciiTheme="minorHAnsi" w:hAnsiTheme="minorHAnsi" w:cstheme="minorHAnsi"/>
          <w:color w:val="313131"/>
          <w:sz w:val="28"/>
          <w:szCs w:val="28"/>
        </w:rPr>
        <w:t xml:space="preserve"> </w:t>
      </w:r>
      <w:r w:rsidR="00183340">
        <w:rPr>
          <w:rFonts w:asciiTheme="minorHAnsi" w:hAnsiTheme="minorHAnsi" w:cstheme="minorHAnsi"/>
          <w:color w:val="313131"/>
          <w:sz w:val="28"/>
          <w:szCs w:val="28"/>
        </w:rPr>
        <w:t xml:space="preserve">– </w:t>
      </w:r>
      <w:r w:rsidRPr="001B224E">
        <w:rPr>
          <w:rFonts w:asciiTheme="minorHAnsi" w:hAnsiTheme="minorHAnsi" w:cstheme="minorHAnsi"/>
          <w:color w:val="313131"/>
          <w:sz w:val="28"/>
          <w:szCs w:val="28"/>
        </w:rPr>
        <w:t>assist</w:t>
      </w:r>
      <w:r w:rsidR="00183340">
        <w:rPr>
          <w:rFonts w:asciiTheme="minorHAnsi" w:hAnsiTheme="minorHAnsi" w:cstheme="minorHAnsi"/>
          <w:color w:val="313131"/>
          <w:sz w:val="28"/>
          <w:szCs w:val="28"/>
        </w:rPr>
        <w:t>ed 70</w:t>
      </w:r>
      <w:r w:rsidRPr="001B224E">
        <w:rPr>
          <w:rFonts w:asciiTheme="minorHAnsi" w:hAnsiTheme="minorHAnsi" w:cstheme="minorHAnsi"/>
          <w:color w:val="313131"/>
          <w:sz w:val="28"/>
          <w:szCs w:val="28"/>
        </w:rPr>
        <w:t xml:space="preserve"> older women </w:t>
      </w:r>
      <w:r w:rsidR="00183340">
        <w:rPr>
          <w:rFonts w:asciiTheme="minorHAnsi" w:hAnsiTheme="minorHAnsi" w:cstheme="minorHAnsi"/>
          <w:color w:val="313131"/>
          <w:sz w:val="28"/>
          <w:szCs w:val="28"/>
        </w:rPr>
        <w:t>with</w:t>
      </w:r>
      <w:r w:rsidRPr="001B224E">
        <w:rPr>
          <w:rFonts w:asciiTheme="minorHAnsi" w:hAnsiTheme="minorHAnsi" w:cstheme="minorHAnsi"/>
          <w:color w:val="313131"/>
          <w:sz w:val="28"/>
          <w:szCs w:val="28"/>
        </w:rPr>
        <w:t xml:space="preserve"> comprehensive person-centred wrap around support</w:t>
      </w:r>
      <w:r w:rsidR="00183340">
        <w:rPr>
          <w:rFonts w:asciiTheme="minorHAnsi" w:hAnsiTheme="minorHAnsi" w:cstheme="minorHAnsi"/>
          <w:color w:val="313131"/>
          <w:sz w:val="28"/>
          <w:szCs w:val="28"/>
        </w:rPr>
        <w:t>,</w:t>
      </w:r>
      <w:r w:rsidRPr="001B224E">
        <w:rPr>
          <w:rFonts w:asciiTheme="minorHAnsi" w:hAnsiTheme="minorHAnsi" w:cstheme="minorHAnsi"/>
          <w:color w:val="313131"/>
          <w:sz w:val="28"/>
          <w:szCs w:val="28"/>
        </w:rPr>
        <w:t xml:space="preserve"> </w:t>
      </w:r>
      <w:r w:rsidR="00183340">
        <w:rPr>
          <w:rFonts w:asciiTheme="minorHAnsi" w:hAnsiTheme="minorHAnsi" w:cstheme="minorHAnsi"/>
          <w:color w:val="313131"/>
          <w:sz w:val="28"/>
          <w:szCs w:val="28"/>
        </w:rPr>
        <w:t>with</w:t>
      </w:r>
      <w:r w:rsidRPr="001B224E">
        <w:rPr>
          <w:rFonts w:asciiTheme="minorHAnsi" w:hAnsiTheme="minorHAnsi" w:cstheme="minorHAnsi"/>
          <w:color w:val="313131"/>
          <w:sz w:val="28"/>
          <w:szCs w:val="28"/>
        </w:rPr>
        <w:t xml:space="preserve"> 44 women exiting into longer term secure housing options.</w:t>
      </w:r>
    </w:p>
    <w:p w14:paraId="7358CC32" w14:textId="5FF87C75" w:rsidR="00147D53" w:rsidRDefault="00183340" w:rsidP="00D605C2">
      <w:pPr>
        <w:pStyle w:val="ListParagraph"/>
        <w:numPr>
          <w:ilvl w:val="0"/>
          <w:numId w:val="6"/>
        </w:numPr>
        <w:spacing w:before="60" w:after="60" w:line="360" w:lineRule="auto"/>
        <w:rPr>
          <w:sz w:val="28"/>
          <w:szCs w:val="28"/>
        </w:rPr>
      </w:pPr>
      <w:r>
        <w:rPr>
          <w:sz w:val="28"/>
          <w:szCs w:val="28"/>
        </w:rPr>
        <w:t xml:space="preserve">In addition, </w:t>
      </w:r>
      <w:r w:rsidR="00147D53" w:rsidRPr="004508CB">
        <w:rPr>
          <w:sz w:val="28"/>
          <w:szCs w:val="28"/>
        </w:rPr>
        <w:t xml:space="preserve">the ACT Government allocated funding of over $1.4 million to </w:t>
      </w:r>
      <w:r>
        <w:rPr>
          <w:sz w:val="28"/>
          <w:szCs w:val="28"/>
        </w:rPr>
        <w:t>six (6)</w:t>
      </w:r>
      <w:r w:rsidR="00147D53" w:rsidRPr="004508CB">
        <w:rPr>
          <w:sz w:val="28"/>
          <w:szCs w:val="28"/>
        </w:rPr>
        <w:t xml:space="preserve"> specialist homelessness programs specifically supporting ACT Aboriginal and Torres Strait Islander peoples. These programs include transitional accommodation for families at risk of, or experiencing, homelessness as well as services providing information, advice, advocacy and support about housing related issues. </w:t>
      </w:r>
    </w:p>
    <w:p w14:paraId="7F1B258A" w14:textId="650556EB" w:rsidR="00183340" w:rsidRPr="004508CB" w:rsidRDefault="00183340" w:rsidP="00D605C2">
      <w:pPr>
        <w:pStyle w:val="ListParagraph"/>
        <w:numPr>
          <w:ilvl w:val="0"/>
          <w:numId w:val="6"/>
        </w:numPr>
        <w:spacing w:before="60" w:after="60" w:line="360" w:lineRule="auto"/>
        <w:rPr>
          <w:sz w:val="28"/>
          <w:szCs w:val="28"/>
        </w:rPr>
      </w:pPr>
      <w:r>
        <w:rPr>
          <w:sz w:val="28"/>
          <w:szCs w:val="28"/>
        </w:rPr>
        <w:t>T</w:t>
      </w:r>
      <w:r w:rsidRPr="004508CB">
        <w:rPr>
          <w:sz w:val="28"/>
          <w:szCs w:val="28"/>
        </w:rPr>
        <w:t xml:space="preserve">he Rough Sleeper Working Group </w:t>
      </w:r>
      <w:r>
        <w:rPr>
          <w:sz w:val="28"/>
          <w:szCs w:val="28"/>
        </w:rPr>
        <w:t xml:space="preserve">also </w:t>
      </w:r>
      <w:r w:rsidRPr="004508CB">
        <w:rPr>
          <w:sz w:val="28"/>
          <w:szCs w:val="28"/>
        </w:rPr>
        <w:t>continued to support rough sleepers utilising specialist engagement and coordination, including wrap around support and intensive case management. Over 50 rough sleepers were accommodated in hotel accommodation with assistance provided to support transition into longer term accommodation.</w:t>
      </w:r>
    </w:p>
    <w:p w14:paraId="2153FC86" w14:textId="063AF874" w:rsidR="006A393B" w:rsidRPr="004B1C63" w:rsidRDefault="006A393B" w:rsidP="00D605C2">
      <w:pPr>
        <w:pStyle w:val="ListParagraph"/>
        <w:numPr>
          <w:ilvl w:val="0"/>
          <w:numId w:val="6"/>
        </w:numPr>
        <w:spacing w:before="60" w:after="60" w:line="360" w:lineRule="auto"/>
        <w:ind w:left="644"/>
        <w:rPr>
          <w:rFonts w:asciiTheme="minorHAnsi" w:hAnsiTheme="minorHAnsi" w:cstheme="minorHAnsi"/>
          <w:color w:val="313131"/>
          <w:sz w:val="28"/>
          <w:szCs w:val="28"/>
        </w:rPr>
      </w:pPr>
      <w:r w:rsidRPr="004B1C63">
        <w:rPr>
          <w:rFonts w:asciiTheme="minorHAnsi" w:hAnsiTheme="minorHAnsi" w:cstheme="minorHAnsi"/>
          <w:color w:val="313131"/>
          <w:sz w:val="28"/>
          <w:szCs w:val="28"/>
        </w:rPr>
        <w:t>In 2022–23, t</w:t>
      </w:r>
      <w:r w:rsidR="0017416C" w:rsidRPr="004B1C63">
        <w:rPr>
          <w:rFonts w:asciiTheme="minorHAnsi" w:hAnsiTheme="minorHAnsi" w:cstheme="minorHAnsi"/>
          <w:color w:val="313131"/>
          <w:sz w:val="28"/>
          <w:szCs w:val="28"/>
        </w:rPr>
        <w:t>he ACT Government</w:t>
      </w:r>
      <w:r w:rsidRPr="004B1C63">
        <w:rPr>
          <w:rFonts w:asciiTheme="minorHAnsi" w:hAnsiTheme="minorHAnsi" w:cstheme="minorHAnsi"/>
          <w:color w:val="313131"/>
          <w:sz w:val="28"/>
          <w:szCs w:val="28"/>
        </w:rPr>
        <w:t xml:space="preserve"> continued </w:t>
      </w:r>
      <w:r w:rsidR="00183340">
        <w:rPr>
          <w:rFonts w:asciiTheme="minorHAnsi" w:hAnsiTheme="minorHAnsi" w:cstheme="minorHAnsi"/>
          <w:color w:val="313131"/>
          <w:sz w:val="28"/>
          <w:szCs w:val="28"/>
        </w:rPr>
        <w:t xml:space="preserve">work closely with the homelessness sector </w:t>
      </w:r>
      <w:r w:rsidRPr="004B1C63">
        <w:rPr>
          <w:rFonts w:asciiTheme="minorHAnsi" w:hAnsiTheme="minorHAnsi" w:cstheme="minorHAnsi"/>
          <w:color w:val="313131"/>
          <w:sz w:val="28"/>
          <w:szCs w:val="28"/>
        </w:rPr>
        <w:t>to examine the current needs and gaps, and the potential service delivery and system improvements needed in the Commissioning process to ensure sustainability of the sector into the future.</w:t>
      </w:r>
    </w:p>
    <w:p w14:paraId="6DCCC5D3" w14:textId="77777777" w:rsidR="00183340" w:rsidRDefault="006A393B" w:rsidP="00C51191">
      <w:pPr>
        <w:pStyle w:val="ListParagraph"/>
        <w:numPr>
          <w:ilvl w:val="0"/>
          <w:numId w:val="6"/>
        </w:numPr>
        <w:spacing w:before="60" w:after="60" w:line="360" w:lineRule="auto"/>
        <w:ind w:left="641" w:hanging="357"/>
        <w:contextualSpacing w:val="0"/>
        <w:rPr>
          <w:rFonts w:asciiTheme="minorHAnsi" w:hAnsiTheme="minorHAnsi" w:cstheme="minorHAnsi"/>
          <w:color w:val="313131"/>
          <w:sz w:val="28"/>
          <w:szCs w:val="28"/>
        </w:rPr>
      </w:pPr>
      <w:r w:rsidRPr="004B1C63">
        <w:rPr>
          <w:rFonts w:asciiTheme="minorHAnsi" w:hAnsiTheme="minorHAnsi" w:cstheme="minorHAnsi"/>
          <w:color w:val="313131"/>
          <w:sz w:val="28"/>
          <w:szCs w:val="28"/>
        </w:rPr>
        <w:t xml:space="preserve">A series of engagement activities was undertaken with the homelessness sector, cross sector partners and those with a lived experience, cumulating in a Strategic Investment Plan for the Homelessness Sector. The Plan was released in October 2022 and supported the investment phase of Commissioning. </w:t>
      </w:r>
    </w:p>
    <w:p w14:paraId="2E0B5D99" w14:textId="31C1AB13" w:rsidR="006A393B" w:rsidRPr="004B1C63" w:rsidRDefault="006A393B" w:rsidP="00C51191">
      <w:pPr>
        <w:pStyle w:val="ListParagraph"/>
        <w:numPr>
          <w:ilvl w:val="0"/>
          <w:numId w:val="6"/>
        </w:numPr>
        <w:spacing w:before="60" w:after="60" w:line="360" w:lineRule="auto"/>
        <w:ind w:left="641" w:hanging="357"/>
        <w:contextualSpacing w:val="0"/>
        <w:rPr>
          <w:rFonts w:asciiTheme="minorHAnsi" w:hAnsiTheme="minorHAnsi" w:cstheme="minorHAnsi"/>
          <w:color w:val="313131"/>
          <w:sz w:val="28"/>
          <w:szCs w:val="28"/>
        </w:rPr>
      </w:pPr>
      <w:r w:rsidRPr="004B1C63">
        <w:rPr>
          <w:rFonts w:asciiTheme="minorHAnsi" w:hAnsiTheme="minorHAnsi" w:cstheme="minorHAnsi"/>
          <w:color w:val="313131"/>
          <w:sz w:val="28"/>
          <w:szCs w:val="28"/>
        </w:rPr>
        <w:t>The first round of grants/tenders were released to the sector in November 2022 to commence services from 1 July 2023.</w:t>
      </w:r>
    </w:p>
    <w:p w14:paraId="1EC8231F" w14:textId="345E6807" w:rsidR="006A393B" w:rsidRDefault="00183340" w:rsidP="00C51191">
      <w:pPr>
        <w:pStyle w:val="ListParagraph"/>
        <w:numPr>
          <w:ilvl w:val="0"/>
          <w:numId w:val="6"/>
        </w:numPr>
        <w:spacing w:before="60" w:after="60" w:line="360" w:lineRule="auto"/>
        <w:ind w:left="641" w:hanging="357"/>
        <w:contextualSpacing w:val="0"/>
        <w:rPr>
          <w:rFonts w:asciiTheme="minorHAnsi" w:hAnsiTheme="minorHAnsi" w:cstheme="minorHAnsi"/>
          <w:color w:val="313131"/>
          <w:sz w:val="28"/>
          <w:szCs w:val="28"/>
        </w:rPr>
      </w:pPr>
      <w:r>
        <w:rPr>
          <w:rFonts w:asciiTheme="minorHAnsi" w:hAnsiTheme="minorHAnsi" w:cstheme="minorHAnsi"/>
          <w:color w:val="313131"/>
          <w:sz w:val="28"/>
          <w:szCs w:val="28"/>
        </w:rPr>
        <w:lastRenderedPageBreak/>
        <w:t>Engagement with the homelessness sector has continues with a</w:t>
      </w:r>
      <w:r w:rsidR="007D52FC" w:rsidRPr="004B1C63">
        <w:rPr>
          <w:rFonts w:asciiTheme="minorHAnsi" w:hAnsiTheme="minorHAnsi" w:cstheme="minorHAnsi"/>
          <w:color w:val="313131"/>
          <w:sz w:val="28"/>
          <w:szCs w:val="28"/>
        </w:rPr>
        <w:t xml:space="preserve"> co-design process</w:t>
      </w:r>
      <w:r w:rsidR="004B1C63" w:rsidRPr="004B1C63">
        <w:rPr>
          <w:rFonts w:asciiTheme="minorHAnsi" w:hAnsiTheme="minorHAnsi" w:cstheme="minorHAnsi"/>
          <w:color w:val="313131"/>
          <w:sz w:val="28"/>
          <w:szCs w:val="28"/>
        </w:rPr>
        <w:t xml:space="preserve"> </w:t>
      </w:r>
      <w:r w:rsidR="007D52FC" w:rsidRPr="004B1C63">
        <w:rPr>
          <w:rFonts w:asciiTheme="minorHAnsi" w:hAnsiTheme="minorHAnsi" w:cstheme="minorHAnsi"/>
          <w:color w:val="313131"/>
          <w:sz w:val="28"/>
          <w:szCs w:val="28"/>
        </w:rPr>
        <w:t>to support improv</w:t>
      </w:r>
      <w:r w:rsidR="004B1C63" w:rsidRPr="004B1C63">
        <w:rPr>
          <w:rFonts w:asciiTheme="minorHAnsi" w:hAnsiTheme="minorHAnsi" w:cstheme="minorHAnsi"/>
          <w:color w:val="313131"/>
          <w:sz w:val="28"/>
          <w:szCs w:val="28"/>
        </w:rPr>
        <w:t>ements to</w:t>
      </w:r>
      <w:r w:rsidR="007D52FC" w:rsidRPr="004B1C63">
        <w:rPr>
          <w:rFonts w:asciiTheme="minorHAnsi" w:hAnsiTheme="minorHAnsi" w:cstheme="minorHAnsi"/>
          <w:color w:val="313131"/>
          <w:sz w:val="28"/>
          <w:szCs w:val="28"/>
        </w:rPr>
        <w:t xml:space="preserve"> the service model for clients</w:t>
      </w:r>
      <w:r w:rsidR="004B1C63" w:rsidRPr="004B1C63">
        <w:rPr>
          <w:rFonts w:asciiTheme="minorHAnsi" w:hAnsiTheme="minorHAnsi" w:cstheme="minorHAnsi"/>
          <w:color w:val="313131"/>
          <w:sz w:val="28"/>
          <w:szCs w:val="28"/>
        </w:rPr>
        <w:t xml:space="preserve"> including those</w:t>
      </w:r>
      <w:r w:rsidR="007D52FC" w:rsidRPr="004B1C63">
        <w:rPr>
          <w:rFonts w:asciiTheme="minorHAnsi" w:hAnsiTheme="minorHAnsi" w:cstheme="minorHAnsi"/>
          <w:color w:val="313131"/>
          <w:sz w:val="28"/>
          <w:szCs w:val="28"/>
        </w:rPr>
        <w:t xml:space="preserve"> with high and complex needs. The process commenc</w:t>
      </w:r>
      <w:r w:rsidR="00D36C5F" w:rsidRPr="004B1C63">
        <w:rPr>
          <w:rFonts w:asciiTheme="minorHAnsi" w:hAnsiTheme="minorHAnsi" w:cstheme="minorHAnsi"/>
          <w:color w:val="313131"/>
          <w:sz w:val="28"/>
          <w:szCs w:val="28"/>
        </w:rPr>
        <w:t>ed</w:t>
      </w:r>
      <w:r w:rsidR="007D52FC" w:rsidRPr="004B1C63">
        <w:rPr>
          <w:rFonts w:asciiTheme="minorHAnsi" w:hAnsiTheme="minorHAnsi" w:cstheme="minorHAnsi"/>
          <w:color w:val="313131"/>
          <w:sz w:val="28"/>
          <w:szCs w:val="28"/>
        </w:rPr>
        <w:t xml:space="preserve"> </w:t>
      </w:r>
      <w:r w:rsidR="004B1C63" w:rsidRPr="004B1C63">
        <w:rPr>
          <w:rFonts w:asciiTheme="minorHAnsi" w:hAnsiTheme="minorHAnsi" w:cstheme="minorHAnsi"/>
          <w:color w:val="313131"/>
          <w:sz w:val="28"/>
          <w:szCs w:val="28"/>
        </w:rPr>
        <w:t xml:space="preserve">in early June 2023 </w:t>
      </w:r>
      <w:r>
        <w:rPr>
          <w:rFonts w:asciiTheme="minorHAnsi" w:hAnsiTheme="minorHAnsi" w:cstheme="minorHAnsi"/>
          <w:color w:val="313131"/>
          <w:sz w:val="28"/>
          <w:szCs w:val="28"/>
        </w:rPr>
        <w:t>and will be support to inform investment in 2023-24.</w:t>
      </w:r>
      <w:r w:rsidR="007D52FC" w:rsidRPr="004B1C63">
        <w:rPr>
          <w:rFonts w:asciiTheme="minorHAnsi" w:hAnsiTheme="minorHAnsi" w:cstheme="minorHAnsi"/>
          <w:color w:val="313131"/>
          <w:sz w:val="28"/>
          <w:szCs w:val="28"/>
        </w:rPr>
        <w:t xml:space="preserve"> </w:t>
      </w:r>
    </w:p>
    <w:p w14:paraId="0B3090F2" w14:textId="77777777" w:rsidR="00D54E8E" w:rsidRPr="004508CB" w:rsidRDefault="00D54E8E" w:rsidP="00D605C2">
      <w:pPr>
        <w:pStyle w:val="ListParagraph"/>
        <w:numPr>
          <w:ilvl w:val="0"/>
          <w:numId w:val="6"/>
        </w:numPr>
        <w:spacing w:before="60" w:after="60" w:line="360" w:lineRule="auto"/>
        <w:ind w:left="644"/>
        <w:rPr>
          <w:rFonts w:asciiTheme="minorHAnsi" w:hAnsiTheme="minorHAnsi" w:cstheme="minorHAnsi"/>
          <w:color w:val="313131"/>
          <w:sz w:val="28"/>
          <w:szCs w:val="28"/>
        </w:rPr>
      </w:pPr>
      <w:r w:rsidRPr="001B224E">
        <w:rPr>
          <w:rFonts w:asciiTheme="minorHAnsi" w:hAnsiTheme="minorHAnsi" w:cstheme="minorHAnsi"/>
          <w:color w:val="313131"/>
          <w:sz w:val="28"/>
          <w:szCs w:val="28"/>
        </w:rPr>
        <w:t xml:space="preserve">These initiatives </w:t>
      </w:r>
      <w:r>
        <w:rPr>
          <w:rFonts w:asciiTheme="minorHAnsi" w:hAnsiTheme="minorHAnsi" w:cstheme="minorHAnsi"/>
          <w:color w:val="313131"/>
          <w:sz w:val="28"/>
          <w:szCs w:val="28"/>
        </w:rPr>
        <w:t>continue to strengthen and</w:t>
      </w:r>
      <w:r w:rsidRPr="001B224E">
        <w:rPr>
          <w:rFonts w:asciiTheme="minorHAnsi" w:hAnsiTheme="minorHAnsi" w:cstheme="minorHAnsi"/>
          <w:color w:val="313131"/>
          <w:sz w:val="28"/>
          <w:szCs w:val="28"/>
        </w:rPr>
        <w:t xml:space="preserve"> expand the capacity of the specialist homelessness sector, as outlined in the Parliamentary and</w:t>
      </w:r>
      <w:r>
        <w:rPr>
          <w:rFonts w:asciiTheme="minorHAnsi" w:hAnsiTheme="minorHAnsi" w:cstheme="minorHAnsi"/>
          <w:color w:val="313131"/>
          <w:sz w:val="28"/>
          <w:szCs w:val="28"/>
        </w:rPr>
        <w:t xml:space="preserve"> </w:t>
      </w:r>
      <w:r w:rsidRPr="001B224E">
        <w:rPr>
          <w:rFonts w:asciiTheme="minorHAnsi" w:hAnsiTheme="minorHAnsi" w:cstheme="minorHAnsi"/>
          <w:color w:val="313131"/>
          <w:sz w:val="28"/>
          <w:szCs w:val="28"/>
        </w:rPr>
        <w:t xml:space="preserve">Governing </w:t>
      </w:r>
      <w:r w:rsidRPr="0017416C">
        <w:rPr>
          <w:rFonts w:asciiTheme="minorHAnsi" w:hAnsiTheme="minorHAnsi" w:cstheme="minorHAnsi"/>
          <w:color w:val="313131"/>
          <w:sz w:val="28"/>
          <w:szCs w:val="28"/>
        </w:rPr>
        <w:t>Agreement of the 10th Legislative Assembly.</w:t>
      </w:r>
    </w:p>
    <w:p w14:paraId="16E9A15A" w14:textId="77777777" w:rsidR="00D54E8E" w:rsidRDefault="00D54E8E" w:rsidP="00D605C2">
      <w:pPr>
        <w:pStyle w:val="ListParagraph"/>
        <w:spacing w:before="60" w:after="60" w:line="360" w:lineRule="auto"/>
        <w:ind w:left="644"/>
        <w:rPr>
          <w:rFonts w:asciiTheme="minorHAnsi" w:hAnsiTheme="minorHAnsi" w:cstheme="minorHAnsi"/>
          <w:color w:val="313131"/>
          <w:sz w:val="28"/>
          <w:szCs w:val="28"/>
        </w:rPr>
      </w:pPr>
    </w:p>
    <w:p w14:paraId="5A3DAD5C" w14:textId="48BD0806" w:rsidR="00D54E8E" w:rsidRPr="00523EA9" w:rsidRDefault="00D54E8E" w:rsidP="00D605C2">
      <w:pPr>
        <w:pStyle w:val="ListParagraph"/>
        <w:spacing w:before="60" w:after="60" w:line="360" w:lineRule="auto"/>
        <w:ind w:left="644"/>
        <w:rPr>
          <w:rFonts w:asciiTheme="minorHAnsi" w:hAnsiTheme="minorHAnsi" w:cstheme="minorHAnsi"/>
          <w:b/>
          <w:bCs/>
          <w:color w:val="313131"/>
          <w:sz w:val="28"/>
          <w:szCs w:val="28"/>
        </w:rPr>
      </w:pPr>
      <w:r w:rsidRPr="00523EA9">
        <w:rPr>
          <w:rFonts w:asciiTheme="minorHAnsi" w:hAnsiTheme="minorHAnsi" w:cstheme="minorHAnsi"/>
          <w:b/>
          <w:bCs/>
          <w:color w:val="313131"/>
          <w:sz w:val="28"/>
          <w:szCs w:val="28"/>
        </w:rPr>
        <w:t>End.</w:t>
      </w:r>
    </w:p>
    <w:p w14:paraId="12743E4D" w14:textId="77777777" w:rsidR="006A393B" w:rsidRDefault="006A393B" w:rsidP="007A18DF">
      <w:pPr>
        <w:spacing w:before="60" w:after="60"/>
        <w:contextualSpacing/>
      </w:pPr>
    </w:p>
    <w:p w14:paraId="0571704E" w14:textId="77777777" w:rsidR="006A393B" w:rsidRDefault="006A393B" w:rsidP="007A18DF">
      <w:pPr>
        <w:spacing w:before="60" w:after="60"/>
        <w:contextualSpacing/>
      </w:pPr>
    </w:p>
    <w:p w14:paraId="70B58909" w14:textId="77777777" w:rsidR="00CD7EDF" w:rsidRDefault="00CD7EDF" w:rsidP="007A18DF">
      <w:pPr>
        <w:spacing w:before="60" w:after="60"/>
        <w:contextualSpacing/>
      </w:pPr>
    </w:p>
    <w:sectPr w:rsidR="00CD7E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8061" w14:textId="77777777" w:rsidR="00523EA9" w:rsidRDefault="00523EA9" w:rsidP="00523EA9">
      <w:pPr>
        <w:spacing w:after="0" w:line="240" w:lineRule="auto"/>
      </w:pPr>
      <w:r>
        <w:separator/>
      </w:r>
    </w:p>
  </w:endnote>
  <w:endnote w:type="continuationSeparator" w:id="0">
    <w:p w14:paraId="4BB44399" w14:textId="77777777" w:rsidR="00523EA9" w:rsidRDefault="00523EA9" w:rsidP="0052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B468" w14:textId="77777777" w:rsidR="00523EA9" w:rsidRDefault="0052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663380"/>
      <w:docPartObj>
        <w:docPartGallery w:val="Page Numbers (Bottom of Page)"/>
        <w:docPartUnique/>
      </w:docPartObj>
    </w:sdtPr>
    <w:sdtEndPr>
      <w:rPr>
        <w:noProof/>
      </w:rPr>
    </w:sdtEndPr>
    <w:sdtContent>
      <w:p w14:paraId="60267561" w14:textId="531D474B" w:rsidR="00523EA9" w:rsidRDefault="00523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CB89C7" w14:textId="77777777" w:rsidR="00523EA9" w:rsidRDefault="00523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564B" w14:textId="77777777" w:rsidR="00523EA9" w:rsidRDefault="0052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3B40" w14:textId="77777777" w:rsidR="00523EA9" w:rsidRDefault="00523EA9" w:rsidP="00523EA9">
      <w:pPr>
        <w:spacing w:after="0" w:line="240" w:lineRule="auto"/>
      </w:pPr>
      <w:r>
        <w:separator/>
      </w:r>
    </w:p>
  </w:footnote>
  <w:footnote w:type="continuationSeparator" w:id="0">
    <w:p w14:paraId="7D74166C" w14:textId="77777777" w:rsidR="00523EA9" w:rsidRDefault="00523EA9" w:rsidP="0052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39D8" w14:textId="77777777" w:rsidR="00523EA9" w:rsidRDefault="00523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D830" w14:textId="77777777" w:rsidR="00523EA9" w:rsidRDefault="00523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A83A" w14:textId="77777777" w:rsidR="00523EA9" w:rsidRDefault="00523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F3195"/>
    <w:multiLevelType w:val="multilevel"/>
    <w:tmpl w:val="C59E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85D2B"/>
    <w:multiLevelType w:val="hybridMultilevel"/>
    <w:tmpl w:val="B52CCAC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D74099"/>
    <w:multiLevelType w:val="multilevel"/>
    <w:tmpl w:val="C7D4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03FF3"/>
    <w:multiLevelType w:val="multilevel"/>
    <w:tmpl w:val="2DB0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27BD8"/>
    <w:multiLevelType w:val="multilevel"/>
    <w:tmpl w:val="C140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36120"/>
    <w:multiLevelType w:val="hybridMultilevel"/>
    <w:tmpl w:val="5D841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5599420">
    <w:abstractNumId w:val="1"/>
  </w:num>
  <w:num w:numId="2" w16cid:durableId="1296989103">
    <w:abstractNumId w:val="3"/>
  </w:num>
  <w:num w:numId="3" w16cid:durableId="1698507460">
    <w:abstractNumId w:val="2"/>
  </w:num>
  <w:num w:numId="4" w16cid:durableId="2017029621">
    <w:abstractNumId w:val="0"/>
  </w:num>
  <w:num w:numId="5" w16cid:durableId="1070035789">
    <w:abstractNumId w:val="4"/>
  </w:num>
  <w:num w:numId="6" w16cid:durableId="140536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DF"/>
    <w:rsid w:val="00015CA0"/>
    <w:rsid w:val="00064BFF"/>
    <w:rsid w:val="000F2CAE"/>
    <w:rsid w:val="000F46C8"/>
    <w:rsid w:val="00147D53"/>
    <w:rsid w:val="0017416C"/>
    <w:rsid w:val="00183340"/>
    <w:rsid w:val="00192A2C"/>
    <w:rsid w:val="001B224E"/>
    <w:rsid w:val="001D5A8D"/>
    <w:rsid w:val="0021320C"/>
    <w:rsid w:val="002615B8"/>
    <w:rsid w:val="002754CF"/>
    <w:rsid w:val="002D1397"/>
    <w:rsid w:val="0034252D"/>
    <w:rsid w:val="00345458"/>
    <w:rsid w:val="0037085F"/>
    <w:rsid w:val="004159AB"/>
    <w:rsid w:val="00422842"/>
    <w:rsid w:val="004508CB"/>
    <w:rsid w:val="004607DB"/>
    <w:rsid w:val="00480389"/>
    <w:rsid w:val="00481401"/>
    <w:rsid w:val="004B1C63"/>
    <w:rsid w:val="00523EA9"/>
    <w:rsid w:val="00593FB4"/>
    <w:rsid w:val="005946E8"/>
    <w:rsid w:val="005D67FA"/>
    <w:rsid w:val="00662A80"/>
    <w:rsid w:val="00697842"/>
    <w:rsid w:val="006A393B"/>
    <w:rsid w:val="006E60B6"/>
    <w:rsid w:val="006E79E0"/>
    <w:rsid w:val="0070035C"/>
    <w:rsid w:val="00783D5F"/>
    <w:rsid w:val="0079717D"/>
    <w:rsid w:val="007971A2"/>
    <w:rsid w:val="007A18DF"/>
    <w:rsid w:val="007D52FC"/>
    <w:rsid w:val="00860C36"/>
    <w:rsid w:val="0088303A"/>
    <w:rsid w:val="008C0428"/>
    <w:rsid w:val="008F38D5"/>
    <w:rsid w:val="00920ACD"/>
    <w:rsid w:val="00961A1F"/>
    <w:rsid w:val="00993A14"/>
    <w:rsid w:val="009B4510"/>
    <w:rsid w:val="00A631D4"/>
    <w:rsid w:val="00A6711B"/>
    <w:rsid w:val="00A71EBA"/>
    <w:rsid w:val="00A873BE"/>
    <w:rsid w:val="00AE73ED"/>
    <w:rsid w:val="00B137CC"/>
    <w:rsid w:val="00B264CD"/>
    <w:rsid w:val="00BA5767"/>
    <w:rsid w:val="00BC6D96"/>
    <w:rsid w:val="00C51191"/>
    <w:rsid w:val="00CD7EDF"/>
    <w:rsid w:val="00CE56DD"/>
    <w:rsid w:val="00D1694C"/>
    <w:rsid w:val="00D36C5F"/>
    <w:rsid w:val="00D54E8E"/>
    <w:rsid w:val="00D605C2"/>
    <w:rsid w:val="00D85CF8"/>
    <w:rsid w:val="00D86F56"/>
    <w:rsid w:val="00DC29AB"/>
    <w:rsid w:val="00DF3F37"/>
    <w:rsid w:val="00E15E08"/>
    <w:rsid w:val="00E257F8"/>
    <w:rsid w:val="00E311F0"/>
    <w:rsid w:val="00E93628"/>
    <w:rsid w:val="00EA2EA2"/>
    <w:rsid w:val="00FB1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ACD7"/>
  <w15:chartTrackingRefBased/>
  <w15:docId w15:val="{E570A21E-8E4D-4161-9AD9-109686A6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C6D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D7ED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7ED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4Char">
    <w:name w:val="Heading 4 Char"/>
    <w:basedOn w:val="DefaultParagraphFont"/>
    <w:link w:val="Heading4"/>
    <w:uiPriority w:val="9"/>
    <w:rsid w:val="00CD7EDF"/>
    <w:rPr>
      <w:rFonts w:ascii="Times New Roman" w:eastAsia="Times New Roman" w:hAnsi="Times New Roman" w:cs="Times New Roman"/>
      <w:b/>
      <w:bCs/>
      <w:kern w:val="0"/>
      <w:sz w:val="24"/>
      <w:szCs w:val="24"/>
      <w:lang w:eastAsia="en-AU"/>
      <w14:ligatures w14:val="none"/>
    </w:rPr>
  </w:style>
  <w:style w:type="character" w:styleId="Hyperlink">
    <w:name w:val="Hyperlink"/>
    <w:basedOn w:val="DefaultParagraphFont"/>
    <w:uiPriority w:val="99"/>
    <w:semiHidden/>
    <w:unhideWhenUsed/>
    <w:rsid w:val="00CD7EDF"/>
    <w:rPr>
      <w:color w:val="0000FF"/>
      <w:u w:val="single"/>
    </w:rPr>
  </w:style>
  <w:style w:type="character" w:customStyle="1" w:styleId="Heading3Char">
    <w:name w:val="Heading 3 Char"/>
    <w:basedOn w:val="DefaultParagraphFont"/>
    <w:link w:val="Heading3"/>
    <w:uiPriority w:val="9"/>
    <w:semiHidden/>
    <w:rsid w:val="00BC6D96"/>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A71EBA"/>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A71EBA"/>
    <w:rPr>
      <w:rFonts w:ascii="Calibri" w:eastAsia="Calibri" w:hAnsi="Calibri" w:cs="Times New Roman"/>
      <w:kern w:val="0"/>
      <w14:ligatures w14:val="none"/>
    </w:rPr>
  </w:style>
  <w:style w:type="paragraph" w:styleId="Revision">
    <w:name w:val="Revision"/>
    <w:hidden/>
    <w:uiPriority w:val="99"/>
    <w:semiHidden/>
    <w:rsid w:val="000F46C8"/>
    <w:pPr>
      <w:spacing w:after="0" w:line="240" w:lineRule="auto"/>
    </w:pPr>
  </w:style>
  <w:style w:type="character" w:styleId="CommentReference">
    <w:name w:val="annotation reference"/>
    <w:basedOn w:val="DefaultParagraphFont"/>
    <w:uiPriority w:val="99"/>
    <w:semiHidden/>
    <w:unhideWhenUsed/>
    <w:rsid w:val="0021320C"/>
    <w:rPr>
      <w:sz w:val="16"/>
      <w:szCs w:val="16"/>
    </w:rPr>
  </w:style>
  <w:style w:type="paragraph" w:styleId="CommentText">
    <w:name w:val="annotation text"/>
    <w:basedOn w:val="Normal"/>
    <w:link w:val="CommentTextChar"/>
    <w:uiPriority w:val="99"/>
    <w:unhideWhenUsed/>
    <w:rsid w:val="0021320C"/>
    <w:pPr>
      <w:spacing w:line="240" w:lineRule="auto"/>
    </w:pPr>
    <w:rPr>
      <w:sz w:val="20"/>
      <w:szCs w:val="20"/>
    </w:rPr>
  </w:style>
  <w:style w:type="character" w:customStyle="1" w:styleId="CommentTextChar">
    <w:name w:val="Comment Text Char"/>
    <w:basedOn w:val="DefaultParagraphFont"/>
    <w:link w:val="CommentText"/>
    <w:uiPriority w:val="99"/>
    <w:rsid w:val="0021320C"/>
    <w:rPr>
      <w:sz w:val="20"/>
      <w:szCs w:val="20"/>
    </w:rPr>
  </w:style>
  <w:style w:type="paragraph" w:styleId="CommentSubject">
    <w:name w:val="annotation subject"/>
    <w:basedOn w:val="CommentText"/>
    <w:next w:val="CommentText"/>
    <w:link w:val="CommentSubjectChar"/>
    <w:uiPriority w:val="99"/>
    <w:semiHidden/>
    <w:unhideWhenUsed/>
    <w:rsid w:val="0021320C"/>
    <w:rPr>
      <w:b/>
      <w:bCs/>
    </w:rPr>
  </w:style>
  <w:style w:type="character" w:customStyle="1" w:styleId="CommentSubjectChar">
    <w:name w:val="Comment Subject Char"/>
    <w:basedOn w:val="CommentTextChar"/>
    <w:link w:val="CommentSubject"/>
    <w:uiPriority w:val="99"/>
    <w:semiHidden/>
    <w:rsid w:val="0021320C"/>
    <w:rPr>
      <w:b/>
      <w:bCs/>
      <w:sz w:val="20"/>
      <w:szCs w:val="20"/>
    </w:rPr>
  </w:style>
  <w:style w:type="paragraph" w:styleId="BodyText">
    <w:name w:val="Body Text"/>
    <w:basedOn w:val="Normal"/>
    <w:link w:val="BodyTextChar"/>
    <w:uiPriority w:val="1"/>
    <w:qFormat/>
    <w:rsid w:val="00481401"/>
    <w:pPr>
      <w:widowControl w:val="0"/>
      <w:autoSpaceDE w:val="0"/>
      <w:autoSpaceDN w:val="0"/>
      <w:spacing w:before="1" w:after="0" w:line="240" w:lineRule="auto"/>
      <w:ind w:left="1272" w:hanging="360"/>
    </w:pPr>
    <w:rPr>
      <w:rFonts w:ascii="Calibri" w:eastAsia="Calibri" w:hAnsi="Calibri" w:cs="Calibri"/>
      <w:kern w:val="0"/>
      <w:sz w:val="18"/>
      <w:szCs w:val="18"/>
      <w:lang w:val="en-US"/>
      <w14:ligatures w14:val="none"/>
    </w:rPr>
  </w:style>
  <w:style w:type="character" w:customStyle="1" w:styleId="BodyTextChar">
    <w:name w:val="Body Text Char"/>
    <w:basedOn w:val="DefaultParagraphFont"/>
    <w:link w:val="BodyText"/>
    <w:uiPriority w:val="1"/>
    <w:rsid w:val="00481401"/>
    <w:rPr>
      <w:rFonts w:ascii="Calibri" w:eastAsia="Calibri" w:hAnsi="Calibri" w:cs="Calibri"/>
      <w:kern w:val="0"/>
      <w:sz w:val="18"/>
      <w:szCs w:val="18"/>
      <w:lang w:val="en-US"/>
      <w14:ligatures w14:val="none"/>
    </w:rPr>
  </w:style>
  <w:style w:type="paragraph" w:styleId="Header">
    <w:name w:val="header"/>
    <w:basedOn w:val="Normal"/>
    <w:link w:val="HeaderChar"/>
    <w:uiPriority w:val="99"/>
    <w:unhideWhenUsed/>
    <w:rsid w:val="00523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EA9"/>
  </w:style>
  <w:style w:type="paragraph" w:styleId="Footer">
    <w:name w:val="footer"/>
    <w:basedOn w:val="Normal"/>
    <w:link w:val="FooterChar"/>
    <w:uiPriority w:val="99"/>
    <w:unhideWhenUsed/>
    <w:rsid w:val="00523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1332">
      <w:bodyDiv w:val="1"/>
      <w:marLeft w:val="0"/>
      <w:marRight w:val="0"/>
      <w:marTop w:val="0"/>
      <w:marBottom w:val="0"/>
      <w:divBdr>
        <w:top w:val="none" w:sz="0" w:space="0" w:color="auto"/>
        <w:left w:val="none" w:sz="0" w:space="0" w:color="auto"/>
        <w:bottom w:val="none" w:sz="0" w:space="0" w:color="auto"/>
        <w:right w:val="none" w:sz="0" w:space="0" w:color="auto"/>
      </w:divBdr>
    </w:div>
    <w:div w:id="52433968">
      <w:bodyDiv w:val="1"/>
      <w:marLeft w:val="0"/>
      <w:marRight w:val="0"/>
      <w:marTop w:val="0"/>
      <w:marBottom w:val="0"/>
      <w:divBdr>
        <w:top w:val="none" w:sz="0" w:space="0" w:color="auto"/>
        <w:left w:val="none" w:sz="0" w:space="0" w:color="auto"/>
        <w:bottom w:val="none" w:sz="0" w:space="0" w:color="auto"/>
        <w:right w:val="none" w:sz="0" w:space="0" w:color="auto"/>
      </w:divBdr>
    </w:div>
    <w:div w:id="666638910">
      <w:bodyDiv w:val="1"/>
      <w:marLeft w:val="0"/>
      <w:marRight w:val="0"/>
      <w:marTop w:val="0"/>
      <w:marBottom w:val="0"/>
      <w:divBdr>
        <w:top w:val="none" w:sz="0" w:space="0" w:color="auto"/>
        <w:left w:val="none" w:sz="0" w:space="0" w:color="auto"/>
        <w:bottom w:val="none" w:sz="0" w:space="0" w:color="auto"/>
        <w:right w:val="none" w:sz="0" w:space="0" w:color="auto"/>
      </w:divBdr>
    </w:div>
    <w:div w:id="782772330">
      <w:bodyDiv w:val="1"/>
      <w:marLeft w:val="0"/>
      <w:marRight w:val="0"/>
      <w:marTop w:val="0"/>
      <w:marBottom w:val="0"/>
      <w:divBdr>
        <w:top w:val="none" w:sz="0" w:space="0" w:color="auto"/>
        <w:left w:val="none" w:sz="0" w:space="0" w:color="auto"/>
        <w:bottom w:val="none" w:sz="0" w:space="0" w:color="auto"/>
        <w:right w:val="none" w:sz="0" w:space="0" w:color="auto"/>
      </w:divBdr>
    </w:div>
    <w:div w:id="1069110810">
      <w:bodyDiv w:val="1"/>
      <w:marLeft w:val="0"/>
      <w:marRight w:val="0"/>
      <w:marTop w:val="0"/>
      <w:marBottom w:val="0"/>
      <w:divBdr>
        <w:top w:val="none" w:sz="0" w:space="0" w:color="auto"/>
        <w:left w:val="none" w:sz="0" w:space="0" w:color="auto"/>
        <w:bottom w:val="none" w:sz="0" w:space="0" w:color="auto"/>
        <w:right w:val="none" w:sz="0" w:space="0" w:color="auto"/>
      </w:divBdr>
    </w:div>
    <w:div w:id="1168714750">
      <w:bodyDiv w:val="1"/>
      <w:marLeft w:val="0"/>
      <w:marRight w:val="0"/>
      <w:marTop w:val="0"/>
      <w:marBottom w:val="0"/>
      <w:divBdr>
        <w:top w:val="none" w:sz="0" w:space="0" w:color="auto"/>
        <w:left w:val="none" w:sz="0" w:space="0" w:color="auto"/>
        <w:bottom w:val="none" w:sz="0" w:space="0" w:color="auto"/>
        <w:right w:val="none" w:sz="0" w:space="0" w:color="auto"/>
      </w:divBdr>
    </w:div>
    <w:div w:id="1374159293">
      <w:bodyDiv w:val="1"/>
      <w:marLeft w:val="0"/>
      <w:marRight w:val="0"/>
      <w:marTop w:val="0"/>
      <w:marBottom w:val="0"/>
      <w:divBdr>
        <w:top w:val="none" w:sz="0" w:space="0" w:color="auto"/>
        <w:left w:val="none" w:sz="0" w:space="0" w:color="auto"/>
        <w:bottom w:val="none" w:sz="0" w:space="0" w:color="auto"/>
        <w:right w:val="none" w:sz="0" w:space="0" w:color="auto"/>
      </w:divBdr>
    </w:div>
    <w:div w:id="1491941644">
      <w:bodyDiv w:val="1"/>
      <w:marLeft w:val="0"/>
      <w:marRight w:val="0"/>
      <w:marTop w:val="0"/>
      <w:marBottom w:val="0"/>
      <w:divBdr>
        <w:top w:val="none" w:sz="0" w:space="0" w:color="auto"/>
        <w:left w:val="none" w:sz="0" w:space="0" w:color="auto"/>
        <w:bottom w:val="none" w:sz="0" w:space="0" w:color="auto"/>
        <w:right w:val="none" w:sz="0" w:space="0" w:color="auto"/>
      </w:divBdr>
    </w:div>
    <w:div w:id="1796098176">
      <w:bodyDiv w:val="1"/>
      <w:marLeft w:val="0"/>
      <w:marRight w:val="0"/>
      <w:marTop w:val="0"/>
      <w:marBottom w:val="0"/>
      <w:divBdr>
        <w:top w:val="none" w:sz="0" w:space="0" w:color="auto"/>
        <w:left w:val="none" w:sz="0" w:space="0" w:color="auto"/>
        <w:bottom w:val="none" w:sz="0" w:space="0" w:color="auto"/>
        <w:right w:val="none" w:sz="0" w:space="0" w:color="auto"/>
      </w:divBdr>
    </w:div>
    <w:div w:id="1982032146">
      <w:bodyDiv w:val="1"/>
      <w:marLeft w:val="0"/>
      <w:marRight w:val="0"/>
      <w:marTop w:val="0"/>
      <w:marBottom w:val="0"/>
      <w:divBdr>
        <w:top w:val="none" w:sz="0" w:space="0" w:color="auto"/>
        <w:left w:val="none" w:sz="0" w:space="0" w:color="auto"/>
        <w:bottom w:val="none" w:sz="0" w:space="0" w:color="auto"/>
        <w:right w:val="none" w:sz="0" w:space="0" w:color="auto"/>
      </w:divBdr>
    </w:div>
    <w:div w:id="20003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AB68E-3A5E-46F7-AD36-25120CDB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Makin, Liz</dc:creator>
  <cp:keywords/>
  <dc:description/>
  <cp:lastModifiedBy>McLaurie, Anna</cp:lastModifiedBy>
  <cp:revision>8</cp:revision>
  <dcterms:created xsi:type="dcterms:W3CDTF">2023-11-01T02:58:00Z</dcterms:created>
  <dcterms:modified xsi:type="dcterms:W3CDTF">2023-11-09T23:01:00Z</dcterms:modified>
</cp:coreProperties>
</file>