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ACE93" w14:textId="77777777" w:rsidR="00804408" w:rsidRPr="00C8358A" w:rsidRDefault="00804408" w:rsidP="00804408">
      <w:pPr>
        <w:pStyle w:val="Cover-Committeename"/>
        <w:ind w:left="1701"/>
      </w:pPr>
      <w:r w:rsidRPr="00C8358A">
        <w:t xml:space="preserve">Standing </w:t>
      </w:r>
      <w:r>
        <w:t>Committee</w:t>
      </w:r>
      <w:r w:rsidRPr="00C8358A">
        <w:t xml:space="preserve"> on </w:t>
      </w:r>
      <w:r>
        <w:t xml:space="preserve">Justice and Community Safety </w:t>
      </w:r>
    </w:p>
    <w:p w14:paraId="5043BF09" w14:textId="77777777" w:rsidR="00804408" w:rsidRDefault="00804408" w:rsidP="00804408">
      <w:pPr>
        <w:pStyle w:val="Title"/>
        <w:ind w:right="-46"/>
      </w:pPr>
      <w:r w:rsidRPr="00C8358A">
        <w:t>Inquiry</w:t>
      </w:r>
      <w:r>
        <w:t xml:space="preserve"> into the</w:t>
      </w:r>
      <w:r w:rsidRPr="00C8358A">
        <w:t xml:space="preserve"> </w:t>
      </w:r>
      <w:r>
        <w:t>Freedom of Information Amendment Bills 2022</w:t>
      </w:r>
    </w:p>
    <w:p w14:paraId="520489BF" w14:textId="77777777" w:rsidR="00804408" w:rsidRDefault="00804408" w:rsidP="00804408">
      <w:pPr>
        <w:spacing w:line="259" w:lineRule="auto"/>
        <w:rPr>
          <w:rFonts w:ascii="Montserrat" w:eastAsiaTheme="majorEastAsia" w:hAnsi="Montserrat" w:cstheme="majorBidi"/>
          <w:b/>
          <w:spacing w:val="-10"/>
          <w:w w:val="90"/>
          <w:kern w:val="28"/>
          <w:sz w:val="58"/>
          <w:szCs w:val="58"/>
        </w:rPr>
      </w:pPr>
      <w:r>
        <w:br w:type="page"/>
      </w:r>
    </w:p>
    <w:p w14:paraId="1325372F" w14:textId="77777777" w:rsidR="00804408" w:rsidRPr="0075417C" w:rsidRDefault="00804408" w:rsidP="00804408">
      <w:pPr>
        <w:tabs>
          <w:tab w:val="left" w:pos="3165"/>
        </w:tabs>
        <w:rPr>
          <w:rFonts w:ascii="Montserrat" w:eastAsiaTheme="majorEastAsia" w:hAnsi="Montserrat" w:cstheme="majorBidi"/>
          <w:spacing w:val="-10"/>
          <w:w w:val="90"/>
          <w:kern w:val="28"/>
          <w:sz w:val="58"/>
          <w:szCs w:val="58"/>
        </w:rPr>
        <w:sectPr w:rsidR="00804408" w:rsidRPr="0075417C" w:rsidSect="00D376C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r>
        <w:lastRenderedPageBreak/>
        <w:br w:type="page"/>
      </w:r>
    </w:p>
    <w:p w14:paraId="15C2D4E7" w14:textId="77777777" w:rsidR="00804408" w:rsidRDefault="00804408" w:rsidP="000E0869">
      <w:pPr>
        <w:pStyle w:val="Heading1nonumber"/>
      </w:pPr>
      <w:bookmarkStart w:id="0" w:name="_Toc122604835"/>
      <w:r>
        <w:lastRenderedPageBreak/>
        <w:t>About the Committee</w:t>
      </w:r>
      <w:bookmarkEnd w:id="0"/>
    </w:p>
    <w:p w14:paraId="6E6E58B0" w14:textId="77777777" w:rsidR="00804408" w:rsidRDefault="00804408" w:rsidP="000952B1">
      <w:pPr>
        <w:pStyle w:val="Heading2"/>
      </w:pPr>
      <w:bookmarkStart w:id="1" w:name="_Toc122604836"/>
      <w:r>
        <w:t>Establishing resolution</w:t>
      </w:r>
      <w:bookmarkEnd w:id="1"/>
    </w:p>
    <w:p w14:paraId="1A4D4FAD" w14:textId="77777777" w:rsidR="00804408" w:rsidRDefault="00804408" w:rsidP="00804408">
      <w:r>
        <w:t xml:space="preserve">The Assembly established the </w:t>
      </w:r>
      <w:r w:rsidR="004D7CE8">
        <w:fldChar w:fldCharType="begin"/>
      </w:r>
      <w:r w:rsidR="004D7CE8">
        <w:instrText xml:space="preserve"> STYLEREF  "Cover - Committee name"  \* MERGEFORMAT </w:instrText>
      </w:r>
      <w:r w:rsidR="004D7CE8">
        <w:fldChar w:fldCharType="separate"/>
      </w:r>
      <w:r>
        <w:rPr>
          <w:noProof/>
        </w:rPr>
        <w:t>Standing Committee on Justice and Community Safety</w:t>
      </w:r>
      <w:r w:rsidR="004D7CE8">
        <w:rPr>
          <w:noProof/>
        </w:rPr>
        <w:fldChar w:fldCharType="end"/>
      </w:r>
      <w:r>
        <w:t xml:space="preserve"> on </w:t>
      </w:r>
      <w:r>
        <w:br/>
        <w:t xml:space="preserve">2 December 2020. </w:t>
      </w:r>
    </w:p>
    <w:p w14:paraId="22F65D84" w14:textId="77777777" w:rsidR="00804408" w:rsidRDefault="00804408" w:rsidP="00804408">
      <w:pPr>
        <w:spacing w:after="120"/>
      </w:pPr>
      <w:r>
        <w:t>The Committee’s areas of responsibility are:</w:t>
      </w:r>
    </w:p>
    <w:p w14:paraId="606E573C" w14:textId="77777777" w:rsidR="00804408" w:rsidRDefault="00804408" w:rsidP="00804408">
      <w:pPr>
        <w:pStyle w:val="ListParagraph"/>
        <w:numPr>
          <w:ilvl w:val="0"/>
          <w:numId w:val="2"/>
        </w:numPr>
        <w:sectPr w:rsidR="00804408" w:rsidSect="009F5A83">
          <w:footerReference w:type="even" r:id="rId14"/>
          <w:footerReference w:type="default" r:id="rId15"/>
          <w:pgSz w:w="11906" w:h="16838"/>
          <w:pgMar w:top="1440" w:right="1440" w:bottom="1440" w:left="1440" w:header="708" w:footer="708" w:gutter="0"/>
          <w:pgNumType w:fmt="lowerRoman" w:start="1"/>
          <w:cols w:space="708"/>
          <w:docGrid w:linePitch="360"/>
        </w:sectPr>
      </w:pPr>
    </w:p>
    <w:p w14:paraId="0415812D" w14:textId="77777777" w:rsidR="00804408" w:rsidRDefault="00804408" w:rsidP="00804408">
      <w:pPr>
        <w:pStyle w:val="ListParagraph"/>
        <w:numPr>
          <w:ilvl w:val="0"/>
          <w:numId w:val="2"/>
        </w:numPr>
      </w:pPr>
      <w:r>
        <w:t>ACT Electoral Commission</w:t>
      </w:r>
    </w:p>
    <w:p w14:paraId="48094FCC" w14:textId="77777777" w:rsidR="00804408" w:rsidRDefault="00804408" w:rsidP="00804408">
      <w:pPr>
        <w:pStyle w:val="ListParagraph"/>
        <w:numPr>
          <w:ilvl w:val="0"/>
          <w:numId w:val="2"/>
        </w:numPr>
      </w:pPr>
      <w:r>
        <w:t>ACT Integrity Commission</w:t>
      </w:r>
    </w:p>
    <w:p w14:paraId="284724A5" w14:textId="77777777" w:rsidR="00804408" w:rsidRDefault="00804408" w:rsidP="00804408">
      <w:pPr>
        <w:pStyle w:val="ListParagraph"/>
        <w:numPr>
          <w:ilvl w:val="0"/>
          <w:numId w:val="2"/>
        </w:numPr>
      </w:pPr>
      <w:r>
        <w:t>Gaming</w:t>
      </w:r>
    </w:p>
    <w:p w14:paraId="4C55981F" w14:textId="77777777" w:rsidR="00804408" w:rsidRDefault="00804408" w:rsidP="00804408">
      <w:pPr>
        <w:pStyle w:val="ListParagraph"/>
        <w:numPr>
          <w:ilvl w:val="0"/>
          <w:numId w:val="2"/>
        </w:numPr>
      </w:pPr>
      <w:r>
        <w:t>Minister of State (JACS reporting areas)</w:t>
      </w:r>
    </w:p>
    <w:p w14:paraId="0AB9B05C" w14:textId="77777777" w:rsidR="00804408" w:rsidRDefault="00804408" w:rsidP="00804408">
      <w:pPr>
        <w:pStyle w:val="ListParagraph"/>
        <w:numPr>
          <w:ilvl w:val="0"/>
          <w:numId w:val="2"/>
        </w:numPr>
      </w:pPr>
      <w:r>
        <w:t>Emergency management and the Emergency Services Agency</w:t>
      </w:r>
    </w:p>
    <w:p w14:paraId="10AF7DC2" w14:textId="77777777" w:rsidR="00804408" w:rsidRDefault="00804408" w:rsidP="00804408">
      <w:pPr>
        <w:pStyle w:val="ListParagraph"/>
        <w:numPr>
          <w:ilvl w:val="0"/>
          <w:numId w:val="2"/>
        </w:numPr>
      </w:pPr>
      <w:r>
        <w:t>Policing and ACT Policing</w:t>
      </w:r>
    </w:p>
    <w:p w14:paraId="37784821" w14:textId="77777777" w:rsidR="00804408" w:rsidRDefault="00804408" w:rsidP="00804408">
      <w:pPr>
        <w:pStyle w:val="ListParagraph"/>
        <w:numPr>
          <w:ilvl w:val="0"/>
          <w:numId w:val="2"/>
        </w:numPr>
      </w:pPr>
      <w:r>
        <w:t>ACT Ombudsman</w:t>
      </w:r>
    </w:p>
    <w:p w14:paraId="1C73ECDD" w14:textId="77777777" w:rsidR="00804408" w:rsidRDefault="00804408" w:rsidP="00804408">
      <w:pPr>
        <w:pStyle w:val="ListParagraph"/>
        <w:numPr>
          <w:ilvl w:val="0"/>
          <w:numId w:val="2"/>
        </w:numPr>
      </w:pPr>
      <w:r>
        <w:t>Corrective services</w:t>
      </w:r>
    </w:p>
    <w:p w14:paraId="265289B7" w14:textId="77777777" w:rsidR="00804408" w:rsidRDefault="00804408" w:rsidP="00804408">
      <w:pPr>
        <w:pStyle w:val="ListParagraph"/>
        <w:numPr>
          <w:ilvl w:val="0"/>
          <w:numId w:val="2"/>
        </w:numPr>
      </w:pPr>
      <w:r>
        <w:t>Attorney-General</w:t>
      </w:r>
    </w:p>
    <w:p w14:paraId="477A0A7F" w14:textId="77777777" w:rsidR="00804408" w:rsidRDefault="00804408" w:rsidP="00804408">
      <w:pPr>
        <w:pStyle w:val="ListParagraph"/>
        <w:numPr>
          <w:ilvl w:val="0"/>
          <w:numId w:val="2"/>
        </w:numPr>
      </w:pPr>
      <w:r>
        <w:t>Consumer affairs</w:t>
      </w:r>
    </w:p>
    <w:p w14:paraId="2FF17BE3" w14:textId="77777777" w:rsidR="00804408" w:rsidRDefault="00804408" w:rsidP="00804408">
      <w:pPr>
        <w:pStyle w:val="ListParagraph"/>
        <w:numPr>
          <w:ilvl w:val="0"/>
          <w:numId w:val="2"/>
        </w:numPr>
      </w:pPr>
      <w:r>
        <w:t>Human rights</w:t>
      </w:r>
    </w:p>
    <w:p w14:paraId="5E2A6D75" w14:textId="77777777" w:rsidR="00804408" w:rsidRDefault="00804408" w:rsidP="00804408">
      <w:pPr>
        <w:pStyle w:val="ListParagraph"/>
        <w:numPr>
          <w:ilvl w:val="0"/>
          <w:numId w:val="2"/>
        </w:numPr>
      </w:pPr>
      <w:r>
        <w:t>Victims of crime</w:t>
      </w:r>
    </w:p>
    <w:p w14:paraId="1CB611F9" w14:textId="77777777" w:rsidR="00804408" w:rsidRDefault="00804408" w:rsidP="00804408">
      <w:pPr>
        <w:pStyle w:val="ListParagraph"/>
        <w:numPr>
          <w:ilvl w:val="0"/>
          <w:numId w:val="2"/>
        </w:numPr>
      </w:pPr>
      <w:r>
        <w:t>Access to justice and restorative practice</w:t>
      </w:r>
    </w:p>
    <w:p w14:paraId="0FDC4996" w14:textId="77777777" w:rsidR="00804408" w:rsidRDefault="00804408" w:rsidP="00804408">
      <w:pPr>
        <w:pStyle w:val="ListParagraph"/>
        <w:numPr>
          <w:ilvl w:val="0"/>
          <w:numId w:val="2"/>
        </w:numPr>
      </w:pPr>
      <w:r>
        <w:t>Public Trustee and Guardian</w:t>
      </w:r>
    </w:p>
    <w:p w14:paraId="10FFC7F3" w14:textId="77777777" w:rsidR="00804408" w:rsidRDefault="00804408" w:rsidP="00804408">
      <w:pPr>
        <w:sectPr w:rsidR="00804408" w:rsidSect="004D5396">
          <w:type w:val="continuous"/>
          <w:pgSz w:w="11906" w:h="16838"/>
          <w:pgMar w:top="1440" w:right="1440" w:bottom="1440" w:left="1440" w:header="708" w:footer="708" w:gutter="0"/>
          <w:pgNumType w:fmt="lowerRoman" w:start="1"/>
          <w:cols w:num="2" w:space="708"/>
          <w:docGrid w:linePitch="360"/>
        </w:sectPr>
      </w:pPr>
    </w:p>
    <w:p w14:paraId="3FA6818E" w14:textId="77777777" w:rsidR="00804408" w:rsidRDefault="00804408" w:rsidP="00804408">
      <w:pPr>
        <w:spacing w:before="120"/>
      </w:pPr>
      <w:r>
        <w:br/>
        <w:t xml:space="preserve">You can read the full establishing resolution </w:t>
      </w:r>
      <w:hyperlink r:id="rId16" w:history="1">
        <w:r w:rsidRPr="00FE4F16">
          <w:rPr>
            <w:rStyle w:val="Hyperlink"/>
          </w:rPr>
          <w:t>on our website</w:t>
        </w:r>
      </w:hyperlink>
      <w:r>
        <w:t>.</w:t>
      </w:r>
    </w:p>
    <w:p w14:paraId="71C4FAFA" w14:textId="77777777" w:rsidR="00804408" w:rsidRDefault="00804408" w:rsidP="000952B1">
      <w:pPr>
        <w:pStyle w:val="Heading2"/>
      </w:pPr>
      <w:bookmarkStart w:id="2" w:name="_Toc122604837"/>
      <w:r>
        <w:t>Committee members</w:t>
      </w:r>
      <w:bookmarkEnd w:id="2"/>
    </w:p>
    <w:p w14:paraId="2CDD3338" w14:textId="77777777" w:rsidR="00804408" w:rsidRDefault="00804408" w:rsidP="00804408">
      <w:pPr>
        <w:pStyle w:val="List"/>
      </w:pPr>
      <w:r>
        <w:t xml:space="preserve">Mr Peter Cain MLA, Chair </w:t>
      </w:r>
    </w:p>
    <w:p w14:paraId="3D02C27C" w14:textId="77777777" w:rsidR="00804408" w:rsidRDefault="00804408" w:rsidP="00804408">
      <w:pPr>
        <w:pStyle w:val="List"/>
      </w:pPr>
      <w:r>
        <w:t>Dr Marisa Paterson MLA, Deputy Chair</w:t>
      </w:r>
    </w:p>
    <w:p w14:paraId="2DEBF267" w14:textId="77777777" w:rsidR="00804408" w:rsidRDefault="00804408" w:rsidP="00804408">
      <w:pPr>
        <w:pStyle w:val="List"/>
      </w:pPr>
      <w:r>
        <w:t xml:space="preserve">Mr Andrew Braddock MLA </w:t>
      </w:r>
    </w:p>
    <w:p w14:paraId="4FBF2DB6" w14:textId="77777777" w:rsidR="00804408" w:rsidRDefault="00804408" w:rsidP="000952B1">
      <w:pPr>
        <w:pStyle w:val="Heading2"/>
      </w:pPr>
      <w:bookmarkStart w:id="3" w:name="_Toc122604838"/>
      <w:r>
        <w:t>Secretariat</w:t>
      </w:r>
      <w:bookmarkEnd w:id="3"/>
    </w:p>
    <w:p w14:paraId="74498637" w14:textId="77777777" w:rsidR="00804408" w:rsidRPr="00A23A3E" w:rsidRDefault="00804408" w:rsidP="00804408">
      <w:pPr>
        <w:pStyle w:val="List"/>
      </w:pPr>
      <w:r>
        <w:t>Ms Kathleen de Kleuver</w:t>
      </w:r>
      <w:r w:rsidRPr="00A23A3E">
        <w:t xml:space="preserve">, </w:t>
      </w:r>
      <w:r>
        <w:t>Committee</w:t>
      </w:r>
      <w:r w:rsidRPr="00A23A3E">
        <w:t xml:space="preserve"> Secretary</w:t>
      </w:r>
      <w:r>
        <w:t xml:space="preserve"> </w:t>
      </w:r>
    </w:p>
    <w:p w14:paraId="43AEE9C9" w14:textId="77777777" w:rsidR="00804408" w:rsidRDefault="00804408" w:rsidP="00804408">
      <w:pPr>
        <w:pStyle w:val="List"/>
      </w:pPr>
      <w:r>
        <w:t>Ms Emma Weaver</w:t>
      </w:r>
      <w:r w:rsidRPr="00A23A3E">
        <w:t xml:space="preserve">, </w:t>
      </w:r>
      <w:r>
        <w:t>Acting Assistant Secretary</w:t>
      </w:r>
    </w:p>
    <w:p w14:paraId="284B9CF6" w14:textId="77777777" w:rsidR="00804408" w:rsidRDefault="00804408" w:rsidP="00804408">
      <w:pPr>
        <w:pStyle w:val="List"/>
      </w:pPr>
      <w:r>
        <w:t>Mr Alexander Hildyard, Administration Officer</w:t>
      </w:r>
    </w:p>
    <w:p w14:paraId="77D15424" w14:textId="77777777" w:rsidR="00804408" w:rsidRDefault="00804408" w:rsidP="000952B1">
      <w:pPr>
        <w:pStyle w:val="Heading2"/>
      </w:pPr>
      <w:bookmarkStart w:id="4" w:name="_Toc122604839"/>
      <w:r>
        <w:t>Contact us</w:t>
      </w:r>
      <w:bookmarkEnd w:id="4"/>
    </w:p>
    <w:p w14:paraId="3495F3EC" w14:textId="77777777" w:rsidR="00804408" w:rsidRDefault="00804408" w:rsidP="00804408">
      <w:pPr>
        <w:ind w:left="1134" w:hanging="1134"/>
      </w:pPr>
      <w:r>
        <w:rPr>
          <w:b/>
          <w:bCs/>
        </w:rPr>
        <w:t>Mail</w:t>
      </w:r>
      <w:r>
        <w:tab/>
      </w:r>
      <w:r w:rsidR="004D7CE8">
        <w:fldChar w:fldCharType="begin"/>
      </w:r>
      <w:r w:rsidR="004D7CE8">
        <w:instrText xml:space="preserve"> STYLEREF  "Cover - Committee name"  \* MERGEFORMAT </w:instrText>
      </w:r>
      <w:r w:rsidR="004D7CE8">
        <w:fldChar w:fldCharType="separate"/>
      </w:r>
      <w:r>
        <w:rPr>
          <w:noProof/>
        </w:rPr>
        <w:t>Standing Committee on Justice and Community Safety</w:t>
      </w:r>
      <w:r w:rsidR="004D7CE8">
        <w:rPr>
          <w:noProof/>
        </w:rPr>
        <w:fldChar w:fldCharType="end"/>
      </w:r>
      <w:r>
        <w:br/>
        <w:t>Legislative Assembly for the Australian Capital Territory</w:t>
      </w:r>
      <w:r>
        <w:br/>
        <w:t>GPO Box 1020</w:t>
      </w:r>
      <w:r>
        <w:br/>
        <w:t>CANBERRA ACT 2601</w:t>
      </w:r>
    </w:p>
    <w:p w14:paraId="77BB6E89" w14:textId="77777777" w:rsidR="00804408" w:rsidRDefault="00804408" w:rsidP="00804408">
      <w:pPr>
        <w:ind w:left="1134" w:hanging="1134"/>
      </w:pPr>
      <w:r>
        <w:rPr>
          <w:b/>
          <w:bCs/>
        </w:rPr>
        <w:t>Phone</w:t>
      </w:r>
      <w:r>
        <w:rPr>
          <w:b/>
          <w:bCs/>
        </w:rPr>
        <w:tab/>
      </w:r>
      <w:r>
        <w:t xml:space="preserve">(02) </w:t>
      </w:r>
      <w:r w:rsidRPr="008E750D">
        <w:t>620</w:t>
      </w:r>
      <w:r>
        <w:t>7 0524</w:t>
      </w:r>
    </w:p>
    <w:p w14:paraId="6C8C7ABF" w14:textId="77777777" w:rsidR="00804408" w:rsidRDefault="00804408" w:rsidP="00804408">
      <w:pPr>
        <w:ind w:left="1134" w:hanging="1134"/>
      </w:pPr>
      <w:r>
        <w:rPr>
          <w:b/>
          <w:bCs/>
        </w:rPr>
        <w:t>Email</w:t>
      </w:r>
      <w:r>
        <w:tab/>
        <w:t xml:space="preserve">LACommitteeJCS@parliament.act.gov.au </w:t>
      </w:r>
    </w:p>
    <w:p w14:paraId="644DF0B0" w14:textId="77777777" w:rsidR="00804408" w:rsidRDefault="00804408" w:rsidP="00804408">
      <w:pPr>
        <w:spacing w:line="259" w:lineRule="auto"/>
        <w:ind w:left="1134" w:hanging="1134"/>
      </w:pPr>
      <w:r>
        <w:rPr>
          <w:b/>
          <w:bCs/>
        </w:rPr>
        <w:t>Website</w:t>
      </w:r>
      <w:r>
        <w:rPr>
          <w:b/>
          <w:bCs/>
        </w:rPr>
        <w:tab/>
      </w:r>
      <w:hyperlink r:id="rId17" w:history="1">
        <w:r w:rsidRPr="001D22FC">
          <w:rPr>
            <w:rStyle w:val="Hyperlink"/>
          </w:rPr>
          <w:t>parliament.act.gov.au/parliamentary-business/in-committees</w:t>
        </w:r>
      </w:hyperlink>
    </w:p>
    <w:p w14:paraId="1D178128" w14:textId="77777777" w:rsidR="00804408" w:rsidRDefault="00804408" w:rsidP="00804408">
      <w:pPr>
        <w:spacing w:line="259" w:lineRule="auto"/>
        <w:rPr>
          <w:rFonts w:ascii="Montserrat" w:eastAsiaTheme="majorEastAsia" w:hAnsi="Montserrat" w:cstheme="majorBidi"/>
          <w:b/>
          <w:color w:val="1A234C"/>
          <w:w w:val="90"/>
          <w:kern w:val="2"/>
          <w:sz w:val="36"/>
          <w:szCs w:val="32"/>
        </w:rPr>
      </w:pPr>
      <w:r>
        <w:br w:type="page"/>
      </w:r>
    </w:p>
    <w:p w14:paraId="29C2A09E" w14:textId="77777777" w:rsidR="00804408" w:rsidRDefault="00804408" w:rsidP="000E0869">
      <w:pPr>
        <w:pStyle w:val="Heading1nonumber"/>
      </w:pPr>
      <w:bookmarkStart w:id="5" w:name="_Toc122604840"/>
      <w:r>
        <w:lastRenderedPageBreak/>
        <w:t>About this inquiry</w:t>
      </w:r>
      <w:bookmarkEnd w:id="5"/>
    </w:p>
    <w:p w14:paraId="2A989302" w14:textId="77777777" w:rsidR="00804408" w:rsidRDefault="00804408" w:rsidP="00804408">
      <w:pPr>
        <w:rPr>
          <w:rFonts w:cstheme="minorHAnsi"/>
          <w:bCs/>
        </w:rPr>
      </w:pPr>
      <w:r w:rsidRPr="00E46C75">
        <w:rPr>
          <w:rFonts w:cstheme="minorHAnsi"/>
        </w:rPr>
        <w:t xml:space="preserve">The </w:t>
      </w:r>
      <w:hyperlink r:id="rId18" w:history="1">
        <w:r w:rsidRPr="00E46C75">
          <w:rPr>
            <w:rStyle w:val="Hyperlink"/>
            <w:rFonts w:cstheme="minorHAnsi"/>
            <w:bCs/>
          </w:rPr>
          <w:t>Freedom of Information Amendment Bill 2022</w:t>
        </w:r>
      </w:hyperlink>
      <w:r w:rsidRPr="00E46C75">
        <w:rPr>
          <w:rFonts w:cstheme="minorHAnsi"/>
          <w:bCs/>
        </w:rPr>
        <w:t xml:space="preserve"> and </w:t>
      </w:r>
      <w:hyperlink r:id="rId19" w:history="1">
        <w:r w:rsidRPr="00E46C75">
          <w:rPr>
            <w:rStyle w:val="Hyperlink"/>
            <w:rFonts w:cstheme="minorHAnsi"/>
            <w:bCs/>
          </w:rPr>
          <w:t>Freedom of Information Amendment Bill 2022 [No 2]</w:t>
        </w:r>
      </w:hyperlink>
      <w:r w:rsidRPr="00E46C75">
        <w:rPr>
          <w:rFonts w:cstheme="minorHAnsi"/>
          <w:bCs/>
        </w:rPr>
        <w:t xml:space="preserve"> were presented in the Assembly on 21 September 2022, and referred to the Standing Committee on Justice and Community Safety (the Committee) </w:t>
      </w:r>
      <w:r>
        <w:rPr>
          <w:rFonts w:cstheme="minorHAnsi"/>
          <w:bCs/>
        </w:rPr>
        <w:t xml:space="preserve">as required by clause 5 of the establishing resolution. This clause allows committees to inquire into and report on bills within two months of their presentation. </w:t>
      </w:r>
    </w:p>
    <w:p w14:paraId="3A4C83C0" w14:textId="77777777" w:rsidR="00804408" w:rsidRDefault="00804408" w:rsidP="00804408">
      <w:pPr>
        <w:rPr>
          <w:rFonts w:cstheme="minorHAnsi"/>
          <w:bCs/>
        </w:rPr>
      </w:pPr>
      <w:r w:rsidRPr="00E46C75">
        <w:rPr>
          <w:rFonts w:cstheme="minorHAnsi"/>
          <w:bCs/>
        </w:rPr>
        <w:t>The Committee resolved to undertake an inquiry into the Bills</w:t>
      </w:r>
      <w:r>
        <w:rPr>
          <w:rFonts w:cstheme="minorHAnsi"/>
          <w:bCs/>
        </w:rPr>
        <w:t xml:space="preserve"> on 29 September 2022. </w:t>
      </w:r>
    </w:p>
    <w:p w14:paraId="2467364B" w14:textId="77777777" w:rsidR="00804408" w:rsidRDefault="00804408" w:rsidP="00804408">
      <w:r>
        <w:rPr>
          <w:rFonts w:cstheme="minorHAnsi"/>
          <w:bCs/>
        </w:rPr>
        <w:t>The Assembly resolved to extend the reporting date until 7 February 2023</w:t>
      </w:r>
      <w:r>
        <w:rPr>
          <w:rStyle w:val="FootnoteReference"/>
          <w:rFonts w:cstheme="minorHAnsi"/>
          <w:bCs/>
        </w:rPr>
        <w:footnoteReference w:id="1"/>
      </w:r>
      <w:r>
        <w:rPr>
          <w:rFonts w:cstheme="minorHAnsi"/>
          <w:bCs/>
        </w:rPr>
        <w:t>.</w:t>
      </w:r>
    </w:p>
    <w:p w14:paraId="269A910C" w14:textId="77777777" w:rsidR="00804408" w:rsidRDefault="00804408" w:rsidP="000952B1">
      <w:pPr>
        <w:pStyle w:val="Heading2"/>
      </w:pPr>
      <w:bookmarkStart w:id="6" w:name="_Toc122604841"/>
      <w:r>
        <w:t>Terms of Reference</w:t>
      </w:r>
      <w:bookmarkEnd w:id="6"/>
    </w:p>
    <w:p w14:paraId="12BB3CDF" w14:textId="77777777" w:rsidR="00804408" w:rsidRPr="00E46C75" w:rsidRDefault="00804408" w:rsidP="00804408">
      <w:pPr>
        <w:rPr>
          <w:rFonts w:cstheme="minorHAnsi"/>
        </w:rPr>
      </w:pPr>
      <w:r w:rsidRPr="00E46C75">
        <w:rPr>
          <w:rFonts w:cstheme="minorHAnsi"/>
        </w:rPr>
        <w:t xml:space="preserve">At its meeting on 2 December 2020 (amended 4 August 2022), the Legislative Assembly resolved that: </w:t>
      </w:r>
    </w:p>
    <w:p w14:paraId="341B03BD" w14:textId="77777777" w:rsidR="00804408" w:rsidRPr="007450CE" w:rsidRDefault="00804408" w:rsidP="00804408">
      <w:pPr>
        <w:ind w:left="720"/>
        <w:rPr>
          <w:rFonts w:cstheme="minorHAnsi"/>
          <w:color w:val="7F7F7F" w:themeColor="text1" w:themeTint="80"/>
        </w:rPr>
      </w:pPr>
      <w:r w:rsidRPr="007450CE">
        <w:rPr>
          <w:rFonts w:cstheme="minorHAnsi"/>
          <w:color w:val="7F7F7F" w:themeColor="text1" w:themeTint="80"/>
        </w:rPr>
        <w:t>‘all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whether or not to undertake an inquiry, and shall inform the Speaker of its decision, the Speaker must then arrange for all members to be notified. In the event that the subject matter of the bill makes it unclear which committee it should be referred to, the Speaker will determine the appropriate committee.’</w:t>
      </w:r>
    </w:p>
    <w:p w14:paraId="0B6B4381" w14:textId="4CC80122" w:rsidR="00804408" w:rsidRPr="00E46C75" w:rsidRDefault="00804408" w:rsidP="00804408">
      <w:pPr>
        <w:rPr>
          <w:rFonts w:cstheme="minorHAnsi"/>
          <w:bCs/>
        </w:rPr>
      </w:pPr>
      <w:r w:rsidRPr="00E46C75">
        <w:rPr>
          <w:rFonts w:cstheme="minorHAnsi"/>
        </w:rPr>
        <w:t xml:space="preserve">The </w:t>
      </w:r>
      <w:hyperlink r:id="rId20" w:history="1">
        <w:r w:rsidRPr="00E46C75">
          <w:rPr>
            <w:rStyle w:val="Hyperlink"/>
            <w:rFonts w:cstheme="minorHAnsi"/>
            <w:bCs/>
          </w:rPr>
          <w:t>Freedom of Information Amendment Bill 2022</w:t>
        </w:r>
      </w:hyperlink>
      <w:r w:rsidRPr="00E46C75">
        <w:rPr>
          <w:rFonts w:cstheme="minorHAnsi"/>
          <w:bCs/>
        </w:rPr>
        <w:t xml:space="preserve"> and </w:t>
      </w:r>
      <w:hyperlink r:id="rId21" w:history="1">
        <w:r w:rsidRPr="00E46C75">
          <w:rPr>
            <w:rStyle w:val="Hyperlink"/>
            <w:rFonts w:cstheme="minorHAnsi"/>
            <w:bCs/>
          </w:rPr>
          <w:t>Freedom of Information Amendment Bill 2022 [No 2]</w:t>
        </w:r>
      </w:hyperlink>
      <w:r w:rsidRPr="00E46C75">
        <w:rPr>
          <w:rFonts w:cstheme="minorHAnsi"/>
          <w:bCs/>
        </w:rPr>
        <w:t xml:space="preserve"> were presented in the Assembly on 21 September 2022, and referred to the Standing Committee on Justice and Community Safety (the Committee). The Committee resolved to undertake an inquiry into the Bills.  </w:t>
      </w:r>
    </w:p>
    <w:p w14:paraId="2D09572C" w14:textId="77777777" w:rsidR="00804408" w:rsidRPr="00E46C75" w:rsidRDefault="00804408" w:rsidP="00804408">
      <w:pPr>
        <w:ind w:left="720"/>
        <w:rPr>
          <w:rFonts w:cstheme="minorHAnsi"/>
          <w:bCs/>
        </w:rPr>
      </w:pPr>
    </w:p>
    <w:p w14:paraId="5A620C5F" w14:textId="77777777" w:rsidR="00804408" w:rsidRPr="00A52B2B" w:rsidRDefault="00804408" w:rsidP="00804408">
      <w:pPr>
        <w:pStyle w:val="ListBullet"/>
        <w:numPr>
          <w:ilvl w:val="0"/>
          <w:numId w:val="0"/>
        </w:numPr>
      </w:pPr>
      <w:r w:rsidRPr="00A52B2B">
        <w:br w:type="page"/>
      </w:r>
    </w:p>
    <w:sdt>
      <w:sdtPr>
        <w:rPr>
          <w:rFonts w:asciiTheme="minorHAnsi" w:eastAsiaTheme="minorHAnsi" w:hAnsiTheme="minorHAnsi" w:cstheme="minorBidi"/>
          <w:b w:val="0"/>
          <w:color w:val="auto"/>
          <w:w w:val="100"/>
          <w:kern w:val="0"/>
          <w:sz w:val="22"/>
          <w:szCs w:val="22"/>
          <w:lang w:val="en-AU"/>
        </w:rPr>
        <w:id w:val="-1748188642"/>
        <w:docPartObj>
          <w:docPartGallery w:val="Table of Contents"/>
          <w:docPartUnique/>
        </w:docPartObj>
      </w:sdtPr>
      <w:sdtEndPr>
        <w:rPr>
          <w:bCs/>
          <w:noProof/>
        </w:rPr>
      </w:sdtEndPr>
      <w:sdtContent>
        <w:p w14:paraId="7E818D19" w14:textId="77777777" w:rsidR="00804408" w:rsidRDefault="00804408" w:rsidP="00804408">
          <w:pPr>
            <w:pStyle w:val="TOCHeading"/>
          </w:pPr>
          <w:r>
            <w:t>Contents</w:t>
          </w:r>
        </w:p>
        <w:p w14:paraId="09A8B0DF" w14:textId="6A6FA66F" w:rsidR="000E0869" w:rsidRDefault="00804408">
          <w:pPr>
            <w:pStyle w:val="TOC1"/>
            <w:rPr>
              <w:rFonts w:asciiTheme="minorHAnsi" w:eastAsiaTheme="minorEastAsia" w:hAnsiTheme="minorHAnsi"/>
              <w:b w:val="0"/>
              <w:bCs w:val="0"/>
              <w:color w:val="auto"/>
              <w:w w:val="100"/>
              <w:sz w:val="22"/>
              <w:lang w:eastAsia="en-AU"/>
            </w:rPr>
          </w:pPr>
          <w:r>
            <w:fldChar w:fldCharType="begin"/>
          </w:r>
          <w:r>
            <w:instrText xml:space="preserve"> TOC \o "1-3" \h \z \u </w:instrText>
          </w:r>
          <w:r>
            <w:fldChar w:fldCharType="separate"/>
          </w:r>
          <w:hyperlink w:anchor="_Toc122604835" w:history="1">
            <w:r w:rsidR="000E0869" w:rsidRPr="00FA2C24">
              <w:rPr>
                <w:rStyle w:val="Hyperlink"/>
              </w:rPr>
              <w:t>About the Committee</w:t>
            </w:r>
            <w:r w:rsidR="000E0869">
              <w:rPr>
                <w:webHidden/>
              </w:rPr>
              <w:tab/>
            </w:r>
            <w:r w:rsidR="000E0869">
              <w:rPr>
                <w:webHidden/>
              </w:rPr>
              <w:fldChar w:fldCharType="begin"/>
            </w:r>
            <w:r w:rsidR="000E0869">
              <w:rPr>
                <w:webHidden/>
              </w:rPr>
              <w:instrText xml:space="preserve"> PAGEREF _Toc122604835 \h </w:instrText>
            </w:r>
            <w:r w:rsidR="000E0869">
              <w:rPr>
                <w:webHidden/>
              </w:rPr>
            </w:r>
            <w:r w:rsidR="000E0869">
              <w:rPr>
                <w:webHidden/>
              </w:rPr>
              <w:fldChar w:fldCharType="separate"/>
            </w:r>
            <w:r w:rsidR="000E0869">
              <w:rPr>
                <w:webHidden/>
              </w:rPr>
              <w:t>i</w:t>
            </w:r>
            <w:r w:rsidR="000E0869">
              <w:rPr>
                <w:webHidden/>
              </w:rPr>
              <w:fldChar w:fldCharType="end"/>
            </w:r>
          </w:hyperlink>
        </w:p>
        <w:p w14:paraId="27961DA0" w14:textId="7221AFE6" w:rsidR="000E0869" w:rsidRDefault="004D7CE8">
          <w:pPr>
            <w:pStyle w:val="TOC2"/>
            <w:rPr>
              <w:rFonts w:eastAsiaTheme="minorEastAsia"/>
              <w:lang w:eastAsia="en-AU"/>
            </w:rPr>
          </w:pPr>
          <w:hyperlink w:anchor="_Toc122604836" w:history="1">
            <w:r w:rsidR="000E0869" w:rsidRPr="00FA2C24">
              <w:rPr>
                <w:rStyle w:val="Hyperlink"/>
              </w:rPr>
              <w:t>Establishing resolution</w:t>
            </w:r>
            <w:r w:rsidR="000E0869">
              <w:rPr>
                <w:webHidden/>
              </w:rPr>
              <w:tab/>
            </w:r>
            <w:r w:rsidR="000E0869">
              <w:rPr>
                <w:webHidden/>
              </w:rPr>
              <w:fldChar w:fldCharType="begin"/>
            </w:r>
            <w:r w:rsidR="000E0869">
              <w:rPr>
                <w:webHidden/>
              </w:rPr>
              <w:instrText xml:space="preserve"> PAGEREF _Toc122604836 \h </w:instrText>
            </w:r>
            <w:r w:rsidR="000E0869">
              <w:rPr>
                <w:webHidden/>
              </w:rPr>
            </w:r>
            <w:r w:rsidR="000E0869">
              <w:rPr>
                <w:webHidden/>
              </w:rPr>
              <w:fldChar w:fldCharType="separate"/>
            </w:r>
            <w:r w:rsidR="000E0869">
              <w:rPr>
                <w:webHidden/>
              </w:rPr>
              <w:t>i</w:t>
            </w:r>
            <w:r w:rsidR="000E0869">
              <w:rPr>
                <w:webHidden/>
              </w:rPr>
              <w:fldChar w:fldCharType="end"/>
            </w:r>
          </w:hyperlink>
        </w:p>
        <w:p w14:paraId="44FB48F5" w14:textId="4BA264A9" w:rsidR="000E0869" w:rsidRDefault="004D7CE8">
          <w:pPr>
            <w:pStyle w:val="TOC2"/>
            <w:rPr>
              <w:rFonts w:eastAsiaTheme="minorEastAsia"/>
              <w:lang w:eastAsia="en-AU"/>
            </w:rPr>
          </w:pPr>
          <w:hyperlink w:anchor="_Toc122604837" w:history="1">
            <w:r w:rsidR="000E0869" w:rsidRPr="00FA2C24">
              <w:rPr>
                <w:rStyle w:val="Hyperlink"/>
              </w:rPr>
              <w:t>Committee members</w:t>
            </w:r>
            <w:r w:rsidR="000E0869">
              <w:rPr>
                <w:webHidden/>
              </w:rPr>
              <w:tab/>
            </w:r>
            <w:r w:rsidR="000E0869">
              <w:rPr>
                <w:webHidden/>
              </w:rPr>
              <w:fldChar w:fldCharType="begin"/>
            </w:r>
            <w:r w:rsidR="000E0869">
              <w:rPr>
                <w:webHidden/>
              </w:rPr>
              <w:instrText xml:space="preserve"> PAGEREF _Toc122604837 \h </w:instrText>
            </w:r>
            <w:r w:rsidR="000E0869">
              <w:rPr>
                <w:webHidden/>
              </w:rPr>
            </w:r>
            <w:r w:rsidR="000E0869">
              <w:rPr>
                <w:webHidden/>
              </w:rPr>
              <w:fldChar w:fldCharType="separate"/>
            </w:r>
            <w:r w:rsidR="000E0869">
              <w:rPr>
                <w:webHidden/>
              </w:rPr>
              <w:t>i</w:t>
            </w:r>
            <w:r w:rsidR="000E0869">
              <w:rPr>
                <w:webHidden/>
              </w:rPr>
              <w:fldChar w:fldCharType="end"/>
            </w:r>
          </w:hyperlink>
        </w:p>
        <w:p w14:paraId="772AC3EE" w14:textId="1510A2EE" w:rsidR="000E0869" w:rsidRDefault="004D7CE8">
          <w:pPr>
            <w:pStyle w:val="TOC2"/>
            <w:rPr>
              <w:rFonts w:eastAsiaTheme="minorEastAsia"/>
              <w:lang w:eastAsia="en-AU"/>
            </w:rPr>
          </w:pPr>
          <w:hyperlink w:anchor="_Toc122604838" w:history="1">
            <w:r w:rsidR="000E0869" w:rsidRPr="00FA2C24">
              <w:rPr>
                <w:rStyle w:val="Hyperlink"/>
              </w:rPr>
              <w:t>Secretariat</w:t>
            </w:r>
            <w:r w:rsidR="000E0869">
              <w:rPr>
                <w:webHidden/>
              </w:rPr>
              <w:tab/>
            </w:r>
            <w:r w:rsidR="000E0869">
              <w:rPr>
                <w:webHidden/>
              </w:rPr>
              <w:fldChar w:fldCharType="begin"/>
            </w:r>
            <w:r w:rsidR="000E0869">
              <w:rPr>
                <w:webHidden/>
              </w:rPr>
              <w:instrText xml:space="preserve"> PAGEREF _Toc122604838 \h </w:instrText>
            </w:r>
            <w:r w:rsidR="000E0869">
              <w:rPr>
                <w:webHidden/>
              </w:rPr>
            </w:r>
            <w:r w:rsidR="000E0869">
              <w:rPr>
                <w:webHidden/>
              </w:rPr>
              <w:fldChar w:fldCharType="separate"/>
            </w:r>
            <w:r w:rsidR="000E0869">
              <w:rPr>
                <w:webHidden/>
              </w:rPr>
              <w:t>i</w:t>
            </w:r>
            <w:r w:rsidR="000E0869">
              <w:rPr>
                <w:webHidden/>
              </w:rPr>
              <w:fldChar w:fldCharType="end"/>
            </w:r>
          </w:hyperlink>
        </w:p>
        <w:p w14:paraId="3EAB7500" w14:textId="01420407" w:rsidR="000E0869" w:rsidRDefault="004D7CE8">
          <w:pPr>
            <w:pStyle w:val="TOC2"/>
            <w:rPr>
              <w:rFonts w:eastAsiaTheme="minorEastAsia"/>
              <w:lang w:eastAsia="en-AU"/>
            </w:rPr>
          </w:pPr>
          <w:hyperlink w:anchor="_Toc122604839" w:history="1">
            <w:r w:rsidR="000E0869" w:rsidRPr="00FA2C24">
              <w:rPr>
                <w:rStyle w:val="Hyperlink"/>
              </w:rPr>
              <w:t>Contact us</w:t>
            </w:r>
            <w:r w:rsidR="000E0869">
              <w:rPr>
                <w:webHidden/>
              </w:rPr>
              <w:tab/>
            </w:r>
            <w:r w:rsidR="000E0869">
              <w:rPr>
                <w:webHidden/>
              </w:rPr>
              <w:fldChar w:fldCharType="begin"/>
            </w:r>
            <w:r w:rsidR="000E0869">
              <w:rPr>
                <w:webHidden/>
              </w:rPr>
              <w:instrText xml:space="preserve"> PAGEREF _Toc122604839 \h </w:instrText>
            </w:r>
            <w:r w:rsidR="000E0869">
              <w:rPr>
                <w:webHidden/>
              </w:rPr>
            </w:r>
            <w:r w:rsidR="000E0869">
              <w:rPr>
                <w:webHidden/>
              </w:rPr>
              <w:fldChar w:fldCharType="separate"/>
            </w:r>
            <w:r w:rsidR="000E0869">
              <w:rPr>
                <w:webHidden/>
              </w:rPr>
              <w:t>i</w:t>
            </w:r>
            <w:r w:rsidR="000E0869">
              <w:rPr>
                <w:webHidden/>
              </w:rPr>
              <w:fldChar w:fldCharType="end"/>
            </w:r>
          </w:hyperlink>
        </w:p>
        <w:p w14:paraId="52B45E6F" w14:textId="5A1BAC9C" w:rsidR="000E0869" w:rsidRDefault="004D7CE8">
          <w:pPr>
            <w:pStyle w:val="TOC1"/>
            <w:rPr>
              <w:rFonts w:asciiTheme="minorHAnsi" w:eastAsiaTheme="minorEastAsia" w:hAnsiTheme="minorHAnsi"/>
              <w:b w:val="0"/>
              <w:bCs w:val="0"/>
              <w:color w:val="auto"/>
              <w:w w:val="100"/>
              <w:sz w:val="22"/>
              <w:lang w:eastAsia="en-AU"/>
            </w:rPr>
          </w:pPr>
          <w:hyperlink w:anchor="_Toc122604840" w:history="1">
            <w:r w:rsidR="000E0869" w:rsidRPr="00FA2C24">
              <w:rPr>
                <w:rStyle w:val="Hyperlink"/>
              </w:rPr>
              <w:t>About this inquiry</w:t>
            </w:r>
            <w:r w:rsidR="000E0869">
              <w:rPr>
                <w:webHidden/>
              </w:rPr>
              <w:tab/>
            </w:r>
            <w:r w:rsidR="000E0869">
              <w:rPr>
                <w:webHidden/>
              </w:rPr>
              <w:fldChar w:fldCharType="begin"/>
            </w:r>
            <w:r w:rsidR="000E0869">
              <w:rPr>
                <w:webHidden/>
              </w:rPr>
              <w:instrText xml:space="preserve"> PAGEREF _Toc122604840 \h </w:instrText>
            </w:r>
            <w:r w:rsidR="000E0869">
              <w:rPr>
                <w:webHidden/>
              </w:rPr>
            </w:r>
            <w:r w:rsidR="000E0869">
              <w:rPr>
                <w:webHidden/>
              </w:rPr>
              <w:fldChar w:fldCharType="separate"/>
            </w:r>
            <w:r w:rsidR="000E0869">
              <w:rPr>
                <w:webHidden/>
              </w:rPr>
              <w:t>ii</w:t>
            </w:r>
            <w:r w:rsidR="000E0869">
              <w:rPr>
                <w:webHidden/>
              </w:rPr>
              <w:fldChar w:fldCharType="end"/>
            </w:r>
          </w:hyperlink>
        </w:p>
        <w:p w14:paraId="6C97B591" w14:textId="4FE0ECB6" w:rsidR="000E0869" w:rsidRDefault="004D7CE8">
          <w:pPr>
            <w:pStyle w:val="TOC2"/>
            <w:rPr>
              <w:rFonts w:eastAsiaTheme="minorEastAsia"/>
              <w:lang w:eastAsia="en-AU"/>
            </w:rPr>
          </w:pPr>
          <w:hyperlink w:anchor="_Toc122604841" w:history="1">
            <w:r w:rsidR="000E0869" w:rsidRPr="00FA2C24">
              <w:rPr>
                <w:rStyle w:val="Hyperlink"/>
              </w:rPr>
              <w:t>Terms of Reference</w:t>
            </w:r>
            <w:r w:rsidR="000E0869">
              <w:rPr>
                <w:webHidden/>
              </w:rPr>
              <w:tab/>
            </w:r>
            <w:r w:rsidR="000E0869">
              <w:rPr>
                <w:webHidden/>
              </w:rPr>
              <w:fldChar w:fldCharType="begin"/>
            </w:r>
            <w:r w:rsidR="000E0869">
              <w:rPr>
                <w:webHidden/>
              </w:rPr>
              <w:instrText xml:space="preserve"> PAGEREF _Toc122604841 \h </w:instrText>
            </w:r>
            <w:r w:rsidR="000E0869">
              <w:rPr>
                <w:webHidden/>
              </w:rPr>
            </w:r>
            <w:r w:rsidR="000E0869">
              <w:rPr>
                <w:webHidden/>
              </w:rPr>
              <w:fldChar w:fldCharType="separate"/>
            </w:r>
            <w:r w:rsidR="000E0869">
              <w:rPr>
                <w:webHidden/>
              </w:rPr>
              <w:t>ii</w:t>
            </w:r>
            <w:r w:rsidR="000E0869">
              <w:rPr>
                <w:webHidden/>
              </w:rPr>
              <w:fldChar w:fldCharType="end"/>
            </w:r>
          </w:hyperlink>
        </w:p>
        <w:p w14:paraId="131D7570" w14:textId="575EC122" w:rsidR="000E0869" w:rsidRDefault="004D7CE8">
          <w:pPr>
            <w:pStyle w:val="TOC1"/>
            <w:rPr>
              <w:rFonts w:asciiTheme="minorHAnsi" w:eastAsiaTheme="minorEastAsia" w:hAnsiTheme="minorHAnsi"/>
              <w:b w:val="0"/>
              <w:bCs w:val="0"/>
              <w:color w:val="auto"/>
              <w:w w:val="100"/>
              <w:sz w:val="22"/>
              <w:lang w:eastAsia="en-AU"/>
            </w:rPr>
          </w:pPr>
          <w:hyperlink w:anchor="_Toc122604842" w:history="1">
            <w:r w:rsidR="000E0869" w:rsidRPr="00FA2C24">
              <w:rPr>
                <w:rStyle w:val="Hyperlink"/>
              </w:rPr>
              <w:t>Acronyms</w:t>
            </w:r>
            <w:r w:rsidR="000E0869">
              <w:rPr>
                <w:webHidden/>
              </w:rPr>
              <w:tab/>
            </w:r>
            <w:r w:rsidR="000E0869">
              <w:rPr>
                <w:webHidden/>
              </w:rPr>
              <w:fldChar w:fldCharType="begin"/>
            </w:r>
            <w:r w:rsidR="000E0869">
              <w:rPr>
                <w:webHidden/>
              </w:rPr>
              <w:instrText xml:space="preserve"> PAGEREF _Toc122604842 \h </w:instrText>
            </w:r>
            <w:r w:rsidR="000E0869">
              <w:rPr>
                <w:webHidden/>
              </w:rPr>
            </w:r>
            <w:r w:rsidR="000E0869">
              <w:rPr>
                <w:webHidden/>
              </w:rPr>
              <w:fldChar w:fldCharType="separate"/>
            </w:r>
            <w:r w:rsidR="000E0869">
              <w:rPr>
                <w:webHidden/>
              </w:rPr>
              <w:t>iv</w:t>
            </w:r>
            <w:r w:rsidR="000E0869">
              <w:rPr>
                <w:webHidden/>
              </w:rPr>
              <w:fldChar w:fldCharType="end"/>
            </w:r>
          </w:hyperlink>
        </w:p>
        <w:p w14:paraId="6C2F039B" w14:textId="72306973" w:rsidR="000E0869" w:rsidRDefault="004D7CE8">
          <w:pPr>
            <w:pStyle w:val="TOC1"/>
            <w:rPr>
              <w:rFonts w:asciiTheme="minorHAnsi" w:eastAsiaTheme="minorEastAsia" w:hAnsiTheme="minorHAnsi"/>
              <w:b w:val="0"/>
              <w:bCs w:val="0"/>
              <w:color w:val="auto"/>
              <w:w w:val="100"/>
              <w:sz w:val="22"/>
              <w:lang w:eastAsia="en-AU"/>
            </w:rPr>
          </w:pPr>
          <w:hyperlink w:anchor="_Toc122604843" w:history="1">
            <w:r w:rsidR="000E0869" w:rsidRPr="00FA2C24">
              <w:rPr>
                <w:rStyle w:val="Hyperlink"/>
              </w:rPr>
              <w:t>Recommendations</w:t>
            </w:r>
            <w:r w:rsidR="000E0869">
              <w:rPr>
                <w:webHidden/>
              </w:rPr>
              <w:tab/>
            </w:r>
            <w:r w:rsidR="000E0869">
              <w:rPr>
                <w:webHidden/>
              </w:rPr>
              <w:fldChar w:fldCharType="begin"/>
            </w:r>
            <w:r w:rsidR="000E0869">
              <w:rPr>
                <w:webHidden/>
              </w:rPr>
              <w:instrText xml:space="preserve"> PAGEREF _Toc122604843 \h </w:instrText>
            </w:r>
            <w:r w:rsidR="000E0869">
              <w:rPr>
                <w:webHidden/>
              </w:rPr>
            </w:r>
            <w:r w:rsidR="000E0869">
              <w:rPr>
                <w:webHidden/>
              </w:rPr>
              <w:fldChar w:fldCharType="separate"/>
            </w:r>
            <w:r w:rsidR="000E0869">
              <w:rPr>
                <w:webHidden/>
              </w:rPr>
              <w:t>v</w:t>
            </w:r>
            <w:r w:rsidR="000E0869">
              <w:rPr>
                <w:webHidden/>
              </w:rPr>
              <w:fldChar w:fldCharType="end"/>
            </w:r>
          </w:hyperlink>
        </w:p>
        <w:p w14:paraId="62AA3ACE" w14:textId="0BC89AE5" w:rsidR="000E0869" w:rsidRDefault="004D7CE8">
          <w:pPr>
            <w:pStyle w:val="TOC1"/>
            <w:rPr>
              <w:rFonts w:asciiTheme="minorHAnsi" w:eastAsiaTheme="minorEastAsia" w:hAnsiTheme="minorHAnsi"/>
              <w:b w:val="0"/>
              <w:bCs w:val="0"/>
              <w:color w:val="auto"/>
              <w:w w:val="100"/>
              <w:sz w:val="22"/>
              <w:lang w:eastAsia="en-AU"/>
            </w:rPr>
          </w:pPr>
          <w:hyperlink w:anchor="_Toc122604844" w:history="1">
            <w:r w:rsidR="000E0869" w:rsidRPr="00FA2C24">
              <w:rPr>
                <w:rStyle w:val="Hyperlink"/>
              </w:rPr>
              <w:t>1.</w:t>
            </w:r>
            <w:r w:rsidR="000E0869">
              <w:rPr>
                <w:rFonts w:asciiTheme="minorHAnsi" w:eastAsiaTheme="minorEastAsia" w:hAnsiTheme="minorHAnsi"/>
                <w:b w:val="0"/>
                <w:bCs w:val="0"/>
                <w:color w:val="auto"/>
                <w:w w:val="100"/>
                <w:sz w:val="22"/>
                <w:lang w:eastAsia="en-AU"/>
              </w:rPr>
              <w:tab/>
            </w:r>
            <w:r w:rsidR="000E0869" w:rsidRPr="00FA2C24">
              <w:rPr>
                <w:rStyle w:val="Hyperlink"/>
              </w:rPr>
              <w:t>Background to the Inquiry</w:t>
            </w:r>
            <w:r w:rsidR="000E0869">
              <w:rPr>
                <w:webHidden/>
              </w:rPr>
              <w:tab/>
            </w:r>
            <w:r w:rsidR="000E0869">
              <w:rPr>
                <w:webHidden/>
              </w:rPr>
              <w:fldChar w:fldCharType="begin"/>
            </w:r>
            <w:r w:rsidR="000E0869">
              <w:rPr>
                <w:webHidden/>
              </w:rPr>
              <w:instrText xml:space="preserve"> PAGEREF _Toc122604844 \h </w:instrText>
            </w:r>
            <w:r w:rsidR="000E0869">
              <w:rPr>
                <w:webHidden/>
              </w:rPr>
            </w:r>
            <w:r w:rsidR="000E0869">
              <w:rPr>
                <w:webHidden/>
              </w:rPr>
              <w:fldChar w:fldCharType="separate"/>
            </w:r>
            <w:r w:rsidR="000E0869">
              <w:rPr>
                <w:webHidden/>
              </w:rPr>
              <w:t>1</w:t>
            </w:r>
            <w:r w:rsidR="000E0869">
              <w:rPr>
                <w:webHidden/>
              </w:rPr>
              <w:fldChar w:fldCharType="end"/>
            </w:r>
          </w:hyperlink>
        </w:p>
        <w:p w14:paraId="379EE773" w14:textId="6693C356" w:rsidR="000E0869" w:rsidRDefault="004D7CE8">
          <w:pPr>
            <w:pStyle w:val="TOC2"/>
            <w:rPr>
              <w:rFonts w:eastAsiaTheme="minorEastAsia"/>
              <w:lang w:eastAsia="en-AU"/>
            </w:rPr>
          </w:pPr>
          <w:hyperlink w:anchor="_Toc122604845" w:history="1">
            <w:r w:rsidR="000E0869" w:rsidRPr="00FA2C24">
              <w:rPr>
                <w:rStyle w:val="Hyperlink"/>
              </w:rPr>
              <w:t>Conduct of the Inquiry</w:t>
            </w:r>
            <w:r w:rsidR="000E0869">
              <w:rPr>
                <w:webHidden/>
              </w:rPr>
              <w:tab/>
            </w:r>
            <w:r w:rsidR="000E0869">
              <w:rPr>
                <w:webHidden/>
              </w:rPr>
              <w:fldChar w:fldCharType="begin"/>
            </w:r>
            <w:r w:rsidR="000E0869">
              <w:rPr>
                <w:webHidden/>
              </w:rPr>
              <w:instrText xml:space="preserve"> PAGEREF _Toc122604845 \h </w:instrText>
            </w:r>
            <w:r w:rsidR="000E0869">
              <w:rPr>
                <w:webHidden/>
              </w:rPr>
            </w:r>
            <w:r w:rsidR="000E0869">
              <w:rPr>
                <w:webHidden/>
              </w:rPr>
              <w:fldChar w:fldCharType="separate"/>
            </w:r>
            <w:r w:rsidR="000E0869">
              <w:rPr>
                <w:webHidden/>
              </w:rPr>
              <w:t>1</w:t>
            </w:r>
            <w:r w:rsidR="000E0869">
              <w:rPr>
                <w:webHidden/>
              </w:rPr>
              <w:fldChar w:fldCharType="end"/>
            </w:r>
          </w:hyperlink>
        </w:p>
        <w:p w14:paraId="6621EEDB" w14:textId="0266322D" w:rsidR="000E0869" w:rsidRDefault="004D7CE8">
          <w:pPr>
            <w:pStyle w:val="TOC2"/>
            <w:rPr>
              <w:rFonts w:eastAsiaTheme="minorEastAsia"/>
              <w:lang w:eastAsia="en-AU"/>
            </w:rPr>
          </w:pPr>
          <w:hyperlink w:anchor="_Toc122604846" w:history="1">
            <w:r w:rsidR="000E0869" w:rsidRPr="00FA2C24">
              <w:rPr>
                <w:rStyle w:val="Hyperlink"/>
              </w:rPr>
              <w:t>Acknowledgements</w:t>
            </w:r>
            <w:r w:rsidR="000E0869">
              <w:rPr>
                <w:webHidden/>
              </w:rPr>
              <w:tab/>
            </w:r>
            <w:r w:rsidR="000E0869">
              <w:rPr>
                <w:webHidden/>
              </w:rPr>
              <w:fldChar w:fldCharType="begin"/>
            </w:r>
            <w:r w:rsidR="000E0869">
              <w:rPr>
                <w:webHidden/>
              </w:rPr>
              <w:instrText xml:space="preserve"> PAGEREF _Toc122604846 \h </w:instrText>
            </w:r>
            <w:r w:rsidR="000E0869">
              <w:rPr>
                <w:webHidden/>
              </w:rPr>
            </w:r>
            <w:r w:rsidR="000E0869">
              <w:rPr>
                <w:webHidden/>
              </w:rPr>
              <w:fldChar w:fldCharType="separate"/>
            </w:r>
            <w:r w:rsidR="000E0869">
              <w:rPr>
                <w:webHidden/>
              </w:rPr>
              <w:t>1</w:t>
            </w:r>
            <w:r w:rsidR="000E0869">
              <w:rPr>
                <w:webHidden/>
              </w:rPr>
              <w:fldChar w:fldCharType="end"/>
            </w:r>
          </w:hyperlink>
        </w:p>
        <w:p w14:paraId="3ED53DB9" w14:textId="0B7DA942" w:rsidR="000E0869" w:rsidRDefault="004D7CE8">
          <w:pPr>
            <w:pStyle w:val="TOC1"/>
            <w:rPr>
              <w:rFonts w:asciiTheme="minorHAnsi" w:eastAsiaTheme="minorEastAsia" w:hAnsiTheme="minorHAnsi"/>
              <w:b w:val="0"/>
              <w:bCs w:val="0"/>
              <w:color w:val="auto"/>
              <w:w w:val="100"/>
              <w:sz w:val="22"/>
              <w:lang w:eastAsia="en-AU"/>
            </w:rPr>
          </w:pPr>
          <w:hyperlink w:anchor="_Toc122604847" w:history="1">
            <w:r w:rsidR="000E0869" w:rsidRPr="00FA2C24">
              <w:rPr>
                <w:rStyle w:val="Hyperlink"/>
              </w:rPr>
              <w:t>2.</w:t>
            </w:r>
            <w:r w:rsidR="000E0869">
              <w:rPr>
                <w:rFonts w:asciiTheme="minorHAnsi" w:eastAsiaTheme="minorEastAsia" w:hAnsiTheme="minorHAnsi"/>
                <w:b w:val="0"/>
                <w:bCs w:val="0"/>
                <w:color w:val="auto"/>
                <w:w w:val="100"/>
                <w:sz w:val="22"/>
                <w:lang w:eastAsia="en-AU"/>
              </w:rPr>
              <w:tab/>
            </w:r>
            <w:r w:rsidR="000E0869" w:rsidRPr="00FA2C24">
              <w:rPr>
                <w:rStyle w:val="Hyperlink"/>
              </w:rPr>
              <w:t>Freedom of Information Amendment Bill 2022</w:t>
            </w:r>
            <w:r w:rsidR="000E0869">
              <w:rPr>
                <w:webHidden/>
              </w:rPr>
              <w:tab/>
            </w:r>
            <w:r w:rsidR="000E0869">
              <w:rPr>
                <w:webHidden/>
              </w:rPr>
              <w:fldChar w:fldCharType="begin"/>
            </w:r>
            <w:r w:rsidR="000E0869">
              <w:rPr>
                <w:webHidden/>
              </w:rPr>
              <w:instrText xml:space="preserve"> PAGEREF _Toc122604847 \h </w:instrText>
            </w:r>
            <w:r w:rsidR="000E0869">
              <w:rPr>
                <w:webHidden/>
              </w:rPr>
            </w:r>
            <w:r w:rsidR="000E0869">
              <w:rPr>
                <w:webHidden/>
              </w:rPr>
              <w:fldChar w:fldCharType="separate"/>
            </w:r>
            <w:r w:rsidR="000E0869">
              <w:rPr>
                <w:webHidden/>
              </w:rPr>
              <w:t>2</w:t>
            </w:r>
            <w:r w:rsidR="000E0869">
              <w:rPr>
                <w:webHidden/>
              </w:rPr>
              <w:fldChar w:fldCharType="end"/>
            </w:r>
          </w:hyperlink>
        </w:p>
        <w:p w14:paraId="15ADA6D8" w14:textId="6BBD24DD" w:rsidR="000E0869" w:rsidRDefault="004D7CE8">
          <w:pPr>
            <w:pStyle w:val="TOC2"/>
            <w:rPr>
              <w:rFonts w:eastAsiaTheme="minorEastAsia"/>
              <w:lang w:eastAsia="en-AU"/>
            </w:rPr>
          </w:pPr>
          <w:hyperlink w:anchor="_Toc122604848" w:history="1">
            <w:r w:rsidR="000E0869" w:rsidRPr="00FA2C24">
              <w:rPr>
                <w:rStyle w:val="Hyperlink"/>
              </w:rPr>
              <w:t>Background to the Bill</w:t>
            </w:r>
            <w:r w:rsidR="000E0869">
              <w:rPr>
                <w:webHidden/>
              </w:rPr>
              <w:tab/>
            </w:r>
            <w:r w:rsidR="000E0869">
              <w:rPr>
                <w:webHidden/>
              </w:rPr>
              <w:fldChar w:fldCharType="begin"/>
            </w:r>
            <w:r w:rsidR="000E0869">
              <w:rPr>
                <w:webHidden/>
              </w:rPr>
              <w:instrText xml:space="preserve"> PAGEREF _Toc122604848 \h </w:instrText>
            </w:r>
            <w:r w:rsidR="000E0869">
              <w:rPr>
                <w:webHidden/>
              </w:rPr>
            </w:r>
            <w:r w:rsidR="000E0869">
              <w:rPr>
                <w:webHidden/>
              </w:rPr>
              <w:fldChar w:fldCharType="separate"/>
            </w:r>
            <w:r w:rsidR="000E0869">
              <w:rPr>
                <w:webHidden/>
              </w:rPr>
              <w:t>2</w:t>
            </w:r>
            <w:r w:rsidR="000E0869">
              <w:rPr>
                <w:webHidden/>
              </w:rPr>
              <w:fldChar w:fldCharType="end"/>
            </w:r>
          </w:hyperlink>
        </w:p>
        <w:p w14:paraId="41E66EA1" w14:textId="49952149" w:rsidR="000E0869" w:rsidRDefault="004D7CE8">
          <w:pPr>
            <w:pStyle w:val="TOC2"/>
            <w:rPr>
              <w:rFonts w:eastAsiaTheme="minorEastAsia"/>
              <w:lang w:eastAsia="en-AU"/>
            </w:rPr>
          </w:pPr>
          <w:hyperlink w:anchor="_Toc122604849" w:history="1">
            <w:r w:rsidR="000E0869" w:rsidRPr="00FA2C24">
              <w:rPr>
                <w:rStyle w:val="Hyperlink"/>
              </w:rPr>
              <w:t>Proposed Amendments</w:t>
            </w:r>
            <w:r w:rsidR="000E0869">
              <w:rPr>
                <w:webHidden/>
              </w:rPr>
              <w:tab/>
            </w:r>
            <w:r w:rsidR="000E0869">
              <w:rPr>
                <w:webHidden/>
              </w:rPr>
              <w:fldChar w:fldCharType="begin"/>
            </w:r>
            <w:r w:rsidR="000E0869">
              <w:rPr>
                <w:webHidden/>
              </w:rPr>
              <w:instrText xml:space="preserve"> PAGEREF _Toc122604849 \h </w:instrText>
            </w:r>
            <w:r w:rsidR="000E0869">
              <w:rPr>
                <w:webHidden/>
              </w:rPr>
            </w:r>
            <w:r w:rsidR="000E0869">
              <w:rPr>
                <w:webHidden/>
              </w:rPr>
              <w:fldChar w:fldCharType="separate"/>
            </w:r>
            <w:r w:rsidR="000E0869">
              <w:rPr>
                <w:webHidden/>
              </w:rPr>
              <w:t>2</w:t>
            </w:r>
            <w:r w:rsidR="000E0869">
              <w:rPr>
                <w:webHidden/>
              </w:rPr>
              <w:fldChar w:fldCharType="end"/>
            </w:r>
          </w:hyperlink>
        </w:p>
        <w:p w14:paraId="402EFF3D" w14:textId="40D110C2" w:rsidR="000E0869" w:rsidRDefault="004D7CE8">
          <w:pPr>
            <w:pStyle w:val="TOC2"/>
            <w:rPr>
              <w:rFonts w:eastAsiaTheme="minorEastAsia"/>
              <w:lang w:eastAsia="en-AU"/>
            </w:rPr>
          </w:pPr>
          <w:hyperlink w:anchor="_Toc122604850" w:history="1">
            <w:r w:rsidR="000E0869" w:rsidRPr="00FA2C24">
              <w:rPr>
                <w:rStyle w:val="Hyperlink"/>
              </w:rPr>
              <w:t>Legislative Scrutiny</w:t>
            </w:r>
            <w:r w:rsidR="000E0869">
              <w:rPr>
                <w:webHidden/>
              </w:rPr>
              <w:tab/>
            </w:r>
            <w:r w:rsidR="000E0869">
              <w:rPr>
                <w:webHidden/>
              </w:rPr>
              <w:fldChar w:fldCharType="begin"/>
            </w:r>
            <w:r w:rsidR="000E0869">
              <w:rPr>
                <w:webHidden/>
              </w:rPr>
              <w:instrText xml:space="preserve"> PAGEREF _Toc122604850 \h </w:instrText>
            </w:r>
            <w:r w:rsidR="000E0869">
              <w:rPr>
                <w:webHidden/>
              </w:rPr>
            </w:r>
            <w:r w:rsidR="000E0869">
              <w:rPr>
                <w:webHidden/>
              </w:rPr>
              <w:fldChar w:fldCharType="separate"/>
            </w:r>
            <w:r w:rsidR="000E0869">
              <w:rPr>
                <w:webHidden/>
              </w:rPr>
              <w:t>3</w:t>
            </w:r>
            <w:r w:rsidR="000E0869">
              <w:rPr>
                <w:webHidden/>
              </w:rPr>
              <w:fldChar w:fldCharType="end"/>
            </w:r>
          </w:hyperlink>
        </w:p>
        <w:p w14:paraId="66029E73" w14:textId="2D558EA6" w:rsidR="000E0869" w:rsidRDefault="004D7CE8">
          <w:pPr>
            <w:pStyle w:val="TOC2"/>
            <w:rPr>
              <w:rFonts w:eastAsiaTheme="minorEastAsia"/>
              <w:lang w:eastAsia="en-AU"/>
            </w:rPr>
          </w:pPr>
          <w:hyperlink w:anchor="_Toc122604851" w:history="1">
            <w:r w:rsidR="000E0869" w:rsidRPr="00FA2C24">
              <w:rPr>
                <w:rStyle w:val="Hyperlink"/>
              </w:rPr>
              <w:t>Key issues considered by the Committee</w:t>
            </w:r>
            <w:r w:rsidR="000E0869">
              <w:rPr>
                <w:webHidden/>
              </w:rPr>
              <w:tab/>
            </w:r>
            <w:r w:rsidR="000E0869">
              <w:rPr>
                <w:webHidden/>
              </w:rPr>
              <w:fldChar w:fldCharType="begin"/>
            </w:r>
            <w:r w:rsidR="000E0869">
              <w:rPr>
                <w:webHidden/>
              </w:rPr>
              <w:instrText xml:space="preserve"> PAGEREF _Toc122604851 \h </w:instrText>
            </w:r>
            <w:r w:rsidR="000E0869">
              <w:rPr>
                <w:webHidden/>
              </w:rPr>
            </w:r>
            <w:r w:rsidR="000E0869">
              <w:rPr>
                <w:webHidden/>
              </w:rPr>
              <w:fldChar w:fldCharType="separate"/>
            </w:r>
            <w:r w:rsidR="000E0869">
              <w:rPr>
                <w:webHidden/>
              </w:rPr>
              <w:t>4</w:t>
            </w:r>
            <w:r w:rsidR="000E0869">
              <w:rPr>
                <w:webHidden/>
              </w:rPr>
              <w:fldChar w:fldCharType="end"/>
            </w:r>
          </w:hyperlink>
        </w:p>
        <w:p w14:paraId="0D859313" w14:textId="7A2DA7A2" w:rsidR="000E0869" w:rsidRDefault="004D7CE8">
          <w:pPr>
            <w:pStyle w:val="TOC1"/>
            <w:rPr>
              <w:rFonts w:asciiTheme="minorHAnsi" w:eastAsiaTheme="minorEastAsia" w:hAnsiTheme="minorHAnsi"/>
              <w:b w:val="0"/>
              <w:bCs w:val="0"/>
              <w:color w:val="auto"/>
              <w:w w:val="100"/>
              <w:sz w:val="22"/>
              <w:lang w:eastAsia="en-AU"/>
            </w:rPr>
          </w:pPr>
          <w:hyperlink w:anchor="_Toc122604852" w:history="1">
            <w:r w:rsidR="000E0869" w:rsidRPr="00FA2C24">
              <w:rPr>
                <w:rStyle w:val="Hyperlink"/>
              </w:rPr>
              <w:t>3.</w:t>
            </w:r>
            <w:r w:rsidR="000E0869">
              <w:rPr>
                <w:rFonts w:asciiTheme="minorHAnsi" w:eastAsiaTheme="minorEastAsia" w:hAnsiTheme="minorHAnsi"/>
                <w:b w:val="0"/>
                <w:bCs w:val="0"/>
                <w:color w:val="auto"/>
                <w:w w:val="100"/>
                <w:sz w:val="22"/>
                <w:lang w:eastAsia="en-AU"/>
              </w:rPr>
              <w:tab/>
            </w:r>
            <w:r w:rsidR="000E0869" w:rsidRPr="00FA2C24">
              <w:rPr>
                <w:rStyle w:val="Hyperlink"/>
              </w:rPr>
              <w:t>Freedom of Information Amendment Bill 2022 (No 2)</w:t>
            </w:r>
            <w:r w:rsidR="000E0869">
              <w:rPr>
                <w:webHidden/>
              </w:rPr>
              <w:tab/>
            </w:r>
            <w:r w:rsidR="000E0869">
              <w:rPr>
                <w:webHidden/>
              </w:rPr>
              <w:fldChar w:fldCharType="begin"/>
            </w:r>
            <w:r w:rsidR="000E0869">
              <w:rPr>
                <w:webHidden/>
              </w:rPr>
              <w:instrText xml:space="preserve"> PAGEREF _Toc122604852 \h </w:instrText>
            </w:r>
            <w:r w:rsidR="000E0869">
              <w:rPr>
                <w:webHidden/>
              </w:rPr>
            </w:r>
            <w:r w:rsidR="000E0869">
              <w:rPr>
                <w:webHidden/>
              </w:rPr>
              <w:fldChar w:fldCharType="separate"/>
            </w:r>
            <w:r w:rsidR="000E0869">
              <w:rPr>
                <w:webHidden/>
              </w:rPr>
              <w:t>10</w:t>
            </w:r>
            <w:r w:rsidR="000E0869">
              <w:rPr>
                <w:webHidden/>
              </w:rPr>
              <w:fldChar w:fldCharType="end"/>
            </w:r>
          </w:hyperlink>
        </w:p>
        <w:p w14:paraId="5867E597" w14:textId="29DD12EE" w:rsidR="000E0869" w:rsidRDefault="004D7CE8">
          <w:pPr>
            <w:pStyle w:val="TOC2"/>
            <w:rPr>
              <w:rFonts w:eastAsiaTheme="minorEastAsia"/>
              <w:lang w:eastAsia="en-AU"/>
            </w:rPr>
          </w:pPr>
          <w:hyperlink w:anchor="_Toc122604853" w:history="1">
            <w:r w:rsidR="000E0869" w:rsidRPr="00FA2C24">
              <w:rPr>
                <w:rStyle w:val="Hyperlink"/>
              </w:rPr>
              <w:t>Background to the Bill</w:t>
            </w:r>
            <w:r w:rsidR="000E0869">
              <w:rPr>
                <w:webHidden/>
              </w:rPr>
              <w:tab/>
            </w:r>
            <w:r w:rsidR="000E0869">
              <w:rPr>
                <w:webHidden/>
              </w:rPr>
              <w:fldChar w:fldCharType="begin"/>
            </w:r>
            <w:r w:rsidR="000E0869">
              <w:rPr>
                <w:webHidden/>
              </w:rPr>
              <w:instrText xml:space="preserve"> PAGEREF _Toc122604853 \h </w:instrText>
            </w:r>
            <w:r w:rsidR="000E0869">
              <w:rPr>
                <w:webHidden/>
              </w:rPr>
            </w:r>
            <w:r w:rsidR="000E0869">
              <w:rPr>
                <w:webHidden/>
              </w:rPr>
              <w:fldChar w:fldCharType="separate"/>
            </w:r>
            <w:r w:rsidR="000E0869">
              <w:rPr>
                <w:webHidden/>
              </w:rPr>
              <w:t>10</w:t>
            </w:r>
            <w:r w:rsidR="000E0869">
              <w:rPr>
                <w:webHidden/>
              </w:rPr>
              <w:fldChar w:fldCharType="end"/>
            </w:r>
          </w:hyperlink>
        </w:p>
        <w:p w14:paraId="24DFB9B5" w14:textId="1A6B67BD" w:rsidR="000E0869" w:rsidRDefault="004D7CE8">
          <w:pPr>
            <w:pStyle w:val="TOC2"/>
            <w:rPr>
              <w:rFonts w:eastAsiaTheme="minorEastAsia"/>
              <w:lang w:eastAsia="en-AU"/>
            </w:rPr>
          </w:pPr>
          <w:hyperlink w:anchor="_Toc122604854" w:history="1">
            <w:r w:rsidR="000E0869" w:rsidRPr="00FA2C24">
              <w:rPr>
                <w:rStyle w:val="Hyperlink"/>
              </w:rPr>
              <w:t>Proposed Amendments</w:t>
            </w:r>
            <w:r w:rsidR="000E0869">
              <w:rPr>
                <w:webHidden/>
              </w:rPr>
              <w:tab/>
            </w:r>
            <w:r w:rsidR="000E0869">
              <w:rPr>
                <w:webHidden/>
              </w:rPr>
              <w:fldChar w:fldCharType="begin"/>
            </w:r>
            <w:r w:rsidR="000E0869">
              <w:rPr>
                <w:webHidden/>
              </w:rPr>
              <w:instrText xml:space="preserve"> PAGEREF _Toc122604854 \h </w:instrText>
            </w:r>
            <w:r w:rsidR="000E0869">
              <w:rPr>
                <w:webHidden/>
              </w:rPr>
            </w:r>
            <w:r w:rsidR="000E0869">
              <w:rPr>
                <w:webHidden/>
              </w:rPr>
              <w:fldChar w:fldCharType="separate"/>
            </w:r>
            <w:r w:rsidR="000E0869">
              <w:rPr>
                <w:webHidden/>
              </w:rPr>
              <w:t>10</w:t>
            </w:r>
            <w:r w:rsidR="000E0869">
              <w:rPr>
                <w:webHidden/>
              </w:rPr>
              <w:fldChar w:fldCharType="end"/>
            </w:r>
          </w:hyperlink>
        </w:p>
        <w:p w14:paraId="35E42527" w14:textId="72FAC6E0" w:rsidR="000E0869" w:rsidRDefault="004D7CE8">
          <w:pPr>
            <w:pStyle w:val="TOC2"/>
            <w:rPr>
              <w:rFonts w:eastAsiaTheme="minorEastAsia"/>
              <w:lang w:eastAsia="en-AU"/>
            </w:rPr>
          </w:pPr>
          <w:hyperlink w:anchor="_Toc122604855" w:history="1">
            <w:r w:rsidR="000E0869" w:rsidRPr="00FA2C24">
              <w:rPr>
                <w:rStyle w:val="Hyperlink"/>
              </w:rPr>
              <w:t>Legislative Scrutiny</w:t>
            </w:r>
            <w:r w:rsidR="000E0869">
              <w:rPr>
                <w:webHidden/>
              </w:rPr>
              <w:tab/>
            </w:r>
            <w:r w:rsidR="000E0869">
              <w:rPr>
                <w:webHidden/>
              </w:rPr>
              <w:fldChar w:fldCharType="begin"/>
            </w:r>
            <w:r w:rsidR="000E0869">
              <w:rPr>
                <w:webHidden/>
              </w:rPr>
              <w:instrText xml:space="preserve"> PAGEREF _Toc122604855 \h </w:instrText>
            </w:r>
            <w:r w:rsidR="000E0869">
              <w:rPr>
                <w:webHidden/>
              </w:rPr>
            </w:r>
            <w:r w:rsidR="000E0869">
              <w:rPr>
                <w:webHidden/>
              </w:rPr>
              <w:fldChar w:fldCharType="separate"/>
            </w:r>
            <w:r w:rsidR="000E0869">
              <w:rPr>
                <w:webHidden/>
              </w:rPr>
              <w:t>11</w:t>
            </w:r>
            <w:r w:rsidR="000E0869">
              <w:rPr>
                <w:webHidden/>
              </w:rPr>
              <w:fldChar w:fldCharType="end"/>
            </w:r>
          </w:hyperlink>
        </w:p>
        <w:p w14:paraId="0C721F30" w14:textId="05EE5071" w:rsidR="000E0869" w:rsidRDefault="004D7CE8">
          <w:pPr>
            <w:pStyle w:val="TOC2"/>
            <w:rPr>
              <w:rFonts w:eastAsiaTheme="minorEastAsia"/>
              <w:lang w:eastAsia="en-AU"/>
            </w:rPr>
          </w:pPr>
          <w:hyperlink w:anchor="_Toc122604856" w:history="1">
            <w:r w:rsidR="000E0869" w:rsidRPr="00FA2C24">
              <w:rPr>
                <w:rStyle w:val="Hyperlink"/>
              </w:rPr>
              <w:t>Concerns with the Bill</w:t>
            </w:r>
            <w:r w:rsidR="000E0869">
              <w:rPr>
                <w:webHidden/>
              </w:rPr>
              <w:tab/>
            </w:r>
            <w:r w:rsidR="000E0869">
              <w:rPr>
                <w:webHidden/>
              </w:rPr>
              <w:fldChar w:fldCharType="begin"/>
            </w:r>
            <w:r w:rsidR="000E0869">
              <w:rPr>
                <w:webHidden/>
              </w:rPr>
              <w:instrText xml:space="preserve"> PAGEREF _Toc122604856 \h </w:instrText>
            </w:r>
            <w:r w:rsidR="000E0869">
              <w:rPr>
                <w:webHidden/>
              </w:rPr>
            </w:r>
            <w:r w:rsidR="000E0869">
              <w:rPr>
                <w:webHidden/>
              </w:rPr>
              <w:fldChar w:fldCharType="separate"/>
            </w:r>
            <w:r w:rsidR="000E0869">
              <w:rPr>
                <w:webHidden/>
              </w:rPr>
              <w:t>12</w:t>
            </w:r>
            <w:r w:rsidR="000E0869">
              <w:rPr>
                <w:webHidden/>
              </w:rPr>
              <w:fldChar w:fldCharType="end"/>
            </w:r>
          </w:hyperlink>
        </w:p>
        <w:p w14:paraId="11233BFF" w14:textId="1A714ABC" w:rsidR="000E0869" w:rsidRDefault="004D7CE8">
          <w:pPr>
            <w:pStyle w:val="TOC2"/>
            <w:rPr>
              <w:rFonts w:eastAsiaTheme="minorEastAsia"/>
              <w:lang w:eastAsia="en-AU"/>
            </w:rPr>
          </w:pPr>
          <w:hyperlink w:anchor="_Toc122604857" w:history="1">
            <w:r w:rsidR="000E0869" w:rsidRPr="00FA2C24">
              <w:rPr>
                <w:rStyle w:val="Hyperlink"/>
              </w:rPr>
              <w:t>Conclusions</w:t>
            </w:r>
            <w:r w:rsidR="000E0869">
              <w:rPr>
                <w:webHidden/>
              </w:rPr>
              <w:tab/>
            </w:r>
            <w:r w:rsidR="000E0869">
              <w:rPr>
                <w:webHidden/>
              </w:rPr>
              <w:fldChar w:fldCharType="begin"/>
            </w:r>
            <w:r w:rsidR="000E0869">
              <w:rPr>
                <w:webHidden/>
              </w:rPr>
              <w:instrText xml:space="preserve"> PAGEREF _Toc122604857 \h </w:instrText>
            </w:r>
            <w:r w:rsidR="000E0869">
              <w:rPr>
                <w:webHidden/>
              </w:rPr>
            </w:r>
            <w:r w:rsidR="000E0869">
              <w:rPr>
                <w:webHidden/>
              </w:rPr>
              <w:fldChar w:fldCharType="separate"/>
            </w:r>
            <w:r w:rsidR="000E0869">
              <w:rPr>
                <w:webHidden/>
              </w:rPr>
              <w:t>14</w:t>
            </w:r>
            <w:r w:rsidR="000E0869">
              <w:rPr>
                <w:webHidden/>
              </w:rPr>
              <w:fldChar w:fldCharType="end"/>
            </w:r>
          </w:hyperlink>
        </w:p>
        <w:p w14:paraId="0FC16B06" w14:textId="47EEF001" w:rsidR="000E0869" w:rsidRDefault="004D7CE8">
          <w:pPr>
            <w:pStyle w:val="TOC1"/>
            <w:rPr>
              <w:rFonts w:asciiTheme="minorHAnsi" w:eastAsiaTheme="minorEastAsia" w:hAnsiTheme="minorHAnsi"/>
              <w:b w:val="0"/>
              <w:bCs w:val="0"/>
              <w:color w:val="auto"/>
              <w:w w:val="100"/>
              <w:sz w:val="22"/>
              <w:lang w:eastAsia="en-AU"/>
            </w:rPr>
          </w:pPr>
          <w:hyperlink w:anchor="_Toc122604858" w:history="1">
            <w:r w:rsidR="000E0869" w:rsidRPr="00FA2C24">
              <w:rPr>
                <w:rStyle w:val="Hyperlink"/>
              </w:rPr>
              <w:t>Appendix A: Submissions</w:t>
            </w:r>
            <w:r w:rsidR="000E0869">
              <w:rPr>
                <w:webHidden/>
              </w:rPr>
              <w:tab/>
            </w:r>
            <w:r w:rsidR="000E0869">
              <w:rPr>
                <w:webHidden/>
              </w:rPr>
              <w:fldChar w:fldCharType="begin"/>
            </w:r>
            <w:r w:rsidR="000E0869">
              <w:rPr>
                <w:webHidden/>
              </w:rPr>
              <w:instrText xml:space="preserve"> PAGEREF _Toc122604858 \h </w:instrText>
            </w:r>
            <w:r w:rsidR="000E0869">
              <w:rPr>
                <w:webHidden/>
              </w:rPr>
            </w:r>
            <w:r w:rsidR="000E0869">
              <w:rPr>
                <w:webHidden/>
              </w:rPr>
              <w:fldChar w:fldCharType="separate"/>
            </w:r>
            <w:r w:rsidR="000E0869">
              <w:rPr>
                <w:webHidden/>
              </w:rPr>
              <w:t>15</w:t>
            </w:r>
            <w:r w:rsidR="000E0869">
              <w:rPr>
                <w:webHidden/>
              </w:rPr>
              <w:fldChar w:fldCharType="end"/>
            </w:r>
          </w:hyperlink>
        </w:p>
        <w:p w14:paraId="0A33804D" w14:textId="2189C9C0" w:rsidR="000E0869" w:rsidRDefault="004D7CE8">
          <w:pPr>
            <w:pStyle w:val="TOC1"/>
            <w:rPr>
              <w:rFonts w:asciiTheme="minorHAnsi" w:eastAsiaTheme="minorEastAsia" w:hAnsiTheme="minorHAnsi"/>
              <w:b w:val="0"/>
              <w:bCs w:val="0"/>
              <w:color w:val="auto"/>
              <w:w w:val="100"/>
              <w:sz w:val="22"/>
              <w:lang w:eastAsia="en-AU"/>
            </w:rPr>
          </w:pPr>
          <w:hyperlink w:anchor="_Toc122604859" w:history="1">
            <w:r w:rsidR="000E0869" w:rsidRPr="00FA2C24">
              <w:rPr>
                <w:rStyle w:val="Hyperlink"/>
              </w:rPr>
              <w:t>Appendix B: Redacted Cabinet documents from New Zealand Parliament</w:t>
            </w:r>
            <w:r w:rsidR="000E0869">
              <w:rPr>
                <w:webHidden/>
              </w:rPr>
              <w:tab/>
            </w:r>
            <w:r w:rsidR="000E0869">
              <w:rPr>
                <w:webHidden/>
              </w:rPr>
              <w:fldChar w:fldCharType="begin"/>
            </w:r>
            <w:r w:rsidR="000E0869">
              <w:rPr>
                <w:webHidden/>
              </w:rPr>
              <w:instrText xml:space="preserve"> PAGEREF _Toc122604859 \h </w:instrText>
            </w:r>
            <w:r w:rsidR="000E0869">
              <w:rPr>
                <w:webHidden/>
              </w:rPr>
            </w:r>
            <w:r w:rsidR="000E0869">
              <w:rPr>
                <w:webHidden/>
              </w:rPr>
              <w:fldChar w:fldCharType="separate"/>
            </w:r>
            <w:r w:rsidR="000E0869">
              <w:rPr>
                <w:webHidden/>
              </w:rPr>
              <w:t>16</w:t>
            </w:r>
            <w:r w:rsidR="000E0869">
              <w:rPr>
                <w:webHidden/>
              </w:rPr>
              <w:fldChar w:fldCharType="end"/>
            </w:r>
          </w:hyperlink>
        </w:p>
        <w:p w14:paraId="74CDC982" w14:textId="07D66A7F" w:rsidR="000E0869" w:rsidRDefault="004D7CE8">
          <w:pPr>
            <w:pStyle w:val="TOC1"/>
            <w:rPr>
              <w:rFonts w:asciiTheme="minorHAnsi" w:eastAsiaTheme="minorEastAsia" w:hAnsiTheme="minorHAnsi"/>
              <w:b w:val="0"/>
              <w:bCs w:val="0"/>
              <w:color w:val="auto"/>
              <w:w w:val="100"/>
              <w:sz w:val="22"/>
              <w:lang w:eastAsia="en-AU"/>
            </w:rPr>
          </w:pPr>
          <w:hyperlink w:anchor="_Toc122604860" w:history="1">
            <w:r w:rsidR="000E0869" w:rsidRPr="00FA2C24">
              <w:rPr>
                <w:rStyle w:val="Hyperlink"/>
              </w:rPr>
              <w:t>Appendix C: Example of Cabinet decision summary for the week of 26 September 2022</w:t>
            </w:r>
            <w:r w:rsidR="000E0869">
              <w:rPr>
                <w:webHidden/>
              </w:rPr>
              <w:tab/>
            </w:r>
            <w:r w:rsidR="000E0869">
              <w:rPr>
                <w:webHidden/>
              </w:rPr>
              <w:fldChar w:fldCharType="begin"/>
            </w:r>
            <w:r w:rsidR="000E0869">
              <w:rPr>
                <w:webHidden/>
              </w:rPr>
              <w:instrText xml:space="preserve"> PAGEREF _Toc122604860 \h </w:instrText>
            </w:r>
            <w:r w:rsidR="000E0869">
              <w:rPr>
                <w:webHidden/>
              </w:rPr>
            </w:r>
            <w:r w:rsidR="000E0869">
              <w:rPr>
                <w:webHidden/>
              </w:rPr>
              <w:fldChar w:fldCharType="separate"/>
            </w:r>
            <w:r w:rsidR="000E0869">
              <w:rPr>
                <w:webHidden/>
              </w:rPr>
              <w:t>17</w:t>
            </w:r>
            <w:r w:rsidR="000E0869">
              <w:rPr>
                <w:webHidden/>
              </w:rPr>
              <w:fldChar w:fldCharType="end"/>
            </w:r>
          </w:hyperlink>
        </w:p>
        <w:p w14:paraId="36931E87" w14:textId="15B881A1" w:rsidR="00804408" w:rsidRDefault="00804408" w:rsidP="00804408">
          <w:r>
            <w:rPr>
              <w:b/>
              <w:bCs/>
              <w:noProof/>
            </w:rPr>
            <w:fldChar w:fldCharType="end"/>
          </w:r>
        </w:p>
      </w:sdtContent>
    </w:sdt>
    <w:p w14:paraId="4506F8E5" w14:textId="77777777" w:rsidR="00804408" w:rsidRDefault="00804408" w:rsidP="00804408">
      <w:pPr>
        <w:spacing w:line="259" w:lineRule="auto"/>
        <w:rPr>
          <w:rFonts w:ascii="Montserrat" w:eastAsiaTheme="majorEastAsia" w:hAnsi="Montserrat" w:cstheme="majorBidi"/>
          <w:b/>
          <w:color w:val="1A234C"/>
          <w:w w:val="90"/>
          <w:kern w:val="2"/>
          <w:sz w:val="36"/>
          <w:szCs w:val="32"/>
        </w:rPr>
      </w:pPr>
      <w:bookmarkStart w:id="7" w:name="_Toc79133347"/>
      <w:bookmarkStart w:id="8" w:name="_Hlk79475490"/>
      <w:r>
        <w:br w:type="page"/>
      </w:r>
    </w:p>
    <w:p w14:paraId="3787553D" w14:textId="77777777" w:rsidR="00804408" w:rsidRDefault="00804408" w:rsidP="000E0869">
      <w:pPr>
        <w:pStyle w:val="Heading1nonumber"/>
      </w:pPr>
      <w:bookmarkStart w:id="9" w:name="_Toc122604842"/>
      <w:r>
        <w:lastRenderedPageBreak/>
        <w:t>Acronyms</w:t>
      </w:r>
      <w:bookmarkEnd w:id="9"/>
    </w:p>
    <w:tbl>
      <w:tblPr>
        <w:tblStyle w:val="Assemblystyletable"/>
        <w:tblW w:w="0" w:type="auto"/>
        <w:tblLook w:val="04A0" w:firstRow="1" w:lastRow="0" w:firstColumn="1" w:lastColumn="0" w:noHBand="0" w:noVBand="1"/>
      </w:tblPr>
      <w:tblGrid>
        <w:gridCol w:w="1843"/>
        <w:gridCol w:w="7183"/>
      </w:tblGrid>
      <w:tr w:rsidR="00804408" w14:paraId="5937EC07" w14:textId="77777777" w:rsidTr="0041234E">
        <w:trPr>
          <w:cnfStyle w:val="100000000000" w:firstRow="1" w:lastRow="0" w:firstColumn="0" w:lastColumn="0" w:oddVBand="0" w:evenVBand="0" w:oddHBand="0" w:evenHBand="0" w:firstRowFirstColumn="0" w:firstRowLastColumn="0" w:lastRowFirstColumn="0" w:lastRowLastColumn="0"/>
        </w:trPr>
        <w:tc>
          <w:tcPr>
            <w:tcW w:w="1843" w:type="dxa"/>
          </w:tcPr>
          <w:p w14:paraId="5DDDDC27" w14:textId="77777777" w:rsidR="00804408" w:rsidRDefault="00804408" w:rsidP="0041234E">
            <w:pPr>
              <w:pStyle w:val="Tableheading"/>
            </w:pPr>
            <w:r>
              <w:t>Acronym</w:t>
            </w:r>
          </w:p>
        </w:tc>
        <w:tc>
          <w:tcPr>
            <w:tcW w:w="7183" w:type="dxa"/>
          </w:tcPr>
          <w:p w14:paraId="23539997" w14:textId="77777777" w:rsidR="00804408" w:rsidRDefault="00804408" w:rsidP="0041234E">
            <w:pPr>
              <w:pStyle w:val="Tableheading"/>
            </w:pPr>
            <w:r>
              <w:t>Long form</w:t>
            </w:r>
          </w:p>
        </w:tc>
      </w:tr>
      <w:tr w:rsidR="00804408" w14:paraId="06597990" w14:textId="77777777" w:rsidTr="0041234E">
        <w:trPr>
          <w:cnfStyle w:val="000000100000" w:firstRow="0" w:lastRow="0" w:firstColumn="0" w:lastColumn="0" w:oddVBand="0" w:evenVBand="0" w:oddHBand="1" w:evenHBand="0" w:firstRowFirstColumn="0" w:firstRowLastColumn="0" w:lastRowFirstColumn="0" w:lastRowLastColumn="0"/>
        </w:trPr>
        <w:tc>
          <w:tcPr>
            <w:tcW w:w="1843" w:type="dxa"/>
          </w:tcPr>
          <w:p w14:paraId="5166AEE5" w14:textId="77777777" w:rsidR="00804408" w:rsidRDefault="00804408" w:rsidP="0041234E">
            <w:pPr>
              <w:pStyle w:val="Tablebody"/>
            </w:pPr>
            <w:r>
              <w:t>ACT</w:t>
            </w:r>
          </w:p>
        </w:tc>
        <w:tc>
          <w:tcPr>
            <w:tcW w:w="7183" w:type="dxa"/>
          </w:tcPr>
          <w:p w14:paraId="6B5065AC" w14:textId="77777777" w:rsidR="00804408" w:rsidRDefault="00804408" w:rsidP="0041234E">
            <w:pPr>
              <w:pStyle w:val="Tablebody"/>
            </w:pPr>
            <w:r>
              <w:t>Australian Capital Territory</w:t>
            </w:r>
          </w:p>
        </w:tc>
      </w:tr>
      <w:tr w:rsidR="00804408" w14:paraId="13F1E71C" w14:textId="77777777" w:rsidTr="0041234E">
        <w:trPr>
          <w:cnfStyle w:val="000000010000" w:firstRow="0" w:lastRow="0" w:firstColumn="0" w:lastColumn="0" w:oddVBand="0" w:evenVBand="0" w:oddHBand="0" w:evenHBand="1" w:firstRowFirstColumn="0" w:firstRowLastColumn="0" w:lastRowFirstColumn="0" w:lastRowLastColumn="0"/>
        </w:trPr>
        <w:tc>
          <w:tcPr>
            <w:tcW w:w="1843" w:type="dxa"/>
          </w:tcPr>
          <w:p w14:paraId="31994961" w14:textId="77777777" w:rsidR="00804408" w:rsidRDefault="00804408" w:rsidP="0041234E">
            <w:pPr>
              <w:pStyle w:val="Tablebody"/>
            </w:pPr>
            <w:r>
              <w:t>FOI</w:t>
            </w:r>
          </w:p>
        </w:tc>
        <w:tc>
          <w:tcPr>
            <w:tcW w:w="7183" w:type="dxa"/>
          </w:tcPr>
          <w:p w14:paraId="60A0CD54" w14:textId="77777777" w:rsidR="00804408" w:rsidRDefault="00804408" w:rsidP="0041234E">
            <w:pPr>
              <w:pStyle w:val="Tablebody"/>
            </w:pPr>
            <w:r>
              <w:t>Freedom of Information</w:t>
            </w:r>
          </w:p>
        </w:tc>
      </w:tr>
      <w:tr w:rsidR="00804408" w14:paraId="6F457C4B" w14:textId="77777777" w:rsidTr="0041234E">
        <w:trPr>
          <w:cnfStyle w:val="000000100000" w:firstRow="0" w:lastRow="0" w:firstColumn="0" w:lastColumn="0" w:oddVBand="0" w:evenVBand="0" w:oddHBand="1" w:evenHBand="0" w:firstRowFirstColumn="0" w:firstRowLastColumn="0" w:lastRowFirstColumn="0" w:lastRowLastColumn="0"/>
        </w:trPr>
        <w:tc>
          <w:tcPr>
            <w:tcW w:w="1843" w:type="dxa"/>
          </w:tcPr>
          <w:p w14:paraId="423BDD9C" w14:textId="77777777" w:rsidR="00804408" w:rsidRDefault="00804408" w:rsidP="0041234E">
            <w:pPr>
              <w:pStyle w:val="Tablebody"/>
            </w:pPr>
            <w:r>
              <w:t>NZ</w:t>
            </w:r>
          </w:p>
        </w:tc>
        <w:tc>
          <w:tcPr>
            <w:tcW w:w="7183" w:type="dxa"/>
          </w:tcPr>
          <w:p w14:paraId="0DB18B9B" w14:textId="77777777" w:rsidR="00804408" w:rsidRDefault="00804408" w:rsidP="0041234E">
            <w:pPr>
              <w:pStyle w:val="Tablebody"/>
            </w:pPr>
            <w:r>
              <w:t xml:space="preserve">New Zealand </w:t>
            </w:r>
          </w:p>
        </w:tc>
      </w:tr>
      <w:tr w:rsidR="00804408" w:rsidDel="00213FE9" w14:paraId="7FE81D5E" w14:textId="77777777" w:rsidTr="0041234E">
        <w:trPr>
          <w:cnfStyle w:val="000000010000" w:firstRow="0" w:lastRow="0" w:firstColumn="0" w:lastColumn="0" w:oddVBand="0" w:evenVBand="0" w:oddHBand="0" w:evenHBand="1" w:firstRowFirstColumn="0" w:firstRowLastColumn="0" w:lastRowFirstColumn="0" w:lastRowLastColumn="0"/>
        </w:trPr>
        <w:tc>
          <w:tcPr>
            <w:tcW w:w="1843" w:type="dxa"/>
          </w:tcPr>
          <w:p w14:paraId="57BE31EB" w14:textId="77777777" w:rsidR="00804408" w:rsidDel="00213FE9" w:rsidRDefault="00804408" w:rsidP="0041234E">
            <w:pPr>
              <w:pStyle w:val="Tablebody"/>
            </w:pPr>
            <w:r>
              <w:t>QLD</w:t>
            </w:r>
          </w:p>
        </w:tc>
        <w:tc>
          <w:tcPr>
            <w:tcW w:w="7183" w:type="dxa"/>
          </w:tcPr>
          <w:p w14:paraId="368DFB22" w14:textId="77777777" w:rsidR="00804408" w:rsidDel="00213FE9" w:rsidRDefault="00804408" w:rsidP="0041234E">
            <w:pPr>
              <w:pStyle w:val="Tablebody"/>
            </w:pPr>
            <w:r>
              <w:t>Queensland</w:t>
            </w:r>
          </w:p>
        </w:tc>
      </w:tr>
      <w:tr w:rsidR="00804408" w14:paraId="2ED60F17" w14:textId="77777777" w:rsidTr="0041234E">
        <w:trPr>
          <w:cnfStyle w:val="000000100000" w:firstRow="0" w:lastRow="0" w:firstColumn="0" w:lastColumn="0" w:oddVBand="0" w:evenVBand="0" w:oddHBand="1" w:evenHBand="0" w:firstRowFirstColumn="0" w:firstRowLastColumn="0" w:lastRowFirstColumn="0" w:lastRowLastColumn="0"/>
        </w:trPr>
        <w:tc>
          <w:tcPr>
            <w:tcW w:w="1843" w:type="dxa"/>
          </w:tcPr>
          <w:p w14:paraId="06BB8D12" w14:textId="77777777" w:rsidR="00804408" w:rsidRDefault="00804408" w:rsidP="0041234E">
            <w:pPr>
              <w:pStyle w:val="Tablebody"/>
            </w:pPr>
            <w:r>
              <w:t>HRA</w:t>
            </w:r>
          </w:p>
        </w:tc>
        <w:tc>
          <w:tcPr>
            <w:tcW w:w="7183" w:type="dxa"/>
          </w:tcPr>
          <w:p w14:paraId="641FB0FF" w14:textId="77777777" w:rsidR="00804408" w:rsidRDefault="00804408" w:rsidP="0041234E">
            <w:pPr>
              <w:pStyle w:val="Tablebody"/>
            </w:pPr>
            <w:r>
              <w:t>Human Rights Act</w:t>
            </w:r>
          </w:p>
        </w:tc>
      </w:tr>
    </w:tbl>
    <w:p w14:paraId="650DA0C6" w14:textId="77777777" w:rsidR="00804408" w:rsidRDefault="00804408" w:rsidP="00804408">
      <w:pPr>
        <w:rPr>
          <w:w w:val="90"/>
        </w:rPr>
      </w:pPr>
      <w:r>
        <w:br w:type="page"/>
      </w:r>
    </w:p>
    <w:p w14:paraId="56DDA757" w14:textId="77777777" w:rsidR="00804408" w:rsidRDefault="00804408" w:rsidP="000E0869">
      <w:pPr>
        <w:pStyle w:val="Heading1nonumber"/>
      </w:pPr>
      <w:bookmarkStart w:id="10" w:name="_Toc122604843"/>
      <w:r>
        <w:lastRenderedPageBreak/>
        <w:t>R</w:t>
      </w:r>
      <w:r w:rsidRPr="0006752F">
        <w:t>ecommendations</w:t>
      </w:r>
      <w:bookmarkEnd w:id="10"/>
    </w:p>
    <w:p w14:paraId="022DDAEC" w14:textId="6E7C3669" w:rsidR="000E0869" w:rsidRDefault="00804408">
      <w:pPr>
        <w:pStyle w:val="TOC1"/>
        <w:rPr>
          <w:rFonts w:asciiTheme="minorHAnsi" w:eastAsiaTheme="minorEastAsia" w:hAnsiTheme="minorHAnsi"/>
          <w:b w:val="0"/>
          <w:bCs w:val="0"/>
          <w:color w:val="auto"/>
          <w:w w:val="100"/>
          <w:sz w:val="22"/>
          <w:lang w:eastAsia="en-AU"/>
        </w:rPr>
      </w:pPr>
      <w:r>
        <w:fldChar w:fldCharType="begin"/>
      </w:r>
      <w:r>
        <w:instrText xml:space="preserve"> TOC \n \h \z \t "Recommendation heading,1,Recommendation body,2" </w:instrText>
      </w:r>
      <w:r>
        <w:fldChar w:fldCharType="separate"/>
      </w:r>
      <w:hyperlink w:anchor="_Toc122605294" w:history="1">
        <w:r w:rsidR="000E0869" w:rsidRPr="007D1742">
          <w:rPr>
            <w:rStyle w:val="Hyperlink"/>
          </w:rPr>
          <w:t>Recommendation 1</w:t>
        </w:r>
      </w:hyperlink>
    </w:p>
    <w:p w14:paraId="34343BF1" w14:textId="71BDA95B" w:rsidR="000E0869" w:rsidRDefault="004D7CE8">
      <w:pPr>
        <w:pStyle w:val="TOC2"/>
        <w:rPr>
          <w:rFonts w:eastAsiaTheme="minorEastAsia"/>
          <w:lang w:eastAsia="en-AU"/>
        </w:rPr>
      </w:pPr>
      <w:hyperlink w:anchor="_Toc122605295" w:history="1">
        <w:r w:rsidR="000E0869" w:rsidRPr="007D1742">
          <w:rPr>
            <w:rStyle w:val="Hyperlink"/>
          </w:rPr>
          <w:t>The Committee recommends that the ACT Government amend the Freedom of Information Amendment Bill 2022, so that an application for review can be made before the information is published.</w:t>
        </w:r>
      </w:hyperlink>
    </w:p>
    <w:p w14:paraId="52EC6CD6" w14:textId="501E0142" w:rsidR="000E0869" w:rsidRDefault="004D7CE8">
      <w:pPr>
        <w:pStyle w:val="TOC1"/>
        <w:rPr>
          <w:rFonts w:asciiTheme="minorHAnsi" w:eastAsiaTheme="minorEastAsia" w:hAnsiTheme="minorHAnsi"/>
          <w:b w:val="0"/>
          <w:bCs w:val="0"/>
          <w:color w:val="auto"/>
          <w:w w:val="100"/>
          <w:sz w:val="22"/>
          <w:lang w:eastAsia="en-AU"/>
        </w:rPr>
      </w:pPr>
      <w:hyperlink w:anchor="_Toc122605296" w:history="1">
        <w:r w:rsidR="000E0869" w:rsidRPr="007D1742">
          <w:rPr>
            <w:rStyle w:val="Hyperlink"/>
          </w:rPr>
          <w:t>Recommendation 2</w:t>
        </w:r>
      </w:hyperlink>
    </w:p>
    <w:p w14:paraId="531827E1" w14:textId="22C81312" w:rsidR="000E0869" w:rsidRDefault="004D7CE8">
      <w:pPr>
        <w:pStyle w:val="TOC2"/>
        <w:rPr>
          <w:rFonts w:eastAsiaTheme="minorEastAsia"/>
          <w:lang w:eastAsia="en-AU"/>
        </w:rPr>
      </w:pPr>
      <w:hyperlink w:anchor="_Toc122605297" w:history="1">
        <w:r w:rsidR="000E0869" w:rsidRPr="007D1742">
          <w:rPr>
            <w:rStyle w:val="Hyperlink"/>
          </w:rPr>
          <w:t>The Committee recommends that the ACT Government ensure the ACT Ombudsman is sufficiently resourced to manage any resulting increase in workload prior to commencement of the Freedom of Information Amendment Bill 2022.</w:t>
        </w:r>
      </w:hyperlink>
    </w:p>
    <w:p w14:paraId="60BED048" w14:textId="6CAAAFD2" w:rsidR="000E0869" w:rsidRDefault="004D7CE8">
      <w:pPr>
        <w:pStyle w:val="TOC1"/>
        <w:rPr>
          <w:rFonts w:asciiTheme="minorHAnsi" w:eastAsiaTheme="minorEastAsia" w:hAnsiTheme="minorHAnsi"/>
          <w:b w:val="0"/>
          <w:bCs w:val="0"/>
          <w:color w:val="auto"/>
          <w:w w:val="100"/>
          <w:sz w:val="22"/>
          <w:lang w:eastAsia="en-AU"/>
        </w:rPr>
      </w:pPr>
      <w:hyperlink w:anchor="_Toc122605298" w:history="1">
        <w:r w:rsidR="000E0869" w:rsidRPr="007D1742">
          <w:rPr>
            <w:rStyle w:val="Hyperlink"/>
          </w:rPr>
          <w:t>Recommendation 3</w:t>
        </w:r>
      </w:hyperlink>
    </w:p>
    <w:p w14:paraId="1349496E" w14:textId="7545EC75" w:rsidR="000E0869" w:rsidRDefault="004D7CE8">
      <w:pPr>
        <w:pStyle w:val="TOC2"/>
        <w:rPr>
          <w:rFonts w:eastAsiaTheme="minorEastAsia"/>
          <w:lang w:eastAsia="en-AU"/>
        </w:rPr>
      </w:pPr>
      <w:hyperlink w:anchor="_Toc122605299" w:history="1">
        <w:r w:rsidR="000E0869" w:rsidRPr="007D1742">
          <w:rPr>
            <w:rStyle w:val="Hyperlink"/>
          </w:rPr>
          <w:t>The Committee recommends that the ACT Government demonstrate to the Assembly why the extension of time for processing applications is needed.</w:t>
        </w:r>
      </w:hyperlink>
    </w:p>
    <w:p w14:paraId="7D92AA51" w14:textId="4086D40F" w:rsidR="000E0869" w:rsidRDefault="004D7CE8">
      <w:pPr>
        <w:pStyle w:val="TOC1"/>
        <w:rPr>
          <w:rFonts w:asciiTheme="minorHAnsi" w:eastAsiaTheme="minorEastAsia" w:hAnsiTheme="minorHAnsi"/>
          <w:b w:val="0"/>
          <w:bCs w:val="0"/>
          <w:color w:val="auto"/>
          <w:w w:val="100"/>
          <w:sz w:val="22"/>
          <w:lang w:eastAsia="en-AU"/>
        </w:rPr>
      </w:pPr>
      <w:hyperlink w:anchor="_Toc122605300" w:history="1">
        <w:r w:rsidR="000E0869" w:rsidRPr="007D1742">
          <w:rPr>
            <w:rStyle w:val="Hyperlink"/>
          </w:rPr>
          <w:t>Recommendation 4</w:t>
        </w:r>
      </w:hyperlink>
    </w:p>
    <w:p w14:paraId="7E9CEFD1" w14:textId="0CC19C09" w:rsidR="000E0869" w:rsidRDefault="004D7CE8">
      <w:pPr>
        <w:pStyle w:val="TOC2"/>
        <w:rPr>
          <w:rFonts w:eastAsiaTheme="minorEastAsia"/>
          <w:lang w:eastAsia="en-AU"/>
        </w:rPr>
      </w:pPr>
      <w:hyperlink w:anchor="_Toc122605301" w:history="1">
        <w:r w:rsidR="000E0869" w:rsidRPr="007D1742">
          <w:rPr>
            <w:rStyle w:val="Hyperlink"/>
          </w:rPr>
          <w:t>The Committee recommends that ACT Government and ACT Ombudsman work to produce guidance material on the public interest test in the Freedom of Information Amendment Bill 2022 for decision-makers, and that the explanatory statement references that guidelines will be developed to guide decision makers.</w:t>
        </w:r>
      </w:hyperlink>
    </w:p>
    <w:p w14:paraId="65A911A5" w14:textId="5B723D9F" w:rsidR="000E0869" w:rsidRDefault="004D7CE8">
      <w:pPr>
        <w:pStyle w:val="TOC1"/>
        <w:rPr>
          <w:rFonts w:asciiTheme="minorHAnsi" w:eastAsiaTheme="minorEastAsia" w:hAnsiTheme="minorHAnsi"/>
          <w:b w:val="0"/>
          <w:bCs w:val="0"/>
          <w:color w:val="auto"/>
          <w:w w:val="100"/>
          <w:sz w:val="22"/>
          <w:lang w:eastAsia="en-AU"/>
        </w:rPr>
      </w:pPr>
      <w:hyperlink w:anchor="_Toc122605302" w:history="1">
        <w:r w:rsidR="000E0869" w:rsidRPr="007D1742">
          <w:rPr>
            <w:rStyle w:val="Hyperlink"/>
          </w:rPr>
          <w:t>Recommendation 5</w:t>
        </w:r>
      </w:hyperlink>
    </w:p>
    <w:p w14:paraId="2216D65D" w14:textId="10471EF7" w:rsidR="000E0869" w:rsidRDefault="004D7CE8">
      <w:pPr>
        <w:pStyle w:val="TOC2"/>
        <w:rPr>
          <w:rFonts w:eastAsiaTheme="minorEastAsia"/>
          <w:lang w:eastAsia="en-AU"/>
        </w:rPr>
      </w:pPr>
      <w:hyperlink w:anchor="_Toc122605303" w:history="1">
        <w:r w:rsidR="000E0869" w:rsidRPr="007D1742">
          <w:rPr>
            <w:rStyle w:val="Hyperlink"/>
          </w:rPr>
          <w:t>The Committee recommends that the ACT Government amend the proposed amendments to section 39 of the Freedom of Information Amendment Bill so the responsible Minister is to provide quarterly reports to the Assembly.</w:t>
        </w:r>
      </w:hyperlink>
    </w:p>
    <w:p w14:paraId="612A6515" w14:textId="08FD03E9" w:rsidR="000E0869" w:rsidRDefault="004D7CE8">
      <w:pPr>
        <w:pStyle w:val="TOC1"/>
        <w:rPr>
          <w:rFonts w:asciiTheme="minorHAnsi" w:eastAsiaTheme="minorEastAsia" w:hAnsiTheme="minorHAnsi"/>
          <w:b w:val="0"/>
          <w:bCs w:val="0"/>
          <w:color w:val="auto"/>
          <w:w w:val="100"/>
          <w:sz w:val="22"/>
          <w:lang w:eastAsia="en-AU"/>
        </w:rPr>
      </w:pPr>
      <w:hyperlink w:anchor="_Toc122605304" w:history="1">
        <w:r w:rsidR="000E0869" w:rsidRPr="007D1742">
          <w:rPr>
            <w:rStyle w:val="Hyperlink"/>
          </w:rPr>
          <w:t>Recommendation 6</w:t>
        </w:r>
      </w:hyperlink>
    </w:p>
    <w:p w14:paraId="3274B26B" w14:textId="25932235" w:rsidR="000E0869" w:rsidRDefault="004D7CE8">
      <w:pPr>
        <w:pStyle w:val="TOC2"/>
        <w:rPr>
          <w:rFonts w:eastAsiaTheme="minorEastAsia"/>
          <w:lang w:eastAsia="en-AU"/>
        </w:rPr>
      </w:pPr>
      <w:hyperlink w:anchor="_Toc122605305" w:history="1">
        <w:r w:rsidR="000E0869" w:rsidRPr="007D1742">
          <w:rPr>
            <w:rStyle w:val="Hyperlink"/>
          </w:rPr>
          <w:t>The Committee recommends that the ACT Government work with the applicant where a disability or vulnerability exists to ensure the information requested is given in an appropriate form that meets their needs.</w:t>
        </w:r>
      </w:hyperlink>
    </w:p>
    <w:p w14:paraId="41ED79E7" w14:textId="060F5F04" w:rsidR="000E0869" w:rsidRDefault="004D7CE8">
      <w:pPr>
        <w:pStyle w:val="TOC1"/>
        <w:rPr>
          <w:rFonts w:asciiTheme="minorHAnsi" w:eastAsiaTheme="minorEastAsia" w:hAnsiTheme="minorHAnsi"/>
          <w:b w:val="0"/>
          <w:bCs w:val="0"/>
          <w:color w:val="auto"/>
          <w:w w:val="100"/>
          <w:sz w:val="22"/>
          <w:lang w:eastAsia="en-AU"/>
        </w:rPr>
      </w:pPr>
      <w:hyperlink w:anchor="_Toc122605306" w:history="1">
        <w:r w:rsidR="000E0869" w:rsidRPr="007D1742">
          <w:rPr>
            <w:rStyle w:val="Hyperlink"/>
          </w:rPr>
          <w:t>Recommendation 7</w:t>
        </w:r>
      </w:hyperlink>
    </w:p>
    <w:p w14:paraId="4E6A7440" w14:textId="647BEF64" w:rsidR="000E0869" w:rsidRDefault="004D7CE8">
      <w:pPr>
        <w:pStyle w:val="TOC2"/>
        <w:rPr>
          <w:rFonts w:eastAsiaTheme="minorEastAsia"/>
          <w:lang w:eastAsia="en-AU"/>
        </w:rPr>
      </w:pPr>
      <w:hyperlink w:anchor="_Toc122605307" w:history="1">
        <w:r w:rsidR="000E0869" w:rsidRPr="007D1742">
          <w:rPr>
            <w:rStyle w:val="Hyperlink"/>
          </w:rPr>
          <w:t>The Committee recommends that after implementing the recommendations in this report, the Assembly pass the</w:t>
        </w:r>
        <w:r w:rsidR="000E0869" w:rsidRPr="007D1742">
          <w:rPr>
            <w:rStyle w:val="Hyperlink"/>
            <w:i/>
            <w:iCs/>
          </w:rPr>
          <w:t xml:space="preserve"> Freedom of Information Amendment Bill 2022.</w:t>
        </w:r>
      </w:hyperlink>
    </w:p>
    <w:p w14:paraId="64FA9337" w14:textId="4CE09AD8" w:rsidR="000E0869" w:rsidRDefault="004D7CE8">
      <w:pPr>
        <w:pStyle w:val="TOC1"/>
        <w:rPr>
          <w:rFonts w:asciiTheme="minorHAnsi" w:eastAsiaTheme="minorEastAsia" w:hAnsiTheme="minorHAnsi"/>
          <w:b w:val="0"/>
          <w:bCs w:val="0"/>
          <w:color w:val="auto"/>
          <w:w w:val="100"/>
          <w:sz w:val="22"/>
          <w:lang w:eastAsia="en-AU"/>
        </w:rPr>
      </w:pPr>
      <w:hyperlink w:anchor="_Toc122605308" w:history="1">
        <w:r w:rsidR="000E0869" w:rsidRPr="007D1742">
          <w:rPr>
            <w:rStyle w:val="Hyperlink"/>
          </w:rPr>
          <w:t>Recommendation 8</w:t>
        </w:r>
      </w:hyperlink>
    </w:p>
    <w:p w14:paraId="7BEE8842" w14:textId="43D2C1FE" w:rsidR="000E0869" w:rsidRDefault="004D7CE8">
      <w:pPr>
        <w:pStyle w:val="TOC2"/>
        <w:rPr>
          <w:rFonts w:eastAsiaTheme="minorEastAsia"/>
          <w:lang w:eastAsia="en-AU"/>
        </w:rPr>
      </w:pPr>
      <w:hyperlink w:anchor="_Toc122605309" w:history="1">
        <w:r w:rsidR="000E0869" w:rsidRPr="007D1742">
          <w:rPr>
            <w:rStyle w:val="Hyperlink"/>
          </w:rPr>
          <w:t xml:space="preserve">The Committee recommends the Assembly does not pass the </w:t>
        </w:r>
        <w:r w:rsidR="000E0869" w:rsidRPr="007D1742">
          <w:rPr>
            <w:rStyle w:val="Hyperlink"/>
            <w:i/>
            <w:iCs/>
          </w:rPr>
          <w:t>Freedom of Information Amendment Bill 2022 (No 2).</w:t>
        </w:r>
      </w:hyperlink>
    </w:p>
    <w:p w14:paraId="21828EF7" w14:textId="08EE3FAB" w:rsidR="00804408" w:rsidRPr="00B7541C" w:rsidRDefault="00804408" w:rsidP="00804408">
      <w:pPr>
        <w:sectPr w:rsidR="00804408" w:rsidRPr="00B7541C" w:rsidSect="004D5396">
          <w:type w:val="continuous"/>
          <w:pgSz w:w="11906" w:h="16838"/>
          <w:pgMar w:top="1440" w:right="1440" w:bottom="1440" w:left="1440" w:header="708" w:footer="708" w:gutter="0"/>
          <w:pgNumType w:fmt="lowerRoman" w:start="1"/>
          <w:cols w:space="708"/>
          <w:docGrid w:linePitch="360"/>
        </w:sectPr>
      </w:pPr>
      <w:r>
        <w:fldChar w:fldCharType="end"/>
      </w:r>
    </w:p>
    <w:p w14:paraId="28B35FA4" w14:textId="77777777" w:rsidR="00804408" w:rsidRDefault="00804408" w:rsidP="00804408">
      <w:pPr>
        <w:pStyle w:val="Heading1"/>
      </w:pPr>
      <w:bookmarkStart w:id="11" w:name="_Toc122604844"/>
      <w:bookmarkEnd w:id="7"/>
      <w:r>
        <w:lastRenderedPageBreak/>
        <w:t>Background to the Inquiry</w:t>
      </w:r>
      <w:bookmarkEnd w:id="11"/>
      <w:r>
        <w:t xml:space="preserve"> </w:t>
      </w:r>
    </w:p>
    <w:p w14:paraId="0468DC1E" w14:textId="77777777" w:rsidR="00804408" w:rsidRDefault="00804408" w:rsidP="000952B1">
      <w:pPr>
        <w:pStyle w:val="Heading2"/>
      </w:pPr>
      <w:bookmarkStart w:id="12" w:name="_Toc122604845"/>
      <w:r>
        <w:t>Conduct of the Inquiry</w:t>
      </w:r>
      <w:bookmarkEnd w:id="12"/>
      <w:r>
        <w:t xml:space="preserve"> </w:t>
      </w:r>
    </w:p>
    <w:p w14:paraId="45D10D97" w14:textId="157C42D4" w:rsidR="00804408" w:rsidRDefault="00804408" w:rsidP="00804408">
      <w:pPr>
        <w:pStyle w:val="ListNumber2"/>
      </w:pPr>
      <w:r>
        <w:t xml:space="preserve">The </w:t>
      </w:r>
      <w:r w:rsidRPr="007450CE">
        <w:t>Freedom of Information Amendment Bill 2022</w:t>
      </w:r>
      <w:r w:rsidRPr="00796FFD">
        <w:rPr>
          <w:i/>
          <w:iCs/>
        </w:rPr>
        <w:t xml:space="preserve"> </w:t>
      </w:r>
      <w:r>
        <w:t xml:space="preserve">and the </w:t>
      </w:r>
      <w:r w:rsidRPr="007450CE">
        <w:t>Freedom of Information Amendment Bill 2022 (No 2)</w:t>
      </w:r>
      <w:r>
        <w:t xml:space="preserve"> were both referred to the Committee on 21 September 2022</w:t>
      </w:r>
      <w:r w:rsidR="00B058B8">
        <w:t xml:space="preserve"> and 23 September respectively</w:t>
      </w:r>
      <w:r>
        <w:t>. In accordance with the resolution of establishment of the Standing Committee on Justice and Community Safety, the Bill was referred to the Committee for examination. On 29 September 2022, the Committee resolved to undertake an inquiry into both Bills concurrently.</w:t>
      </w:r>
    </w:p>
    <w:p w14:paraId="00033785" w14:textId="77777777" w:rsidR="00804408" w:rsidRDefault="00804408" w:rsidP="00804408">
      <w:pPr>
        <w:pStyle w:val="ListNumber2"/>
      </w:pPr>
      <w:r>
        <w:t xml:space="preserve">The Committee issued a media release on 4 October 2022 inviting the community to participate in the inquiry by making a submission, which closed on 28 October 2022. A total of five submissions were received by the Committee. A list of all the submissions is provided in Appendix A.  </w:t>
      </w:r>
    </w:p>
    <w:p w14:paraId="16759EBE" w14:textId="2CCFAE73" w:rsidR="00804408" w:rsidRDefault="00804408" w:rsidP="00804408">
      <w:pPr>
        <w:pStyle w:val="ListNumber2"/>
      </w:pPr>
      <w:r>
        <w:t xml:space="preserve">The Committee also sought </w:t>
      </w:r>
      <w:r w:rsidR="00464E5C">
        <w:t xml:space="preserve">additional </w:t>
      </w:r>
      <w:r>
        <w:t>comments from the ACT Government in respect of issues raised on the Freedom of Information Amendment Bill 2022 by the ACT Ombudsman, and from Ms Elizabeth Lee MLA in respect of comments made by the ACT Government. These responses are also listed in Appendix A.</w:t>
      </w:r>
    </w:p>
    <w:p w14:paraId="3957A60F" w14:textId="77777777" w:rsidR="00804408" w:rsidRDefault="00804408" w:rsidP="00804408">
      <w:pPr>
        <w:pStyle w:val="ListNumber2"/>
      </w:pPr>
      <w:r>
        <w:t>The Committee did not conduct a public hearing as part of the inquiry.</w:t>
      </w:r>
    </w:p>
    <w:p w14:paraId="728A563D" w14:textId="1D7D37C3" w:rsidR="00804408" w:rsidRDefault="00804408" w:rsidP="00804408">
      <w:pPr>
        <w:pStyle w:val="ListNumber2"/>
      </w:pPr>
      <w:r>
        <w:t>The Committee was granted a reporting date extension until 7 February 2023 by the Assembly on 24 November 2022.</w:t>
      </w:r>
      <w:r w:rsidR="00464E5C">
        <w:rPr>
          <w:rStyle w:val="FootnoteReference"/>
        </w:rPr>
        <w:footnoteReference w:id="2"/>
      </w:r>
      <w:r>
        <w:t xml:space="preserve"> </w:t>
      </w:r>
    </w:p>
    <w:p w14:paraId="401B60F0" w14:textId="29BFDF2B" w:rsidR="00804408" w:rsidRDefault="00804408" w:rsidP="00804408">
      <w:pPr>
        <w:pStyle w:val="ListNumber2"/>
      </w:pPr>
      <w:r>
        <w:t xml:space="preserve">The Committee met on </w:t>
      </w:r>
      <w:r w:rsidR="00EF3D32" w:rsidRPr="005F3A86">
        <w:t>7, 14</w:t>
      </w:r>
      <w:r w:rsidR="00976247" w:rsidRPr="005F3A86">
        <w:t xml:space="preserve">, </w:t>
      </w:r>
      <w:r w:rsidR="00EF3D32" w:rsidRPr="005F3A86">
        <w:t>and 21 December</w:t>
      </w:r>
      <w:r w:rsidR="00976247" w:rsidRPr="005F3A86">
        <w:t xml:space="preserve"> 2022</w:t>
      </w:r>
      <w:r w:rsidR="00EF3D32" w:rsidRPr="005F3A86">
        <w:t xml:space="preserve"> </w:t>
      </w:r>
      <w:r w:rsidRPr="005F3A86">
        <w:t>to consider the Chair’s draft report, which was adopted on the same day</w:t>
      </w:r>
      <w:r w:rsidR="00304DDB" w:rsidRPr="005F3A86">
        <w:t xml:space="preserve"> (with amendments)</w:t>
      </w:r>
      <w:r w:rsidRPr="005F3A86">
        <w:t>, for tabling</w:t>
      </w:r>
      <w:r w:rsidR="00304DDB">
        <w:t xml:space="preserve"> with the Chair to make a dissenting report</w:t>
      </w:r>
      <w:r>
        <w:t>.</w:t>
      </w:r>
    </w:p>
    <w:p w14:paraId="7562BDE9" w14:textId="77777777" w:rsidR="00804408" w:rsidRDefault="00804408" w:rsidP="000952B1">
      <w:pPr>
        <w:pStyle w:val="Heading2"/>
      </w:pPr>
      <w:bookmarkStart w:id="13" w:name="_Toc122604846"/>
      <w:r>
        <w:t>Acknowledgements</w:t>
      </w:r>
      <w:bookmarkEnd w:id="13"/>
      <w:r>
        <w:t xml:space="preserve"> </w:t>
      </w:r>
    </w:p>
    <w:p w14:paraId="681C94F8" w14:textId="373EF1AC" w:rsidR="00804408" w:rsidRDefault="00804408" w:rsidP="00804408">
      <w:pPr>
        <w:pStyle w:val="ListNumber2"/>
      </w:pPr>
      <w:r>
        <w:t xml:space="preserve">The Committee thanks everyone who participated in, or otherwise assisted, this inquiry, including those that made submissions, ACT Government Ministers, directorate officials, statutory officers, Members of the Legislative Assembly, </w:t>
      </w:r>
      <w:r w:rsidR="00FF6305">
        <w:t xml:space="preserve">and </w:t>
      </w:r>
      <w:r>
        <w:t>Members’ staff.</w:t>
      </w:r>
    </w:p>
    <w:bookmarkEnd w:id="8"/>
    <w:p w14:paraId="2C0F6603" w14:textId="77777777" w:rsidR="00804408" w:rsidRDefault="00804408">
      <w:pPr>
        <w:spacing w:line="259" w:lineRule="auto"/>
        <w:rPr>
          <w:rFonts w:ascii="Montserrat" w:eastAsiaTheme="majorEastAsia" w:hAnsi="Montserrat" w:cstheme="majorBidi"/>
          <w:b/>
          <w:color w:val="1A234C"/>
          <w:w w:val="90"/>
          <w:kern w:val="2"/>
          <w:sz w:val="36"/>
          <w:szCs w:val="32"/>
        </w:rPr>
      </w:pPr>
      <w:r>
        <w:br w:type="page"/>
      </w:r>
    </w:p>
    <w:p w14:paraId="2B8BDBB7" w14:textId="42D62327" w:rsidR="00804408" w:rsidRDefault="00804408" w:rsidP="00804408">
      <w:pPr>
        <w:pStyle w:val="Heading1"/>
      </w:pPr>
      <w:bookmarkStart w:id="14" w:name="_Toc122604847"/>
      <w:r>
        <w:lastRenderedPageBreak/>
        <w:t>Freedom of Information Amendment Bill 2022</w:t>
      </w:r>
      <w:bookmarkEnd w:id="14"/>
      <w:r>
        <w:t xml:space="preserve"> </w:t>
      </w:r>
    </w:p>
    <w:p w14:paraId="2F78CB5B" w14:textId="77777777" w:rsidR="00804408" w:rsidRPr="00130D3A" w:rsidRDefault="00804408" w:rsidP="000952B1">
      <w:pPr>
        <w:pStyle w:val="Heading2"/>
      </w:pPr>
      <w:bookmarkStart w:id="15" w:name="_Toc122604848"/>
      <w:r w:rsidRPr="00130D3A">
        <w:t>Background to the Bill</w:t>
      </w:r>
      <w:bookmarkEnd w:id="15"/>
      <w:r w:rsidRPr="00130D3A">
        <w:t xml:space="preserve"> </w:t>
      </w:r>
    </w:p>
    <w:p w14:paraId="481E2DA9" w14:textId="77777777" w:rsidR="00804408" w:rsidRDefault="00804408" w:rsidP="00804408">
      <w:pPr>
        <w:pStyle w:val="ListNumber2"/>
      </w:pPr>
      <w:r w:rsidRPr="00130D3A">
        <w:t xml:space="preserve">The objective of this Bill is to amend the </w:t>
      </w:r>
      <w:r w:rsidRPr="00130D3A">
        <w:rPr>
          <w:i/>
          <w:iCs/>
        </w:rPr>
        <w:t>Freedom of Information Act 2016</w:t>
      </w:r>
      <w:r>
        <w:rPr>
          <w:i/>
          <w:iCs/>
        </w:rPr>
        <w:t xml:space="preserve"> </w:t>
      </w:r>
      <w:r w:rsidRPr="00F44D73">
        <w:t>to</w:t>
      </w:r>
      <w:r>
        <w:rPr>
          <w:i/>
          <w:iCs/>
        </w:rPr>
        <w:t xml:space="preserve"> </w:t>
      </w:r>
      <w:r>
        <w:t xml:space="preserve">better </w:t>
      </w:r>
      <w:r w:rsidRPr="00130D3A">
        <w:t xml:space="preserve">access </w:t>
      </w:r>
      <w:r>
        <w:t xml:space="preserve">FOI </w:t>
      </w:r>
      <w:r w:rsidRPr="00130D3A">
        <w:t xml:space="preserve">applications and reviews to manage workflows to meet objectives of the Act. </w:t>
      </w:r>
    </w:p>
    <w:p w14:paraId="48CA90CC" w14:textId="77777777" w:rsidR="00804408" w:rsidRDefault="00804408" w:rsidP="00804408">
      <w:pPr>
        <w:pStyle w:val="ListNumber2"/>
      </w:pPr>
      <w:r>
        <w:t>The amendments were developed in consultation with key stakeholders, including;</w:t>
      </w:r>
    </w:p>
    <w:p w14:paraId="1E21CB3C" w14:textId="77777777" w:rsidR="00804408" w:rsidRDefault="00804408" w:rsidP="00804408">
      <w:pPr>
        <w:pStyle w:val="ListNumber4"/>
        <w:numPr>
          <w:ilvl w:val="3"/>
          <w:numId w:val="19"/>
        </w:numPr>
        <w:spacing w:before="0" w:after="0" w:line="240" w:lineRule="auto"/>
        <w:ind w:left="1775" w:hanging="357"/>
      </w:pPr>
      <w:r>
        <w:t>All ACT Directorates;</w:t>
      </w:r>
    </w:p>
    <w:p w14:paraId="117E9092" w14:textId="77777777" w:rsidR="00804408" w:rsidRDefault="00804408" w:rsidP="00804408">
      <w:pPr>
        <w:pStyle w:val="ListNumber4"/>
        <w:numPr>
          <w:ilvl w:val="3"/>
          <w:numId w:val="19"/>
        </w:numPr>
        <w:spacing w:before="0" w:after="0" w:line="240" w:lineRule="auto"/>
        <w:ind w:left="1775" w:hanging="357"/>
      </w:pPr>
      <w:r>
        <w:t>Territory Records Office;</w:t>
      </w:r>
    </w:p>
    <w:p w14:paraId="3F7CE75D" w14:textId="77777777" w:rsidR="00804408" w:rsidRDefault="00804408" w:rsidP="00804408">
      <w:pPr>
        <w:pStyle w:val="ListNumber4"/>
        <w:numPr>
          <w:ilvl w:val="3"/>
          <w:numId w:val="19"/>
        </w:numPr>
        <w:spacing w:before="0" w:after="0" w:line="240" w:lineRule="auto"/>
        <w:ind w:left="1775" w:hanging="357"/>
      </w:pPr>
      <w:r>
        <w:t xml:space="preserve">ACT Ombudsman; </w:t>
      </w:r>
    </w:p>
    <w:p w14:paraId="35C4A8B6" w14:textId="77777777" w:rsidR="00804408" w:rsidRDefault="00804408" w:rsidP="00804408">
      <w:pPr>
        <w:pStyle w:val="ListNumber4"/>
        <w:numPr>
          <w:ilvl w:val="3"/>
          <w:numId w:val="19"/>
        </w:numPr>
        <w:spacing w:before="0" w:after="0" w:line="240" w:lineRule="auto"/>
        <w:ind w:left="1775" w:hanging="357"/>
      </w:pPr>
      <w:r>
        <w:t>ACT Human Rights Commission;</w:t>
      </w:r>
    </w:p>
    <w:p w14:paraId="5489245C" w14:textId="77777777" w:rsidR="00804408" w:rsidRDefault="00804408" w:rsidP="00804408">
      <w:pPr>
        <w:pStyle w:val="ListNumber4"/>
        <w:numPr>
          <w:ilvl w:val="3"/>
          <w:numId w:val="19"/>
        </w:numPr>
        <w:spacing w:before="0" w:after="0" w:line="240" w:lineRule="auto"/>
        <w:ind w:left="1775" w:hanging="357"/>
      </w:pPr>
      <w:r>
        <w:t>ACT Law Society;</w:t>
      </w:r>
    </w:p>
    <w:p w14:paraId="2C44B9E3" w14:textId="77777777" w:rsidR="00804408" w:rsidRDefault="00804408" w:rsidP="00804408">
      <w:pPr>
        <w:pStyle w:val="ListNumber4"/>
        <w:numPr>
          <w:ilvl w:val="3"/>
          <w:numId w:val="19"/>
        </w:numPr>
        <w:spacing w:before="0" w:after="0" w:line="240" w:lineRule="auto"/>
        <w:ind w:left="1775" w:hanging="357"/>
      </w:pPr>
      <w:r>
        <w:t>ACT Bar Association.</w:t>
      </w:r>
      <w:r>
        <w:rPr>
          <w:rStyle w:val="FootnoteReference"/>
        </w:rPr>
        <w:footnoteReference w:id="3"/>
      </w:r>
    </w:p>
    <w:p w14:paraId="639BF27C" w14:textId="77777777" w:rsidR="00804408" w:rsidRDefault="00804408" w:rsidP="00804408">
      <w:pPr>
        <w:pStyle w:val="ListNumber2"/>
      </w:pPr>
      <w:r>
        <w:t>The Bill was also considered by the Standing Committee on Justice and Community Safety (Legislative Scrutiny Role) (details below – see paragraph 3.6).</w:t>
      </w:r>
      <w:r>
        <w:rPr>
          <w:rStyle w:val="FootnoteReference"/>
        </w:rPr>
        <w:footnoteReference w:id="4"/>
      </w:r>
    </w:p>
    <w:p w14:paraId="70B261A6" w14:textId="77777777" w:rsidR="00804408" w:rsidRDefault="00804408" w:rsidP="000952B1">
      <w:pPr>
        <w:pStyle w:val="Heading2"/>
      </w:pPr>
      <w:bookmarkStart w:id="16" w:name="_Toc122604849"/>
      <w:r>
        <w:t>Proposed Amendments</w:t>
      </w:r>
      <w:bookmarkEnd w:id="16"/>
      <w:r>
        <w:t xml:space="preserve"> </w:t>
      </w:r>
    </w:p>
    <w:p w14:paraId="06591F02" w14:textId="77777777" w:rsidR="00804408" w:rsidRDefault="00804408" w:rsidP="00804408">
      <w:pPr>
        <w:pStyle w:val="ListNumber2"/>
      </w:pPr>
      <w:r>
        <w:t xml:space="preserve">The </w:t>
      </w:r>
      <w:r w:rsidRPr="004F2BF9">
        <w:t xml:space="preserve">Bill will amend the </w:t>
      </w:r>
      <w:r w:rsidRPr="004F2BF9">
        <w:rPr>
          <w:i/>
          <w:iCs/>
        </w:rPr>
        <w:t>Freedom of Information Act 2016</w:t>
      </w:r>
      <w:r w:rsidRPr="004F2BF9">
        <w:t xml:space="preserve"> to make various amendments</w:t>
      </w:r>
      <w:r>
        <w:t>,</w:t>
      </w:r>
      <w:r w:rsidRPr="004F2BF9">
        <w:t xml:space="preserve"> including: </w:t>
      </w:r>
    </w:p>
    <w:p w14:paraId="24075364" w14:textId="77777777" w:rsidR="00804408" w:rsidRDefault="00804408" w:rsidP="00804408">
      <w:pPr>
        <w:pStyle w:val="ListNumber3"/>
      </w:pPr>
      <w:r w:rsidRPr="004F2BF9">
        <w:t>all information subject to legal professional privilege will be included as contrary to the public interest information (and hence information which can be withheld from release);</w:t>
      </w:r>
    </w:p>
    <w:p w14:paraId="4816D7A1" w14:textId="77777777" w:rsidR="00804408" w:rsidRDefault="00804408" w:rsidP="00804408">
      <w:pPr>
        <w:pStyle w:val="ListNumber3"/>
      </w:pPr>
      <w:r w:rsidRPr="004F2BF9">
        <w:t>the range of information that is contrary to the public interest to release will be extended to include information held by the Inspector of Correctional Services relating to an examination or review by the inspector;</w:t>
      </w:r>
    </w:p>
    <w:p w14:paraId="2F5B0D16" w14:textId="77777777" w:rsidR="00804408" w:rsidRDefault="00804408" w:rsidP="00804408">
      <w:pPr>
        <w:pStyle w:val="ListNumber3"/>
      </w:pPr>
      <w:r w:rsidRPr="004F2BF9">
        <w:t xml:space="preserve">an applicant’s identity, circumstances and reason for seeking access to another person’s personal information will be included as relevant to whether it is in the public interest to release information; </w:t>
      </w:r>
    </w:p>
    <w:p w14:paraId="5311D76A" w14:textId="77777777" w:rsidR="00804408" w:rsidRDefault="00804408" w:rsidP="00804408">
      <w:pPr>
        <w:pStyle w:val="ListNumber3"/>
      </w:pPr>
      <w:r w:rsidRPr="004F2BF9">
        <w:t xml:space="preserve">the period in which an access application is suspended pending clarification of the scope of the application after which it may be no longer dealt with, will be reduced from three months to six weeks; </w:t>
      </w:r>
    </w:p>
    <w:p w14:paraId="6E81CFDA" w14:textId="77777777" w:rsidR="00804408" w:rsidRDefault="00804408" w:rsidP="00804408">
      <w:pPr>
        <w:pStyle w:val="ListNumber3"/>
      </w:pPr>
      <w:r w:rsidRPr="004F2BF9">
        <w:t xml:space="preserve">the period in which third parties can object to disclosure of their third-party information will be reduced from 15 to 10 working days; </w:t>
      </w:r>
    </w:p>
    <w:p w14:paraId="050FCFF1" w14:textId="77777777" w:rsidR="00804408" w:rsidRDefault="00804408" w:rsidP="00804408">
      <w:pPr>
        <w:pStyle w:val="ListNumber3"/>
      </w:pPr>
      <w:r w:rsidRPr="004F2BF9">
        <w:t xml:space="preserve">the time in which an access application must be decided will be extended from 20 working days to 30 working days, and this will not include time waiting for an </w:t>
      </w:r>
      <w:r w:rsidRPr="004F2BF9">
        <w:lastRenderedPageBreak/>
        <w:t xml:space="preserve">applicant’s response to a proposed refusal to deal with the application or Christmas shutdown days; </w:t>
      </w:r>
    </w:p>
    <w:p w14:paraId="4AA8F9D6" w14:textId="77777777" w:rsidR="00804408" w:rsidRDefault="00804408" w:rsidP="00804408">
      <w:pPr>
        <w:pStyle w:val="ListNumber3"/>
      </w:pPr>
      <w:r w:rsidRPr="004F2BF9">
        <w:t>an application can be dealt with after 12 months, but not more than 24 months, after the access application is received, where the applicant agrees, and the application is dealt with progressively; and</w:t>
      </w:r>
    </w:p>
    <w:p w14:paraId="4F8563CD" w14:textId="77777777" w:rsidR="00804408" w:rsidRDefault="00804408" w:rsidP="00804408">
      <w:pPr>
        <w:pStyle w:val="ListNumber3"/>
      </w:pPr>
      <w:r w:rsidRPr="004F2BF9">
        <w:t>access to government information can be provided in a form that is different to the form requested by the applicant where it is not reasonably practical to give access in the form requested and the applicant can still receive the information.</w:t>
      </w:r>
      <w:r>
        <w:rPr>
          <w:rStyle w:val="FootnoteReference"/>
        </w:rPr>
        <w:footnoteReference w:id="5"/>
      </w:r>
      <w:r w:rsidRPr="004F2BF9">
        <w:t xml:space="preserve"> </w:t>
      </w:r>
    </w:p>
    <w:p w14:paraId="4B52A03D" w14:textId="77777777" w:rsidR="00804408" w:rsidRDefault="00804408" w:rsidP="000952B1">
      <w:pPr>
        <w:pStyle w:val="Heading2"/>
      </w:pPr>
      <w:bookmarkStart w:id="17" w:name="_Toc122604850"/>
      <w:r>
        <w:t>Legislative Scrutiny</w:t>
      </w:r>
      <w:bookmarkEnd w:id="17"/>
    </w:p>
    <w:p w14:paraId="3BDA2C29" w14:textId="77777777" w:rsidR="00804408" w:rsidRDefault="00804408" w:rsidP="00804408">
      <w:pPr>
        <w:pStyle w:val="ListNumber2"/>
      </w:pPr>
      <w:r>
        <w:t xml:space="preserve">The Standing Committee on Justice and Community Safety (Legislative Scrutiny Role) addressed the </w:t>
      </w:r>
      <w:r>
        <w:rPr>
          <w:i/>
          <w:iCs/>
        </w:rPr>
        <w:t>Freedom of Information Amendment Bill (2022)</w:t>
      </w:r>
      <w:r>
        <w:t xml:space="preserve"> in Scrutiny Report 21, on 4 October 2022. </w:t>
      </w:r>
    </w:p>
    <w:p w14:paraId="3BDCFF3B" w14:textId="77777777" w:rsidR="00804408" w:rsidRPr="009F3EC3" w:rsidRDefault="00804408" w:rsidP="00804408">
      <w:pPr>
        <w:pStyle w:val="ListNumber2"/>
      </w:pPr>
      <w:r>
        <w:t xml:space="preserve">The Scrutiny Committee noted that: </w:t>
      </w:r>
    </w:p>
    <w:p w14:paraId="28384836" w14:textId="77777777" w:rsidR="00804408" w:rsidRPr="007450CE" w:rsidRDefault="00804408" w:rsidP="00804408">
      <w:pPr>
        <w:ind w:left="2160"/>
        <w:rPr>
          <w:color w:val="7F7F7F" w:themeColor="text1" w:themeTint="80"/>
        </w:rPr>
      </w:pPr>
      <w:r w:rsidRPr="007450CE">
        <w:rPr>
          <w:rFonts w:cstheme="minorHAnsi"/>
          <w:color w:val="7F7F7F" w:themeColor="text1" w:themeTint="80"/>
        </w:rPr>
        <w:t xml:space="preserve">The Bill includes various provisions which will further limit the right of access to government information currently provided by section 12 of the Act. These include extending the period in which an agency can respond to an access application (from 20 to 30 working days) and the circumstances which further extend this period and allowing an access application to no longer be dealt with after a clarification request has not been responded to for six weeks. The Bill will also allow information to be provided in a way different to that requested by the applicant. </w:t>
      </w:r>
    </w:p>
    <w:p w14:paraId="123707ED" w14:textId="77777777" w:rsidR="00804408" w:rsidRPr="007450CE" w:rsidRDefault="00804408" w:rsidP="00804408">
      <w:pPr>
        <w:ind w:left="2160"/>
        <w:rPr>
          <w:color w:val="7F7F7F" w:themeColor="text1" w:themeTint="80"/>
        </w:rPr>
      </w:pPr>
      <w:r w:rsidRPr="007450CE">
        <w:rPr>
          <w:rFonts w:cstheme="minorHAnsi"/>
          <w:color w:val="7F7F7F" w:themeColor="text1" w:themeTint="80"/>
        </w:rPr>
        <w:t xml:space="preserve">These provisions may impinge on a person’s ‘freedom to seek, receive and impart information and ideas of all kinds … [in a] way chosen by him or her’ as part of the freedom of expression protected by section 16 of the HRA. Placing greater emphasis on a person to respond to an agency’s request for clarification or proposed refusal may also disproportionately impact on persons who are not readily contactable due to homelessness, incarceration, or illness. Providing information in an alternative form may impact vulnerable persons with limited digital or other access. The Bill may therefore limit the right to equality before the law protected by section 8 of the HRA. </w:t>
      </w:r>
    </w:p>
    <w:p w14:paraId="6437CD70" w14:textId="77777777" w:rsidR="00804408" w:rsidRPr="007450CE" w:rsidRDefault="00804408" w:rsidP="00804408">
      <w:pPr>
        <w:ind w:left="2160"/>
        <w:rPr>
          <w:color w:val="7F7F7F" w:themeColor="text1" w:themeTint="80"/>
        </w:rPr>
      </w:pPr>
      <w:r w:rsidRPr="007450CE">
        <w:rPr>
          <w:rFonts w:cstheme="minorHAnsi"/>
          <w:color w:val="7F7F7F" w:themeColor="text1" w:themeTint="80"/>
        </w:rPr>
        <w:t xml:space="preserve">The Bill will also allow a person’s identity, circumstances, and reasons for seeking access to information to be taken into account which considering if it is in the public interest to refuse to disclose the information. This may </w:t>
      </w:r>
      <w:r w:rsidRPr="007450CE">
        <w:rPr>
          <w:rFonts w:cstheme="minorHAnsi"/>
          <w:color w:val="7F7F7F" w:themeColor="text1" w:themeTint="80"/>
        </w:rPr>
        <w:lastRenderedPageBreak/>
        <w:t>further restrict access to information, as well as potentially limiting a person’s privacy protected under section 12 of the HRA.</w:t>
      </w:r>
      <w:r>
        <w:rPr>
          <w:rStyle w:val="FootnoteReference"/>
          <w:rFonts w:cstheme="minorHAnsi"/>
          <w:color w:val="7F7F7F" w:themeColor="text1" w:themeTint="80"/>
        </w:rPr>
        <w:footnoteReference w:id="6"/>
      </w:r>
    </w:p>
    <w:p w14:paraId="4BD12052" w14:textId="77777777" w:rsidR="00804408" w:rsidRDefault="00804408" w:rsidP="00804408">
      <w:pPr>
        <w:pStyle w:val="ListNumber2"/>
      </w:pPr>
      <w:r>
        <w:t>The Committee noted that these issues were addressed in the explanatory statement accompanying the Bill, and the statement characterises restrictions on the timeliness of access to information as being minor.</w:t>
      </w:r>
    </w:p>
    <w:p w14:paraId="30D1D370" w14:textId="77777777" w:rsidR="00804408" w:rsidRDefault="00804408" w:rsidP="00804408">
      <w:pPr>
        <w:pStyle w:val="ListNumber2"/>
      </w:pPr>
      <w:r>
        <w:t>The Committee left it to the Assembly to make any assessment of these claims relating to the practical impact of the Bill on access to government information.</w:t>
      </w:r>
    </w:p>
    <w:p w14:paraId="7CA94DDE" w14:textId="77777777" w:rsidR="00804408" w:rsidRPr="00521600" w:rsidRDefault="00804408" w:rsidP="00804408">
      <w:pPr>
        <w:pStyle w:val="ListNumber2"/>
      </w:pPr>
      <w:r>
        <w:t>The Committee drew these matters to the attention of the Assembly but did not require a response from the Minister.</w:t>
      </w:r>
      <w:r>
        <w:rPr>
          <w:rStyle w:val="FootnoteReference"/>
        </w:rPr>
        <w:footnoteReference w:id="7"/>
      </w:r>
      <w:r>
        <w:t xml:space="preserve"> </w:t>
      </w:r>
    </w:p>
    <w:p w14:paraId="061D4A38" w14:textId="77777777" w:rsidR="00804408" w:rsidRDefault="00804408" w:rsidP="000952B1">
      <w:pPr>
        <w:pStyle w:val="Heading2"/>
      </w:pPr>
      <w:bookmarkStart w:id="18" w:name="_Toc122604851"/>
      <w:r>
        <w:t>Key issues considered by the Committee</w:t>
      </w:r>
      <w:bookmarkEnd w:id="18"/>
      <w:r>
        <w:t xml:space="preserve"> </w:t>
      </w:r>
    </w:p>
    <w:p w14:paraId="2CB4F088" w14:textId="77777777" w:rsidR="00804408" w:rsidRPr="00025A58" w:rsidRDefault="00804408" w:rsidP="000952B1">
      <w:pPr>
        <w:pStyle w:val="Heading5"/>
      </w:pPr>
      <w:r>
        <w:t>Schedule 3 – Open Access information a reviewable decision</w:t>
      </w:r>
    </w:p>
    <w:p w14:paraId="347C4F00" w14:textId="34CCDD6D" w:rsidR="00804408" w:rsidRDefault="00804408" w:rsidP="00804408">
      <w:pPr>
        <w:pStyle w:val="ListNumber2"/>
      </w:pPr>
      <w:r>
        <w:t>The Bill proposes increasing the jurisdiction of the ACT Ombudsman to review decisions to make open access information publicly available under section 24(1) of the FOI Act.</w:t>
      </w:r>
      <w:r>
        <w:rPr>
          <w:rStyle w:val="FootnoteReference"/>
        </w:rPr>
        <w:footnoteReference w:id="8"/>
      </w:r>
      <w:r>
        <w:t xml:space="preserve"> </w:t>
      </w:r>
    </w:p>
    <w:p w14:paraId="1FEF7251" w14:textId="3E09300A" w:rsidR="00804408" w:rsidRPr="00895D51" w:rsidRDefault="00804408" w:rsidP="00804408">
      <w:pPr>
        <w:pStyle w:val="ListNumber2"/>
      </w:pPr>
      <w:r>
        <w:t xml:space="preserve">The ACT Ombudsman state the proposed amendments to Schedule 3 would allow a person affected to apply to the ACT Ombudsman for a review of the decision to make open access information publicly available. Of note is that the amendments to section 74 would require an application for review to made within 20 working days </w:t>
      </w:r>
      <w:r w:rsidRPr="0051437A">
        <w:rPr>
          <w:u w:val="single"/>
        </w:rPr>
        <w:t>after</w:t>
      </w:r>
      <w:r>
        <w:t xml:space="preserve"> the day the information was released. Further, the ACT Ombudsman expresses concerns about the practicality of undertaking a retrospective review, as the information will already be publicly available. Their ability to resolve reviews with any level of satisfaction may be impaired, given the information had already been published.</w:t>
      </w:r>
      <w:r>
        <w:rPr>
          <w:rStyle w:val="FootnoteReference"/>
        </w:rPr>
        <w:footnoteReference w:id="9"/>
      </w:r>
    </w:p>
    <w:p w14:paraId="4001538F" w14:textId="18158B65" w:rsidR="00804408" w:rsidRDefault="00804408" w:rsidP="00804408">
      <w:pPr>
        <w:pStyle w:val="ListNumber2"/>
      </w:pPr>
      <w:r>
        <w:t xml:space="preserve">The ACT Government noted the ACT Ombudsman’s concerns regarding retrospective reviews. However, the Government stated the </w:t>
      </w:r>
      <w:r w:rsidRPr="00AF4A36">
        <w:t>purpose is to increase the review opportunities for people whose interests are affected by a decision to publish information on Open Access</w:t>
      </w:r>
      <w:r>
        <w:t>. It was further noted that the Government appreciates the reviews may not be resolved with satisfaction, particularly if the Ombudsman was to vary a decision when information was already publicly available as the review was considered</w:t>
      </w:r>
      <w:r w:rsidR="00282B9C">
        <w:t xml:space="preserve"> stating:</w:t>
      </w:r>
    </w:p>
    <w:p w14:paraId="0DEF6F64" w14:textId="77777777" w:rsidR="00804408" w:rsidRDefault="00804408" w:rsidP="00804408">
      <w:pPr>
        <w:pStyle w:val="ListNumber2"/>
        <w:numPr>
          <w:ilvl w:val="0"/>
          <w:numId w:val="0"/>
        </w:numPr>
        <w:ind w:left="2160"/>
        <w:rPr>
          <w:color w:val="7F7F7F" w:themeColor="text1" w:themeTint="80"/>
        </w:rPr>
      </w:pPr>
      <w:r w:rsidRPr="00752CBF">
        <w:rPr>
          <w:color w:val="7F7F7F" w:themeColor="text1" w:themeTint="80"/>
        </w:rPr>
        <w:lastRenderedPageBreak/>
        <w:t>Prompt submission of a review request, and conduct of the review by the Ombudsman, may ameliorate some of the practical shortcomings of these reviews that the Ombudsman foresees.</w:t>
      </w:r>
      <w:r>
        <w:rPr>
          <w:rStyle w:val="FootnoteReference"/>
          <w:color w:val="7F7F7F" w:themeColor="text1" w:themeTint="80"/>
        </w:rPr>
        <w:footnoteReference w:id="10"/>
      </w:r>
    </w:p>
    <w:p w14:paraId="35910C05" w14:textId="77777777" w:rsidR="00804408" w:rsidRDefault="00804408" w:rsidP="000952B1">
      <w:pPr>
        <w:pStyle w:val="Heading5"/>
      </w:pPr>
      <w:r>
        <w:t xml:space="preserve">Committee Comment </w:t>
      </w:r>
    </w:p>
    <w:p w14:paraId="1886FA9A" w14:textId="77777777" w:rsidR="00804408" w:rsidRDefault="00804408" w:rsidP="00804408">
      <w:pPr>
        <w:pStyle w:val="ListNumber2"/>
      </w:pPr>
      <w:r>
        <w:t xml:space="preserve">The Committee notes the impracticality of the ACT Ombudsman conducting retrospective reviews in the circumstances above. Additionally, the Committee is concerned about the Ombudsman’s ability to resolve matters with satisfaction for the individual, particularly as the information could remain publicly available until after the review is finalised. </w:t>
      </w:r>
    </w:p>
    <w:p w14:paraId="0D48B72C" w14:textId="3B740908" w:rsidR="00804408" w:rsidRDefault="00804408" w:rsidP="00804408">
      <w:pPr>
        <w:pStyle w:val="ListNumber2"/>
      </w:pPr>
      <w:r>
        <w:t xml:space="preserve">The Committee is of the view that it may not be reasonable for the Government to suggest individuals make prompt submissions of review requests as this may not always be possible. For example, an individual may not have access to technology to lodge a request, the individual may have a disability, mental, physical health issues that impair their ability to make a prompt request, or an individual may not be able to access the appropriate office to lodge a request due to reduced opening hours (for example) over holiday periods.      </w:t>
      </w:r>
    </w:p>
    <w:tbl>
      <w:tblPr>
        <w:tblStyle w:val="Recommendationbox"/>
        <w:tblW w:w="0" w:type="auto"/>
        <w:tblLook w:val="04A0" w:firstRow="1" w:lastRow="0" w:firstColumn="1" w:lastColumn="0" w:noHBand="0" w:noVBand="1"/>
      </w:tblPr>
      <w:tblGrid>
        <w:gridCol w:w="8175"/>
      </w:tblGrid>
      <w:tr w:rsidR="00804408" w14:paraId="71D0FB34" w14:textId="77777777" w:rsidTr="0041234E">
        <w:tc>
          <w:tcPr>
            <w:tcW w:w="7891" w:type="dxa"/>
          </w:tcPr>
          <w:p w14:paraId="39A7C291" w14:textId="77777777" w:rsidR="00804408" w:rsidRDefault="00804408" w:rsidP="0041234E">
            <w:pPr>
              <w:pStyle w:val="Recommendationheading"/>
            </w:pPr>
            <w:bookmarkStart w:id="19" w:name="_Toc122605294"/>
            <w:r>
              <w:t xml:space="preserve">Recommendation </w:t>
            </w:r>
            <w:r>
              <w:fldChar w:fldCharType="begin"/>
            </w:r>
            <w:r>
              <w:instrText xml:space="preserve"> AUTONUMLGL \* Arabic\e </w:instrText>
            </w:r>
            <w:r>
              <w:fldChar w:fldCharType="end"/>
            </w:r>
            <w:bookmarkEnd w:id="19"/>
          </w:p>
          <w:p w14:paraId="73DFF543" w14:textId="77777777" w:rsidR="00804408" w:rsidRPr="00AA719E" w:rsidRDefault="00804408" w:rsidP="0041234E">
            <w:pPr>
              <w:pStyle w:val="Recommendationbody"/>
            </w:pPr>
            <w:bookmarkStart w:id="20" w:name="_Toc122605295"/>
            <w:r>
              <w:rPr>
                <w:color w:val="000000"/>
              </w:rPr>
              <w:t xml:space="preserve">The Committee recommends that the ACT Government amend the Freedom of Information Amendment Bill 2022, so that an application for review can be made </w:t>
            </w:r>
            <w:r w:rsidRPr="0051437A">
              <w:rPr>
                <w:color w:val="000000"/>
                <w:u w:val="single"/>
              </w:rPr>
              <w:t>before</w:t>
            </w:r>
            <w:r>
              <w:rPr>
                <w:color w:val="000000"/>
              </w:rPr>
              <w:t xml:space="preserve"> the information is published.</w:t>
            </w:r>
            <w:bookmarkEnd w:id="20"/>
          </w:p>
        </w:tc>
      </w:tr>
    </w:tbl>
    <w:p w14:paraId="7942016F" w14:textId="4AA7FEB6" w:rsidR="00804408" w:rsidRDefault="00804408" w:rsidP="00804408">
      <w:pPr>
        <w:pStyle w:val="ListNumber2"/>
      </w:pPr>
      <w:r w:rsidRPr="0052619C">
        <w:t xml:space="preserve">The ACT Ombudsman commented on </w:t>
      </w:r>
      <w:r>
        <w:t xml:space="preserve">the </w:t>
      </w:r>
      <w:r w:rsidRPr="0052619C">
        <w:t>potential increased workload for the office, due to increasing the scope of decisions that may be reviewed. The Ombudsman also stated that if they were not adequately resourced there may be either delay in these matters or delay elsewhere in the ACT Ombudsman’s responsibilities.</w:t>
      </w:r>
      <w:r>
        <w:rPr>
          <w:rStyle w:val="FootnoteReference"/>
        </w:rPr>
        <w:footnoteReference w:id="11"/>
      </w:r>
      <w:r w:rsidRPr="0052619C">
        <w:t xml:space="preserve"> </w:t>
      </w:r>
    </w:p>
    <w:p w14:paraId="743DEFCA" w14:textId="77777777" w:rsidR="00804408" w:rsidRDefault="00804408" w:rsidP="00804408">
      <w:pPr>
        <w:pStyle w:val="ListNumber2"/>
      </w:pPr>
      <w:r>
        <w:t>This was also supported by Professor Bruce Arnold:</w:t>
      </w:r>
    </w:p>
    <w:p w14:paraId="07250AF4" w14:textId="77777777" w:rsidR="00804408" w:rsidRDefault="00804408" w:rsidP="00804408">
      <w:pPr>
        <w:pStyle w:val="ListNumber2"/>
        <w:numPr>
          <w:ilvl w:val="0"/>
          <w:numId w:val="0"/>
        </w:numPr>
        <w:ind w:left="2160"/>
        <w:rPr>
          <w:color w:val="7F7F7F" w:themeColor="text1" w:themeTint="80"/>
        </w:rPr>
      </w:pPr>
      <w:r w:rsidRPr="007450CE">
        <w:rPr>
          <w:color w:val="7F7F7F" w:themeColor="text1" w:themeTint="80"/>
        </w:rPr>
        <w:t>There is value however in looking beyond formal change to the Act and ensuring that the government invests resources at the workf</w:t>
      </w:r>
      <w:r>
        <w:rPr>
          <w:color w:val="7F7F7F" w:themeColor="text1" w:themeTint="80"/>
        </w:rPr>
        <w:t>or</w:t>
      </w:r>
      <w:r w:rsidRPr="007450CE">
        <w:rPr>
          <w:color w:val="7F7F7F" w:themeColor="text1" w:themeTint="80"/>
        </w:rPr>
        <w:t>ce level to ensure that the Objects of the Act are met rather than being eroded through under-resourcing.</w:t>
      </w:r>
      <w:r>
        <w:rPr>
          <w:rStyle w:val="FootnoteReference"/>
          <w:color w:val="7F7F7F" w:themeColor="text1" w:themeTint="80"/>
        </w:rPr>
        <w:footnoteReference w:id="12"/>
      </w:r>
    </w:p>
    <w:p w14:paraId="3321DBC7" w14:textId="77777777" w:rsidR="00804408" w:rsidRPr="00A5412F" w:rsidRDefault="00804408" w:rsidP="00804408">
      <w:pPr>
        <w:pStyle w:val="ListNumber2"/>
      </w:pPr>
      <w:r w:rsidRPr="00A5412F">
        <w:t>The ACT Government stated they would continue to monitor the resourcing impact following the passage of the Bill</w:t>
      </w:r>
      <w:r w:rsidRPr="0052619C">
        <w:t>.</w:t>
      </w:r>
      <w:r>
        <w:rPr>
          <w:rStyle w:val="FootnoteReference"/>
        </w:rPr>
        <w:footnoteReference w:id="13"/>
      </w:r>
    </w:p>
    <w:p w14:paraId="34F9306B" w14:textId="77777777" w:rsidR="00804408" w:rsidRDefault="00804408" w:rsidP="000952B1">
      <w:pPr>
        <w:pStyle w:val="Heading5"/>
      </w:pPr>
      <w:r>
        <w:lastRenderedPageBreak/>
        <w:t xml:space="preserve">Committee Comment </w:t>
      </w:r>
    </w:p>
    <w:p w14:paraId="56C34B84" w14:textId="77777777" w:rsidR="00804408" w:rsidRDefault="00804408" w:rsidP="00804408">
      <w:pPr>
        <w:pStyle w:val="ListNumber2"/>
      </w:pPr>
      <w:r>
        <w:t xml:space="preserve">The Committee is of the view that if the ACT Government increases legislative responsibilities and workload for statutory office holders, they must be adequately resourced and staffed. </w:t>
      </w:r>
    </w:p>
    <w:tbl>
      <w:tblPr>
        <w:tblStyle w:val="Recommendationbox"/>
        <w:tblW w:w="0" w:type="auto"/>
        <w:tblLook w:val="04A0" w:firstRow="1" w:lastRow="0" w:firstColumn="1" w:lastColumn="0" w:noHBand="0" w:noVBand="1"/>
      </w:tblPr>
      <w:tblGrid>
        <w:gridCol w:w="8175"/>
      </w:tblGrid>
      <w:tr w:rsidR="00804408" w14:paraId="17FFF5B1" w14:textId="77777777" w:rsidTr="0041234E">
        <w:tc>
          <w:tcPr>
            <w:tcW w:w="7891" w:type="dxa"/>
          </w:tcPr>
          <w:p w14:paraId="1D34EE35" w14:textId="77777777" w:rsidR="00804408" w:rsidRDefault="00804408" w:rsidP="0041234E">
            <w:pPr>
              <w:pStyle w:val="Recommendationheading"/>
            </w:pPr>
            <w:bookmarkStart w:id="21" w:name="_Toc122605296"/>
            <w:r>
              <w:t xml:space="preserve">Recommendation </w:t>
            </w:r>
            <w:r>
              <w:fldChar w:fldCharType="begin"/>
            </w:r>
            <w:r>
              <w:instrText xml:space="preserve"> AUTONUMLGL \* Arabic\e </w:instrText>
            </w:r>
            <w:r>
              <w:fldChar w:fldCharType="end"/>
            </w:r>
            <w:bookmarkEnd w:id="21"/>
          </w:p>
          <w:p w14:paraId="12A32646" w14:textId="77777777" w:rsidR="00804408" w:rsidRPr="00AA719E" w:rsidRDefault="00804408" w:rsidP="0041234E">
            <w:pPr>
              <w:pStyle w:val="Recommendationbody"/>
            </w:pPr>
            <w:bookmarkStart w:id="22" w:name="_Toc122605297"/>
            <w:r>
              <w:rPr>
                <w:color w:val="000000"/>
              </w:rPr>
              <w:t xml:space="preserve">The Committee recommends that the ACT Government </w:t>
            </w:r>
            <w:r>
              <w:t>ensure the ACT Ombudsman is sufficiently resourced to manage any resulting increase in workload prior to commencement of the Freedom of Information Amendment Bill 2022.</w:t>
            </w:r>
            <w:bookmarkEnd w:id="22"/>
          </w:p>
        </w:tc>
      </w:tr>
    </w:tbl>
    <w:p w14:paraId="6848187A" w14:textId="77777777" w:rsidR="00804408" w:rsidRDefault="00804408" w:rsidP="000952B1">
      <w:pPr>
        <w:pStyle w:val="Heading5"/>
      </w:pPr>
      <w:r>
        <w:t>Section 40 – Extend timeframe to decide</w:t>
      </w:r>
    </w:p>
    <w:p w14:paraId="30DFED31" w14:textId="51E62A4E" w:rsidR="00804408" w:rsidRPr="008A6A55" w:rsidRDefault="00804408" w:rsidP="00804408">
      <w:pPr>
        <w:pStyle w:val="ListNumber2"/>
      </w:pPr>
      <w:r>
        <w:t xml:space="preserve">The </w:t>
      </w:r>
      <w:r w:rsidRPr="001A40E9">
        <w:t>Bill increase</w:t>
      </w:r>
      <w:r>
        <w:t>s</w:t>
      </w:r>
      <w:r w:rsidRPr="001A40E9">
        <w:t xml:space="preserve"> the initial time to decide access applications from 20 to 30 working days</w:t>
      </w:r>
      <w:r>
        <w:t xml:space="preserve"> ‘</w:t>
      </w:r>
      <w:r w:rsidRPr="001A40E9">
        <w:t>to better reflect processing times under the Act and</w:t>
      </w:r>
      <w:r>
        <w:t xml:space="preserve"> avoid</w:t>
      </w:r>
      <w:r w:rsidRPr="001A40E9">
        <w:t xml:space="preserve"> the need to request small extensions that are granted in most instances.</w:t>
      </w:r>
      <w:r>
        <w:t>’</w:t>
      </w:r>
      <w:r w:rsidRPr="005847A4">
        <w:rPr>
          <w:rStyle w:val="FootnoteReference"/>
        </w:rPr>
        <w:footnoteReference w:id="14"/>
      </w:r>
      <w:r w:rsidRPr="005847A4">
        <w:t xml:space="preserve"> Data regarding the average processing times for processing FOI applications are included in the explanatory statement noting that averages exceeded 20 working days, but processing time averaged 27 days or less.</w:t>
      </w:r>
      <w:r w:rsidRPr="005847A4">
        <w:rPr>
          <w:rStyle w:val="FootnoteReference"/>
        </w:rPr>
        <w:footnoteReference w:id="15"/>
      </w:r>
      <w:r w:rsidRPr="005847A4">
        <w:t xml:space="preserve"> The ACT Ombudsman’s submission not</w:t>
      </w:r>
      <w:r w:rsidR="00282B9C">
        <w:t>es</w:t>
      </w:r>
      <w:r w:rsidRPr="005847A4">
        <w:t xml:space="preserve"> that most (about 95 percent in the 2019-2020</w:t>
      </w:r>
      <w:r>
        <w:t xml:space="preserve"> Financial Year) applications are processed within 20 working days or in a timeframe agreed to by the access applicant</w:t>
      </w:r>
      <w:r w:rsidRPr="001A40E9">
        <w:t>.</w:t>
      </w:r>
      <w:r>
        <w:rPr>
          <w:rStyle w:val="FootnoteReference"/>
        </w:rPr>
        <w:footnoteReference w:id="16"/>
      </w:r>
      <w:r>
        <w:t xml:space="preserve">  </w:t>
      </w:r>
    </w:p>
    <w:p w14:paraId="199B47B8" w14:textId="77777777" w:rsidR="00804408" w:rsidRPr="002142EE" w:rsidRDefault="00804408" w:rsidP="00804408">
      <w:pPr>
        <w:pStyle w:val="ListNumber2"/>
        <w:rPr>
          <w:color w:val="7F7F7F" w:themeColor="text1" w:themeTint="80"/>
        </w:rPr>
      </w:pPr>
      <w:r w:rsidRPr="001A40E9">
        <w:t xml:space="preserve">The ACT Ombudsman described the extension process during recent Annual Reports hearings, </w:t>
      </w:r>
      <w:r>
        <w:t>acknowledging</w:t>
      </w:r>
      <w:r w:rsidRPr="001A40E9">
        <w:t xml:space="preserve"> that FOI applications are complex. </w:t>
      </w:r>
      <w:r>
        <w:t xml:space="preserve">The ACT Ombudsman commented on </w:t>
      </w:r>
      <w:r w:rsidRPr="001A40E9">
        <w:t>negotiation during FOI applications</w:t>
      </w:r>
      <w:r>
        <w:t xml:space="preserve">, stating it </w:t>
      </w:r>
      <w:r w:rsidRPr="001A40E9">
        <w:t xml:space="preserve">takes time to </w:t>
      </w:r>
      <w:r>
        <w:tab/>
      </w:r>
      <w:r w:rsidRPr="001A40E9">
        <w:t>determine what documents the applicant wants to access</w:t>
      </w:r>
      <w:r>
        <w:t>,</w:t>
      </w:r>
      <w:r w:rsidRPr="001A40E9">
        <w:t xml:space="preserve"> as often they do not know what the directorate has, and</w:t>
      </w:r>
      <w:r>
        <w:t xml:space="preserve"> that</w:t>
      </w:r>
      <w:r w:rsidRPr="001A40E9">
        <w:t xml:space="preserve"> large volumes of documentation </w:t>
      </w:r>
      <w:r>
        <w:t>need to</w:t>
      </w:r>
      <w:r w:rsidRPr="001A40E9">
        <w:t xml:space="preserve"> be considered. </w:t>
      </w:r>
      <w:r>
        <w:t>The Ombudsman</w:t>
      </w:r>
      <w:r w:rsidRPr="001A40E9">
        <w:t xml:space="preserve"> went on to say that he thinks the time frames and processing times are challenging, even with an extension</w:t>
      </w:r>
      <w:r w:rsidRPr="002142EE">
        <w:rPr>
          <w:color w:val="auto"/>
        </w:rPr>
        <w:t>.</w:t>
      </w:r>
      <w:r w:rsidRPr="007450CE">
        <w:rPr>
          <w:rStyle w:val="FootnoteReference"/>
          <w:color w:val="auto"/>
        </w:rPr>
        <w:footnoteReference w:id="17"/>
      </w:r>
    </w:p>
    <w:p w14:paraId="751B2C4A" w14:textId="77777777" w:rsidR="00804408" w:rsidRDefault="00804408" w:rsidP="00804408">
      <w:pPr>
        <w:pStyle w:val="ListNumber2"/>
      </w:pPr>
      <w:r>
        <w:t xml:space="preserve">The ACT Government also commented these amendments may reduce the administration requirements associated with FOI extension requests. The ACT Government commented that in 2021-22 there were 264 applications for an extension in time from the applicant or the Ombudsman, and that </w:t>
      </w:r>
      <w:r w:rsidRPr="00AD4E6A">
        <w:t>six out of eight Directorates had an average processing time of 25 days or less</w:t>
      </w:r>
      <w:r>
        <w:t>.</w:t>
      </w:r>
      <w:r>
        <w:rPr>
          <w:rStyle w:val="FootnoteReference"/>
        </w:rPr>
        <w:footnoteReference w:id="18"/>
      </w:r>
    </w:p>
    <w:p w14:paraId="2E7F19E8" w14:textId="33D7FAA1" w:rsidR="00804408" w:rsidRDefault="00804408" w:rsidP="00804408">
      <w:pPr>
        <w:pStyle w:val="ListNumber2"/>
      </w:pPr>
      <w:r>
        <w:t>During Annual Reports hearings, the ACT Ombudsman described the process for an agency to obtain an agreement for extension, including a request for extension, for an FOI application as a simple</w:t>
      </w:r>
      <w:r w:rsidR="008F320D">
        <w:t xml:space="preserve"> one</w:t>
      </w:r>
      <w:r>
        <w:t>.</w:t>
      </w:r>
      <w:r>
        <w:rPr>
          <w:rStyle w:val="FootnoteReference"/>
        </w:rPr>
        <w:footnoteReference w:id="19"/>
      </w:r>
      <w:r>
        <w:t xml:space="preserve"> </w:t>
      </w:r>
    </w:p>
    <w:p w14:paraId="07292AF1" w14:textId="56EFAB9E" w:rsidR="00804408" w:rsidRPr="008F320D" w:rsidRDefault="00804408" w:rsidP="000E0869">
      <w:pPr>
        <w:pStyle w:val="ListNumber2"/>
        <w:numPr>
          <w:ilvl w:val="0"/>
          <w:numId w:val="0"/>
        </w:numPr>
        <w:ind w:left="1419" w:hanging="851"/>
        <w:rPr>
          <w:strike/>
        </w:rPr>
      </w:pPr>
    </w:p>
    <w:tbl>
      <w:tblPr>
        <w:tblStyle w:val="Recommendationbox"/>
        <w:tblW w:w="0" w:type="auto"/>
        <w:tblLook w:val="04A0" w:firstRow="1" w:lastRow="0" w:firstColumn="1" w:lastColumn="0" w:noHBand="0" w:noVBand="1"/>
      </w:tblPr>
      <w:tblGrid>
        <w:gridCol w:w="8175"/>
      </w:tblGrid>
      <w:tr w:rsidR="00804408" w14:paraId="13943F99" w14:textId="77777777" w:rsidTr="0041234E">
        <w:tc>
          <w:tcPr>
            <w:tcW w:w="7891" w:type="dxa"/>
          </w:tcPr>
          <w:p w14:paraId="51612143" w14:textId="77777777" w:rsidR="00804408" w:rsidRDefault="00804408" w:rsidP="0041234E">
            <w:pPr>
              <w:pStyle w:val="Recommendationheading"/>
            </w:pPr>
            <w:bookmarkStart w:id="23" w:name="_Toc122605298"/>
            <w:r>
              <w:t xml:space="preserve">Recommendation </w:t>
            </w:r>
            <w:r>
              <w:fldChar w:fldCharType="begin"/>
            </w:r>
            <w:r>
              <w:instrText xml:space="preserve"> AUTONUMLGL \* Arabic\e </w:instrText>
            </w:r>
            <w:r>
              <w:fldChar w:fldCharType="end"/>
            </w:r>
            <w:bookmarkEnd w:id="23"/>
          </w:p>
          <w:p w14:paraId="1645ECA5" w14:textId="38A7C794" w:rsidR="00804408" w:rsidRPr="008C3197" w:rsidRDefault="00804408" w:rsidP="0041234E">
            <w:pPr>
              <w:pStyle w:val="Recommendationbody"/>
              <w:rPr>
                <w:b/>
                <w:bCs/>
              </w:rPr>
            </w:pPr>
            <w:bookmarkStart w:id="24" w:name="_Toc122605299"/>
            <w:r>
              <w:rPr>
                <w:color w:val="000000"/>
              </w:rPr>
              <w:t xml:space="preserve">The Committee recommends </w:t>
            </w:r>
            <w:r w:rsidR="00976247">
              <w:rPr>
                <w:color w:val="000000"/>
              </w:rPr>
              <w:t>that the ACT Government demonstrate to the Assembly why the extension of time</w:t>
            </w:r>
            <w:r w:rsidR="000E0869">
              <w:rPr>
                <w:color w:val="000000"/>
              </w:rPr>
              <w:t xml:space="preserve"> for processing applications</w:t>
            </w:r>
            <w:r w:rsidR="00976247">
              <w:rPr>
                <w:color w:val="000000"/>
              </w:rPr>
              <w:t xml:space="preserve"> is needed.</w:t>
            </w:r>
            <w:bookmarkEnd w:id="24"/>
            <w:r w:rsidR="00976247">
              <w:rPr>
                <w:color w:val="000000"/>
              </w:rPr>
              <w:t xml:space="preserve"> </w:t>
            </w:r>
          </w:p>
        </w:tc>
      </w:tr>
    </w:tbl>
    <w:p w14:paraId="39589943" w14:textId="5B6A510D" w:rsidR="00804408" w:rsidRDefault="00804408" w:rsidP="000952B1">
      <w:pPr>
        <w:pStyle w:val="Heading5"/>
      </w:pPr>
      <w:r w:rsidDel="00DC60A2">
        <w:t xml:space="preserve"> </w:t>
      </w:r>
      <w:r>
        <w:t>Section 17 – Public interest test</w:t>
      </w:r>
    </w:p>
    <w:p w14:paraId="16FC8086" w14:textId="57F48C3C" w:rsidR="00804408" w:rsidRDefault="00804408" w:rsidP="00804408">
      <w:pPr>
        <w:pStyle w:val="ListNumber2"/>
      </w:pPr>
      <w:r>
        <w:t>The Bill contains changes (new s</w:t>
      </w:r>
      <w:r w:rsidR="00282B9C">
        <w:t>ubs</w:t>
      </w:r>
      <w:r>
        <w:t>ection 17 (3)) ‘to allow an applicant’s identity, circumstances and reason for seeking access to the information to be taken into account in the determination of whether information is contrary to the public interest to disclose, in circumstances where the applicant is seeking personal information that is not their own.’</w:t>
      </w:r>
      <w:r>
        <w:rPr>
          <w:rStyle w:val="FootnoteReference"/>
        </w:rPr>
        <w:footnoteReference w:id="20"/>
      </w:r>
      <w:r>
        <w:t xml:space="preserve">  </w:t>
      </w:r>
    </w:p>
    <w:p w14:paraId="6FDB5EB5" w14:textId="77777777" w:rsidR="00804408" w:rsidRDefault="00804408" w:rsidP="00804408">
      <w:pPr>
        <w:pStyle w:val="ListNumber2"/>
      </w:pPr>
      <w:r>
        <w:t>The ACT Ombudsman tentatively supported this provision, commenting that the FOI Act already includes a range of protections that restrict the release or publication of personal information. The ACT Ombudsman further commented that they have reservations about the provision, noting there may be cases where access to personal information may allow irrelevant factors to be considered, which may undermine the public interest. The ACT Ombudsman states that, should the amendment be made, clear guidance should be provided on how personal information should be considered when undertaking the public interest test.</w:t>
      </w:r>
      <w:r>
        <w:rPr>
          <w:rStyle w:val="FootnoteReference"/>
        </w:rPr>
        <w:footnoteReference w:id="21"/>
      </w:r>
      <w:r>
        <w:t xml:space="preserve"> </w:t>
      </w:r>
    </w:p>
    <w:p w14:paraId="4DCD3147" w14:textId="77777777" w:rsidR="00804408" w:rsidRDefault="00804408" w:rsidP="00804408">
      <w:pPr>
        <w:pStyle w:val="ListNumber2"/>
      </w:pPr>
      <w:r>
        <w:t>The ACT Government have supported this view stating they would work with the ACT Ombudsman to develop guidance material following the passing of the Bill.</w:t>
      </w:r>
      <w:r>
        <w:rPr>
          <w:rStyle w:val="FootnoteReference"/>
        </w:rPr>
        <w:footnoteReference w:id="22"/>
      </w:r>
      <w:r>
        <w:t xml:space="preserve"> </w:t>
      </w:r>
    </w:p>
    <w:p w14:paraId="53E83D72" w14:textId="77777777" w:rsidR="00804408" w:rsidRDefault="00804408" w:rsidP="000952B1">
      <w:pPr>
        <w:pStyle w:val="Heading5"/>
      </w:pPr>
      <w:r>
        <w:t xml:space="preserve">Committee Comment </w:t>
      </w:r>
    </w:p>
    <w:p w14:paraId="35980322" w14:textId="77777777" w:rsidR="00976247" w:rsidRDefault="00804408" w:rsidP="00976247">
      <w:pPr>
        <w:pStyle w:val="ListNumber2"/>
      </w:pPr>
      <w:r>
        <w:t xml:space="preserve">The Committee is of the view that given the possible risks to the public interest test, there is benefit in developing guidelines and this should be referenced in the explanatory statement. </w:t>
      </w:r>
    </w:p>
    <w:tbl>
      <w:tblPr>
        <w:tblStyle w:val="Recommendationbox"/>
        <w:tblW w:w="0" w:type="auto"/>
        <w:tblLook w:val="04A0" w:firstRow="1" w:lastRow="0" w:firstColumn="1" w:lastColumn="0" w:noHBand="0" w:noVBand="1"/>
      </w:tblPr>
      <w:tblGrid>
        <w:gridCol w:w="8175"/>
      </w:tblGrid>
      <w:tr w:rsidR="00804408" w14:paraId="5DAC5A03" w14:textId="77777777" w:rsidTr="0041234E">
        <w:tc>
          <w:tcPr>
            <w:tcW w:w="7891" w:type="dxa"/>
          </w:tcPr>
          <w:p w14:paraId="3EC5F350" w14:textId="40E7B70C" w:rsidR="00804408" w:rsidRDefault="00804408" w:rsidP="0041234E">
            <w:pPr>
              <w:pStyle w:val="Recommendationheading"/>
            </w:pPr>
            <w:bookmarkStart w:id="25" w:name="_Toc122605300"/>
            <w:r>
              <w:t xml:space="preserve">Recommendation </w:t>
            </w:r>
            <w:r>
              <w:fldChar w:fldCharType="begin"/>
            </w:r>
            <w:r>
              <w:instrText xml:space="preserve"> AUTONUMLGL \* Arabic\e </w:instrText>
            </w:r>
            <w:r>
              <w:fldChar w:fldCharType="end"/>
            </w:r>
            <w:bookmarkEnd w:id="25"/>
          </w:p>
          <w:p w14:paraId="4B141D14" w14:textId="77777777" w:rsidR="00804408" w:rsidRPr="00AA719E" w:rsidRDefault="00804408" w:rsidP="0041234E">
            <w:pPr>
              <w:pStyle w:val="Recommendationbody"/>
            </w:pPr>
            <w:bookmarkStart w:id="26" w:name="_Toc122605301"/>
            <w:r>
              <w:rPr>
                <w:color w:val="000000"/>
              </w:rPr>
              <w:t>The Committee recommends that ACT Government and ACT Ombudsman work to produce guidance material on the public interest test in the Freedom of Information Amendment Bill 2022 for decision-makers, and that the explanatory statement references that guidelines will be developed to guide decision makers.</w:t>
            </w:r>
            <w:bookmarkEnd w:id="26"/>
          </w:p>
        </w:tc>
      </w:tr>
    </w:tbl>
    <w:p w14:paraId="38060573" w14:textId="77777777" w:rsidR="00804408" w:rsidRPr="00B96E22" w:rsidRDefault="00804408" w:rsidP="00804408">
      <w:pPr>
        <w:pStyle w:val="ListNumber2"/>
        <w:numPr>
          <w:ilvl w:val="0"/>
          <w:numId w:val="0"/>
        </w:numPr>
        <w:ind w:left="1440"/>
        <w:rPr>
          <w:color w:val="808080" w:themeColor="background1" w:themeShade="80"/>
        </w:rPr>
      </w:pPr>
    </w:p>
    <w:p w14:paraId="5A0BD6E1" w14:textId="77777777" w:rsidR="00804408" w:rsidRPr="00025A58" w:rsidRDefault="00804408" w:rsidP="000952B1">
      <w:pPr>
        <w:pStyle w:val="Heading5"/>
      </w:pPr>
      <w:r>
        <w:lastRenderedPageBreak/>
        <w:t xml:space="preserve">Section 39 – Decision not made in time </w:t>
      </w:r>
    </w:p>
    <w:p w14:paraId="133F683B" w14:textId="77777777" w:rsidR="00804408" w:rsidRPr="00D76E5A" w:rsidRDefault="00804408" w:rsidP="00804408">
      <w:pPr>
        <w:pStyle w:val="ListNumber2"/>
      </w:pPr>
      <w:r w:rsidRPr="00D76E5A">
        <w:t>The Bill makes changes to require ‘in circumstances where the Ombudsman is given notice that a decision relating to an application was not made within the time allowed under section, or extended under section 41 or 42, the relevant Minister must ensure that a copy of the notice is presented to the Legislative Assembly within six sitting days after the access application (including any review or appeal) is finally decided’ and ‘removes the obligation in section 39(4) to give notice to the Legislative Assembly of decisions not made in time if the Ombudsman extended the time for the respondent to decide the access application under section 78, or because the access application is only for personal information’.</w:t>
      </w:r>
      <w:r w:rsidRPr="00D76E5A">
        <w:rPr>
          <w:rStyle w:val="FootnoteReference"/>
        </w:rPr>
        <w:footnoteReference w:id="23"/>
      </w:r>
    </w:p>
    <w:p w14:paraId="028E67E5" w14:textId="0B971F15" w:rsidR="00804408" w:rsidRPr="00C24B52" w:rsidRDefault="00804408" w:rsidP="00804408">
      <w:pPr>
        <w:pStyle w:val="ListNumber2"/>
      </w:pPr>
      <w:r w:rsidRPr="00C24B52">
        <w:t>The ACT Ombudsman does not support this amendment</w:t>
      </w:r>
      <w:r>
        <w:t xml:space="preserve"> noting that currently,</w:t>
      </w:r>
      <w:r w:rsidRPr="00C24B52">
        <w:t xml:space="preserve"> section 39(4) is an accountability measure, ensuring visibility of number of deemed refusals, and to confirm when the application as finally been decided.</w:t>
      </w:r>
      <w:r w:rsidRPr="00C24B52">
        <w:rPr>
          <w:rStyle w:val="FootnoteReference"/>
        </w:rPr>
        <w:footnoteReference w:id="24"/>
      </w:r>
      <w:r w:rsidRPr="00C24B52">
        <w:t xml:space="preserve"> </w:t>
      </w:r>
    </w:p>
    <w:p w14:paraId="2C34621B" w14:textId="77777777" w:rsidR="00804408" w:rsidRDefault="00804408" w:rsidP="00804408">
      <w:pPr>
        <w:pStyle w:val="ListNumber2"/>
      </w:pPr>
      <w:r>
        <w:t xml:space="preserve">The ACT Government responded saying </w:t>
      </w:r>
      <w:r w:rsidRPr="007F6C2A">
        <w:t>the proposed amendment is only to remove the need for the Minister to report on deemed refusals of access to personal information</w:t>
      </w:r>
      <w:r>
        <w:t xml:space="preserve">. The ACT Government noted this information is compiled in the ACT Ombudsman’s </w:t>
      </w:r>
      <w:r w:rsidRPr="007F6C2A">
        <w:t xml:space="preserve">Annual Reports that are tabled in each year. </w:t>
      </w:r>
      <w:r>
        <w:t>They further stated that given the privacy surrounding personal information, it is not possible to draft written notice to the Assembly that provides useful context or assists in scrutinising the application and processing.</w:t>
      </w:r>
      <w:r>
        <w:rPr>
          <w:rStyle w:val="FootnoteReference"/>
        </w:rPr>
        <w:footnoteReference w:id="25"/>
      </w:r>
      <w:r>
        <w:t xml:space="preserve"> </w:t>
      </w:r>
    </w:p>
    <w:p w14:paraId="70A47C33" w14:textId="77777777" w:rsidR="00804408" w:rsidRDefault="00804408" w:rsidP="000952B1">
      <w:pPr>
        <w:pStyle w:val="Heading5"/>
      </w:pPr>
      <w:r>
        <w:t xml:space="preserve">Committee Comment </w:t>
      </w:r>
    </w:p>
    <w:p w14:paraId="73329123" w14:textId="77777777" w:rsidR="00804408" w:rsidRDefault="00804408" w:rsidP="00804408">
      <w:pPr>
        <w:pStyle w:val="ListNumber2"/>
      </w:pPr>
      <w:r>
        <w:t xml:space="preserve">The Committee is of the view that section 39 provides valuable scrutiny and accountability for decisions not made in time. The Committee does not believe that it is appropriate that the oversight and accountability currently in section 39 is </w:t>
      </w:r>
      <w:r w:rsidR="008F320D">
        <w:t xml:space="preserve">entirely </w:t>
      </w:r>
      <w:r>
        <w:t>relegated to the ACT Ombudsman’s Annual Reports.</w:t>
      </w:r>
    </w:p>
    <w:tbl>
      <w:tblPr>
        <w:tblStyle w:val="Recommendationbox"/>
        <w:tblW w:w="0" w:type="auto"/>
        <w:tblLook w:val="04A0" w:firstRow="1" w:lastRow="0" w:firstColumn="1" w:lastColumn="0" w:noHBand="0" w:noVBand="1"/>
      </w:tblPr>
      <w:tblGrid>
        <w:gridCol w:w="8175"/>
      </w:tblGrid>
      <w:tr w:rsidR="00804408" w14:paraId="4FA31442" w14:textId="77777777" w:rsidTr="0041234E">
        <w:tc>
          <w:tcPr>
            <w:tcW w:w="7891" w:type="dxa"/>
          </w:tcPr>
          <w:p w14:paraId="66DFC59C" w14:textId="4EA269A5" w:rsidR="00804408" w:rsidRDefault="00804408" w:rsidP="0041234E">
            <w:pPr>
              <w:pStyle w:val="Recommendationheading"/>
            </w:pPr>
            <w:r>
              <w:br w:type="page"/>
            </w:r>
            <w:bookmarkStart w:id="27" w:name="_Toc122605302"/>
            <w:r>
              <w:t xml:space="preserve">Recommendation </w:t>
            </w:r>
            <w:r>
              <w:fldChar w:fldCharType="begin"/>
            </w:r>
            <w:r>
              <w:instrText xml:space="preserve"> AUTONUMLGL \* Arabic\e </w:instrText>
            </w:r>
            <w:r>
              <w:fldChar w:fldCharType="end"/>
            </w:r>
            <w:bookmarkEnd w:id="27"/>
          </w:p>
          <w:p w14:paraId="31ACDCE5" w14:textId="2A5E06F6" w:rsidR="00804408" w:rsidRPr="00AA719E" w:rsidRDefault="00804408" w:rsidP="000E0869">
            <w:pPr>
              <w:pStyle w:val="Recommendationbody"/>
            </w:pPr>
            <w:bookmarkStart w:id="28" w:name="_Toc122605303"/>
            <w:bookmarkStart w:id="29" w:name="_Hlk122604964"/>
            <w:r>
              <w:rPr>
                <w:color w:val="000000"/>
              </w:rPr>
              <w:t>The Committee recommends that the ACT Government amend the proposed amendments to section 39 of the Freedom of Information Amendment Bill so the responsible Minister is to provide quarterly reports to the Assembly.</w:t>
            </w:r>
            <w:bookmarkEnd w:id="28"/>
            <w:r w:rsidR="008B6CB6">
              <w:rPr>
                <w:color w:val="000000"/>
              </w:rPr>
              <w:t xml:space="preserve"> </w:t>
            </w:r>
            <w:bookmarkEnd w:id="29"/>
          </w:p>
        </w:tc>
      </w:tr>
    </w:tbl>
    <w:p w14:paraId="3E4D045D" w14:textId="29FEA231" w:rsidR="00804408" w:rsidRDefault="00804408" w:rsidP="000952B1">
      <w:pPr>
        <w:pStyle w:val="Heading5"/>
      </w:pPr>
      <w:r>
        <w:t xml:space="preserve">Section 47 – Forms of access </w:t>
      </w:r>
    </w:p>
    <w:p w14:paraId="2BAD3C34" w14:textId="77777777" w:rsidR="00804408" w:rsidRDefault="00804408" w:rsidP="00804408">
      <w:pPr>
        <w:pStyle w:val="ListNumber2"/>
      </w:pPr>
      <w:r>
        <w:t xml:space="preserve">The Bill makes changes to provide that ‘information may be given to the applicant in a form other than the form requested by the applicant, but only if it is not reasonably practicable for the respondent to give access in the form requested and </w:t>
      </w:r>
      <w:r>
        <w:lastRenderedPageBreak/>
        <w:t>the respondent is reasonably satisfied that the applicant can receive the information in the alternative form.’</w:t>
      </w:r>
      <w:r>
        <w:rPr>
          <w:rStyle w:val="FootnoteReference"/>
        </w:rPr>
        <w:footnoteReference w:id="26"/>
      </w:r>
    </w:p>
    <w:p w14:paraId="2FEB5741" w14:textId="77777777" w:rsidR="00804408" w:rsidRDefault="00804408" w:rsidP="00804408">
      <w:pPr>
        <w:pStyle w:val="ListNumber2"/>
      </w:pPr>
      <w:r>
        <w:t>The ACT Ombudsman stated they do not support this amendment:</w:t>
      </w:r>
    </w:p>
    <w:p w14:paraId="727F3393" w14:textId="14500D6A" w:rsidR="00804408" w:rsidRPr="00C20382" w:rsidRDefault="0076769A" w:rsidP="0076769A">
      <w:pPr>
        <w:pStyle w:val="ListNumber4"/>
        <w:numPr>
          <w:ilvl w:val="0"/>
          <w:numId w:val="0"/>
        </w:numPr>
        <w:ind w:left="2160"/>
        <w:rPr>
          <w:color w:val="7F7F7F" w:themeColor="text1" w:themeTint="80"/>
        </w:rPr>
      </w:pPr>
      <w:r>
        <w:rPr>
          <w:color w:val="7F7F7F" w:themeColor="text1" w:themeTint="80"/>
        </w:rPr>
        <w:t>…</w:t>
      </w:r>
      <w:r w:rsidR="00804408" w:rsidRPr="00C20382">
        <w:rPr>
          <w:color w:val="7F7F7F" w:themeColor="text1" w:themeTint="80"/>
        </w:rPr>
        <w:t>existing provisions</w:t>
      </w:r>
      <w:r>
        <w:rPr>
          <w:color w:val="7F7F7F" w:themeColor="text1" w:themeTint="80"/>
        </w:rPr>
        <w:t xml:space="preserve"> already achieve an appropriate</w:t>
      </w:r>
      <w:r w:rsidR="00804408" w:rsidRPr="00C20382">
        <w:rPr>
          <w:color w:val="7F7F7F" w:themeColor="text1" w:themeTint="80"/>
        </w:rPr>
        <w:t xml:space="preserve"> balance </w:t>
      </w:r>
      <w:r>
        <w:rPr>
          <w:color w:val="7F7F7F" w:themeColor="text1" w:themeTint="80"/>
        </w:rPr>
        <w:t xml:space="preserve">between </w:t>
      </w:r>
      <w:r w:rsidR="00804408" w:rsidRPr="00C20382">
        <w:rPr>
          <w:color w:val="7F7F7F" w:themeColor="text1" w:themeTint="80"/>
        </w:rPr>
        <w:t xml:space="preserve">the interests of </w:t>
      </w:r>
      <w:r>
        <w:rPr>
          <w:color w:val="7F7F7F" w:themeColor="text1" w:themeTint="80"/>
        </w:rPr>
        <w:t xml:space="preserve">respondent </w:t>
      </w:r>
      <w:r w:rsidR="00804408" w:rsidRPr="00C20382">
        <w:rPr>
          <w:color w:val="7F7F7F" w:themeColor="text1" w:themeTint="80"/>
        </w:rPr>
        <w:t xml:space="preserve">agencies and </w:t>
      </w:r>
      <w:r w:rsidRPr="00C20382">
        <w:rPr>
          <w:color w:val="7F7F7F" w:themeColor="text1" w:themeTint="80"/>
        </w:rPr>
        <w:t>applica</w:t>
      </w:r>
      <w:r>
        <w:rPr>
          <w:color w:val="7F7F7F" w:themeColor="text1" w:themeTint="80"/>
        </w:rPr>
        <w:t>nt</w:t>
      </w:r>
      <w:r w:rsidRPr="00C20382">
        <w:rPr>
          <w:color w:val="7F7F7F" w:themeColor="text1" w:themeTint="80"/>
        </w:rPr>
        <w:t xml:space="preserve">s </w:t>
      </w:r>
      <w:r w:rsidR="00804408" w:rsidRPr="00C20382">
        <w:rPr>
          <w:color w:val="7F7F7F" w:themeColor="text1" w:themeTint="80"/>
        </w:rPr>
        <w:t xml:space="preserve">by allowing for exceptions due to unreasonableness. </w:t>
      </w:r>
    </w:p>
    <w:p w14:paraId="14EA7BE0" w14:textId="5E1F53DA" w:rsidR="00804408" w:rsidRDefault="00804408" w:rsidP="0076769A">
      <w:pPr>
        <w:pStyle w:val="ListNumber4"/>
        <w:numPr>
          <w:ilvl w:val="0"/>
          <w:numId w:val="0"/>
        </w:numPr>
        <w:ind w:left="2160"/>
      </w:pPr>
      <w:r w:rsidRPr="00C20382">
        <w:rPr>
          <w:color w:val="7F7F7F" w:themeColor="text1" w:themeTint="80"/>
        </w:rPr>
        <w:t xml:space="preserve">Applicants may request access in a particular form due to a disability or vulnerability. We remain concerned that access may be given in an </w:t>
      </w:r>
      <w:r w:rsidR="001975D7" w:rsidRPr="00C20382">
        <w:rPr>
          <w:color w:val="7F7F7F" w:themeColor="text1" w:themeTint="80"/>
        </w:rPr>
        <w:t>alternative</w:t>
      </w:r>
      <w:r w:rsidRPr="00C20382">
        <w:rPr>
          <w:color w:val="7F7F7F" w:themeColor="text1" w:themeTint="80"/>
        </w:rPr>
        <w:t xml:space="preserve"> form without their agreement or consent</w:t>
      </w:r>
      <w:r>
        <w:t>.</w:t>
      </w:r>
      <w:r>
        <w:rPr>
          <w:rStyle w:val="FootnoteReference"/>
        </w:rPr>
        <w:footnoteReference w:id="27"/>
      </w:r>
      <w:r>
        <w:t xml:space="preserve"> </w:t>
      </w:r>
    </w:p>
    <w:p w14:paraId="029F0264" w14:textId="354A7F0E" w:rsidR="00804408" w:rsidRDefault="00804408" w:rsidP="00804408">
      <w:pPr>
        <w:pStyle w:val="ListNumber2"/>
      </w:pPr>
      <w:r>
        <w:t xml:space="preserve">The ACT Government commented that the </w:t>
      </w:r>
      <w:r w:rsidRPr="00DE3FBA">
        <w:t xml:space="preserve">amendment aims to give agencies flexibility in the form that access to information must be provided in, given the shift to remote work and paperless offices. </w:t>
      </w:r>
      <w:r>
        <w:t xml:space="preserve">They further stated </w:t>
      </w:r>
      <w:r w:rsidRPr="00DE3FBA">
        <w:t>that</w:t>
      </w:r>
      <w:r>
        <w:t xml:space="preserve"> </w:t>
      </w:r>
      <w:r w:rsidRPr="00DE3FBA">
        <w:t>s</w:t>
      </w:r>
      <w:r>
        <w:t>ection</w:t>
      </w:r>
      <w:r w:rsidRPr="00DE3FBA">
        <w:t xml:space="preserve"> 16 of the ACT </w:t>
      </w:r>
      <w:r w:rsidRPr="007450CE">
        <w:rPr>
          <w:i/>
          <w:iCs/>
        </w:rPr>
        <w:t>Human Rights Act 2004</w:t>
      </w:r>
      <w:r>
        <w:t xml:space="preserve"> provides that a </w:t>
      </w:r>
      <w:r w:rsidRPr="00DE3FBA">
        <w:t xml:space="preserve">respondent must be reasonably satisfied that a person can receive the information in the alternative form. </w:t>
      </w:r>
      <w:r>
        <w:t xml:space="preserve">The Government suggests that </w:t>
      </w:r>
      <w:r w:rsidRPr="00DE3FBA">
        <w:t>individual’s right to seek and receive</w:t>
      </w:r>
      <w:r>
        <w:t xml:space="preserve"> is protected</w:t>
      </w:r>
      <w:r w:rsidRPr="00DE3FBA">
        <w:t xml:space="preserve"> information under s</w:t>
      </w:r>
      <w:r>
        <w:t>ection</w:t>
      </w:r>
      <w:r w:rsidRPr="00DE3FBA">
        <w:t xml:space="preserve"> 16.</w:t>
      </w:r>
      <w:r>
        <w:rPr>
          <w:rStyle w:val="FootnoteReference"/>
        </w:rPr>
        <w:footnoteReference w:id="28"/>
      </w:r>
      <w:r>
        <w:t xml:space="preserve"> </w:t>
      </w:r>
      <w:r w:rsidR="00304DDB">
        <w:t xml:space="preserve">  </w:t>
      </w:r>
    </w:p>
    <w:p w14:paraId="292B6AC8" w14:textId="77777777" w:rsidR="00804408" w:rsidRDefault="00804408" w:rsidP="000952B1">
      <w:pPr>
        <w:pStyle w:val="Heading5"/>
      </w:pPr>
      <w:r>
        <w:t xml:space="preserve">Committee Comment </w:t>
      </w:r>
    </w:p>
    <w:p w14:paraId="01AC33D5" w14:textId="77777777" w:rsidR="00804408" w:rsidRDefault="00804408" w:rsidP="00804408">
      <w:pPr>
        <w:pStyle w:val="ListNumber2"/>
      </w:pPr>
      <w:r>
        <w:t xml:space="preserve">The Committee is of the view that the existing provisions are appropriate and recognise that an applicant may request access in a particular form due to a disability or vulnerability. </w:t>
      </w:r>
    </w:p>
    <w:tbl>
      <w:tblPr>
        <w:tblStyle w:val="Recommendationbox"/>
        <w:tblW w:w="0" w:type="auto"/>
        <w:tblLook w:val="04A0" w:firstRow="1" w:lastRow="0" w:firstColumn="1" w:lastColumn="0" w:noHBand="0" w:noVBand="1"/>
      </w:tblPr>
      <w:tblGrid>
        <w:gridCol w:w="8175"/>
      </w:tblGrid>
      <w:tr w:rsidR="00804408" w14:paraId="39B3951D" w14:textId="77777777" w:rsidTr="0041234E">
        <w:tc>
          <w:tcPr>
            <w:tcW w:w="7891" w:type="dxa"/>
          </w:tcPr>
          <w:p w14:paraId="464D2D33" w14:textId="77777777" w:rsidR="00804408" w:rsidRDefault="00804408" w:rsidP="0041234E">
            <w:pPr>
              <w:pStyle w:val="Recommendationheading"/>
            </w:pPr>
            <w:bookmarkStart w:id="30" w:name="_Toc122605304"/>
            <w:r>
              <w:t xml:space="preserve">Recommendation </w:t>
            </w:r>
            <w:r>
              <w:fldChar w:fldCharType="begin"/>
            </w:r>
            <w:r>
              <w:instrText xml:space="preserve"> AUTONUMLGL \* Arabic\e </w:instrText>
            </w:r>
            <w:r>
              <w:fldChar w:fldCharType="end"/>
            </w:r>
            <w:bookmarkEnd w:id="30"/>
          </w:p>
          <w:p w14:paraId="19CBC790" w14:textId="1E460768" w:rsidR="00804408" w:rsidRPr="00AA719E" w:rsidRDefault="00804408" w:rsidP="0041234E">
            <w:pPr>
              <w:pStyle w:val="Recommendationbody"/>
            </w:pPr>
            <w:bookmarkStart w:id="31" w:name="_Toc122605305"/>
            <w:r w:rsidRPr="004F5DA0">
              <w:rPr>
                <w:color w:val="000000"/>
              </w:rPr>
              <w:t xml:space="preserve">The Committee recommends that </w:t>
            </w:r>
            <w:r w:rsidR="00976247">
              <w:rPr>
                <w:color w:val="000000"/>
              </w:rPr>
              <w:t xml:space="preserve">the ACT Government work with the applicant </w:t>
            </w:r>
            <w:r w:rsidR="00501312">
              <w:rPr>
                <w:color w:val="000000"/>
              </w:rPr>
              <w:t xml:space="preserve">where a disability or vulnerability exists </w:t>
            </w:r>
            <w:r w:rsidR="00976247">
              <w:rPr>
                <w:color w:val="000000"/>
              </w:rPr>
              <w:t>to ensure the information requested is given in an appropriate form</w:t>
            </w:r>
            <w:r w:rsidR="00501312">
              <w:rPr>
                <w:color w:val="000000"/>
              </w:rPr>
              <w:t xml:space="preserve"> that meets their needs</w:t>
            </w:r>
            <w:r w:rsidR="00976247">
              <w:rPr>
                <w:color w:val="000000"/>
              </w:rPr>
              <w:t>.</w:t>
            </w:r>
            <w:bookmarkEnd w:id="31"/>
            <w:r w:rsidR="00976247">
              <w:rPr>
                <w:color w:val="000000"/>
              </w:rPr>
              <w:t xml:space="preserve"> </w:t>
            </w:r>
          </w:p>
        </w:tc>
      </w:tr>
    </w:tbl>
    <w:p w14:paraId="396C3D0C" w14:textId="0D5AE993" w:rsidR="0051668F" w:rsidRDefault="0051668F" w:rsidP="00804408">
      <w:pPr>
        <w:pStyle w:val="ListNumber2"/>
        <w:numPr>
          <w:ilvl w:val="0"/>
          <w:numId w:val="0"/>
        </w:numPr>
      </w:pPr>
    </w:p>
    <w:p w14:paraId="73BF6C63" w14:textId="77777777" w:rsidR="0051668F" w:rsidRDefault="0051668F">
      <w:pPr>
        <w:spacing w:line="259" w:lineRule="auto"/>
        <w:rPr>
          <w:rFonts w:cstheme="minorHAnsi"/>
          <w:bCs/>
          <w:color w:val="000000" w:themeColor="text1"/>
          <w:szCs w:val="20"/>
        </w:rPr>
      </w:pPr>
      <w:r>
        <w:br w:type="page"/>
      </w:r>
    </w:p>
    <w:p w14:paraId="086EC217" w14:textId="77777777" w:rsidR="00804408" w:rsidRDefault="00804408" w:rsidP="00804408">
      <w:pPr>
        <w:pStyle w:val="Heading1"/>
      </w:pPr>
      <w:bookmarkStart w:id="32" w:name="_Toc122604852"/>
      <w:r>
        <w:lastRenderedPageBreak/>
        <w:t>Freedom of Information Amendment Bill 2022 (No 2)</w:t>
      </w:r>
      <w:bookmarkEnd w:id="32"/>
    </w:p>
    <w:p w14:paraId="1C189FD5" w14:textId="77777777" w:rsidR="00804408" w:rsidRPr="00872686" w:rsidRDefault="00804408" w:rsidP="000952B1">
      <w:pPr>
        <w:pStyle w:val="Heading2"/>
      </w:pPr>
      <w:bookmarkStart w:id="33" w:name="_Toc122604853"/>
      <w:r w:rsidRPr="00872686">
        <w:t>Background to the Bill</w:t>
      </w:r>
      <w:bookmarkEnd w:id="33"/>
      <w:r w:rsidRPr="00872686">
        <w:t xml:space="preserve"> </w:t>
      </w:r>
    </w:p>
    <w:p w14:paraId="77B8800C" w14:textId="77777777" w:rsidR="00804408" w:rsidRDefault="00804408" w:rsidP="00804408">
      <w:pPr>
        <w:pStyle w:val="ListNumber2"/>
      </w:pPr>
      <w:r>
        <w:t>T</w:t>
      </w:r>
      <w:r w:rsidRPr="00E72CB3">
        <w:t xml:space="preserve">he </w:t>
      </w:r>
      <w:r w:rsidRPr="00E72CB3">
        <w:rPr>
          <w:i/>
          <w:iCs/>
        </w:rPr>
        <w:t>Freedom of Information Bill 2022 (No 2)</w:t>
      </w:r>
      <w:r>
        <w:rPr>
          <w:i/>
          <w:iCs/>
        </w:rPr>
        <w:t xml:space="preserve"> </w:t>
      </w:r>
      <w:r>
        <w:t>was introduced</w:t>
      </w:r>
      <w:r w:rsidRPr="00E72CB3">
        <w:t xml:space="preserve"> as a Private Members Bill </w:t>
      </w:r>
      <w:r>
        <w:t xml:space="preserve">by Ms Elizabeth Lee MLA, Leader of the Opposition, </w:t>
      </w:r>
      <w:r w:rsidRPr="00E72CB3">
        <w:t xml:space="preserve">to </w:t>
      </w:r>
      <w:r>
        <w:t>create a proactive disclosure provision for the ACT Government to</w:t>
      </w:r>
      <w:r w:rsidRPr="00E72CB3">
        <w:t xml:space="preserve"> </w:t>
      </w:r>
      <w:r>
        <w:t xml:space="preserve">publicly </w:t>
      </w:r>
      <w:r w:rsidRPr="00E72CB3">
        <w:t>release of Cabinet of records</w:t>
      </w:r>
      <w:r>
        <w:t xml:space="preserve"> within 30 days of being considered by Cabinet with some exceptions.</w:t>
      </w:r>
      <w:r>
        <w:rPr>
          <w:rStyle w:val="FootnoteReference"/>
        </w:rPr>
        <w:footnoteReference w:id="29"/>
      </w:r>
      <w:r w:rsidRPr="00E72CB3">
        <w:t xml:space="preserve"> </w:t>
      </w:r>
      <w:r>
        <w:t>The explanatory statement states:</w:t>
      </w:r>
    </w:p>
    <w:p w14:paraId="7C154C1C" w14:textId="77777777" w:rsidR="00804408" w:rsidRPr="00B72267" w:rsidRDefault="00804408" w:rsidP="00804408">
      <w:pPr>
        <w:pStyle w:val="ListNumber2"/>
        <w:numPr>
          <w:ilvl w:val="0"/>
          <w:numId w:val="0"/>
        </w:numPr>
        <w:ind w:left="2160"/>
        <w:rPr>
          <w:color w:val="7F7F7F" w:themeColor="text1" w:themeTint="80"/>
        </w:rPr>
      </w:pPr>
      <w:r w:rsidRPr="00B72267">
        <w:rPr>
          <w:color w:val="7F7F7F" w:themeColor="text1" w:themeTint="80"/>
        </w:rPr>
        <w:t>The bill has been modelled from the New Zealand Government’s proactive release of Cabinet information policy which has been in operation since 2018.</w:t>
      </w:r>
      <w:r w:rsidRPr="00B72267">
        <w:rPr>
          <w:rStyle w:val="FootnoteReference"/>
          <w:color w:val="7F7F7F" w:themeColor="text1" w:themeTint="80"/>
        </w:rPr>
        <w:footnoteReference w:id="30"/>
      </w:r>
      <w:r w:rsidRPr="00B72267">
        <w:rPr>
          <w:color w:val="7F7F7F" w:themeColor="text1" w:themeTint="80"/>
        </w:rPr>
        <w:t xml:space="preserve"> </w:t>
      </w:r>
    </w:p>
    <w:p w14:paraId="5815C2D6" w14:textId="77777777" w:rsidR="00804408" w:rsidRDefault="00804408" w:rsidP="00804408">
      <w:pPr>
        <w:pStyle w:val="ListNumber2"/>
      </w:pPr>
      <w:r>
        <w:t>The explanatory statement comments the intent of the Bill is to make decisions of the Executive (Cabinet) more transparent and accountable, as the ACT is a unicameral jurisdiction without the checks and balances provided by an upper house.</w:t>
      </w:r>
      <w:r>
        <w:rPr>
          <w:rStyle w:val="FootnoteReference"/>
        </w:rPr>
        <w:footnoteReference w:id="31"/>
      </w:r>
      <w:r>
        <w:t xml:space="preserve"> </w:t>
      </w:r>
    </w:p>
    <w:p w14:paraId="55E05E89" w14:textId="77777777" w:rsidR="00804408" w:rsidRDefault="00804408" w:rsidP="00804408">
      <w:pPr>
        <w:pStyle w:val="ListNumber2"/>
      </w:pPr>
      <w:r>
        <w:t>The Standing Committee on Justice and Community Safety (Legislative Scrutiny Role) considered the bill (details below – see paragraph 2.5).</w:t>
      </w:r>
      <w:r>
        <w:rPr>
          <w:rStyle w:val="FootnoteReference"/>
        </w:rPr>
        <w:footnoteReference w:id="32"/>
      </w:r>
    </w:p>
    <w:p w14:paraId="1B97A2F6" w14:textId="77777777" w:rsidR="00804408" w:rsidRDefault="00804408" w:rsidP="000952B1">
      <w:pPr>
        <w:pStyle w:val="Heading2"/>
      </w:pPr>
      <w:bookmarkStart w:id="34" w:name="_Toc122604854"/>
      <w:r>
        <w:t>Proposed Amendments</w:t>
      </w:r>
      <w:bookmarkEnd w:id="34"/>
      <w:r>
        <w:t xml:space="preserve"> </w:t>
      </w:r>
    </w:p>
    <w:p w14:paraId="23536E24" w14:textId="77777777" w:rsidR="00804408" w:rsidRDefault="00804408" w:rsidP="00804408">
      <w:pPr>
        <w:pStyle w:val="ListNumber2"/>
      </w:pPr>
      <w:r>
        <w:t>According to the Explanatory Statement, t</w:t>
      </w:r>
      <w:r w:rsidRPr="004F2BF9">
        <w:t xml:space="preserve">his Bill will amend the </w:t>
      </w:r>
      <w:r w:rsidRPr="004F2BF9">
        <w:rPr>
          <w:i/>
          <w:iCs/>
        </w:rPr>
        <w:t>Freedom of Information Act 2016</w:t>
      </w:r>
      <w:r w:rsidRPr="004F2BF9">
        <w:t xml:space="preserve"> to make various amendments</w:t>
      </w:r>
      <w:r>
        <w:t>, including:</w:t>
      </w:r>
    </w:p>
    <w:p w14:paraId="52B52C73" w14:textId="27D0064F" w:rsidR="00804408" w:rsidRPr="00BE1C72" w:rsidRDefault="00BE1C72" w:rsidP="00BE1C72">
      <w:pPr>
        <w:pStyle w:val="ListNumber4"/>
        <w:numPr>
          <w:ilvl w:val="3"/>
          <w:numId w:val="28"/>
        </w:numPr>
        <w:rPr>
          <w:color w:val="auto"/>
        </w:rPr>
      </w:pPr>
      <w:r w:rsidRPr="00BE1C72">
        <w:rPr>
          <w:color w:val="auto"/>
        </w:rPr>
        <w:t>A d</w:t>
      </w:r>
      <w:r w:rsidR="00804408" w:rsidRPr="00BE1C72">
        <w:rPr>
          <w:color w:val="auto"/>
        </w:rPr>
        <w:t>efinition of Cabinet records as:</w:t>
      </w:r>
    </w:p>
    <w:p w14:paraId="0B771BA9" w14:textId="728EC2AA" w:rsidR="00804408" w:rsidRPr="00BE1C72" w:rsidRDefault="00804408" w:rsidP="00BE1C72">
      <w:pPr>
        <w:pStyle w:val="ListNumber5"/>
        <w:numPr>
          <w:ilvl w:val="4"/>
          <w:numId w:val="28"/>
        </w:numPr>
        <w:rPr>
          <w:color w:val="auto"/>
        </w:rPr>
      </w:pPr>
      <w:r w:rsidRPr="00BE1C72">
        <w:rPr>
          <w:color w:val="auto"/>
        </w:rPr>
        <w:t>a document given to Cabinet for its consideration or created for that purpose</w:t>
      </w:r>
    </w:p>
    <w:p w14:paraId="736CDABD" w14:textId="69CED5E9" w:rsidR="00804408" w:rsidRPr="00BE1C72" w:rsidRDefault="00804408" w:rsidP="00BE1C72">
      <w:pPr>
        <w:pStyle w:val="ListNumber5"/>
        <w:numPr>
          <w:ilvl w:val="4"/>
          <w:numId w:val="28"/>
        </w:numPr>
        <w:rPr>
          <w:color w:val="auto"/>
        </w:rPr>
      </w:pPr>
      <w:r w:rsidRPr="00BE1C72">
        <w:rPr>
          <w:color w:val="auto"/>
        </w:rPr>
        <w:t>an official record of Cabinet</w:t>
      </w:r>
    </w:p>
    <w:p w14:paraId="32107547" w14:textId="3EF14A0D" w:rsidR="00804408" w:rsidRPr="00BE1C72" w:rsidRDefault="00BE1C72" w:rsidP="00BE1C72">
      <w:pPr>
        <w:pStyle w:val="ListNumber4"/>
        <w:numPr>
          <w:ilvl w:val="3"/>
          <w:numId w:val="28"/>
        </w:numPr>
        <w:rPr>
          <w:color w:val="auto"/>
        </w:rPr>
      </w:pPr>
      <w:r w:rsidRPr="00BE1C72">
        <w:rPr>
          <w:color w:val="auto"/>
        </w:rPr>
        <w:t>A d</w:t>
      </w:r>
      <w:r w:rsidR="00804408" w:rsidRPr="00BE1C72">
        <w:rPr>
          <w:color w:val="auto"/>
        </w:rPr>
        <w:t xml:space="preserve">isclosure provision for the ACT Government to publicly release Cabinet records (as defined above) within 30 business days after being considered by Cabinet. </w:t>
      </w:r>
    </w:p>
    <w:p w14:paraId="3C6FFEEF" w14:textId="639561E0" w:rsidR="00804408" w:rsidRPr="00BE1C72" w:rsidRDefault="00BE1C72" w:rsidP="00BE1C72">
      <w:pPr>
        <w:pStyle w:val="ListNumber4"/>
        <w:numPr>
          <w:ilvl w:val="3"/>
          <w:numId w:val="28"/>
        </w:numPr>
        <w:rPr>
          <w:color w:val="auto"/>
        </w:rPr>
      </w:pPr>
      <w:r w:rsidRPr="00BE1C72">
        <w:rPr>
          <w:color w:val="auto"/>
        </w:rPr>
        <w:t>To e</w:t>
      </w:r>
      <w:r w:rsidR="00804408" w:rsidRPr="00BE1C72">
        <w:rPr>
          <w:color w:val="auto"/>
        </w:rPr>
        <w:t xml:space="preserve">xempt records that </w:t>
      </w:r>
      <w:r w:rsidRPr="00BE1C72">
        <w:rPr>
          <w:color w:val="auto"/>
        </w:rPr>
        <w:t xml:space="preserve">if published </w:t>
      </w:r>
      <w:r w:rsidR="00804408" w:rsidRPr="00BE1C72">
        <w:rPr>
          <w:color w:val="auto"/>
        </w:rPr>
        <w:t>would reasonably be expected to</w:t>
      </w:r>
      <w:r w:rsidRPr="00BE1C72">
        <w:rPr>
          <w:color w:val="auto"/>
        </w:rPr>
        <w:t>:</w:t>
      </w:r>
      <w:r w:rsidR="00804408" w:rsidRPr="00BE1C72">
        <w:rPr>
          <w:color w:val="auto"/>
        </w:rPr>
        <w:t xml:space="preserve"> </w:t>
      </w:r>
    </w:p>
    <w:p w14:paraId="2F93DE02" w14:textId="77777777" w:rsidR="00804408" w:rsidRPr="00BE1C72" w:rsidRDefault="00804408" w:rsidP="00BE1C72">
      <w:pPr>
        <w:pStyle w:val="ListNumber5"/>
        <w:numPr>
          <w:ilvl w:val="4"/>
          <w:numId w:val="28"/>
        </w:numPr>
        <w:rPr>
          <w:color w:val="auto"/>
        </w:rPr>
      </w:pPr>
      <w:r w:rsidRPr="00BE1C72">
        <w:rPr>
          <w:color w:val="auto"/>
        </w:rPr>
        <w:t>endanger the life or physical safety of a person</w:t>
      </w:r>
    </w:p>
    <w:p w14:paraId="56B8BBA1" w14:textId="77777777" w:rsidR="00804408" w:rsidRPr="00BE1C72" w:rsidRDefault="00804408" w:rsidP="00BE1C72">
      <w:pPr>
        <w:pStyle w:val="ListNumber5"/>
        <w:numPr>
          <w:ilvl w:val="4"/>
          <w:numId w:val="28"/>
        </w:numPr>
        <w:rPr>
          <w:color w:val="auto"/>
        </w:rPr>
      </w:pPr>
      <w:r w:rsidRPr="00BE1C72">
        <w:rPr>
          <w:color w:val="auto"/>
        </w:rPr>
        <w:t>be an unreasonable limitation on a person’s rights</w:t>
      </w:r>
    </w:p>
    <w:p w14:paraId="08030594" w14:textId="77777777" w:rsidR="00804408" w:rsidRPr="00BE1C72" w:rsidRDefault="00804408" w:rsidP="00BE1C72">
      <w:pPr>
        <w:pStyle w:val="ListNumber5"/>
        <w:numPr>
          <w:ilvl w:val="4"/>
          <w:numId w:val="28"/>
        </w:numPr>
        <w:rPr>
          <w:color w:val="auto"/>
        </w:rPr>
      </w:pPr>
      <w:r w:rsidRPr="00BE1C72">
        <w:rPr>
          <w:color w:val="auto"/>
        </w:rPr>
        <w:lastRenderedPageBreak/>
        <w:t xml:space="preserve">prejudice an ongoing criminal investigation </w:t>
      </w:r>
    </w:p>
    <w:p w14:paraId="76F9BC6E" w14:textId="74D8B9F8" w:rsidR="00804408" w:rsidRPr="00BE1C72" w:rsidRDefault="00804408" w:rsidP="00BE1C72">
      <w:pPr>
        <w:pStyle w:val="ListNumber5"/>
        <w:numPr>
          <w:ilvl w:val="4"/>
          <w:numId w:val="28"/>
        </w:numPr>
        <w:rPr>
          <w:color w:val="auto"/>
        </w:rPr>
      </w:pPr>
      <w:r w:rsidRPr="00BE1C72">
        <w:rPr>
          <w:color w:val="auto"/>
        </w:rPr>
        <w:t>disclose information contrary to the public interest, per schedule 1, and schedule 2 (s 2.2 of the Act).</w:t>
      </w:r>
    </w:p>
    <w:p w14:paraId="65BEB49B" w14:textId="335A4338" w:rsidR="00804408" w:rsidRPr="00BE1C72" w:rsidRDefault="00804408" w:rsidP="00BE1C72">
      <w:pPr>
        <w:pStyle w:val="ListNumber4"/>
        <w:numPr>
          <w:ilvl w:val="3"/>
          <w:numId w:val="28"/>
        </w:numPr>
        <w:rPr>
          <w:color w:val="auto"/>
        </w:rPr>
      </w:pPr>
      <w:r w:rsidRPr="00BE1C72">
        <w:rPr>
          <w:color w:val="auto"/>
        </w:rPr>
        <w:t xml:space="preserve">Mitigations to be </w:t>
      </w:r>
      <w:r w:rsidR="00BE1C72" w:rsidRPr="00BE1C72">
        <w:rPr>
          <w:color w:val="auto"/>
        </w:rPr>
        <w:t xml:space="preserve">undertaken </w:t>
      </w:r>
      <w:r w:rsidRPr="00BE1C72">
        <w:rPr>
          <w:color w:val="auto"/>
        </w:rPr>
        <w:t>by the relevant Minister if a record is subject to exemptions</w:t>
      </w:r>
      <w:r w:rsidR="00BE1C72" w:rsidRPr="00BE1C72">
        <w:rPr>
          <w:color w:val="auto"/>
        </w:rPr>
        <w:t>, i</w:t>
      </w:r>
      <w:r w:rsidRPr="00BE1C72">
        <w:rPr>
          <w:color w:val="auto"/>
        </w:rPr>
        <w:t>ncluding, requirements to provide an explanation for a decision not to publish and consideration to publishing relevant factual material.</w:t>
      </w:r>
    </w:p>
    <w:p w14:paraId="602386D5" w14:textId="77777777" w:rsidR="00804408" w:rsidRPr="00BE1C72" w:rsidRDefault="00804408" w:rsidP="00BE1C72">
      <w:pPr>
        <w:pStyle w:val="ListNumber4"/>
        <w:numPr>
          <w:ilvl w:val="3"/>
          <w:numId w:val="28"/>
        </w:numPr>
        <w:rPr>
          <w:color w:val="auto"/>
        </w:rPr>
      </w:pPr>
      <w:r w:rsidRPr="00BE1C72">
        <w:rPr>
          <w:color w:val="auto"/>
        </w:rPr>
        <w:t xml:space="preserve">Exemptions where government intends to make the decision and related materials public within 50 days of the decision, or if it relates to a bill that will be presented to the Legislative Assembly. </w:t>
      </w:r>
    </w:p>
    <w:p w14:paraId="4DF88221" w14:textId="28D19C9A" w:rsidR="00804408" w:rsidRPr="00BE1C72" w:rsidRDefault="00BE1C72" w:rsidP="00BE1C72">
      <w:pPr>
        <w:pStyle w:val="ListNumber4"/>
        <w:numPr>
          <w:ilvl w:val="3"/>
          <w:numId w:val="28"/>
        </w:numPr>
        <w:rPr>
          <w:color w:val="auto"/>
        </w:rPr>
      </w:pPr>
      <w:r>
        <w:rPr>
          <w:color w:val="auto"/>
        </w:rPr>
        <w:t xml:space="preserve">An exemption for the </w:t>
      </w:r>
      <w:r w:rsidR="00804408" w:rsidRPr="00BE1C72">
        <w:rPr>
          <w:color w:val="auto"/>
        </w:rPr>
        <w:t xml:space="preserve">publication of a Cabinet decision that would be an unreasonable limitation on a person’s rights under the </w:t>
      </w:r>
      <w:r w:rsidR="00804408" w:rsidRPr="00BE1C72">
        <w:rPr>
          <w:i/>
          <w:iCs/>
          <w:color w:val="auto"/>
        </w:rPr>
        <w:t xml:space="preserve">Human Rights Act 2004 </w:t>
      </w:r>
      <w:r w:rsidR="00804408" w:rsidRPr="00BE1C72">
        <w:rPr>
          <w:color w:val="auto"/>
        </w:rPr>
        <w:t>(HRA)</w:t>
      </w:r>
      <w:r w:rsidR="00804408" w:rsidRPr="00BE1C72">
        <w:rPr>
          <w:rStyle w:val="FootnoteReference"/>
          <w:color w:val="auto"/>
        </w:rPr>
        <w:footnoteReference w:id="33"/>
      </w:r>
      <w:r w:rsidR="00804408" w:rsidRPr="00BE1C72">
        <w:rPr>
          <w:color w:val="auto"/>
        </w:rPr>
        <w:t>.</w:t>
      </w:r>
    </w:p>
    <w:p w14:paraId="51A50347" w14:textId="77777777" w:rsidR="00804408" w:rsidRDefault="00804408" w:rsidP="000952B1">
      <w:pPr>
        <w:pStyle w:val="Heading2"/>
      </w:pPr>
      <w:bookmarkStart w:id="35" w:name="_Toc122604855"/>
      <w:r>
        <w:t>Legislative Scrutiny</w:t>
      </w:r>
      <w:bookmarkEnd w:id="35"/>
      <w:r>
        <w:t xml:space="preserve"> </w:t>
      </w:r>
    </w:p>
    <w:p w14:paraId="427BAC16" w14:textId="77777777" w:rsidR="00804408" w:rsidRDefault="00804408" w:rsidP="00804408">
      <w:pPr>
        <w:pStyle w:val="ListNumber2"/>
      </w:pPr>
      <w:r>
        <w:t xml:space="preserve">The Standing Committee on Justice and Community Safety (Legislative Scrutiny Role) addressed the </w:t>
      </w:r>
      <w:r>
        <w:rPr>
          <w:i/>
          <w:iCs/>
        </w:rPr>
        <w:t>Freedom of Information Amendment Bill 2022 (No 2)</w:t>
      </w:r>
      <w:r>
        <w:t xml:space="preserve"> in Scrutiny Report 21, on 4 October 2022. The Committee had no comments on the Bill.</w:t>
      </w:r>
      <w:r>
        <w:rPr>
          <w:rStyle w:val="FootnoteReference"/>
        </w:rPr>
        <w:footnoteReference w:id="34"/>
      </w:r>
      <w:r>
        <w:t xml:space="preserve">   </w:t>
      </w:r>
    </w:p>
    <w:p w14:paraId="1D85940C" w14:textId="77777777" w:rsidR="00804408" w:rsidRDefault="00804408" w:rsidP="000952B1">
      <w:pPr>
        <w:pStyle w:val="Heading4"/>
      </w:pPr>
      <w:r>
        <w:t>Support for the Bill</w:t>
      </w:r>
    </w:p>
    <w:p w14:paraId="288D51D9" w14:textId="7E6D9B2D" w:rsidR="00804408" w:rsidRDefault="00804408" w:rsidP="00804408">
      <w:pPr>
        <w:pStyle w:val="ListNumber2"/>
      </w:pPr>
      <w:r>
        <w:t>Ms Elizabeth Lee MLA submitted that the changes in the Bill are needed the absence of an upper house that would normally provide checks and balances in a parliamentary setting. The explanatory statement refers to changes agreed to by the Queensland Government following recommendations in the report ‘</w:t>
      </w:r>
      <w:r w:rsidRPr="007450CE">
        <w:rPr>
          <w:i/>
          <w:iCs/>
        </w:rPr>
        <w:t>Review of culture and accountability in the Queensland public sector</w:t>
      </w:r>
      <w:r>
        <w:t>’ by Professor Peter Coaldrake AO. Ms Lee noted Professor Coaldrake said that proactive release of documents provides greater public trust in governments, stating that the bill strikes the right balance between genuine cabinet confidentiality and the need for increased transparency and openness in decisions, noting that the bill contains several exemptions.</w:t>
      </w:r>
      <w:r>
        <w:rPr>
          <w:rStyle w:val="FootnoteReference"/>
        </w:rPr>
        <w:footnoteReference w:id="35"/>
      </w:r>
    </w:p>
    <w:p w14:paraId="5089C23B" w14:textId="77777777" w:rsidR="00804408" w:rsidRDefault="00804408" w:rsidP="00804408">
      <w:pPr>
        <w:pStyle w:val="ListNumber2"/>
      </w:pPr>
      <w:r>
        <w:t>The Centre for Public Integrity supported the increased access to information in a timely fashion that the bill offers but proposed it should be in line with reforms being considered in Queensland (the Coaldrake Report):</w:t>
      </w:r>
    </w:p>
    <w:p w14:paraId="4FED2773" w14:textId="77777777" w:rsidR="00804408" w:rsidRPr="007450CE" w:rsidRDefault="00804408" w:rsidP="00804408">
      <w:pPr>
        <w:pStyle w:val="ListNumber2"/>
        <w:numPr>
          <w:ilvl w:val="0"/>
          <w:numId w:val="0"/>
        </w:numPr>
        <w:ind w:left="2160"/>
        <w:rPr>
          <w:color w:val="7F7F7F" w:themeColor="text1" w:themeTint="80"/>
        </w:rPr>
      </w:pPr>
      <w:r>
        <w:rPr>
          <w:color w:val="7F7F7F" w:themeColor="text1" w:themeTint="80"/>
        </w:rPr>
        <w:t xml:space="preserve">… </w:t>
      </w:r>
      <w:r w:rsidRPr="007450CE">
        <w:rPr>
          <w:color w:val="7F7F7F" w:themeColor="text1" w:themeTint="80"/>
        </w:rPr>
        <w:t xml:space="preserve">we recommend that Cabinet submissions, agendas, and decision papers be released online within 30 business days. This accords with </w:t>
      </w:r>
      <w:r w:rsidRPr="007450CE">
        <w:rPr>
          <w:color w:val="7F7F7F" w:themeColor="text1" w:themeTint="80"/>
        </w:rPr>
        <w:lastRenderedPageBreak/>
        <w:t>Recommendation 2 of the recently published Coaldrake Report in Queensland.</w:t>
      </w:r>
      <w:r>
        <w:rPr>
          <w:rStyle w:val="FootnoteReference"/>
          <w:color w:val="7F7F7F" w:themeColor="text1" w:themeTint="80"/>
        </w:rPr>
        <w:footnoteReference w:id="36"/>
      </w:r>
    </w:p>
    <w:p w14:paraId="580F54B2" w14:textId="77777777" w:rsidR="00804408" w:rsidRDefault="00804408" w:rsidP="00804408">
      <w:pPr>
        <w:pStyle w:val="ListNumber2"/>
      </w:pPr>
      <w:r>
        <w:t>Associate Professor Bruce Baer Arnold described the Bill as:</w:t>
      </w:r>
    </w:p>
    <w:p w14:paraId="5F311C69" w14:textId="77777777" w:rsidR="00804408" w:rsidRPr="007450CE" w:rsidRDefault="00804408" w:rsidP="00804408">
      <w:pPr>
        <w:pStyle w:val="ListNumber2"/>
        <w:numPr>
          <w:ilvl w:val="0"/>
          <w:numId w:val="0"/>
        </w:numPr>
        <w:ind w:left="2160"/>
        <w:rPr>
          <w:color w:val="7F7F7F" w:themeColor="text1" w:themeTint="80"/>
        </w:rPr>
      </w:pPr>
      <w:r>
        <w:rPr>
          <w:color w:val="7F7F7F" w:themeColor="text1" w:themeTint="80"/>
        </w:rPr>
        <w:t xml:space="preserve">A </w:t>
      </w:r>
      <w:r w:rsidRPr="007450CE">
        <w:rPr>
          <w:color w:val="7F7F7F" w:themeColor="text1" w:themeTint="80"/>
        </w:rPr>
        <w:t>commendable step forward in achieving the Objects (s 6) and ‘prodisclosure’ principle (s 9) of the Freedom of Information Act 2016 (ACT). It is salient given governance failures and the Territory’s unicameral legislature</w:t>
      </w:r>
      <w:r>
        <w:rPr>
          <w:color w:val="7F7F7F" w:themeColor="text1" w:themeTint="80"/>
        </w:rPr>
        <w:t>.</w:t>
      </w:r>
      <w:r>
        <w:rPr>
          <w:rStyle w:val="FootnoteReference"/>
          <w:color w:val="7F7F7F" w:themeColor="text1" w:themeTint="80"/>
        </w:rPr>
        <w:footnoteReference w:id="37"/>
      </w:r>
    </w:p>
    <w:p w14:paraId="7A1BC99F" w14:textId="77777777" w:rsidR="00804408" w:rsidRDefault="00804408" w:rsidP="00804408">
      <w:pPr>
        <w:pStyle w:val="ListNumber2"/>
      </w:pPr>
      <w:r>
        <w:t>Professor Bruce Baer Arnold noted that the existing legislation would enable exclusions in respect of some matters where there was a public interest in it not being in the public domain.</w:t>
      </w:r>
      <w:r>
        <w:rPr>
          <w:rStyle w:val="FootnoteReference"/>
        </w:rPr>
        <w:footnoteReference w:id="38"/>
      </w:r>
    </w:p>
    <w:p w14:paraId="1712E508" w14:textId="77777777" w:rsidR="00804408" w:rsidRPr="007450CE" w:rsidRDefault="00804408" w:rsidP="000E0869">
      <w:pPr>
        <w:pStyle w:val="ListNumber2"/>
        <w:numPr>
          <w:ilvl w:val="0"/>
          <w:numId w:val="0"/>
        </w:numPr>
        <w:rPr>
          <w:rFonts w:ascii="Montserrat SemiBold" w:eastAsiaTheme="majorEastAsia" w:hAnsi="Montserrat SemiBold" w:cstheme="majorBidi"/>
          <w:bCs w:val="0"/>
          <w:iCs/>
          <w:color w:val="2F5496"/>
          <w:w w:val="90"/>
          <w:kern w:val="2"/>
          <w:sz w:val="24"/>
          <w:szCs w:val="24"/>
        </w:rPr>
      </w:pPr>
      <w:r w:rsidRPr="007450CE">
        <w:rPr>
          <w:rFonts w:ascii="Montserrat SemiBold" w:eastAsiaTheme="majorEastAsia" w:hAnsi="Montserrat SemiBold" w:cstheme="majorBidi"/>
          <w:bCs w:val="0"/>
          <w:iCs/>
          <w:color w:val="2F5496"/>
          <w:w w:val="90"/>
          <w:kern w:val="2"/>
          <w:sz w:val="24"/>
          <w:szCs w:val="24"/>
        </w:rPr>
        <w:t>Coaldrake report</w:t>
      </w:r>
    </w:p>
    <w:p w14:paraId="4AE91895" w14:textId="77B0E7D8" w:rsidR="00804408" w:rsidRDefault="00804408" w:rsidP="00804408">
      <w:pPr>
        <w:pStyle w:val="ListNumber2"/>
      </w:pPr>
      <w:r>
        <w:t xml:space="preserve">The </w:t>
      </w:r>
      <w:r w:rsidRPr="007450CE">
        <w:rPr>
          <w:i/>
          <w:iCs/>
        </w:rPr>
        <w:t>Review of Culture and accountability in the Queensland public sector</w:t>
      </w:r>
      <w:r>
        <w:t xml:space="preserve"> by Professor Peter Coaldrake AO made 14 recommendations </w:t>
      </w:r>
      <w:r w:rsidR="005C0444">
        <w:t xml:space="preserve">that </w:t>
      </w:r>
      <w:r>
        <w:t>were considered and endorsed by the Queensland cabinet on 4 July 2022, with a Taskforce to report back to Cabinet in September with a legislative reform package for introduction in Parliament.</w:t>
      </w:r>
      <w:r>
        <w:rPr>
          <w:rStyle w:val="FootnoteReference"/>
        </w:rPr>
        <w:footnoteReference w:id="39"/>
      </w:r>
      <w:r>
        <w:t xml:space="preserve"> Recommendation three provides:</w:t>
      </w:r>
    </w:p>
    <w:p w14:paraId="6B60DA34" w14:textId="77777777" w:rsidR="00804408" w:rsidRPr="00571D1D" w:rsidRDefault="00804408" w:rsidP="00804408">
      <w:pPr>
        <w:pStyle w:val="ListNumber2"/>
        <w:numPr>
          <w:ilvl w:val="0"/>
          <w:numId w:val="0"/>
        </w:numPr>
        <w:ind w:left="2160"/>
        <w:rPr>
          <w:color w:val="7F7F7F" w:themeColor="text1" w:themeTint="80"/>
        </w:rPr>
      </w:pPr>
      <w:r w:rsidRPr="00571D1D">
        <w:rPr>
          <w:color w:val="7F7F7F" w:themeColor="text1" w:themeTint="80"/>
        </w:rPr>
        <w:t>[t]hat the Department of Premier and Cabinet develop a policy, requiring all cabinet submissions, agendas, and decision papers (and appendices) to be proactively released and published online withing 30 business days of a final decision being taken by Cabinet, subject only to a number of reasonable exceptions that should be outlined in the policy.</w:t>
      </w:r>
      <w:r w:rsidRPr="00571D1D">
        <w:rPr>
          <w:rStyle w:val="FootnoteReference"/>
          <w:color w:val="7F7F7F" w:themeColor="text1" w:themeTint="80"/>
        </w:rPr>
        <w:footnoteReference w:id="40"/>
      </w:r>
      <w:r w:rsidRPr="00571D1D">
        <w:rPr>
          <w:color w:val="7F7F7F" w:themeColor="text1" w:themeTint="80"/>
        </w:rPr>
        <w:t xml:space="preserve"> </w:t>
      </w:r>
    </w:p>
    <w:p w14:paraId="7D9FE111" w14:textId="77777777" w:rsidR="00804408" w:rsidRDefault="00804408" w:rsidP="00804408">
      <w:pPr>
        <w:pStyle w:val="ListNumber2"/>
      </w:pPr>
      <w:r>
        <w:t>The Queensland Government will be consulting with New Zealand in regards to implementation,</w:t>
      </w:r>
      <w:r>
        <w:rPr>
          <w:rStyle w:val="FootnoteReference"/>
        </w:rPr>
        <w:footnoteReference w:id="41"/>
      </w:r>
      <w:r>
        <w:t xml:space="preserve"> noting that the recommendation differs to the model in the Bill. </w:t>
      </w:r>
    </w:p>
    <w:p w14:paraId="798A43D5" w14:textId="04FE5A0B" w:rsidR="00804408" w:rsidRDefault="004E626D" w:rsidP="00804408">
      <w:pPr>
        <w:pStyle w:val="ListNumber2"/>
      </w:pPr>
      <w:r>
        <w:t>An e</w:t>
      </w:r>
      <w:r w:rsidR="00804408">
        <w:t xml:space="preserve">xample of information that has been released in New Zealand </w:t>
      </w:r>
      <w:r>
        <w:t xml:space="preserve">is </w:t>
      </w:r>
      <w:r w:rsidR="00804408">
        <w:t>in Appendix B.</w:t>
      </w:r>
    </w:p>
    <w:p w14:paraId="4859298E" w14:textId="77777777" w:rsidR="00804408" w:rsidRDefault="00804408" w:rsidP="000952B1">
      <w:pPr>
        <w:pStyle w:val="Heading2"/>
      </w:pPr>
      <w:bookmarkStart w:id="36" w:name="_Toc122604856"/>
      <w:r>
        <w:t>Concerns with the Bill</w:t>
      </w:r>
      <w:bookmarkEnd w:id="36"/>
    </w:p>
    <w:p w14:paraId="1F9C0B13" w14:textId="77777777" w:rsidR="00804408" w:rsidRDefault="00804408" w:rsidP="00804408">
      <w:pPr>
        <w:pStyle w:val="ListNumber2"/>
      </w:pPr>
      <w:r>
        <w:t>The ACT Government raised a number of concerns w</w:t>
      </w:r>
      <w:r w:rsidRPr="00275C92">
        <w:t>ith the Bill, namely:</w:t>
      </w:r>
    </w:p>
    <w:p w14:paraId="40618D40" w14:textId="77777777" w:rsidR="00804408" w:rsidRDefault="00804408" w:rsidP="00804408">
      <w:pPr>
        <w:pStyle w:val="ListNumber3"/>
      </w:pPr>
      <w:r>
        <w:t xml:space="preserve">Confidentiality allows Ministers to discuss proposals frankly while developing a collective position, allowing consultation, compromise, and innovative approaches </w:t>
      </w:r>
      <w:r>
        <w:lastRenderedPageBreak/>
        <w:t>without increased public pressure and partisan criticism allowing the Government to consider a range of options to make decisions in the public interest.</w:t>
      </w:r>
      <w:r>
        <w:rPr>
          <w:rStyle w:val="FootnoteReference"/>
        </w:rPr>
        <w:footnoteReference w:id="42"/>
      </w:r>
      <w:r>
        <w:t xml:space="preserve"> </w:t>
      </w:r>
    </w:p>
    <w:p w14:paraId="7974B6AC" w14:textId="77777777" w:rsidR="00804408" w:rsidRDefault="00804408" w:rsidP="00804408">
      <w:pPr>
        <w:pStyle w:val="ListNumber3"/>
      </w:pPr>
      <w:r>
        <w:t>The ACT is a nation leading regime in transparency of cabinet records because it:</w:t>
      </w:r>
    </w:p>
    <w:p w14:paraId="0D90F04E" w14:textId="1ECD8140" w:rsidR="00804408" w:rsidRDefault="00804408" w:rsidP="00804408">
      <w:pPr>
        <w:pStyle w:val="ListNumber4"/>
      </w:pPr>
      <w:r>
        <w:t xml:space="preserve">Publishes summaries of cabinet decisions and Wellbeing Impact Assessment summaries shortly after cabinet meetings under section 23 of the </w:t>
      </w:r>
      <w:r w:rsidRPr="007450CE">
        <w:rPr>
          <w:i/>
          <w:iCs/>
        </w:rPr>
        <w:t>Freedom of Information Act 2016</w:t>
      </w:r>
      <w:r w:rsidR="0051668F">
        <w:rPr>
          <w:i/>
          <w:iCs/>
        </w:rPr>
        <w:t xml:space="preserve"> </w:t>
      </w:r>
      <w:r w:rsidR="0051668F">
        <w:t>- see example of cabinet decision summaries in Appendix C</w:t>
      </w:r>
      <w:r w:rsidR="004E626D">
        <w:t>.</w:t>
      </w:r>
    </w:p>
    <w:p w14:paraId="0C5F91B8" w14:textId="77777777" w:rsidR="00804408" w:rsidRDefault="00804408" w:rsidP="00804408">
      <w:pPr>
        <w:pStyle w:val="ListNumber4"/>
      </w:pPr>
      <w:r>
        <w:t xml:space="preserve">Makes full Cabinet records available after 10 years under the </w:t>
      </w:r>
      <w:r w:rsidRPr="007450CE">
        <w:rPr>
          <w:i/>
          <w:iCs/>
        </w:rPr>
        <w:t>Territory Records Act 2002</w:t>
      </w:r>
      <w:r>
        <w:t>.</w:t>
      </w:r>
    </w:p>
    <w:p w14:paraId="4965E7DB" w14:textId="77777777" w:rsidR="00804408" w:rsidRDefault="00804408" w:rsidP="00804408">
      <w:pPr>
        <w:pStyle w:val="ListNumber4"/>
      </w:pPr>
      <w:r>
        <w:t xml:space="preserve">Alerts the public to records that become available each Canberra Day under Part 2A of the </w:t>
      </w:r>
      <w:r w:rsidRPr="000E258E">
        <w:rPr>
          <w:i/>
          <w:iCs/>
        </w:rPr>
        <w:t>Territory Records Act 2002</w:t>
      </w:r>
      <w:r>
        <w:t>.</w:t>
      </w:r>
      <w:r>
        <w:rPr>
          <w:rStyle w:val="FootnoteReference"/>
        </w:rPr>
        <w:footnoteReference w:id="43"/>
      </w:r>
    </w:p>
    <w:p w14:paraId="657C963F" w14:textId="77777777" w:rsidR="00804408" w:rsidRPr="0071045B" w:rsidRDefault="00804408" w:rsidP="00804408">
      <w:pPr>
        <w:pStyle w:val="ListNumber3"/>
      </w:pPr>
      <w:r w:rsidRPr="0071045B">
        <w:t xml:space="preserve">The Private members bill differs from the New Zealand model </w:t>
      </w:r>
      <w:r>
        <w:t>that:</w:t>
      </w:r>
      <w:r w:rsidRPr="0071045B">
        <w:t xml:space="preserve"> </w:t>
      </w:r>
    </w:p>
    <w:p w14:paraId="779CD8FB" w14:textId="77777777" w:rsidR="00804408" w:rsidRPr="0071045B" w:rsidRDefault="00804408" w:rsidP="00804408">
      <w:pPr>
        <w:pStyle w:val="ListNumber4"/>
      </w:pPr>
      <w:r w:rsidRPr="0071045B">
        <w:t xml:space="preserve">Releases information after the cabinet </w:t>
      </w:r>
      <w:r w:rsidRPr="0071045B">
        <w:rPr>
          <w:i/>
          <w:iCs/>
        </w:rPr>
        <w:t>decision</w:t>
      </w:r>
      <w:r w:rsidRPr="0071045B">
        <w:t xml:space="preserve"> rather than 30 business days after </w:t>
      </w:r>
      <w:r w:rsidRPr="0071045B">
        <w:rPr>
          <w:i/>
          <w:iCs/>
        </w:rPr>
        <w:t>consideration</w:t>
      </w:r>
      <w:r w:rsidRPr="0071045B">
        <w:t xml:space="preserve"> by Cabinet, noting that some issues can take several discussions to arrive at a final position.</w:t>
      </w:r>
    </w:p>
    <w:p w14:paraId="573D1D2D" w14:textId="77777777" w:rsidR="00804408" w:rsidRPr="0071045B" w:rsidRDefault="00804408" w:rsidP="00804408">
      <w:pPr>
        <w:pStyle w:val="ListNumber4"/>
      </w:pPr>
      <w:r w:rsidRPr="0071045B">
        <w:t>Cabinet Appointments and Honours (APH) are explicitly excluded from release.</w:t>
      </w:r>
    </w:p>
    <w:p w14:paraId="5E953B43" w14:textId="77777777" w:rsidR="00804408" w:rsidRPr="0071045B" w:rsidRDefault="00804408" w:rsidP="00804408">
      <w:pPr>
        <w:pStyle w:val="ListNumber4"/>
      </w:pPr>
      <w:r w:rsidRPr="0071045B">
        <w:t>Due diligence must be undertaken before Cabinet material or key advice papers are proactively released</w:t>
      </w:r>
      <w:r w:rsidRPr="0071045B">
        <w:rPr>
          <w:rStyle w:val="FootnoteReference"/>
        </w:rPr>
        <w:footnoteReference w:id="44"/>
      </w:r>
    </w:p>
    <w:p w14:paraId="1E0F531B" w14:textId="5C92286F" w:rsidR="00804408" w:rsidRPr="0071045B" w:rsidRDefault="00804408" w:rsidP="00804408">
      <w:pPr>
        <w:pStyle w:val="ListNumber4"/>
      </w:pPr>
      <w:r w:rsidRPr="0071045B">
        <w:t>Allows for redactions</w:t>
      </w:r>
      <w:r w:rsidR="0051668F">
        <w:t>,</w:t>
      </w:r>
      <w:r w:rsidRPr="0071045B">
        <w:t xml:space="preserve"> e.g., for ‘free and frank opinions’.</w:t>
      </w:r>
      <w:r w:rsidRPr="0071045B">
        <w:rPr>
          <w:rStyle w:val="FootnoteReference"/>
        </w:rPr>
        <w:footnoteReference w:id="45"/>
      </w:r>
    </w:p>
    <w:p w14:paraId="4CF3FD83" w14:textId="77777777" w:rsidR="00804408" w:rsidRDefault="00804408" w:rsidP="00804408">
      <w:pPr>
        <w:pStyle w:val="ListNumber3"/>
      </w:pPr>
      <w:r>
        <w:t>Cabinet decisions can be complex and interlinked with other policy discussions with may extend over several months.</w:t>
      </w:r>
      <w:r>
        <w:rPr>
          <w:rStyle w:val="FootnoteReference"/>
        </w:rPr>
        <w:footnoteReference w:id="46"/>
      </w:r>
    </w:p>
    <w:p w14:paraId="4751681A" w14:textId="77777777" w:rsidR="00804408" w:rsidRDefault="00804408" w:rsidP="00804408">
      <w:pPr>
        <w:pStyle w:val="ListNumber3"/>
      </w:pPr>
      <w:r>
        <w:t>The ACT Government also raised a number of other issues relating to the existing frameworks for release of documents, issues with using the FOI Act, resourcing requirements, and financial implications of an independent review by the ACT Ombudsman.</w:t>
      </w:r>
      <w:r>
        <w:rPr>
          <w:rStyle w:val="FootnoteReference"/>
        </w:rPr>
        <w:footnoteReference w:id="47"/>
      </w:r>
    </w:p>
    <w:p w14:paraId="19137B4C" w14:textId="77777777" w:rsidR="00804408" w:rsidRDefault="00804408" w:rsidP="000952B1">
      <w:pPr>
        <w:pStyle w:val="Heading4"/>
      </w:pPr>
      <w:r>
        <w:t>Review of decisions</w:t>
      </w:r>
    </w:p>
    <w:p w14:paraId="1B6DE1E3" w14:textId="587B9E8F" w:rsidR="00804408" w:rsidRDefault="00804408" w:rsidP="00804408">
      <w:pPr>
        <w:pStyle w:val="ListNumber2"/>
        <w:numPr>
          <w:ilvl w:val="1"/>
          <w:numId w:val="22"/>
        </w:numPr>
      </w:pPr>
      <w:r w:rsidRPr="00BF6D8D">
        <w:t>The ACT Ombudsman commented in their submission that their office would not have a review function, however, a person may make a complaint under s</w:t>
      </w:r>
      <w:r w:rsidR="0051668F">
        <w:t>ection</w:t>
      </w:r>
      <w:r w:rsidRPr="00BF6D8D">
        <w:t xml:space="preserve"> 69 of the FOI Act.</w:t>
      </w:r>
      <w:r>
        <w:rPr>
          <w:rStyle w:val="FootnoteReference"/>
        </w:rPr>
        <w:footnoteReference w:id="48"/>
      </w:r>
    </w:p>
    <w:p w14:paraId="617F7BAF" w14:textId="77777777" w:rsidR="00804408" w:rsidRDefault="00804408" w:rsidP="000952B1">
      <w:pPr>
        <w:pStyle w:val="Heading5"/>
      </w:pPr>
      <w:r>
        <w:lastRenderedPageBreak/>
        <w:t>Committee view</w:t>
      </w:r>
    </w:p>
    <w:p w14:paraId="72B8C795" w14:textId="136B24A0" w:rsidR="00804408" w:rsidRDefault="00804408" w:rsidP="00804408">
      <w:pPr>
        <w:pStyle w:val="ListNumber2"/>
        <w:numPr>
          <w:ilvl w:val="1"/>
          <w:numId w:val="22"/>
        </w:numPr>
      </w:pPr>
      <w:r>
        <w:t>The Committee notes that transparency in cabinet decision making creates trust in government, noting that the ACT Government has made several reforms in this area.</w:t>
      </w:r>
    </w:p>
    <w:p w14:paraId="287DFEA2" w14:textId="0EB6081C" w:rsidR="00804408" w:rsidRDefault="00804408" w:rsidP="00804408">
      <w:pPr>
        <w:pStyle w:val="ListNumber2"/>
      </w:pPr>
      <w:r>
        <w:t>The Committee notes that the model in the Bill differs from the models used in New Zealand and that recommended in the Coaldrake report and agreed to by the Queensland Government.</w:t>
      </w:r>
    </w:p>
    <w:p w14:paraId="7861CF5E" w14:textId="715A0F18" w:rsidR="000952B1" w:rsidRPr="0071045B" w:rsidRDefault="000952B1" w:rsidP="00804408">
      <w:pPr>
        <w:pStyle w:val="ListNumber2"/>
      </w:pPr>
      <w:r>
        <w:t>The Committee notes that the member sponsoring the Bill was asked by the Committee to respond to these concerns but did not address the concerns raised by the ACT Government in her letter.</w:t>
      </w:r>
      <w:r>
        <w:rPr>
          <w:rStyle w:val="FootnoteReference"/>
        </w:rPr>
        <w:footnoteReference w:id="49"/>
      </w:r>
    </w:p>
    <w:p w14:paraId="79B6B4B3" w14:textId="77777777" w:rsidR="00804408" w:rsidRDefault="00804408" w:rsidP="000952B1">
      <w:pPr>
        <w:pStyle w:val="Heading2"/>
      </w:pPr>
      <w:bookmarkStart w:id="37" w:name="_Toc122604857"/>
      <w:r w:rsidRPr="00D664FE">
        <w:t>Conclusions</w:t>
      </w:r>
      <w:bookmarkEnd w:id="37"/>
    </w:p>
    <w:p w14:paraId="713F294A" w14:textId="77777777" w:rsidR="00804408" w:rsidRPr="005C1107" w:rsidRDefault="00804408" w:rsidP="00804408">
      <w:pPr>
        <w:pStyle w:val="ListNumber2"/>
        <w:numPr>
          <w:ilvl w:val="0"/>
          <w:numId w:val="0"/>
        </w:numPr>
      </w:pPr>
      <w:r w:rsidRPr="005C1107">
        <w:rPr>
          <w:rFonts w:ascii="Montserrat" w:eastAsiaTheme="majorEastAsia" w:hAnsi="Montserrat" w:cstheme="majorBidi"/>
          <w:b/>
          <w:bCs w:val="0"/>
          <w:color w:val="7492CD"/>
          <w:w w:val="90"/>
          <w:kern w:val="2"/>
          <w:sz w:val="28"/>
          <w:szCs w:val="24"/>
        </w:rPr>
        <w:t xml:space="preserve">Freedom of Information Amendment Bill 2022 </w:t>
      </w:r>
    </w:p>
    <w:p w14:paraId="1F1FFC3D" w14:textId="77777777" w:rsidR="00804408" w:rsidRDefault="00804408" w:rsidP="00804408">
      <w:pPr>
        <w:pStyle w:val="ListNumber2"/>
      </w:pPr>
      <w:r w:rsidRPr="00D664FE">
        <w:t xml:space="preserve">The Committee believes that </w:t>
      </w:r>
      <w:r>
        <w:t xml:space="preserve">the issues raised by the ACT Ombudsman raise important issues regarding the ACT Government’s Freedom of Information Amendment Bill 2022. </w:t>
      </w:r>
    </w:p>
    <w:p w14:paraId="291C697B" w14:textId="77777777" w:rsidR="00804408" w:rsidRDefault="00804408" w:rsidP="00804408">
      <w:pPr>
        <w:pStyle w:val="ListNumber2"/>
      </w:pPr>
      <w:r>
        <w:t>The Committee considers that it was important to conduct this inquiry given the changes to the FOI Act and the need to ensure that proceedings are fair.</w:t>
      </w:r>
    </w:p>
    <w:tbl>
      <w:tblPr>
        <w:tblStyle w:val="Recommendationbox"/>
        <w:tblW w:w="0" w:type="auto"/>
        <w:tblLook w:val="0600" w:firstRow="0" w:lastRow="0" w:firstColumn="0" w:lastColumn="0" w:noHBand="1" w:noVBand="1"/>
      </w:tblPr>
      <w:tblGrid>
        <w:gridCol w:w="8175"/>
      </w:tblGrid>
      <w:tr w:rsidR="00804408" w14:paraId="162BF59A" w14:textId="77777777" w:rsidTr="0041234E">
        <w:tc>
          <w:tcPr>
            <w:tcW w:w="7891" w:type="dxa"/>
          </w:tcPr>
          <w:p w14:paraId="42076BCD" w14:textId="77777777" w:rsidR="00804408" w:rsidRDefault="00804408" w:rsidP="0041234E">
            <w:pPr>
              <w:pStyle w:val="Recommendationheading"/>
            </w:pPr>
            <w:r>
              <w:t xml:space="preserve"> </w:t>
            </w:r>
            <w:bookmarkStart w:id="38" w:name="_Toc120628057"/>
            <w:bookmarkStart w:id="39" w:name="_Toc122605306"/>
            <w:r>
              <w:t xml:space="preserve">Recommendation </w:t>
            </w:r>
            <w:r>
              <w:fldChar w:fldCharType="begin"/>
            </w:r>
            <w:r>
              <w:instrText xml:space="preserve"> AUTONUMLGL \* Arabic\e </w:instrText>
            </w:r>
            <w:r>
              <w:fldChar w:fldCharType="end"/>
            </w:r>
            <w:bookmarkEnd w:id="38"/>
            <w:bookmarkEnd w:id="39"/>
          </w:p>
          <w:p w14:paraId="31BF6254" w14:textId="1AB2C208" w:rsidR="00804408" w:rsidRPr="00AA719E" w:rsidRDefault="00804408" w:rsidP="0041234E">
            <w:pPr>
              <w:pStyle w:val="Recommendationbody"/>
            </w:pPr>
            <w:bookmarkStart w:id="40" w:name="_Toc120628058"/>
            <w:bookmarkStart w:id="41" w:name="_Toc122605307"/>
            <w:r>
              <w:t xml:space="preserve">The Committee recommends that after implementing the recommendations in this report, the </w:t>
            </w:r>
            <w:r w:rsidRPr="00804408">
              <w:t xml:space="preserve">Assembly </w:t>
            </w:r>
            <w:r w:rsidRPr="004E626D">
              <w:t>pass</w:t>
            </w:r>
            <w:r>
              <w:t xml:space="preserve"> </w:t>
            </w:r>
            <w:r w:rsidRPr="00804408">
              <w:t>the</w:t>
            </w:r>
            <w:r w:rsidRPr="00804408">
              <w:rPr>
                <w:i/>
                <w:iCs/>
              </w:rPr>
              <w:t xml:space="preserve"> </w:t>
            </w:r>
            <w:bookmarkEnd w:id="40"/>
            <w:r w:rsidRPr="00804408">
              <w:rPr>
                <w:i/>
                <w:iCs/>
              </w:rPr>
              <w:t>Freedom of Information</w:t>
            </w:r>
            <w:r w:rsidRPr="005C1107">
              <w:rPr>
                <w:i/>
                <w:iCs/>
              </w:rPr>
              <w:t xml:space="preserve"> Amendment Bill 2022.</w:t>
            </w:r>
            <w:bookmarkEnd w:id="41"/>
            <w:r>
              <w:t xml:space="preserve"> </w:t>
            </w:r>
          </w:p>
        </w:tc>
      </w:tr>
    </w:tbl>
    <w:p w14:paraId="70C2499B" w14:textId="77777777" w:rsidR="00804408" w:rsidRPr="005C1107" w:rsidRDefault="00804408" w:rsidP="00804408">
      <w:pPr>
        <w:pStyle w:val="ListNumber2"/>
        <w:numPr>
          <w:ilvl w:val="0"/>
          <w:numId w:val="0"/>
        </w:numPr>
      </w:pPr>
      <w:r w:rsidRPr="005C1107">
        <w:rPr>
          <w:rFonts w:ascii="Montserrat" w:eastAsiaTheme="majorEastAsia" w:hAnsi="Montserrat" w:cstheme="majorBidi"/>
          <w:b/>
          <w:bCs w:val="0"/>
          <w:color w:val="7492CD"/>
          <w:w w:val="90"/>
          <w:kern w:val="2"/>
          <w:sz w:val="28"/>
          <w:szCs w:val="24"/>
        </w:rPr>
        <w:t>Freedom of Information Amendment Bill 2022 (No 2)</w:t>
      </w:r>
    </w:p>
    <w:p w14:paraId="688EBF36" w14:textId="77777777" w:rsidR="00804408" w:rsidRDefault="00804408" w:rsidP="00804408">
      <w:pPr>
        <w:pStyle w:val="ListNumber2"/>
      </w:pPr>
      <w:r>
        <w:t>The Committee considers that it was important to conduct this inquiry given the significant amendments to the FOI Act regarding the release of Cabinet documents.</w:t>
      </w:r>
    </w:p>
    <w:tbl>
      <w:tblPr>
        <w:tblStyle w:val="Recommendationbox"/>
        <w:tblW w:w="0" w:type="auto"/>
        <w:tblLook w:val="0600" w:firstRow="0" w:lastRow="0" w:firstColumn="0" w:lastColumn="0" w:noHBand="1" w:noVBand="1"/>
      </w:tblPr>
      <w:tblGrid>
        <w:gridCol w:w="8175"/>
      </w:tblGrid>
      <w:tr w:rsidR="00804408" w14:paraId="44A37A3D" w14:textId="77777777" w:rsidTr="0041234E">
        <w:tc>
          <w:tcPr>
            <w:tcW w:w="7891" w:type="dxa"/>
          </w:tcPr>
          <w:p w14:paraId="474A56DB" w14:textId="77777777" w:rsidR="00804408" w:rsidRDefault="00804408" w:rsidP="0041234E">
            <w:pPr>
              <w:pStyle w:val="Recommendationheading"/>
            </w:pPr>
            <w:r>
              <w:t xml:space="preserve"> </w:t>
            </w:r>
            <w:bookmarkStart w:id="42" w:name="_Toc122605308"/>
            <w:r>
              <w:t xml:space="preserve">Recommendation </w:t>
            </w:r>
            <w:r>
              <w:fldChar w:fldCharType="begin"/>
            </w:r>
            <w:r>
              <w:instrText xml:space="preserve"> AUTONUMLGL \* Arabic\e </w:instrText>
            </w:r>
            <w:r>
              <w:fldChar w:fldCharType="end"/>
            </w:r>
            <w:bookmarkEnd w:id="42"/>
          </w:p>
          <w:p w14:paraId="09F2DA0A" w14:textId="3ABF8375" w:rsidR="00804408" w:rsidRPr="00AA719E" w:rsidRDefault="00804408" w:rsidP="0041234E">
            <w:pPr>
              <w:pStyle w:val="Recommendationbody"/>
            </w:pPr>
            <w:bookmarkStart w:id="43" w:name="_Toc122605309"/>
            <w:r>
              <w:t xml:space="preserve">The Committee recommends the </w:t>
            </w:r>
            <w:r w:rsidRPr="00804408">
              <w:t xml:space="preserve">Assembly </w:t>
            </w:r>
            <w:r w:rsidRPr="004E626D">
              <w:t>does not pass</w:t>
            </w:r>
            <w:r w:rsidRPr="00804408">
              <w:t xml:space="preserve"> the</w:t>
            </w:r>
            <w:r>
              <w:t xml:space="preserve"> </w:t>
            </w:r>
            <w:r w:rsidRPr="005C1107">
              <w:rPr>
                <w:i/>
                <w:iCs/>
              </w:rPr>
              <w:t>Freedom of Information Amendment Bill 2022</w:t>
            </w:r>
            <w:r>
              <w:rPr>
                <w:i/>
                <w:iCs/>
              </w:rPr>
              <w:t xml:space="preserve"> (No 2)</w:t>
            </w:r>
            <w:r w:rsidR="005C0444">
              <w:rPr>
                <w:i/>
                <w:iCs/>
              </w:rPr>
              <w:t>.</w:t>
            </w:r>
            <w:bookmarkEnd w:id="43"/>
          </w:p>
        </w:tc>
      </w:tr>
    </w:tbl>
    <w:p w14:paraId="4E955060" w14:textId="498B3FD2" w:rsidR="00804408" w:rsidRDefault="00804408" w:rsidP="00804408">
      <w:pPr>
        <w:pStyle w:val="Heading1"/>
        <w:numPr>
          <w:ilvl w:val="0"/>
          <w:numId w:val="0"/>
        </w:numPr>
      </w:pPr>
    </w:p>
    <w:p w14:paraId="7E1C4A1B" w14:textId="77777777" w:rsidR="005F3A86" w:rsidRPr="005F3A86" w:rsidRDefault="005F3A86" w:rsidP="000E0869">
      <w:pPr>
        <w:pStyle w:val="ListNumber2"/>
        <w:numPr>
          <w:ilvl w:val="0"/>
          <w:numId w:val="0"/>
        </w:numPr>
        <w:ind w:left="568"/>
      </w:pPr>
    </w:p>
    <w:p w14:paraId="51394106" w14:textId="77777777" w:rsidR="00804408" w:rsidRDefault="00804408" w:rsidP="00804408">
      <w:pPr>
        <w:pStyle w:val="ListNumber2"/>
        <w:numPr>
          <w:ilvl w:val="0"/>
          <w:numId w:val="0"/>
        </w:numPr>
        <w:spacing w:before="0" w:after="0" w:line="240" w:lineRule="auto"/>
      </w:pPr>
      <w:r>
        <w:t>Peter Cain MLA</w:t>
      </w:r>
    </w:p>
    <w:p w14:paraId="1C806E54" w14:textId="77777777" w:rsidR="00804408" w:rsidRDefault="00804408" w:rsidP="00804408">
      <w:pPr>
        <w:pStyle w:val="ListNumber2"/>
        <w:numPr>
          <w:ilvl w:val="0"/>
          <w:numId w:val="0"/>
        </w:numPr>
        <w:spacing w:before="0" w:after="0" w:line="240" w:lineRule="auto"/>
      </w:pPr>
      <w:r>
        <w:t>Chair</w:t>
      </w:r>
    </w:p>
    <w:p w14:paraId="06155C9E" w14:textId="29CC3507" w:rsidR="00804408" w:rsidRPr="00DD03AC" w:rsidRDefault="00804408" w:rsidP="00804408">
      <w:pPr>
        <w:pStyle w:val="ListNumber2"/>
        <w:numPr>
          <w:ilvl w:val="0"/>
          <w:numId w:val="0"/>
        </w:numPr>
        <w:spacing w:before="0" w:after="0" w:line="240" w:lineRule="auto"/>
      </w:pPr>
      <w:r>
        <w:t xml:space="preserve">   </w:t>
      </w:r>
      <w:r w:rsidR="00DA703A">
        <w:t>February</w:t>
      </w:r>
      <w:r>
        <w:t xml:space="preserve"> 202</w:t>
      </w:r>
      <w:r w:rsidR="00DA703A">
        <w:t>3</w:t>
      </w:r>
    </w:p>
    <w:p w14:paraId="7C8ED38A" w14:textId="77777777" w:rsidR="00804408" w:rsidRDefault="00804408" w:rsidP="000E0869">
      <w:pPr>
        <w:pStyle w:val="Heading1nonumber"/>
      </w:pPr>
      <w:r>
        <w:br w:type="page"/>
      </w:r>
      <w:bookmarkStart w:id="44" w:name="_Toc122604858"/>
      <w:r w:rsidRPr="0071045B">
        <w:lastRenderedPageBreak/>
        <w:t>Appendix A: Submissions</w:t>
      </w:r>
      <w:bookmarkEnd w:id="44"/>
    </w:p>
    <w:p w14:paraId="0E56538A" w14:textId="77777777" w:rsidR="00804408" w:rsidRDefault="00804408" w:rsidP="00804408">
      <w:pPr>
        <w:spacing w:after="0" w:line="240" w:lineRule="auto"/>
      </w:pPr>
    </w:p>
    <w:tbl>
      <w:tblPr>
        <w:tblStyle w:val="Assemblystyletable"/>
        <w:tblW w:w="0" w:type="auto"/>
        <w:tblLook w:val="04A0" w:firstRow="1" w:lastRow="0" w:firstColumn="1" w:lastColumn="0" w:noHBand="0" w:noVBand="1"/>
      </w:tblPr>
      <w:tblGrid>
        <w:gridCol w:w="672"/>
        <w:gridCol w:w="5661"/>
        <w:gridCol w:w="1346"/>
        <w:gridCol w:w="1347"/>
      </w:tblGrid>
      <w:tr w:rsidR="00804408" w14:paraId="1D72AF3D" w14:textId="77777777" w:rsidTr="0041234E">
        <w:trPr>
          <w:cnfStyle w:val="100000000000" w:firstRow="1" w:lastRow="0" w:firstColumn="0" w:lastColumn="0" w:oddVBand="0" w:evenVBand="0" w:oddHBand="0" w:evenHBand="0" w:firstRowFirstColumn="0" w:firstRowLastColumn="0" w:lastRowFirstColumn="0" w:lastRowLastColumn="0"/>
        </w:trPr>
        <w:tc>
          <w:tcPr>
            <w:tcW w:w="672" w:type="dxa"/>
          </w:tcPr>
          <w:p w14:paraId="20CF9918" w14:textId="77777777" w:rsidR="00804408" w:rsidRDefault="00804408" w:rsidP="0041234E">
            <w:pPr>
              <w:pStyle w:val="Tableheading"/>
            </w:pPr>
            <w:r>
              <w:t>No.</w:t>
            </w:r>
          </w:p>
        </w:tc>
        <w:tc>
          <w:tcPr>
            <w:tcW w:w="5661" w:type="dxa"/>
          </w:tcPr>
          <w:p w14:paraId="5730FDE4" w14:textId="77777777" w:rsidR="00804408" w:rsidRDefault="00804408" w:rsidP="0041234E">
            <w:pPr>
              <w:pStyle w:val="Tableheading"/>
            </w:pPr>
            <w:r>
              <w:t>Submission by</w:t>
            </w:r>
          </w:p>
        </w:tc>
        <w:tc>
          <w:tcPr>
            <w:tcW w:w="1346" w:type="dxa"/>
          </w:tcPr>
          <w:p w14:paraId="0D88FB4F" w14:textId="77777777" w:rsidR="00804408" w:rsidRDefault="00804408" w:rsidP="0041234E">
            <w:pPr>
              <w:pStyle w:val="Tableheading"/>
            </w:pPr>
            <w:r>
              <w:t>Received</w:t>
            </w:r>
          </w:p>
        </w:tc>
        <w:tc>
          <w:tcPr>
            <w:tcW w:w="1347" w:type="dxa"/>
          </w:tcPr>
          <w:p w14:paraId="5B1DB341" w14:textId="77777777" w:rsidR="00804408" w:rsidRDefault="00804408" w:rsidP="0041234E">
            <w:pPr>
              <w:pStyle w:val="Tableheading"/>
            </w:pPr>
            <w:r>
              <w:t>Published</w:t>
            </w:r>
          </w:p>
        </w:tc>
      </w:tr>
      <w:tr w:rsidR="00804408" w14:paraId="4D286170" w14:textId="77777777" w:rsidTr="0041234E">
        <w:trPr>
          <w:cnfStyle w:val="000000100000" w:firstRow="0" w:lastRow="0" w:firstColumn="0" w:lastColumn="0" w:oddVBand="0" w:evenVBand="0" w:oddHBand="1" w:evenHBand="0" w:firstRowFirstColumn="0" w:firstRowLastColumn="0" w:lastRowFirstColumn="0" w:lastRowLastColumn="0"/>
        </w:trPr>
        <w:tc>
          <w:tcPr>
            <w:tcW w:w="672" w:type="dxa"/>
          </w:tcPr>
          <w:p w14:paraId="53B97CD8" w14:textId="77777777" w:rsidR="00804408" w:rsidRPr="00133912" w:rsidRDefault="00804408" w:rsidP="0041234E">
            <w:pPr>
              <w:pStyle w:val="Tablebody"/>
            </w:pPr>
            <w:r w:rsidRPr="00133912">
              <w:t>001</w:t>
            </w:r>
          </w:p>
        </w:tc>
        <w:tc>
          <w:tcPr>
            <w:tcW w:w="5661" w:type="dxa"/>
          </w:tcPr>
          <w:p w14:paraId="0DF74177" w14:textId="77777777" w:rsidR="00804408" w:rsidRPr="00133912" w:rsidRDefault="00804408" w:rsidP="0041234E">
            <w:pPr>
              <w:pStyle w:val="Tablebody"/>
            </w:pPr>
            <w:r w:rsidRPr="00133912">
              <w:t>Centre for Public Integrity</w:t>
            </w:r>
          </w:p>
        </w:tc>
        <w:tc>
          <w:tcPr>
            <w:tcW w:w="1346" w:type="dxa"/>
          </w:tcPr>
          <w:p w14:paraId="61972149" w14:textId="77777777" w:rsidR="00804408" w:rsidRPr="00133912" w:rsidRDefault="00804408" w:rsidP="0041234E">
            <w:pPr>
              <w:pStyle w:val="Tablebody"/>
            </w:pPr>
            <w:r w:rsidRPr="00133912">
              <w:t>10/10/2022</w:t>
            </w:r>
          </w:p>
        </w:tc>
        <w:tc>
          <w:tcPr>
            <w:tcW w:w="1347" w:type="dxa"/>
          </w:tcPr>
          <w:p w14:paraId="7DE4CA0D" w14:textId="77777777" w:rsidR="00804408" w:rsidRPr="00133912" w:rsidRDefault="00804408" w:rsidP="0041234E">
            <w:pPr>
              <w:pStyle w:val="Tablebody"/>
            </w:pPr>
            <w:r w:rsidRPr="00133912">
              <w:t>01/11/2022</w:t>
            </w:r>
          </w:p>
        </w:tc>
      </w:tr>
      <w:tr w:rsidR="00804408" w14:paraId="181DF488" w14:textId="77777777" w:rsidTr="0041234E">
        <w:trPr>
          <w:cnfStyle w:val="000000010000" w:firstRow="0" w:lastRow="0" w:firstColumn="0" w:lastColumn="0" w:oddVBand="0" w:evenVBand="0" w:oddHBand="0" w:evenHBand="1" w:firstRowFirstColumn="0" w:firstRowLastColumn="0" w:lastRowFirstColumn="0" w:lastRowLastColumn="0"/>
        </w:trPr>
        <w:tc>
          <w:tcPr>
            <w:tcW w:w="672" w:type="dxa"/>
          </w:tcPr>
          <w:p w14:paraId="212EE453" w14:textId="77777777" w:rsidR="00804408" w:rsidRPr="00133912" w:rsidRDefault="00804408" w:rsidP="0041234E">
            <w:pPr>
              <w:pStyle w:val="Tablebody"/>
            </w:pPr>
            <w:r w:rsidRPr="00133912">
              <w:t>002</w:t>
            </w:r>
          </w:p>
        </w:tc>
        <w:tc>
          <w:tcPr>
            <w:tcW w:w="5661" w:type="dxa"/>
          </w:tcPr>
          <w:p w14:paraId="1EFA0771" w14:textId="77777777" w:rsidR="00804408" w:rsidRPr="00133912" w:rsidRDefault="00804408" w:rsidP="0041234E">
            <w:pPr>
              <w:pStyle w:val="Tablebody"/>
            </w:pPr>
            <w:r w:rsidRPr="00133912">
              <w:t>Bruce Arnold</w:t>
            </w:r>
          </w:p>
        </w:tc>
        <w:tc>
          <w:tcPr>
            <w:tcW w:w="1346" w:type="dxa"/>
          </w:tcPr>
          <w:p w14:paraId="78FC31DF" w14:textId="77777777" w:rsidR="00804408" w:rsidRPr="00133912" w:rsidRDefault="00804408" w:rsidP="0041234E">
            <w:pPr>
              <w:pStyle w:val="Tablebody"/>
            </w:pPr>
            <w:r w:rsidRPr="00133912">
              <w:t>24/10/2022</w:t>
            </w:r>
          </w:p>
        </w:tc>
        <w:tc>
          <w:tcPr>
            <w:tcW w:w="1347" w:type="dxa"/>
          </w:tcPr>
          <w:p w14:paraId="7E121E36" w14:textId="77777777" w:rsidR="00804408" w:rsidRPr="00133912" w:rsidRDefault="00804408" w:rsidP="0041234E">
            <w:pPr>
              <w:pStyle w:val="Tablebody"/>
            </w:pPr>
            <w:r w:rsidRPr="00133912">
              <w:t>01/11/2022</w:t>
            </w:r>
          </w:p>
        </w:tc>
      </w:tr>
      <w:tr w:rsidR="00804408" w14:paraId="035D7744" w14:textId="77777777" w:rsidTr="0041234E">
        <w:trPr>
          <w:cnfStyle w:val="000000100000" w:firstRow="0" w:lastRow="0" w:firstColumn="0" w:lastColumn="0" w:oddVBand="0" w:evenVBand="0" w:oddHBand="1" w:evenHBand="0" w:firstRowFirstColumn="0" w:firstRowLastColumn="0" w:lastRowFirstColumn="0" w:lastRowLastColumn="0"/>
        </w:trPr>
        <w:tc>
          <w:tcPr>
            <w:tcW w:w="672" w:type="dxa"/>
          </w:tcPr>
          <w:p w14:paraId="503AC312" w14:textId="77777777" w:rsidR="00804408" w:rsidRPr="00133912" w:rsidRDefault="00804408" w:rsidP="0041234E">
            <w:pPr>
              <w:pStyle w:val="Tablebody"/>
            </w:pPr>
            <w:r w:rsidRPr="00133912">
              <w:t>003</w:t>
            </w:r>
          </w:p>
        </w:tc>
        <w:tc>
          <w:tcPr>
            <w:tcW w:w="5661" w:type="dxa"/>
          </w:tcPr>
          <w:p w14:paraId="795A762F" w14:textId="77777777" w:rsidR="00804408" w:rsidRPr="00133912" w:rsidRDefault="00804408" w:rsidP="0041234E">
            <w:pPr>
              <w:pStyle w:val="Tablebody"/>
            </w:pPr>
            <w:r w:rsidRPr="00133912">
              <w:t>Ms Elizabeth Lee MLA</w:t>
            </w:r>
          </w:p>
        </w:tc>
        <w:tc>
          <w:tcPr>
            <w:tcW w:w="1346" w:type="dxa"/>
          </w:tcPr>
          <w:p w14:paraId="1E74D174" w14:textId="77777777" w:rsidR="00804408" w:rsidRPr="00133912" w:rsidRDefault="00804408" w:rsidP="0041234E">
            <w:pPr>
              <w:pStyle w:val="Tablebody"/>
            </w:pPr>
            <w:r w:rsidRPr="00133912">
              <w:t>26/10/2022</w:t>
            </w:r>
          </w:p>
        </w:tc>
        <w:tc>
          <w:tcPr>
            <w:tcW w:w="1347" w:type="dxa"/>
          </w:tcPr>
          <w:p w14:paraId="029403AB" w14:textId="77777777" w:rsidR="00804408" w:rsidRPr="00133912" w:rsidRDefault="00804408" w:rsidP="0041234E">
            <w:pPr>
              <w:pStyle w:val="Tablebody"/>
            </w:pPr>
            <w:r w:rsidRPr="00133912">
              <w:t>01/11/2022</w:t>
            </w:r>
          </w:p>
        </w:tc>
      </w:tr>
      <w:tr w:rsidR="00804408" w14:paraId="5F850D3B" w14:textId="77777777" w:rsidTr="0041234E">
        <w:trPr>
          <w:cnfStyle w:val="000000010000" w:firstRow="0" w:lastRow="0" w:firstColumn="0" w:lastColumn="0" w:oddVBand="0" w:evenVBand="0" w:oddHBand="0" w:evenHBand="1" w:firstRowFirstColumn="0" w:firstRowLastColumn="0" w:lastRowFirstColumn="0" w:lastRowLastColumn="0"/>
        </w:trPr>
        <w:tc>
          <w:tcPr>
            <w:tcW w:w="672" w:type="dxa"/>
          </w:tcPr>
          <w:p w14:paraId="33B50B67" w14:textId="77777777" w:rsidR="00804408" w:rsidRPr="00133912" w:rsidRDefault="00804408" w:rsidP="0041234E">
            <w:pPr>
              <w:pStyle w:val="Tablebody"/>
            </w:pPr>
            <w:r w:rsidRPr="00133912">
              <w:t>003.1</w:t>
            </w:r>
          </w:p>
        </w:tc>
        <w:tc>
          <w:tcPr>
            <w:tcW w:w="5661" w:type="dxa"/>
          </w:tcPr>
          <w:p w14:paraId="43833285" w14:textId="77777777" w:rsidR="00804408" w:rsidRPr="00133912" w:rsidRDefault="00804408" w:rsidP="0041234E">
            <w:pPr>
              <w:pStyle w:val="Tablebody"/>
            </w:pPr>
            <w:r w:rsidRPr="00133912">
              <w:t>Ms Elizabeth Lee MLA</w:t>
            </w:r>
          </w:p>
        </w:tc>
        <w:tc>
          <w:tcPr>
            <w:tcW w:w="1346" w:type="dxa"/>
          </w:tcPr>
          <w:p w14:paraId="1B35E72E" w14:textId="77777777" w:rsidR="00804408" w:rsidRPr="00133912" w:rsidRDefault="00804408" w:rsidP="0041234E">
            <w:pPr>
              <w:pStyle w:val="Tablebody"/>
            </w:pPr>
            <w:r w:rsidRPr="00133912">
              <w:t>21/11/2022</w:t>
            </w:r>
          </w:p>
        </w:tc>
        <w:tc>
          <w:tcPr>
            <w:tcW w:w="1347" w:type="dxa"/>
          </w:tcPr>
          <w:p w14:paraId="7DF29D2F" w14:textId="77777777" w:rsidR="00804408" w:rsidRPr="00133912" w:rsidRDefault="00804408" w:rsidP="0041234E">
            <w:pPr>
              <w:pStyle w:val="Tablebody"/>
            </w:pPr>
            <w:r w:rsidRPr="00133912">
              <w:t>02/12/2022</w:t>
            </w:r>
          </w:p>
        </w:tc>
      </w:tr>
      <w:tr w:rsidR="00804408" w14:paraId="46CA250C" w14:textId="77777777" w:rsidTr="0041234E">
        <w:trPr>
          <w:cnfStyle w:val="000000100000" w:firstRow="0" w:lastRow="0" w:firstColumn="0" w:lastColumn="0" w:oddVBand="0" w:evenVBand="0" w:oddHBand="1" w:evenHBand="0" w:firstRowFirstColumn="0" w:firstRowLastColumn="0" w:lastRowFirstColumn="0" w:lastRowLastColumn="0"/>
        </w:trPr>
        <w:tc>
          <w:tcPr>
            <w:tcW w:w="672" w:type="dxa"/>
          </w:tcPr>
          <w:p w14:paraId="0E5985B3" w14:textId="77777777" w:rsidR="00804408" w:rsidRPr="00133912" w:rsidRDefault="00804408" w:rsidP="0041234E">
            <w:pPr>
              <w:pStyle w:val="Tablebody"/>
            </w:pPr>
            <w:r w:rsidRPr="00133912">
              <w:t>004</w:t>
            </w:r>
          </w:p>
        </w:tc>
        <w:tc>
          <w:tcPr>
            <w:tcW w:w="5661" w:type="dxa"/>
          </w:tcPr>
          <w:p w14:paraId="1B6AE1C5" w14:textId="77777777" w:rsidR="00804408" w:rsidRPr="00133912" w:rsidRDefault="00804408" w:rsidP="0041234E">
            <w:pPr>
              <w:pStyle w:val="Tablebody"/>
            </w:pPr>
            <w:r w:rsidRPr="00133912">
              <w:t xml:space="preserve">ACT Ombudsman </w:t>
            </w:r>
          </w:p>
        </w:tc>
        <w:tc>
          <w:tcPr>
            <w:tcW w:w="1346" w:type="dxa"/>
          </w:tcPr>
          <w:p w14:paraId="6E640FD1" w14:textId="77777777" w:rsidR="00804408" w:rsidRPr="00133912" w:rsidRDefault="00804408" w:rsidP="0041234E">
            <w:pPr>
              <w:pStyle w:val="Tablebody"/>
            </w:pPr>
            <w:r w:rsidRPr="00133912">
              <w:t>28/10/2022</w:t>
            </w:r>
          </w:p>
        </w:tc>
        <w:tc>
          <w:tcPr>
            <w:tcW w:w="1347" w:type="dxa"/>
          </w:tcPr>
          <w:p w14:paraId="0FBFA92F" w14:textId="77777777" w:rsidR="00804408" w:rsidRPr="00133912" w:rsidRDefault="00804408" w:rsidP="0041234E">
            <w:pPr>
              <w:pStyle w:val="Tablebody"/>
            </w:pPr>
            <w:r w:rsidRPr="00133912">
              <w:t>16/11/2022</w:t>
            </w:r>
          </w:p>
        </w:tc>
      </w:tr>
      <w:tr w:rsidR="00804408" w14:paraId="776DA4AA" w14:textId="77777777" w:rsidTr="0041234E">
        <w:trPr>
          <w:cnfStyle w:val="000000010000" w:firstRow="0" w:lastRow="0" w:firstColumn="0" w:lastColumn="0" w:oddVBand="0" w:evenVBand="0" w:oddHBand="0" w:evenHBand="1" w:firstRowFirstColumn="0" w:firstRowLastColumn="0" w:lastRowFirstColumn="0" w:lastRowLastColumn="0"/>
        </w:trPr>
        <w:tc>
          <w:tcPr>
            <w:tcW w:w="672" w:type="dxa"/>
          </w:tcPr>
          <w:p w14:paraId="53FC274F" w14:textId="77777777" w:rsidR="00804408" w:rsidRPr="00133912" w:rsidRDefault="00804408" w:rsidP="0041234E">
            <w:pPr>
              <w:pStyle w:val="Tablebody"/>
            </w:pPr>
            <w:r w:rsidRPr="00133912">
              <w:t>005</w:t>
            </w:r>
          </w:p>
        </w:tc>
        <w:tc>
          <w:tcPr>
            <w:tcW w:w="5661" w:type="dxa"/>
          </w:tcPr>
          <w:p w14:paraId="0B7CD566" w14:textId="77777777" w:rsidR="00804408" w:rsidRPr="00133912" w:rsidRDefault="00804408" w:rsidP="0041234E">
            <w:pPr>
              <w:pStyle w:val="Tablebody"/>
            </w:pPr>
            <w:r w:rsidRPr="00133912">
              <w:t>ACT Government</w:t>
            </w:r>
          </w:p>
        </w:tc>
        <w:tc>
          <w:tcPr>
            <w:tcW w:w="1346" w:type="dxa"/>
          </w:tcPr>
          <w:p w14:paraId="4F135969" w14:textId="77777777" w:rsidR="00804408" w:rsidRPr="00133912" w:rsidRDefault="00804408" w:rsidP="0041234E">
            <w:pPr>
              <w:pStyle w:val="Tablebody"/>
            </w:pPr>
            <w:r w:rsidRPr="00133912">
              <w:t>07/11/2022</w:t>
            </w:r>
          </w:p>
        </w:tc>
        <w:tc>
          <w:tcPr>
            <w:tcW w:w="1347" w:type="dxa"/>
          </w:tcPr>
          <w:p w14:paraId="3459E331" w14:textId="77777777" w:rsidR="00804408" w:rsidRPr="00133912" w:rsidRDefault="00804408" w:rsidP="0041234E">
            <w:pPr>
              <w:pStyle w:val="Tablebody"/>
            </w:pPr>
            <w:r w:rsidRPr="00133912">
              <w:t>16/11/2022</w:t>
            </w:r>
          </w:p>
        </w:tc>
      </w:tr>
      <w:tr w:rsidR="00804408" w14:paraId="3F51FAFF" w14:textId="77777777" w:rsidTr="0041234E">
        <w:trPr>
          <w:cnfStyle w:val="000000100000" w:firstRow="0" w:lastRow="0" w:firstColumn="0" w:lastColumn="0" w:oddVBand="0" w:evenVBand="0" w:oddHBand="1" w:evenHBand="0" w:firstRowFirstColumn="0" w:firstRowLastColumn="0" w:lastRowFirstColumn="0" w:lastRowLastColumn="0"/>
        </w:trPr>
        <w:tc>
          <w:tcPr>
            <w:tcW w:w="672" w:type="dxa"/>
          </w:tcPr>
          <w:p w14:paraId="4453141B" w14:textId="77777777" w:rsidR="00804408" w:rsidRPr="00133912" w:rsidRDefault="00804408" w:rsidP="0041234E">
            <w:pPr>
              <w:pStyle w:val="Tablebody"/>
            </w:pPr>
            <w:r w:rsidRPr="00133912">
              <w:t>005.1</w:t>
            </w:r>
          </w:p>
        </w:tc>
        <w:tc>
          <w:tcPr>
            <w:tcW w:w="5661" w:type="dxa"/>
          </w:tcPr>
          <w:p w14:paraId="42371D82" w14:textId="77777777" w:rsidR="00804408" w:rsidRPr="00133912" w:rsidRDefault="00804408" w:rsidP="0041234E">
            <w:pPr>
              <w:pStyle w:val="Tablebody"/>
            </w:pPr>
            <w:r w:rsidRPr="00133912">
              <w:t xml:space="preserve">ACT Government </w:t>
            </w:r>
          </w:p>
        </w:tc>
        <w:tc>
          <w:tcPr>
            <w:tcW w:w="1346" w:type="dxa"/>
          </w:tcPr>
          <w:p w14:paraId="5773EBED" w14:textId="77777777" w:rsidR="00804408" w:rsidRPr="00133912" w:rsidRDefault="00804408" w:rsidP="0041234E">
            <w:pPr>
              <w:pStyle w:val="Tablebody"/>
            </w:pPr>
            <w:r w:rsidRPr="00133912">
              <w:t>25/11/2022</w:t>
            </w:r>
          </w:p>
        </w:tc>
        <w:tc>
          <w:tcPr>
            <w:tcW w:w="1347" w:type="dxa"/>
          </w:tcPr>
          <w:p w14:paraId="152ECBED" w14:textId="77777777" w:rsidR="00804408" w:rsidRPr="00133912" w:rsidRDefault="00804408" w:rsidP="0041234E">
            <w:pPr>
              <w:pStyle w:val="Tablebody"/>
            </w:pPr>
            <w:r w:rsidRPr="00133912">
              <w:t>02/12/2022</w:t>
            </w:r>
          </w:p>
        </w:tc>
      </w:tr>
    </w:tbl>
    <w:p w14:paraId="4716CF72" w14:textId="77777777" w:rsidR="00804408" w:rsidRDefault="00804408" w:rsidP="00804408">
      <w:pPr>
        <w:spacing w:line="259" w:lineRule="auto"/>
      </w:pPr>
    </w:p>
    <w:p w14:paraId="512114D7" w14:textId="77777777" w:rsidR="00804408" w:rsidRDefault="00804408" w:rsidP="00804408">
      <w:pPr>
        <w:spacing w:line="259" w:lineRule="auto"/>
      </w:pPr>
      <w:r>
        <w:br w:type="page"/>
      </w:r>
    </w:p>
    <w:p w14:paraId="7D29606E" w14:textId="77777777" w:rsidR="00804408" w:rsidRDefault="00804408" w:rsidP="000E0869">
      <w:pPr>
        <w:pStyle w:val="Heading1nonumber"/>
      </w:pPr>
      <w:bookmarkStart w:id="45" w:name="_Toc122604859"/>
      <w:r>
        <w:rPr>
          <w:noProof/>
        </w:rPr>
        <w:lastRenderedPageBreak/>
        <w:drawing>
          <wp:anchor distT="0" distB="0" distL="114300" distR="114300" simplePos="0" relativeHeight="251659264" behindDoc="0" locked="0" layoutInCell="1" allowOverlap="1" wp14:anchorId="3838FF4E" wp14:editId="7DA72D9F">
            <wp:simplePos x="0" y="0"/>
            <wp:positionH relativeFrom="margin">
              <wp:posOffset>254025</wp:posOffset>
            </wp:positionH>
            <wp:positionV relativeFrom="margin">
              <wp:posOffset>707644</wp:posOffset>
            </wp:positionV>
            <wp:extent cx="5099685" cy="7300595"/>
            <wp:effectExtent l="0" t="0" r="5715" b="0"/>
            <wp:wrapSquare wrapText="bothSides"/>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099685" cy="7300595"/>
                    </a:xfrm>
                    <a:prstGeom prst="rect">
                      <a:avLst/>
                    </a:prstGeom>
                  </pic:spPr>
                </pic:pic>
              </a:graphicData>
            </a:graphic>
          </wp:anchor>
        </w:drawing>
      </w:r>
      <w:r w:rsidRPr="008C6363">
        <w:t>Appendix B: Redacted Cabinet documents from New Zealand Parliament</w:t>
      </w:r>
      <w:bookmarkEnd w:id="45"/>
      <w:r>
        <w:t xml:space="preserve"> </w:t>
      </w:r>
    </w:p>
    <w:p w14:paraId="3765647B" w14:textId="77777777" w:rsidR="00804408" w:rsidRDefault="00804408" w:rsidP="00804408"/>
    <w:p w14:paraId="47CC9AB9" w14:textId="77777777" w:rsidR="00804408" w:rsidRDefault="00804408" w:rsidP="00804408"/>
    <w:p w14:paraId="0F589575" w14:textId="77777777" w:rsidR="00804408" w:rsidRDefault="00804408" w:rsidP="00804408"/>
    <w:p w14:paraId="546A72B5" w14:textId="77777777" w:rsidR="00804408" w:rsidRPr="00C27AAA" w:rsidRDefault="00804408" w:rsidP="000E0869">
      <w:pPr>
        <w:pStyle w:val="Heading1nonumber"/>
      </w:pPr>
      <w:bookmarkStart w:id="46" w:name="_Toc122604860"/>
      <w:r w:rsidRPr="008C6363">
        <w:lastRenderedPageBreak/>
        <w:t xml:space="preserve">Appendix </w:t>
      </w:r>
      <w:r>
        <w:t>C</w:t>
      </w:r>
      <w:r w:rsidRPr="008C6363">
        <w:t xml:space="preserve">: </w:t>
      </w:r>
      <w:r>
        <w:t xml:space="preserve">Example of </w:t>
      </w:r>
      <w:r w:rsidRPr="00C27AAA">
        <w:t>Cabinet decision summary for the week of 26 September 2022</w:t>
      </w:r>
      <w:bookmarkEnd w:id="46"/>
    </w:p>
    <w:p w14:paraId="12BF755B" w14:textId="77777777" w:rsidR="00804408" w:rsidRDefault="00804408" w:rsidP="00804408">
      <w:r>
        <w:rPr>
          <w:noProof/>
        </w:rPr>
        <w:drawing>
          <wp:inline distT="0" distB="0" distL="0" distR="0" wp14:anchorId="118E283F" wp14:editId="15AAB98E">
            <wp:extent cx="6391622" cy="3928262"/>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4945" r="2470"/>
                    <a:stretch/>
                  </pic:blipFill>
                  <pic:spPr bwMode="auto">
                    <a:xfrm>
                      <a:off x="0" y="0"/>
                      <a:ext cx="6397633" cy="3931957"/>
                    </a:xfrm>
                    <a:prstGeom prst="rect">
                      <a:avLst/>
                    </a:prstGeom>
                    <a:ln>
                      <a:noFill/>
                    </a:ln>
                    <a:extLst>
                      <a:ext uri="{53640926-AAD7-44D8-BBD7-CCE9431645EC}">
                        <a14:shadowObscured xmlns:a14="http://schemas.microsoft.com/office/drawing/2010/main"/>
                      </a:ext>
                    </a:extLst>
                  </pic:spPr>
                </pic:pic>
              </a:graphicData>
            </a:graphic>
          </wp:inline>
        </w:drawing>
      </w:r>
    </w:p>
    <w:p w14:paraId="5605D13D" w14:textId="77777777" w:rsidR="00804408" w:rsidRPr="00762740" w:rsidRDefault="00804408" w:rsidP="00804408"/>
    <w:p w14:paraId="1D9EC3B7" w14:textId="3E816557" w:rsidR="00295AE0" w:rsidRDefault="00295AE0" w:rsidP="00804408"/>
    <w:p w14:paraId="05199BA4" w14:textId="32EC3A96" w:rsidR="00123129" w:rsidRDefault="00123129" w:rsidP="00804408"/>
    <w:p w14:paraId="2B90503B" w14:textId="4D0DF7B7" w:rsidR="00123129" w:rsidRDefault="00123129" w:rsidP="00804408"/>
    <w:p w14:paraId="2BE5025F" w14:textId="7128FE96" w:rsidR="00123129" w:rsidRDefault="00123129" w:rsidP="00804408"/>
    <w:p w14:paraId="4CBBB89A" w14:textId="3DAD4AB6" w:rsidR="00123129" w:rsidRDefault="00123129" w:rsidP="00804408"/>
    <w:p w14:paraId="3C1803E8" w14:textId="524CBF33" w:rsidR="00123129" w:rsidRDefault="00123129" w:rsidP="00804408"/>
    <w:p w14:paraId="654FF452" w14:textId="27B243DB" w:rsidR="00123129" w:rsidRDefault="00123129" w:rsidP="00804408"/>
    <w:p w14:paraId="7CE1EAF1" w14:textId="3CBCF8E1" w:rsidR="00123129" w:rsidRDefault="00123129" w:rsidP="00804408"/>
    <w:p w14:paraId="38A49B0B" w14:textId="5B000DC9" w:rsidR="00123129" w:rsidRDefault="00123129" w:rsidP="00804408"/>
    <w:p w14:paraId="2C1DC138" w14:textId="16AF8A8F" w:rsidR="00123129" w:rsidRDefault="00123129" w:rsidP="00804408"/>
    <w:p w14:paraId="67635854" w14:textId="6A9CB17B" w:rsidR="00123129" w:rsidRDefault="00123129" w:rsidP="00804408"/>
    <w:p w14:paraId="1851B405" w14:textId="6872DC77" w:rsidR="00123129" w:rsidRDefault="00123129" w:rsidP="00804408"/>
    <w:p w14:paraId="60DEE164" w14:textId="77777777" w:rsidR="00123129" w:rsidRDefault="00123129" w:rsidP="00123129">
      <w:pPr>
        <w:pStyle w:val="Cover-Committeename"/>
        <w:ind w:left="1701"/>
      </w:pPr>
      <w:r w:rsidRPr="00C8358A">
        <w:lastRenderedPageBreak/>
        <w:t xml:space="preserve">Standing Committee on </w:t>
      </w:r>
      <w:r>
        <w:t>Justice and Community Safety</w:t>
      </w:r>
    </w:p>
    <w:p w14:paraId="6179B362" w14:textId="77777777" w:rsidR="00123129" w:rsidRDefault="00123129" w:rsidP="00123129">
      <w:pPr>
        <w:pStyle w:val="Cover-Committeename"/>
        <w:ind w:left="1701"/>
      </w:pPr>
    </w:p>
    <w:p w14:paraId="14E3B2B0" w14:textId="77777777" w:rsidR="00123129" w:rsidRDefault="00123129" w:rsidP="00123129">
      <w:pPr>
        <w:pStyle w:val="Cover-Committeename"/>
        <w:ind w:left="1701"/>
      </w:pPr>
    </w:p>
    <w:p w14:paraId="7E4AB59E" w14:textId="77777777" w:rsidR="00123129" w:rsidRDefault="00123129" w:rsidP="00123129">
      <w:pPr>
        <w:pStyle w:val="Title"/>
        <w:ind w:right="-46"/>
      </w:pPr>
      <w:r w:rsidRPr="00C8358A">
        <w:t>Inquiry</w:t>
      </w:r>
      <w:r>
        <w:t xml:space="preserve"> into the</w:t>
      </w:r>
      <w:r w:rsidRPr="00C8358A">
        <w:t xml:space="preserve"> </w:t>
      </w:r>
      <w:r>
        <w:t>Freedom of Information Amendment Bills 2022</w:t>
      </w:r>
    </w:p>
    <w:p w14:paraId="13266AA2" w14:textId="77777777" w:rsidR="00123129" w:rsidRDefault="00123129" w:rsidP="00123129">
      <w:pPr>
        <w:pStyle w:val="Title"/>
        <w:ind w:right="95"/>
      </w:pPr>
    </w:p>
    <w:p w14:paraId="43D5829F" w14:textId="77777777" w:rsidR="00123129" w:rsidRDefault="00123129" w:rsidP="00123129">
      <w:pPr>
        <w:pStyle w:val="Title"/>
        <w:ind w:right="95"/>
      </w:pPr>
      <w:r>
        <w:t xml:space="preserve">Dissenting report from </w:t>
      </w:r>
    </w:p>
    <w:p w14:paraId="7100E952" w14:textId="77777777" w:rsidR="00123129" w:rsidRDefault="00123129" w:rsidP="00123129">
      <w:pPr>
        <w:pStyle w:val="Title"/>
        <w:ind w:right="95"/>
      </w:pPr>
      <w:r>
        <w:t>Peter Cain MLA</w:t>
      </w:r>
    </w:p>
    <w:p w14:paraId="4B03EDA4" w14:textId="77777777" w:rsidR="00123129" w:rsidRDefault="00123129" w:rsidP="00123129"/>
    <w:p w14:paraId="70C09A58" w14:textId="77777777" w:rsidR="00123129" w:rsidRDefault="00123129" w:rsidP="00123129"/>
    <w:p w14:paraId="27EE2625" w14:textId="77777777" w:rsidR="00123129" w:rsidRDefault="00123129" w:rsidP="00123129"/>
    <w:p w14:paraId="763A1CCD" w14:textId="77777777" w:rsidR="00123129" w:rsidRDefault="00123129" w:rsidP="00123129"/>
    <w:p w14:paraId="2E6FC9A1" w14:textId="77777777" w:rsidR="00123129" w:rsidRDefault="00123129" w:rsidP="00123129"/>
    <w:p w14:paraId="1196E15C" w14:textId="77777777" w:rsidR="00123129" w:rsidRDefault="00123129" w:rsidP="00123129"/>
    <w:p w14:paraId="64503EEA" w14:textId="77777777" w:rsidR="00123129" w:rsidRPr="00095762" w:rsidRDefault="00123129" w:rsidP="00123129"/>
    <w:p w14:paraId="758A958F" w14:textId="77777777" w:rsidR="00123129" w:rsidRDefault="00123129" w:rsidP="00123129">
      <w:pPr>
        <w:pStyle w:val="Heading2"/>
      </w:pPr>
      <w:r>
        <w:lastRenderedPageBreak/>
        <w:t xml:space="preserve">Dissenting report </w:t>
      </w:r>
    </w:p>
    <w:p w14:paraId="60988722" w14:textId="77777777" w:rsidR="00123129" w:rsidRDefault="00123129" w:rsidP="00123129">
      <w:r>
        <w:t xml:space="preserve">I support Recommendations 1-7 in the Committee Report but for the reasons stated in [3.6] to [3.10] and below, I reject Recommendation 8. Instead, I recommend that the Assembly pass the </w:t>
      </w:r>
      <w:r w:rsidRPr="008B645B">
        <w:rPr>
          <w:i/>
          <w:iCs/>
        </w:rPr>
        <w:t xml:space="preserve">Freedom of Information </w:t>
      </w:r>
      <w:r>
        <w:rPr>
          <w:i/>
          <w:iCs/>
        </w:rPr>
        <w:t xml:space="preserve">Amendment </w:t>
      </w:r>
      <w:r w:rsidRPr="008B645B">
        <w:rPr>
          <w:i/>
          <w:iCs/>
        </w:rPr>
        <w:t>Bill 2022 (No 2)</w:t>
      </w:r>
      <w:r>
        <w:t>.</w:t>
      </w:r>
    </w:p>
    <w:p w14:paraId="56850AAD" w14:textId="77777777" w:rsidR="00123129" w:rsidRDefault="00123129" w:rsidP="00123129">
      <w:r>
        <w:t>I am especially persuaded on this view as Cabinet transparency is of utmost importance to the proper working of democracy and in a unicameral jurisdiction such as the ACT, more timely exposure of Cabinet records is warranted. The passage of this Bill would also bring ACT’s disclosure policy with respect to cabinet records into alignment with that of Queensland, also a unicameral jurisdiction, and New Zealand.</w:t>
      </w:r>
    </w:p>
    <w:p w14:paraId="48F77B32" w14:textId="77777777" w:rsidR="00123129" w:rsidRDefault="00123129" w:rsidP="00123129">
      <w:r>
        <w:t>The Bill also ensures that records, whose release would not be in the public interest, are exempt from publication. (I note that the implementation of Recommendation 4 would ensure more transparency on when a disclosure is not in the public interest.)</w:t>
      </w:r>
    </w:p>
    <w:p w14:paraId="593DF9AA" w14:textId="77777777" w:rsidR="00123129" w:rsidRDefault="00123129" w:rsidP="00123129">
      <w:r>
        <w:t xml:space="preserve">This timelier release of Cabinet records is also consistent with the aims and intention of the </w:t>
      </w:r>
      <w:r w:rsidRPr="008B645B">
        <w:rPr>
          <w:i/>
          <w:iCs/>
        </w:rPr>
        <w:t>Freedom of Information Act 2016</w:t>
      </w:r>
      <w:r>
        <w:t>, as stated, respectively, in sections 6 and 9:</w:t>
      </w:r>
    </w:p>
    <w:p w14:paraId="399FDA0E" w14:textId="77777777" w:rsidR="00123129" w:rsidRPr="004E37CD" w:rsidRDefault="00123129" w:rsidP="00123129">
      <w:pPr>
        <w:pStyle w:val="ah5sec"/>
        <w:shd w:val="clear" w:color="auto" w:fill="FFFFFF"/>
        <w:spacing w:before="240" w:beforeAutospacing="0" w:after="0" w:afterAutospacing="0"/>
        <w:ind w:left="2200" w:hanging="1100"/>
        <w:rPr>
          <w:rFonts w:asciiTheme="minorHAnsi" w:hAnsiTheme="minorHAnsi" w:cstheme="minorHAnsi"/>
          <w:b/>
          <w:bCs/>
          <w:color w:val="7F7F7F" w:themeColor="text1" w:themeTint="80"/>
          <w:sz w:val="22"/>
          <w:szCs w:val="22"/>
        </w:rPr>
      </w:pPr>
      <w:bookmarkStart w:id="47" w:name="_Toc90535850"/>
      <w:r w:rsidRPr="004E37CD">
        <w:rPr>
          <w:rStyle w:val="charsectno"/>
          <w:rFonts w:asciiTheme="minorHAnsi" w:hAnsiTheme="minorHAnsi" w:cstheme="minorHAnsi"/>
          <w:b/>
          <w:bCs/>
          <w:color w:val="7F7F7F" w:themeColor="text1" w:themeTint="80"/>
          <w:sz w:val="22"/>
          <w:szCs w:val="22"/>
        </w:rPr>
        <w:t>6</w:t>
      </w:r>
      <w:r w:rsidRPr="004E37CD">
        <w:rPr>
          <w:rFonts w:asciiTheme="minorHAnsi" w:hAnsiTheme="minorHAnsi" w:cstheme="minorHAnsi"/>
          <w:b/>
          <w:bCs/>
          <w:color w:val="7F7F7F" w:themeColor="text1" w:themeTint="80"/>
          <w:sz w:val="22"/>
          <w:szCs w:val="22"/>
        </w:rPr>
        <w:t>       Objects of Act</w:t>
      </w:r>
      <w:bookmarkEnd w:id="47"/>
    </w:p>
    <w:p w14:paraId="447D291F" w14:textId="77777777" w:rsidR="00123129" w:rsidRPr="004E37CD" w:rsidRDefault="00123129" w:rsidP="00123129">
      <w:pPr>
        <w:pStyle w:val="amainreturn"/>
        <w:shd w:val="clear" w:color="auto" w:fill="FFFFFF"/>
        <w:spacing w:before="140" w:beforeAutospacing="0" w:after="0" w:afterAutospacing="0"/>
        <w:ind w:left="1100"/>
        <w:jc w:val="both"/>
        <w:rPr>
          <w:rFonts w:asciiTheme="minorHAnsi" w:hAnsiTheme="minorHAnsi" w:cstheme="minorHAnsi"/>
          <w:color w:val="7F7F7F" w:themeColor="text1" w:themeTint="80"/>
          <w:sz w:val="22"/>
          <w:szCs w:val="22"/>
        </w:rPr>
      </w:pPr>
      <w:r w:rsidRPr="004E37CD">
        <w:rPr>
          <w:rFonts w:asciiTheme="minorHAnsi" w:hAnsiTheme="minorHAnsi" w:cstheme="minorHAnsi"/>
          <w:color w:val="7F7F7F" w:themeColor="text1" w:themeTint="80"/>
          <w:sz w:val="22"/>
          <w:szCs w:val="22"/>
        </w:rPr>
        <w:t>The objects of this Act are to—</w:t>
      </w:r>
    </w:p>
    <w:p w14:paraId="109F6288" w14:textId="77777777" w:rsidR="00123129" w:rsidRPr="004E37CD" w:rsidRDefault="00123129" w:rsidP="00123129">
      <w:pPr>
        <w:pStyle w:val="apara"/>
        <w:shd w:val="clear" w:color="auto" w:fill="FFFFFF"/>
        <w:spacing w:before="140" w:beforeAutospacing="0" w:after="0" w:afterAutospacing="0"/>
        <w:ind w:left="1600" w:hanging="1600"/>
        <w:rPr>
          <w:rFonts w:asciiTheme="minorHAnsi" w:hAnsiTheme="minorHAnsi" w:cstheme="minorHAnsi"/>
          <w:color w:val="7F7F7F" w:themeColor="text1" w:themeTint="80"/>
          <w:sz w:val="22"/>
          <w:szCs w:val="22"/>
        </w:rPr>
      </w:pPr>
      <w:r w:rsidRPr="004E37CD">
        <w:rPr>
          <w:rFonts w:asciiTheme="minorHAnsi" w:hAnsiTheme="minorHAnsi" w:cstheme="minorHAnsi"/>
          <w:i/>
          <w:iCs/>
          <w:color w:val="7F7F7F" w:themeColor="text1" w:themeTint="80"/>
          <w:sz w:val="22"/>
          <w:szCs w:val="22"/>
        </w:rPr>
        <w:t xml:space="preserve">                       </w:t>
      </w:r>
      <w:r w:rsidRPr="004E37CD">
        <w:rPr>
          <w:rFonts w:asciiTheme="minorHAnsi" w:hAnsiTheme="minorHAnsi" w:cstheme="minorHAnsi"/>
          <w:color w:val="7F7F7F" w:themeColor="text1" w:themeTint="80"/>
          <w:sz w:val="22"/>
          <w:szCs w:val="22"/>
        </w:rPr>
        <w:t>(a)    provide a right of access to government information unless access to the information would, on balance, be contrary to the public interest; and</w:t>
      </w:r>
    </w:p>
    <w:p w14:paraId="4D93ADD5" w14:textId="77777777" w:rsidR="00123129" w:rsidRPr="004E37CD" w:rsidRDefault="00123129" w:rsidP="00123129">
      <w:pPr>
        <w:pStyle w:val="apara"/>
        <w:shd w:val="clear" w:color="auto" w:fill="FFFFFF"/>
        <w:spacing w:before="140" w:beforeAutospacing="0" w:after="0" w:afterAutospacing="0"/>
        <w:ind w:left="1600" w:hanging="1600"/>
        <w:rPr>
          <w:rFonts w:asciiTheme="minorHAnsi" w:hAnsiTheme="minorHAnsi" w:cstheme="minorHAnsi"/>
          <w:color w:val="7F7F7F" w:themeColor="text1" w:themeTint="80"/>
          <w:sz w:val="22"/>
          <w:szCs w:val="22"/>
        </w:rPr>
      </w:pPr>
      <w:r w:rsidRPr="004E37CD">
        <w:rPr>
          <w:rFonts w:asciiTheme="minorHAnsi" w:hAnsiTheme="minorHAnsi" w:cstheme="minorHAnsi"/>
          <w:color w:val="7F7F7F" w:themeColor="text1" w:themeTint="80"/>
          <w:sz w:val="22"/>
          <w:szCs w:val="22"/>
        </w:rPr>
        <w:t xml:space="preserve">                       (b)    recognise the importance of public access to government information for the proper working of representative democracy; and</w:t>
      </w:r>
    </w:p>
    <w:p w14:paraId="3580A796" w14:textId="77777777" w:rsidR="00123129" w:rsidRPr="004E37CD" w:rsidRDefault="00123129" w:rsidP="00123129">
      <w:pPr>
        <w:pStyle w:val="apara"/>
        <w:shd w:val="clear" w:color="auto" w:fill="FFFFFF"/>
        <w:spacing w:before="140" w:beforeAutospacing="0" w:after="0" w:afterAutospacing="0"/>
        <w:ind w:left="1600" w:hanging="1600"/>
        <w:rPr>
          <w:rFonts w:asciiTheme="minorHAnsi" w:hAnsiTheme="minorHAnsi" w:cstheme="minorHAnsi"/>
          <w:color w:val="7F7F7F" w:themeColor="text1" w:themeTint="80"/>
          <w:sz w:val="22"/>
          <w:szCs w:val="22"/>
        </w:rPr>
      </w:pPr>
      <w:r w:rsidRPr="004E37CD">
        <w:rPr>
          <w:rFonts w:asciiTheme="minorHAnsi" w:hAnsiTheme="minorHAnsi" w:cstheme="minorHAnsi"/>
          <w:color w:val="7F7F7F" w:themeColor="text1" w:themeTint="80"/>
          <w:sz w:val="22"/>
          <w:szCs w:val="22"/>
        </w:rPr>
        <w:t xml:space="preserve">                       (c)    enable the public to participate more effectively in government processes and to promote improved decision-making within government; and</w:t>
      </w:r>
    </w:p>
    <w:p w14:paraId="23A9EBDA" w14:textId="77777777" w:rsidR="00123129" w:rsidRPr="004E37CD" w:rsidRDefault="00123129" w:rsidP="00123129">
      <w:pPr>
        <w:pStyle w:val="apara"/>
        <w:shd w:val="clear" w:color="auto" w:fill="FFFFFF"/>
        <w:spacing w:before="140" w:beforeAutospacing="0" w:after="0" w:afterAutospacing="0"/>
        <w:ind w:left="1600" w:hanging="1600"/>
        <w:rPr>
          <w:rFonts w:asciiTheme="minorHAnsi" w:hAnsiTheme="minorHAnsi" w:cstheme="minorHAnsi"/>
          <w:color w:val="7F7F7F" w:themeColor="text1" w:themeTint="80"/>
          <w:sz w:val="22"/>
          <w:szCs w:val="22"/>
        </w:rPr>
      </w:pPr>
      <w:r w:rsidRPr="004E37CD">
        <w:rPr>
          <w:rFonts w:asciiTheme="minorHAnsi" w:hAnsiTheme="minorHAnsi" w:cstheme="minorHAnsi"/>
          <w:color w:val="7F7F7F" w:themeColor="text1" w:themeTint="80"/>
          <w:sz w:val="22"/>
          <w:szCs w:val="22"/>
        </w:rPr>
        <w:t xml:space="preserve">                       (d)    make the people and bodies that are responsible for governing the Territory more accountable to the public; and</w:t>
      </w:r>
    </w:p>
    <w:p w14:paraId="48C9D32D" w14:textId="77777777" w:rsidR="00123129" w:rsidRPr="004E37CD" w:rsidRDefault="00123129" w:rsidP="00123129">
      <w:pPr>
        <w:pStyle w:val="apara"/>
        <w:shd w:val="clear" w:color="auto" w:fill="FFFFFF"/>
        <w:spacing w:before="140" w:beforeAutospacing="0" w:after="0" w:afterAutospacing="0"/>
        <w:ind w:left="1600" w:hanging="1600"/>
        <w:rPr>
          <w:rFonts w:asciiTheme="minorHAnsi" w:hAnsiTheme="minorHAnsi" w:cstheme="minorHAnsi"/>
          <w:color w:val="7F7F7F" w:themeColor="text1" w:themeTint="80"/>
          <w:sz w:val="22"/>
          <w:szCs w:val="22"/>
        </w:rPr>
      </w:pPr>
      <w:r w:rsidRPr="004E37CD">
        <w:rPr>
          <w:rFonts w:asciiTheme="minorHAnsi" w:hAnsiTheme="minorHAnsi" w:cstheme="minorHAnsi"/>
          <w:color w:val="7F7F7F" w:themeColor="text1" w:themeTint="80"/>
          <w:sz w:val="22"/>
          <w:szCs w:val="22"/>
        </w:rPr>
        <w:t xml:space="preserve">                       (e)    ensure that, to the fullest extent possible, government information is freely and publicly available to everyone; and</w:t>
      </w:r>
    </w:p>
    <w:p w14:paraId="01B73C0B" w14:textId="77777777" w:rsidR="00123129" w:rsidRPr="004E37CD" w:rsidRDefault="00123129" w:rsidP="00123129">
      <w:pPr>
        <w:pStyle w:val="apara"/>
        <w:shd w:val="clear" w:color="auto" w:fill="FFFFFF"/>
        <w:spacing w:before="140" w:beforeAutospacing="0" w:after="0" w:afterAutospacing="0"/>
        <w:ind w:left="1600" w:hanging="1600"/>
        <w:rPr>
          <w:rFonts w:asciiTheme="minorHAnsi" w:hAnsiTheme="minorHAnsi" w:cstheme="minorHAnsi"/>
          <w:color w:val="7F7F7F" w:themeColor="text1" w:themeTint="80"/>
          <w:sz w:val="22"/>
          <w:szCs w:val="22"/>
        </w:rPr>
      </w:pPr>
      <w:r w:rsidRPr="004E37CD">
        <w:rPr>
          <w:rFonts w:asciiTheme="minorHAnsi" w:hAnsiTheme="minorHAnsi" w:cstheme="minorHAnsi"/>
          <w:color w:val="7F7F7F" w:themeColor="text1" w:themeTint="80"/>
          <w:sz w:val="22"/>
          <w:szCs w:val="22"/>
        </w:rPr>
        <w:t xml:space="preserve">                       (f)     facilitate and promote, promptly and at the lowest reasonable cost, the disclosure of the maximum amount of government information; and</w:t>
      </w:r>
    </w:p>
    <w:p w14:paraId="6D872B8A" w14:textId="77777777" w:rsidR="00123129" w:rsidRPr="004E37CD" w:rsidRDefault="00123129" w:rsidP="00123129">
      <w:pPr>
        <w:pStyle w:val="apara"/>
        <w:shd w:val="clear" w:color="auto" w:fill="FFFFFF"/>
        <w:spacing w:before="140" w:beforeAutospacing="0" w:after="0" w:afterAutospacing="0"/>
        <w:ind w:left="1600" w:hanging="1600"/>
        <w:rPr>
          <w:rFonts w:asciiTheme="minorHAnsi" w:hAnsiTheme="minorHAnsi" w:cstheme="minorHAnsi"/>
          <w:color w:val="7F7F7F" w:themeColor="text1" w:themeTint="80"/>
          <w:sz w:val="22"/>
          <w:szCs w:val="22"/>
        </w:rPr>
      </w:pPr>
      <w:r w:rsidRPr="004E37CD">
        <w:rPr>
          <w:rFonts w:asciiTheme="minorHAnsi" w:hAnsiTheme="minorHAnsi" w:cstheme="minorHAnsi"/>
          <w:color w:val="7F7F7F" w:themeColor="text1" w:themeTint="80"/>
          <w:sz w:val="22"/>
          <w:szCs w:val="22"/>
        </w:rPr>
        <w:t xml:space="preserve">                       (g)    ensure that personal information held by the Territory is accurate, complete, up-to date and not misleading.</w:t>
      </w:r>
    </w:p>
    <w:p w14:paraId="759E3A27" w14:textId="77777777" w:rsidR="00123129" w:rsidRPr="004E37CD" w:rsidRDefault="00123129" w:rsidP="00123129">
      <w:pPr>
        <w:pStyle w:val="ah5sec"/>
        <w:shd w:val="clear" w:color="auto" w:fill="FFFFFF"/>
        <w:spacing w:before="240" w:beforeAutospacing="0" w:after="0" w:afterAutospacing="0"/>
        <w:ind w:left="2200" w:hanging="1100"/>
        <w:rPr>
          <w:rFonts w:ascii="Calibri" w:hAnsi="Calibri" w:cs="Calibri"/>
          <w:b/>
          <w:bCs/>
          <w:color w:val="7F7F7F" w:themeColor="text1" w:themeTint="80"/>
          <w:sz w:val="22"/>
          <w:szCs w:val="22"/>
        </w:rPr>
      </w:pPr>
      <w:bookmarkStart w:id="48" w:name="_Toc90535853"/>
      <w:r w:rsidRPr="004E37CD">
        <w:rPr>
          <w:rStyle w:val="charsectno"/>
          <w:rFonts w:ascii="Calibri" w:hAnsi="Calibri" w:cs="Calibri"/>
          <w:b/>
          <w:bCs/>
          <w:color w:val="7F7F7F" w:themeColor="text1" w:themeTint="80"/>
          <w:sz w:val="22"/>
          <w:szCs w:val="22"/>
        </w:rPr>
        <w:t>9</w:t>
      </w:r>
      <w:r w:rsidRPr="004E37CD">
        <w:rPr>
          <w:rFonts w:ascii="Calibri" w:hAnsi="Calibri" w:cs="Calibri"/>
          <w:b/>
          <w:bCs/>
          <w:color w:val="7F7F7F" w:themeColor="text1" w:themeTint="80"/>
          <w:sz w:val="22"/>
          <w:szCs w:val="22"/>
        </w:rPr>
        <w:t>        Promoting access to government information</w:t>
      </w:r>
      <w:bookmarkEnd w:id="48"/>
    </w:p>
    <w:p w14:paraId="5229E606" w14:textId="77777777" w:rsidR="00123129" w:rsidRPr="004E37CD" w:rsidRDefault="00123129" w:rsidP="00123129">
      <w:pPr>
        <w:pStyle w:val="amainreturn"/>
        <w:shd w:val="clear" w:color="auto" w:fill="FFFFFF"/>
        <w:spacing w:before="140" w:beforeAutospacing="0" w:after="0" w:afterAutospacing="0"/>
        <w:ind w:left="1100"/>
        <w:jc w:val="both"/>
        <w:rPr>
          <w:rFonts w:ascii="Calibri" w:hAnsi="Calibri" w:cs="Calibri"/>
          <w:color w:val="7F7F7F" w:themeColor="text1" w:themeTint="80"/>
          <w:sz w:val="22"/>
          <w:szCs w:val="22"/>
        </w:rPr>
      </w:pPr>
      <w:r w:rsidRPr="004E37CD">
        <w:rPr>
          <w:rFonts w:ascii="Calibri" w:hAnsi="Calibri" w:cs="Calibri"/>
          <w:color w:val="7F7F7F" w:themeColor="text1" w:themeTint="80"/>
          <w:sz w:val="22"/>
          <w:szCs w:val="22"/>
        </w:rPr>
        <w:t>It is the intention of the Legislative Assembly that this Act be administered with a pro-disclosure bias and discretions given under it be exercised as far as possible in favour of disclosing government information.</w:t>
      </w:r>
    </w:p>
    <w:p w14:paraId="2C6A57C3" w14:textId="77777777" w:rsidR="00123129" w:rsidRDefault="00123129" w:rsidP="00123129"/>
    <w:p w14:paraId="06B596AE" w14:textId="77777777" w:rsidR="00123129" w:rsidRDefault="00123129" w:rsidP="00123129">
      <w:r>
        <w:t>Accordingly, in opposing Recommendation 8:</w:t>
      </w:r>
    </w:p>
    <w:p w14:paraId="7F624595" w14:textId="77777777" w:rsidR="00123129" w:rsidRDefault="00123129" w:rsidP="00123129">
      <w:pPr>
        <w:pStyle w:val="ListParagraph"/>
        <w:numPr>
          <w:ilvl w:val="0"/>
          <w:numId w:val="29"/>
        </w:numPr>
        <w:spacing w:after="160" w:line="259" w:lineRule="auto"/>
      </w:pPr>
      <w:r>
        <w:t xml:space="preserve">I recommend that after considering and responding to the recommendations in this report, the Assembly pass the </w:t>
      </w:r>
      <w:r w:rsidRPr="009943CF">
        <w:rPr>
          <w:i/>
          <w:iCs/>
        </w:rPr>
        <w:t>Freedom of Information Amendment Bill 2022 (No 2)</w:t>
      </w:r>
      <w:r>
        <w:t>.</w:t>
      </w:r>
    </w:p>
    <w:p w14:paraId="7814640E" w14:textId="77777777" w:rsidR="00123129" w:rsidRDefault="00123129" w:rsidP="00123129">
      <w:pPr>
        <w:pStyle w:val="ListParagraph"/>
        <w:numPr>
          <w:ilvl w:val="0"/>
          <w:numId w:val="29"/>
        </w:numPr>
        <w:spacing w:after="160" w:line="259" w:lineRule="auto"/>
      </w:pPr>
      <w:r>
        <w:lastRenderedPageBreak/>
        <w:t>I would also like to make a recommendation very much in alignment with Recommendation 2 in the Committee Report:</w:t>
      </w:r>
    </w:p>
    <w:p w14:paraId="414F61E6" w14:textId="77777777" w:rsidR="00123129" w:rsidRDefault="00123129" w:rsidP="00123129">
      <w:pPr>
        <w:pStyle w:val="ListParagraph"/>
        <w:numPr>
          <w:ilvl w:val="1"/>
          <w:numId w:val="29"/>
        </w:numPr>
        <w:spacing w:after="160" w:line="259" w:lineRule="auto"/>
      </w:pPr>
      <w:r>
        <w:t>I recommend that the ACT Government ensure that Directorates are sufficiently resourced to fulfil their statutory and service delivery targets prior to and following passage of the Bills.</w:t>
      </w:r>
    </w:p>
    <w:p w14:paraId="1D6B954A" w14:textId="77777777" w:rsidR="00123129" w:rsidRDefault="00123129" w:rsidP="00123129">
      <w:r>
        <w:t>This aligns with Professor Arnold’s comments at 2.16 that the government should ensure resources at the workforce level are adequate:</w:t>
      </w:r>
    </w:p>
    <w:p w14:paraId="434AFE77" w14:textId="77777777" w:rsidR="00123129" w:rsidRPr="004E37CD" w:rsidRDefault="00123129" w:rsidP="00123129">
      <w:pPr>
        <w:ind w:left="720"/>
        <w:rPr>
          <w:color w:val="7F7F7F" w:themeColor="text1" w:themeTint="80"/>
        </w:rPr>
      </w:pPr>
      <w:r w:rsidRPr="004E37CD">
        <w:rPr>
          <w:color w:val="7F7F7F" w:themeColor="text1" w:themeTint="80"/>
        </w:rPr>
        <w:t>to ensure that the Objects of the Act are met rather than being eroded through under-resourcing.</w:t>
      </w:r>
      <w:r w:rsidRPr="004E37CD">
        <w:rPr>
          <w:rStyle w:val="FootnoteReference"/>
          <w:color w:val="7F7F7F" w:themeColor="text1" w:themeTint="80"/>
        </w:rPr>
        <w:footnoteReference w:id="50"/>
      </w:r>
    </w:p>
    <w:p w14:paraId="2F10F91E" w14:textId="77777777" w:rsidR="00123129" w:rsidRDefault="00123129" w:rsidP="00123129">
      <w:pPr>
        <w:pStyle w:val="apara"/>
        <w:shd w:val="clear" w:color="auto" w:fill="FFFFFF"/>
        <w:spacing w:before="140" w:beforeAutospacing="0" w:after="0" w:afterAutospacing="0"/>
        <w:ind w:left="1600" w:hanging="1600"/>
        <w:rPr>
          <w:rFonts w:asciiTheme="minorHAnsi" w:hAnsiTheme="minorHAnsi" w:cstheme="minorHAnsi"/>
          <w:color w:val="000000"/>
          <w:sz w:val="22"/>
          <w:szCs w:val="22"/>
        </w:rPr>
      </w:pPr>
    </w:p>
    <w:p w14:paraId="3931BE3A" w14:textId="77777777" w:rsidR="00123129" w:rsidRDefault="00123129" w:rsidP="00123129">
      <w:pPr>
        <w:pStyle w:val="apara"/>
        <w:shd w:val="clear" w:color="auto" w:fill="FFFFFF"/>
        <w:spacing w:before="140" w:beforeAutospacing="0" w:after="0" w:afterAutospacing="0"/>
        <w:ind w:left="1600" w:hanging="1600"/>
        <w:rPr>
          <w:rFonts w:asciiTheme="minorHAnsi" w:hAnsiTheme="minorHAnsi" w:cstheme="minorHAnsi"/>
          <w:color w:val="000000"/>
          <w:sz w:val="22"/>
          <w:szCs w:val="22"/>
        </w:rPr>
      </w:pPr>
    </w:p>
    <w:p w14:paraId="445B981A" w14:textId="77777777" w:rsidR="00123129" w:rsidRDefault="00123129" w:rsidP="00123129">
      <w:pPr>
        <w:pStyle w:val="apara"/>
        <w:shd w:val="clear" w:color="auto" w:fill="FFFFFF"/>
        <w:spacing w:before="140" w:beforeAutospacing="0" w:after="0" w:afterAutospacing="0"/>
        <w:ind w:left="1600" w:hanging="1600"/>
        <w:rPr>
          <w:rFonts w:asciiTheme="minorHAnsi" w:hAnsiTheme="minorHAnsi" w:cstheme="minorHAnsi"/>
          <w:color w:val="000000"/>
          <w:sz w:val="22"/>
          <w:szCs w:val="22"/>
        </w:rPr>
      </w:pPr>
    </w:p>
    <w:p w14:paraId="08E6FFE8" w14:textId="77777777" w:rsidR="00123129" w:rsidRPr="008B645B" w:rsidRDefault="00123129" w:rsidP="00123129">
      <w:pPr>
        <w:pStyle w:val="apara"/>
        <w:shd w:val="clear" w:color="auto" w:fill="FFFFFF"/>
        <w:spacing w:before="140" w:beforeAutospacing="0" w:after="0" w:afterAutospacing="0"/>
        <w:ind w:left="1600" w:hanging="1600"/>
        <w:rPr>
          <w:rFonts w:asciiTheme="minorHAnsi" w:hAnsiTheme="minorHAnsi" w:cstheme="minorHAnsi"/>
          <w:color w:val="000000"/>
          <w:sz w:val="22"/>
          <w:szCs w:val="22"/>
        </w:rPr>
      </w:pPr>
    </w:p>
    <w:p w14:paraId="20F40E52" w14:textId="77777777" w:rsidR="00123129" w:rsidRDefault="00123129" w:rsidP="00123129">
      <w:pPr>
        <w:spacing w:line="240" w:lineRule="auto"/>
      </w:pPr>
      <w:r>
        <w:t>Mr Peter Cain MLA</w:t>
      </w:r>
    </w:p>
    <w:p w14:paraId="4DD62B9E" w14:textId="77777777" w:rsidR="00123129" w:rsidRDefault="00123129" w:rsidP="00123129">
      <w:pPr>
        <w:spacing w:line="240" w:lineRule="auto"/>
      </w:pPr>
      <w:r>
        <w:t>Chair</w:t>
      </w:r>
    </w:p>
    <w:p w14:paraId="2C541F58" w14:textId="77777777" w:rsidR="00123129" w:rsidRDefault="00123129" w:rsidP="00123129">
      <w:pPr>
        <w:rPr>
          <w:rFonts w:ascii="Montserrat" w:hAnsi="Montserrat"/>
          <w:b/>
          <w:bCs/>
          <w:sz w:val="32"/>
          <w:szCs w:val="32"/>
        </w:rPr>
      </w:pPr>
      <w:r>
        <w:t xml:space="preserve">  February 2023.</w:t>
      </w:r>
    </w:p>
    <w:p w14:paraId="32434FBB" w14:textId="77777777" w:rsidR="00123129" w:rsidRPr="00FA242B" w:rsidRDefault="00123129" w:rsidP="00123129">
      <w:pPr>
        <w:rPr>
          <w:rFonts w:ascii="Montserrat" w:hAnsi="Montserrat"/>
          <w:b/>
          <w:bCs/>
          <w:sz w:val="32"/>
          <w:szCs w:val="32"/>
        </w:rPr>
      </w:pPr>
    </w:p>
    <w:p w14:paraId="1980BC31" w14:textId="77777777" w:rsidR="00123129" w:rsidRPr="00804408" w:rsidRDefault="00123129" w:rsidP="00123129"/>
    <w:sectPr w:rsidR="00123129" w:rsidRPr="00804408" w:rsidSect="00603367">
      <w:footerReference w:type="even" r:id="rId24"/>
      <w:footerReference w:type="defaul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69DD" w14:textId="77777777" w:rsidR="00760D1D" w:rsidRDefault="00760D1D" w:rsidP="00760D1D">
      <w:pPr>
        <w:spacing w:after="0" w:line="240" w:lineRule="auto"/>
      </w:pPr>
      <w:r>
        <w:separator/>
      </w:r>
    </w:p>
  </w:endnote>
  <w:endnote w:type="continuationSeparator" w:id="0">
    <w:p w14:paraId="45CA1A2F" w14:textId="77777777" w:rsidR="00760D1D" w:rsidRDefault="00760D1D" w:rsidP="0076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D793" w14:textId="77777777" w:rsidR="00804408" w:rsidRPr="00EE5B62" w:rsidRDefault="00804408" w:rsidP="009C2830">
    <w:pPr>
      <w:pStyle w:val="Footer"/>
      <w:tabs>
        <w:tab w:val="clear" w:pos="4513"/>
        <w:tab w:val="clear" w:pos="9026"/>
        <w:tab w:val="left" w:pos="851"/>
      </w:tabs>
      <w:rPr>
        <w:rFonts w:ascii="Montserrat SemiBold" w:hAnsi="Montserrat SemiBold" w:cstheme="majorHAnsi"/>
        <w:color w:val="2F5496"/>
        <w:w w:val="9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A2F7" w14:textId="22D64F9B" w:rsidR="00804408" w:rsidRPr="007A6EB9" w:rsidRDefault="00804408" w:rsidP="009C2830">
    <w:pPr>
      <w:pStyle w:val="Footer"/>
      <w:tabs>
        <w:tab w:val="clear" w:pos="4513"/>
        <w:tab w:val="clear" w:pos="9026"/>
        <w:tab w:val="right" w:pos="5387"/>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4D7CE8">
      <w:rPr>
        <w:rFonts w:ascii="Montserrat SemiBold" w:hAnsi="Montserrat SemiBold" w:cstheme="majorHAnsi"/>
        <w:noProof/>
        <w:color w:val="2F5496"/>
        <w:w w:val="90"/>
        <w:sz w:val="18"/>
        <w:szCs w:val="18"/>
      </w:rPr>
      <w:t>Inquiry into the Freedom of Information Amendment Bills 2022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PAGE  \* roman  \* MERGEFORMAT </w:instrText>
    </w:r>
    <w:r w:rsidRPr="007A6EB9">
      <w:rPr>
        <w:rFonts w:ascii="Montserrat SemiBold" w:hAnsi="Montserrat SemiBold" w:cstheme="majorHAnsi"/>
        <w:color w:val="2F5496"/>
        <w:w w:val="90"/>
        <w:sz w:val="18"/>
        <w:szCs w:val="18"/>
      </w:rPr>
      <w:fldChar w:fldCharType="separate"/>
    </w:r>
    <w:r w:rsidRPr="007A6EB9">
      <w:rPr>
        <w:rFonts w:ascii="Montserrat SemiBold" w:hAnsi="Montserrat SemiBold" w:cstheme="majorHAnsi"/>
        <w:noProof/>
        <w:color w:val="2F5496"/>
        <w:w w:val="90"/>
        <w:sz w:val="18"/>
        <w:szCs w:val="18"/>
      </w:rPr>
      <w:t>iv</w:t>
    </w:r>
    <w:r w:rsidRPr="007A6EB9">
      <w:rPr>
        <w:rFonts w:ascii="Montserrat SemiBold" w:hAnsi="Montserrat SemiBold" w:cstheme="majorHAnsi"/>
        <w:color w:val="2F5496"/>
        <w:w w:val="90"/>
        <w:sz w:val="18"/>
        <w:szCs w:val="18"/>
      </w:rPr>
      <w:fldChar w:fldCharType="end"/>
    </w:r>
  </w:p>
  <w:p w14:paraId="4331C043" w14:textId="77777777" w:rsidR="00804408" w:rsidRPr="007A6EB9" w:rsidRDefault="00804408" w:rsidP="009C2830">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A76C" w14:textId="77777777" w:rsidR="00804408" w:rsidRPr="00C8358A" w:rsidRDefault="00804408"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t>Legislative Assembly for the Australian Capital Territory</w:t>
    </w:r>
  </w:p>
  <w:p w14:paraId="62C4A576" w14:textId="164D0C74" w:rsidR="00804408" w:rsidRPr="00C8358A" w:rsidRDefault="00804408"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fldChar w:fldCharType="begin"/>
    </w:r>
    <w:r w:rsidRPr="00C8358A">
      <w:rPr>
        <w:rFonts w:cstheme="minorHAnsi"/>
        <w:color w:val="404040" w:themeColor="text1" w:themeTint="BF"/>
      </w:rPr>
      <w:instrText xml:space="preserve"> STYLEREF  "Default Paragraph Font"  \* MERGEFORMAT </w:instrText>
    </w:r>
    <w:r w:rsidRPr="00C8358A">
      <w:rPr>
        <w:rFonts w:cstheme="minorHAnsi"/>
        <w:color w:val="404040" w:themeColor="text1" w:themeTint="BF"/>
      </w:rPr>
      <w:fldChar w:fldCharType="separate"/>
    </w:r>
    <w:r w:rsidR="004D7CE8">
      <w:rPr>
        <w:rFonts w:cstheme="minorHAnsi"/>
        <w:noProof/>
        <w:color w:val="404040" w:themeColor="text1" w:themeTint="BF"/>
      </w:rPr>
      <w:t xml:space="preserve">Standing Committee on Justice and Community Safety </w:t>
    </w:r>
    <w:r w:rsidR="004D7CE8">
      <w:rPr>
        <w:rFonts w:cstheme="minorHAnsi"/>
        <w:noProof/>
        <w:color w:val="404040" w:themeColor="text1" w:themeTint="BF"/>
      </w:rPr>
      <w:cr/>
    </w:r>
    <w:r w:rsidRPr="00C8358A">
      <w:rPr>
        <w:rFonts w:cstheme="minorHAnsi"/>
        <w:color w:val="404040" w:themeColor="text1" w:themeTint="BF"/>
      </w:rPr>
      <w:fldChar w:fldCharType="end"/>
    </w:r>
  </w:p>
  <w:sdt>
    <w:sdtPr>
      <w:rPr>
        <w:rFonts w:cstheme="minorHAnsi"/>
        <w:color w:val="404040" w:themeColor="text1" w:themeTint="BF"/>
      </w:rPr>
      <w:id w:val="442274151"/>
      <w15:color w:val="000000"/>
      <w:comboBox>
        <w:listItem w:value="Choose an item."/>
        <w:listItem w:displayText="Approved for publication" w:value="Approved for publication"/>
        <w:listItem w:displayText="Draft - Not for publication" w:value="Draft - Not for publication"/>
      </w:comboBox>
    </w:sdtPr>
    <w:sdtEndPr/>
    <w:sdtContent>
      <w:p w14:paraId="2D0C87CB" w14:textId="2F3DAD08" w:rsidR="00804408" w:rsidRPr="00C8358A" w:rsidRDefault="00457E8F" w:rsidP="00C8358A">
        <w:pPr>
          <w:pStyle w:val="Footer"/>
          <w:pBdr>
            <w:top w:val="single" w:sz="4" w:space="1" w:color="auto"/>
            <w:bottom w:val="single" w:sz="4" w:space="1" w:color="auto"/>
          </w:pBdr>
          <w:tabs>
            <w:tab w:val="clear" w:pos="4513"/>
            <w:tab w:val="clear" w:pos="9026"/>
          </w:tabs>
          <w:spacing w:before="40" w:after="40"/>
          <w:ind w:right="6474"/>
          <w:jc w:val="center"/>
          <w:rPr>
            <w:rFonts w:cstheme="minorHAnsi"/>
            <w:color w:val="404040" w:themeColor="text1" w:themeTint="BF"/>
          </w:rPr>
        </w:pPr>
        <w:r>
          <w:rPr>
            <w:rFonts w:cstheme="minorHAnsi"/>
            <w:color w:val="404040" w:themeColor="text1" w:themeTint="BF"/>
          </w:rPr>
          <w:t>Approved for publication</w:t>
        </w:r>
      </w:p>
    </w:sdtContent>
  </w:sdt>
  <w:p w14:paraId="54C24E1D" w14:textId="77777777" w:rsidR="00804408" w:rsidRPr="00C8358A" w:rsidRDefault="00804408" w:rsidP="00F101AB">
    <w:pPr>
      <w:pStyle w:val="Footer"/>
      <w:tabs>
        <w:tab w:val="clear" w:pos="4513"/>
        <w:tab w:val="clear" w:pos="9026"/>
      </w:tabs>
      <w:rPr>
        <w:rFonts w:cstheme="minorHAnsi"/>
        <w:color w:val="404040" w:themeColor="text1" w:themeTint="BF"/>
      </w:rPr>
    </w:pPr>
  </w:p>
  <w:p w14:paraId="3D3B806F" w14:textId="65EEB04A" w:rsidR="00804408" w:rsidRDefault="00804408" w:rsidP="00F101AB">
    <w:pPr>
      <w:pStyle w:val="Footer"/>
      <w:tabs>
        <w:tab w:val="clear" w:pos="4513"/>
        <w:tab w:val="clear" w:pos="9026"/>
      </w:tabs>
      <w:rPr>
        <w:rFonts w:cstheme="minorHAnsi"/>
        <w:color w:val="404040" w:themeColor="text1" w:themeTint="BF"/>
      </w:rPr>
    </w:pPr>
    <w:r w:rsidRPr="00457E8F">
      <w:rPr>
        <w:rFonts w:cstheme="minorHAnsi"/>
        <w:color w:val="404040" w:themeColor="text1" w:themeTint="BF"/>
      </w:rPr>
      <w:t>Report 1</w:t>
    </w:r>
    <w:r w:rsidR="00374B12" w:rsidRPr="00457E8F">
      <w:rPr>
        <w:rFonts w:cstheme="minorHAnsi"/>
        <w:color w:val="404040" w:themeColor="text1" w:themeTint="BF"/>
      </w:rPr>
      <w:t>2</w:t>
    </w:r>
  </w:p>
  <w:p w14:paraId="2EBAEA42" w14:textId="77777777" w:rsidR="00804408" w:rsidRDefault="00804408"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t>10th Assembly</w:t>
    </w:r>
  </w:p>
  <w:p w14:paraId="53B9A7D6" w14:textId="43C24F88" w:rsidR="00804408" w:rsidRPr="00C8358A" w:rsidRDefault="000E0869" w:rsidP="00F101AB">
    <w:pPr>
      <w:pStyle w:val="Footer"/>
      <w:tabs>
        <w:tab w:val="clear" w:pos="4513"/>
        <w:tab w:val="clear" w:pos="9026"/>
      </w:tabs>
      <w:rPr>
        <w:rFonts w:cstheme="minorHAnsi"/>
        <w:color w:val="404040" w:themeColor="text1" w:themeTint="BF"/>
      </w:rPr>
    </w:pPr>
    <w:r>
      <w:rPr>
        <w:rFonts w:cstheme="minorHAnsi"/>
        <w:color w:val="404040" w:themeColor="text1" w:themeTint="BF"/>
      </w:rPr>
      <w:t>February 2023</w:t>
    </w:r>
  </w:p>
  <w:p w14:paraId="1468AFFC" w14:textId="77777777" w:rsidR="00804408" w:rsidRDefault="00804408">
    <w:pPr>
      <w:pStyle w:val="Footer"/>
      <w:rPr>
        <w:rFonts w:asciiTheme="majorHAnsi" w:hAnsiTheme="majorHAnsi" w:cstheme="majorHAnsi"/>
      </w:rPr>
    </w:pPr>
  </w:p>
  <w:p w14:paraId="0F3417F6" w14:textId="77777777" w:rsidR="00804408" w:rsidRPr="008B350E" w:rsidRDefault="00804408">
    <w:pPr>
      <w:pStyle w:val="Footer"/>
      <w:rPr>
        <w:rFonts w:asciiTheme="majorHAnsi" w:hAnsiTheme="majorHAnsi" w:cstheme="maj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93F" w14:textId="77777777" w:rsidR="00804408" w:rsidRPr="00EE5B62" w:rsidRDefault="00804408" w:rsidP="009C2830">
    <w:pPr>
      <w:pStyle w:val="Footer"/>
      <w:tabs>
        <w:tab w:val="clear" w:pos="4513"/>
        <w:tab w:val="clear" w:pos="9026"/>
        <w:tab w:val="left" w:pos="851"/>
      </w:tabs>
      <w:rPr>
        <w:rFonts w:ascii="Montserrat SemiBold" w:hAnsi="Montserrat SemiBold" w:cstheme="majorHAnsi"/>
        <w:color w:val="2F5496"/>
        <w:w w:val="90"/>
        <w:sz w:val="18"/>
        <w:szCs w:val="18"/>
      </w:rPr>
    </w:pP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PAGE  \* roman  \* MERGEFORMAT </w:instrText>
    </w:r>
    <w:r w:rsidRPr="00EE5B62">
      <w:rPr>
        <w:rFonts w:ascii="Montserrat SemiBold" w:hAnsi="Montserrat SemiBold" w:cstheme="majorHAnsi"/>
        <w:color w:val="2F5496"/>
        <w:w w:val="90"/>
        <w:sz w:val="18"/>
        <w:szCs w:val="18"/>
      </w:rPr>
      <w:fldChar w:fldCharType="separate"/>
    </w:r>
    <w:r w:rsidRPr="00EE5B62">
      <w:rPr>
        <w:rFonts w:ascii="Montserrat SemiBold" w:hAnsi="Montserrat SemiBold" w:cstheme="majorHAnsi"/>
        <w:noProof/>
        <w:color w:val="2F5496"/>
        <w:w w:val="90"/>
        <w:sz w:val="18"/>
        <w:szCs w:val="18"/>
      </w:rPr>
      <w:t>v</w:t>
    </w:r>
    <w:r w:rsidRPr="00EE5B62">
      <w:rPr>
        <w:rFonts w:ascii="Montserrat SemiBold" w:hAnsi="Montserrat SemiBold" w:cstheme="majorHAnsi"/>
        <w:color w:val="2F5496"/>
        <w:w w:val="90"/>
        <w:sz w:val="18"/>
        <w:szCs w:val="18"/>
      </w:rPr>
      <w:fldChar w:fldCharType="end"/>
    </w:r>
    <w:r w:rsidRPr="00EE5B62">
      <w:rPr>
        <w:rFonts w:ascii="Montserrat SemiBold" w:hAnsi="Montserrat SemiBold" w:cstheme="majorHAnsi"/>
        <w:color w:val="2F5496"/>
        <w:w w:val="90"/>
        <w:sz w:val="18"/>
        <w:szCs w:val="18"/>
      </w:rPr>
      <w:tab/>
    </w: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STYLEREF  Title  \* MERGEFORMAT </w:instrText>
    </w:r>
    <w:r w:rsidRPr="00EE5B62">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Inquiry into the Freedom of Information Amendment Bills 2022</w:t>
    </w:r>
    <w:r w:rsidRPr="00EE5B62">
      <w:rPr>
        <w:rFonts w:ascii="Montserrat SemiBold" w:hAnsi="Montserrat SemiBold" w:cstheme="majorHAnsi"/>
        <w:color w:val="2F5496"/>
        <w:w w:val="9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623B" w14:textId="50FD6B0A" w:rsidR="00804408" w:rsidRPr="007A6EB9" w:rsidRDefault="00804408" w:rsidP="00E12092">
    <w:pPr>
      <w:pStyle w:val="Footer"/>
      <w:tabs>
        <w:tab w:val="clear" w:pos="4513"/>
        <w:tab w:val="clear" w:pos="9026"/>
        <w:tab w:val="right" w:pos="4536"/>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4D7CE8">
      <w:rPr>
        <w:rFonts w:ascii="Montserrat SemiBold" w:hAnsi="Montserrat SemiBold" w:cstheme="majorHAnsi"/>
        <w:noProof/>
        <w:color w:val="2F5496"/>
        <w:w w:val="90"/>
        <w:sz w:val="18"/>
        <w:szCs w:val="18"/>
      </w:rPr>
      <w:t>Inquiry into the Freedom of Information Amendment Bills 2022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Pr>
        <w:rFonts w:ascii="Montserrat SemiBold" w:hAnsi="Montserrat SemiBold" w:cstheme="majorHAnsi"/>
        <w:color w:val="2F5496"/>
        <w:w w:val="90"/>
        <w:sz w:val="18"/>
        <w:szCs w:val="18"/>
      </w:rPr>
      <w:fldChar w:fldCharType="begin"/>
    </w:r>
    <w:r>
      <w:rPr>
        <w:rFonts w:ascii="Montserrat SemiBold" w:hAnsi="Montserrat SemiBold" w:cstheme="majorHAnsi"/>
        <w:color w:val="2F5496"/>
        <w:w w:val="90"/>
        <w:sz w:val="18"/>
        <w:szCs w:val="18"/>
      </w:rPr>
      <w:instrText xml:space="preserve"> PAGE  \* roman  \* MERGEFORMAT </w:instrText>
    </w:r>
    <w:r>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i</w:t>
    </w:r>
    <w:r>
      <w:rPr>
        <w:rFonts w:ascii="Montserrat SemiBold" w:hAnsi="Montserrat SemiBold" w:cstheme="majorHAnsi"/>
        <w:color w:val="2F5496"/>
        <w:w w:val="90"/>
        <w:sz w:val="18"/>
        <w:szCs w:val="18"/>
      </w:rPr>
      <w:fldChar w:fldCharType="end"/>
    </w:r>
  </w:p>
  <w:p w14:paraId="18464129" w14:textId="77777777" w:rsidR="00804408" w:rsidRPr="007A6EB9" w:rsidRDefault="00804408" w:rsidP="009C2830">
    <w:pPr>
      <w:pStyle w:val="Footer"/>
      <w:jc w:val="righ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4994" w14:textId="4FA01C32" w:rsidR="00877A94" w:rsidRPr="00EE5B62" w:rsidRDefault="0016683F" w:rsidP="009C2830">
    <w:pPr>
      <w:pStyle w:val="Footer"/>
      <w:tabs>
        <w:tab w:val="clear" w:pos="4513"/>
        <w:tab w:val="clear" w:pos="9026"/>
        <w:tab w:val="left" w:pos="851"/>
      </w:tabs>
      <w:rPr>
        <w:rFonts w:ascii="Montserrat SemiBold" w:hAnsi="Montserrat SemiBold" w:cstheme="majorHAnsi"/>
        <w:color w:val="2F5496"/>
        <w:w w:val="90"/>
        <w:sz w:val="18"/>
        <w:szCs w:val="18"/>
      </w:rPr>
    </w:pPr>
    <w:r>
      <w:rPr>
        <w:rFonts w:ascii="Montserrat SemiBold" w:hAnsi="Montserrat SemiBold" w:cstheme="majorHAnsi"/>
        <w:color w:val="2F5496"/>
        <w:w w:val="90"/>
        <w:sz w:val="18"/>
        <w:szCs w:val="18"/>
      </w:rPr>
      <w:fldChar w:fldCharType="begin"/>
    </w:r>
    <w:r>
      <w:rPr>
        <w:rFonts w:ascii="Montserrat SemiBold" w:hAnsi="Montserrat SemiBold" w:cstheme="majorHAnsi"/>
        <w:color w:val="2F5496"/>
        <w:w w:val="90"/>
        <w:sz w:val="18"/>
        <w:szCs w:val="18"/>
      </w:rPr>
      <w:instrText xml:space="preserve"> PAGE  \* MERGEFORMAT </w:instrText>
    </w:r>
    <w:r>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3</w:t>
    </w:r>
    <w:r>
      <w:rPr>
        <w:rFonts w:ascii="Montserrat SemiBold" w:hAnsi="Montserrat SemiBold" w:cstheme="majorHAnsi"/>
        <w:color w:val="2F5496"/>
        <w:w w:val="90"/>
        <w:sz w:val="18"/>
        <w:szCs w:val="18"/>
      </w:rPr>
      <w:fldChar w:fldCharType="end"/>
    </w:r>
    <w:r w:rsidRPr="00EE5B62">
      <w:rPr>
        <w:rFonts w:ascii="Montserrat SemiBold" w:hAnsi="Montserrat SemiBold" w:cstheme="majorHAnsi"/>
        <w:color w:val="2F5496"/>
        <w:w w:val="90"/>
        <w:sz w:val="18"/>
        <w:szCs w:val="18"/>
      </w:rPr>
      <w:tab/>
    </w: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STYLEREF  Title  \* MERGEFORMAT </w:instrText>
    </w:r>
    <w:r w:rsidRPr="00EE5B62">
      <w:rPr>
        <w:rFonts w:ascii="Montserrat SemiBold" w:hAnsi="Montserrat SemiBold" w:cstheme="majorHAnsi"/>
        <w:color w:val="2F5496"/>
        <w:w w:val="90"/>
        <w:sz w:val="18"/>
        <w:szCs w:val="18"/>
      </w:rPr>
      <w:fldChar w:fldCharType="separate"/>
    </w:r>
    <w:r w:rsidR="00804408">
      <w:rPr>
        <w:rFonts w:ascii="Montserrat SemiBold" w:hAnsi="Montserrat SemiBold" w:cstheme="majorHAnsi"/>
        <w:b/>
        <w:bCs/>
        <w:noProof/>
        <w:color w:val="2F5496"/>
        <w:w w:val="90"/>
        <w:sz w:val="18"/>
        <w:szCs w:val="18"/>
        <w:lang w:val="en-US"/>
      </w:rPr>
      <w:t>Error! No text of specified style in document.</w:t>
    </w:r>
    <w:r w:rsidRPr="00EE5B62">
      <w:rPr>
        <w:rFonts w:ascii="Montserrat SemiBold" w:hAnsi="Montserrat SemiBold" w:cstheme="majorHAnsi"/>
        <w:color w:val="2F5496"/>
        <w:w w:val="90"/>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BDA3" w14:textId="61DFE87E" w:rsidR="009F5A83" w:rsidRPr="007A6EB9" w:rsidRDefault="0016683F" w:rsidP="00150531">
    <w:pPr>
      <w:pStyle w:val="Footer"/>
      <w:tabs>
        <w:tab w:val="clear" w:pos="4513"/>
        <w:tab w:val="clear" w:pos="9026"/>
        <w:tab w:val="right" w:pos="1560"/>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4D7CE8" w:rsidRPr="004D7CE8">
      <w:rPr>
        <w:rFonts w:ascii="Montserrat SemiBold" w:hAnsi="Montserrat SemiBold" w:cstheme="majorHAnsi"/>
        <w:b/>
        <w:bCs/>
        <w:noProof/>
        <w:color w:val="2F5496"/>
        <w:w w:val="90"/>
        <w:sz w:val="18"/>
        <w:szCs w:val="18"/>
        <w:lang w:val="en-US"/>
      </w:rPr>
      <w:t>Inquiry into the</w:t>
    </w:r>
    <w:r w:rsidR="004D7CE8">
      <w:rPr>
        <w:rFonts w:ascii="Montserrat SemiBold" w:hAnsi="Montserrat SemiBold" w:cstheme="majorHAnsi"/>
        <w:noProof/>
        <w:color w:val="2F5496"/>
        <w:w w:val="90"/>
        <w:sz w:val="18"/>
        <w:szCs w:val="18"/>
      </w:rPr>
      <w:t xml:space="preserve"> Freedom of Information Amendment Bills 2022</w:t>
    </w:r>
    <w:r w:rsidRPr="007A6EB9">
      <w:rPr>
        <w:rFonts w:ascii="Montserrat SemiBold" w:hAnsi="Montserrat SemiBold" w:cstheme="majorHAnsi"/>
        <w:color w:val="2F5496"/>
        <w:w w:val="90"/>
        <w:sz w:val="18"/>
        <w:szCs w:val="18"/>
      </w:rPr>
      <w:fldChar w:fldCharType="end"/>
    </w:r>
    <w:bookmarkStart w:id="49" w:name="_Toc79133346"/>
    <w:r w:rsidRPr="007A6EB9">
      <w:rPr>
        <w:rFonts w:ascii="Montserrat SemiBold" w:hAnsi="Montserrat SemiBold" w:cstheme="majorHAnsi"/>
        <w:color w:val="2F5496"/>
        <w:w w:val="90"/>
        <w:sz w:val="18"/>
        <w:szCs w:val="18"/>
      </w:rPr>
      <w:tab/>
    </w: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PAGE  \* Arabic  \* MERGEFORMAT </w:instrText>
    </w:r>
    <w:r w:rsidRPr="007A6EB9">
      <w:rPr>
        <w:rFonts w:ascii="Montserrat SemiBold" w:hAnsi="Montserrat SemiBold" w:cstheme="majorHAnsi"/>
        <w:color w:val="2F5496"/>
        <w:w w:val="90"/>
        <w:sz w:val="18"/>
        <w:szCs w:val="18"/>
      </w:rPr>
      <w:fldChar w:fldCharType="separate"/>
    </w:r>
    <w:r w:rsidRPr="007A6EB9">
      <w:rPr>
        <w:rFonts w:ascii="Montserrat SemiBold" w:hAnsi="Montserrat SemiBold" w:cstheme="majorHAnsi"/>
        <w:noProof/>
        <w:color w:val="2F5496"/>
        <w:w w:val="90"/>
        <w:sz w:val="18"/>
        <w:szCs w:val="18"/>
      </w:rPr>
      <w:t>5</w:t>
    </w:r>
    <w:r w:rsidRPr="007A6EB9">
      <w:rPr>
        <w:rFonts w:ascii="Montserrat SemiBold" w:hAnsi="Montserrat SemiBold" w:cstheme="majorHAnsi"/>
        <w:color w:val="2F5496"/>
        <w:w w:val="90"/>
        <w:sz w:val="18"/>
        <w:szCs w:val="18"/>
      </w:rPr>
      <w:fldChar w:fldCharType="end"/>
    </w:r>
  </w:p>
  <w:bookmarkEnd w:id="49"/>
  <w:p w14:paraId="3BBCED95" w14:textId="77777777" w:rsidR="009F5A83" w:rsidRPr="007A6EB9" w:rsidRDefault="004D7CE8" w:rsidP="009C2830">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24EF" w14:textId="77777777" w:rsidR="00760D1D" w:rsidRDefault="00760D1D" w:rsidP="00760D1D">
      <w:pPr>
        <w:spacing w:after="0" w:line="240" w:lineRule="auto"/>
      </w:pPr>
      <w:r>
        <w:separator/>
      </w:r>
    </w:p>
  </w:footnote>
  <w:footnote w:type="continuationSeparator" w:id="0">
    <w:p w14:paraId="76BB8DD7" w14:textId="77777777" w:rsidR="00760D1D" w:rsidRDefault="00760D1D" w:rsidP="00760D1D">
      <w:pPr>
        <w:spacing w:after="0" w:line="240" w:lineRule="auto"/>
      </w:pPr>
      <w:r>
        <w:continuationSeparator/>
      </w:r>
    </w:p>
  </w:footnote>
  <w:footnote w:id="1">
    <w:p w14:paraId="293FEA3E" w14:textId="77777777" w:rsidR="00804408" w:rsidRDefault="00804408" w:rsidP="00804408">
      <w:pPr>
        <w:pStyle w:val="FootnoteText"/>
      </w:pPr>
      <w:r>
        <w:rPr>
          <w:rStyle w:val="FootnoteReference"/>
        </w:rPr>
        <w:footnoteRef/>
      </w:r>
      <w:r>
        <w:t xml:space="preserve"> </w:t>
      </w:r>
      <w:r w:rsidRPr="007450CE">
        <w:rPr>
          <w:i/>
          <w:iCs/>
        </w:rPr>
        <w:t>Minutes of proceedings</w:t>
      </w:r>
      <w:r>
        <w:t xml:space="preserve">, 24 November 2022, item 14, page 944  </w:t>
      </w:r>
    </w:p>
  </w:footnote>
  <w:footnote w:id="2">
    <w:p w14:paraId="67D0F16E" w14:textId="68FC1BE8" w:rsidR="00464E5C" w:rsidRDefault="00464E5C">
      <w:pPr>
        <w:pStyle w:val="FootnoteText"/>
      </w:pPr>
      <w:r>
        <w:rPr>
          <w:rStyle w:val="FootnoteReference"/>
        </w:rPr>
        <w:footnoteRef/>
      </w:r>
      <w:r>
        <w:t xml:space="preserve"> ACT Legislative Assembly, </w:t>
      </w:r>
      <w:r w:rsidRPr="00464E5C">
        <w:rPr>
          <w:i/>
          <w:iCs/>
        </w:rPr>
        <w:t>Minutes of Proceedings No. 68</w:t>
      </w:r>
      <w:r>
        <w:t xml:space="preserve">, 24 November 2022, p 944, </w:t>
      </w:r>
    </w:p>
  </w:footnote>
  <w:footnote w:id="3">
    <w:p w14:paraId="140A03AC" w14:textId="04BC23ED" w:rsidR="00804408" w:rsidRDefault="00804408" w:rsidP="00804408">
      <w:pPr>
        <w:pStyle w:val="FootnoteText"/>
      </w:pPr>
      <w:r>
        <w:rPr>
          <w:rStyle w:val="FootnoteReference"/>
        </w:rPr>
        <w:footnoteRef/>
      </w:r>
      <w:r>
        <w:t xml:space="preserve"> Freedom of Information Amendment Bill 2022, </w:t>
      </w:r>
      <w:r w:rsidRPr="007450CE">
        <w:rPr>
          <w:i/>
          <w:iCs/>
        </w:rPr>
        <w:t xml:space="preserve">Explanatory Statement, </w:t>
      </w:r>
      <w:r>
        <w:t xml:space="preserve">p </w:t>
      </w:r>
      <w:r w:rsidR="00FF6305">
        <w:t>2</w:t>
      </w:r>
      <w:r>
        <w:t>.</w:t>
      </w:r>
    </w:p>
  </w:footnote>
  <w:footnote w:id="4">
    <w:p w14:paraId="5F3BAB55" w14:textId="77777777" w:rsidR="00804408" w:rsidRDefault="00804408" w:rsidP="00804408">
      <w:pPr>
        <w:pStyle w:val="FootnoteText"/>
      </w:pPr>
      <w:r>
        <w:rPr>
          <w:rStyle w:val="FootnoteReference"/>
        </w:rPr>
        <w:footnoteRef/>
      </w:r>
      <w:r>
        <w:t xml:space="preserve"> Standing Committee on Justice and Community Safety (Legislative Scrutiny Role), </w:t>
      </w:r>
      <w:r w:rsidRPr="007450CE">
        <w:rPr>
          <w:i/>
          <w:iCs/>
        </w:rPr>
        <w:t>Report no. 21</w:t>
      </w:r>
      <w:r>
        <w:t>, October 2022, p 3.</w:t>
      </w:r>
    </w:p>
  </w:footnote>
  <w:footnote w:id="5">
    <w:p w14:paraId="0F28D185" w14:textId="77777777" w:rsidR="00804408" w:rsidRDefault="00804408" w:rsidP="00804408">
      <w:pPr>
        <w:pStyle w:val="FootnoteText"/>
      </w:pPr>
      <w:r>
        <w:rPr>
          <w:rStyle w:val="FootnoteReference"/>
        </w:rPr>
        <w:footnoteRef/>
      </w:r>
      <w:r>
        <w:t xml:space="preserve"> Standing Committee on Justice and Community Safety (Legislative Scrutiny Role), </w:t>
      </w:r>
      <w:r w:rsidRPr="000E258E">
        <w:rPr>
          <w:i/>
          <w:iCs/>
        </w:rPr>
        <w:t>Report no. 21</w:t>
      </w:r>
      <w:r>
        <w:t>, October 2022, p 3.</w:t>
      </w:r>
    </w:p>
  </w:footnote>
  <w:footnote w:id="6">
    <w:p w14:paraId="2BFA958A" w14:textId="77777777" w:rsidR="00804408" w:rsidRDefault="00804408" w:rsidP="00804408">
      <w:pPr>
        <w:pStyle w:val="FootnoteText"/>
      </w:pPr>
      <w:r>
        <w:rPr>
          <w:rStyle w:val="FootnoteReference"/>
        </w:rPr>
        <w:footnoteRef/>
      </w:r>
      <w:r>
        <w:t xml:space="preserve"> Standing Committee on Justice and Community Safety (Legislative Scrutiny Role), </w:t>
      </w:r>
      <w:r w:rsidRPr="000E258E">
        <w:rPr>
          <w:i/>
          <w:iCs/>
        </w:rPr>
        <w:t>Report no. 21</w:t>
      </w:r>
      <w:r>
        <w:t>, October 2022, p 4.</w:t>
      </w:r>
    </w:p>
  </w:footnote>
  <w:footnote w:id="7">
    <w:p w14:paraId="474787C7" w14:textId="77777777" w:rsidR="00804408" w:rsidRDefault="00804408" w:rsidP="00804408">
      <w:pPr>
        <w:pStyle w:val="FootnoteText"/>
      </w:pPr>
      <w:r>
        <w:rPr>
          <w:rStyle w:val="FootnoteReference"/>
        </w:rPr>
        <w:footnoteRef/>
      </w:r>
      <w:r>
        <w:t xml:space="preserve"> Standing Committee on Justice and Community Safety (Legislative Scrutiny Role), </w:t>
      </w:r>
      <w:r w:rsidRPr="000E258E">
        <w:rPr>
          <w:i/>
          <w:iCs/>
        </w:rPr>
        <w:t>Report no. 21</w:t>
      </w:r>
      <w:r>
        <w:t>, October 2022, p 4.</w:t>
      </w:r>
    </w:p>
  </w:footnote>
  <w:footnote w:id="8">
    <w:p w14:paraId="1E30C36C" w14:textId="77777777" w:rsidR="00804408" w:rsidRDefault="00804408" w:rsidP="00804408">
      <w:pPr>
        <w:pStyle w:val="FootnoteText"/>
      </w:pPr>
      <w:r>
        <w:rPr>
          <w:rStyle w:val="FootnoteReference"/>
        </w:rPr>
        <w:footnoteRef/>
      </w:r>
      <w:r>
        <w:t xml:space="preserve"> ACT Ombudsman, </w:t>
      </w:r>
      <w:r w:rsidRPr="007450CE">
        <w:rPr>
          <w:i/>
          <w:iCs/>
        </w:rPr>
        <w:t>Submission 4,</w:t>
      </w:r>
      <w:r>
        <w:t xml:space="preserve"> p 2.</w:t>
      </w:r>
    </w:p>
  </w:footnote>
  <w:footnote w:id="9">
    <w:p w14:paraId="4FC5CFD0" w14:textId="77777777" w:rsidR="00804408" w:rsidRDefault="00804408" w:rsidP="00804408">
      <w:pPr>
        <w:pStyle w:val="FootnoteText"/>
      </w:pPr>
      <w:r>
        <w:rPr>
          <w:rStyle w:val="FootnoteReference"/>
        </w:rPr>
        <w:footnoteRef/>
      </w:r>
      <w:r>
        <w:t xml:space="preserve"> ACT Ombudsman, </w:t>
      </w:r>
      <w:r w:rsidRPr="007450CE">
        <w:rPr>
          <w:i/>
          <w:iCs/>
        </w:rPr>
        <w:t>Submission 4</w:t>
      </w:r>
      <w:r>
        <w:t>, p 2.</w:t>
      </w:r>
    </w:p>
  </w:footnote>
  <w:footnote w:id="10">
    <w:p w14:paraId="72C246A3" w14:textId="77777777" w:rsidR="00804408" w:rsidRDefault="00804408" w:rsidP="00804408">
      <w:pPr>
        <w:pStyle w:val="FootnoteText"/>
      </w:pPr>
      <w:r>
        <w:rPr>
          <w:rStyle w:val="FootnoteReference"/>
        </w:rPr>
        <w:footnoteRef/>
      </w:r>
      <w:r>
        <w:t xml:space="preserve"> ACT Government – </w:t>
      </w:r>
      <w:r w:rsidRPr="0041234E">
        <w:rPr>
          <w:i/>
          <w:iCs/>
        </w:rPr>
        <w:t>Response to Committee Letter</w:t>
      </w:r>
      <w:r>
        <w:t xml:space="preserve"> p 3.</w:t>
      </w:r>
    </w:p>
  </w:footnote>
  <w:footnote w:id="11">
    <w:p w14:paraId="221CC085" w14:textId="77777777" w:rsidR="00804408" w:rsidRDefault="00804408" w:rsidP="00804408">
      <w:pPr>
        <w:pStyle w:val="FootnoteText"/>
      </w:pPr>
      <w:r>
        <w:rPr>
          <w:rStyle w:val="FootnoteReference"/>
        </w:rPr>
        <w:footnoteRef/>
      </w:r>
      <w:r>
        <w:t xml:space="preserve"> ACT Ombudsman, </w:t>
      </w:r>
      <w:r w:rsidRPr="000E258E">
        <w:rPr>
          <w:i/>
          <w:iCs/>
        </w:rPr>
        <w:t>Submission 4</w:t>
      </w:r>
      <w:r>
        <w:t>, p 2.</w:t>
      </w:r>
    </w:p>
  </w:footnote>
  <w:footnote w:id="12">
    <w:p w14:paraId="441277F9" w14:textId="77777777" w:rsidR="00804408" w:rsidRDefault="00804408" w:rsidP="00804408">
      <w:pPr>
        <w:pStyle w:val="FootnoteText"/>
      </w:pPr>
      <w:r>
        <w:rPr>
          <w:rStyle w:val="FootnoteReference"/>
        </w:rPr>
        <w:footnoteRef/>
      </w:r>
      <w:r>
        <w:t xml:space="preserve"> Bruce Baer Arnold, </w:t>
      </w:r>
      <w:r w:rsidRPr="007450CE">
        <w:rPr>
          <w:i/>
          <w:iCs/>
        </w:rPr>
        <w:t>Submission 2</w:t>
      </w:r>
      <w:r>
        <w:t>, p 2-3.</w:t>
      </w:r>
    </w:p>
  </w:footnote>
  <w:footnote w:id="13">
    <w:p w14:paraId="13915424" w14:textId="77777777" w:rsidR="00804408" w:rsidRDefault="00804408" w:rsidP="00804408">
      <w:pPr>
        <w:pStyle w:val="FootnoteText"/>
      </w:pPr>
      <w:r>
        <w:rPr>
          <w:rStyle w:val="FootnoteReference"/>
        </w:rPr>
        <w:footnoteRef/>
      </w:r>
      <w:r>
        <w:t xml:space="preserve"> ACT Government – </w:t>
      </w:r>
      <w:r w:rsidRPr="00AB05D7">
        <w:rPr>
          <w:i/>
          <w:iCs/>
        </w:rPr>
        <w:t>Response to Committee Letter</w:t>
      </w:r>
      <w:r>
        <w:rPr>
          <w:i/>
          <w:iCs/>
        </w:rPr>
        <w:t xml:space="preserve"> </w:t>
      </w:r>
      <w:r>
        <w:t>p 3.</w:t>
      </w:r>
    </w:p>
  </w:footnote>
  <w:footnote w:id="14">
    <w:p w14:paraId="4955A3E6" w14:textId="77777777" w:rsidR="00804408" w:rsidRDefault="00804408" w:rsidP="00804408">
      <w:pPr>
        <w:pStyle w:val="FootnoteText"/>
      </w:pPr>
      <w:r>
        <w:rPr>
          <w:rStyle w:val="FootnoteReference"/>
        </w:rPr>
        <w:footnoteRef/>
      </w:r>
      <w:r>
        <w:t xml:space="preserve"> Freedom of Information Amendment Bill 2022, </w:t>
      </w:r>
      <w:r w:rsidRPr="007450CE">
        <w:rPr>
          <w:i/>
          <w:iCs/>
        </w:rPr>
        <w:t xml:space="preserve">Explanatory Statement, </w:t>
      </w:r>
      <w:r>
        <w:t>p 1.</w:t>
      </w:r>
    </w:p>
  </w:footnote>
  <w:footnote w:id="15">
    <w:p w14:paraId="757D7895" w14:textId="77777777" w:rsidR="00804408" w:rsidRDefault="00804408" w:rsidP="00804408">
      <w:pPr>
        <w:pStyle w:val="FootnoteText"/>
      </w:pPr>
      <w:r>
        <w:rPr>
          <w:rStyle w:val="FootnoteReference"/>
        </w:rPr>
        <w:footnoteRef/>
      </w:r>
      <w:r>
        <w:t xml:space="preserve"> Freedom of Information Amendment Bill 2022, </w:t>
      </w:r>
      <w:r w:rsidRPr="000E258E">
        <w:rPr>
          <w:i/>
          <w:iCs/>
        </w:rPr>
        <w:t xml:space="preserve">Explanatory Statement, </w:t>
      </w:r>
      <w:r>
        <w:t>p 3.</w:t>
      </w:r>
    </w:p>
  </w:footnote>
  <w:footnote w:id="16">
    <w:p w14:paraId="6987D7A6" w14:textId="77777777" w:rsidR="00804408" w:rsidRDefault="00804408" w:rsidP="00804408">
      <w:pPr>
        <w:pStyle w:val="FootnoteText"/>
      </w:pPr>
      <w:r>
        <w:rPr>
          <w:rStyle w:val="FootnoteReference"/>
        </w:rPr>
        <w:footnoteRef/>
      </w:r>
      <w:r>
        <w:t xml:space="preserve"> ACT Ombudsman, </w:t>
      </w:r>
      <w:r w:rsidRPr="009B2E02">
        <w:rPr>
          <w:i/>
          <w:iCs/>
        </w:rPr>
        <w:t>Submission 4</w:t>
      </w:r>
      <w:r>
        <w:t>, p 3.</w:t>
      </w:r>
    </w:p>
  </w:footnote>
  <w:footnote w:id="17">
    <w:p w14:paraId="1B68EE52" w14:textId="77777777" w:rsidR="00804408" w:rsidRDefault="00804408" w:rsidP="00804408">
      <w:pPr>
        <w:pStyle w:val="FootnoteText"/>
      </w:pPr>
      <w:r>
        <w:rPr>
          <w:rStyle w:val="FootnoteReference"/>
        </w:rPr>
        <w:footnoteRef/>
      </w:r>
      <w:r>
        <w:t xml:space="preserve"> Mr Iain Anderson, ACT Ombudsman, </w:t>
      </w:r>
      <w:r w:rsidRPr="007450CE">
        <w:rPr>
          <w:i/>
          <w:iCs/>
        </w:rPr>
        <w:t>Committee Hansard</w:t>
      </w:r>
      <w:r>
        <w:t>, 2 November 2022, p 46-47.</w:t>
      </w:r>
      <w:r w:rsidDel="007A7F64">
        <w:t xml:space="preserve"> </w:t>
      </w:r>
    </w:p>
  </w:footnote>
  <w:footnote w:id="18">
    <w:p w14:paraId="238B92A9" w14:textId="77777777" w:rsidR="00804408" w:rsidRDefault="00804408" w:rsidP="00804408">
      <w:pPr>
        <w:pStyle w:val="FootnoteText"/>
      </w:pPr>
      <w:r>
        <w:rPr>
          <w:rStyle w:val="FootnoteReference"/>
        </w:rPr>
        <w:footnoteRef/>
      </w:r>
      <w:r>
        <w:t xml:space="preserve"> ACT Government – </w:t>
      </w:r>
      <w:r w:rsidRPr="00AB05D7">
        <w:rPr>
          <w:i/>
          <w:iCs/>
        </w:rPr>
        <w:t>Response to Committee Letter</w:t>
      </w:r>
      <w:r>
        <w:rPr>
          <w:i/>
          <w:iCs/>
        </w:rPr>
        <w:t xml:space="preserve"> </w:t>
      </w:r>
      <w:r>
        <w:t>p 3.</w:t>
      </w:r>
    </w:p>
  </w:footnote>
  <w:footnote w:id="19">
    <w:p w14:paraId="3C863330" w14:textId="77777777" w:rsidR="00804408" w:rsidRDefault="00804408" w:rsidP="00804408">
      <w:pPr>
        <w:pStyle w:val="FootnoteText"/>
      </w:pPr>
      <w:r>
        <w:rPr>
          <w:rStyle w:val="FootnoteReference"/>
        </w:rPr>
        <w:footnoteRef/>
      </w:r>
      <w:r>
        <w:t xml:space="preserve">Mr Iain Anderson, ACT Ombudsman, </w:t>
      </w:r>
      <w:r w:rsidRPr="007450CE">
        <w:rPr>
          <w:i/>
          <w:iCs/>
        </w:rPr>
        <w:t>Committee Hansard</w:t>
      </w:r>
      <w:r>
        <w:t xml:space="preserve">, 2 November 2022, p 46. </w:t>
      </w:r>
    </w:p>
  </w:footnote>
  <w:footnote w:id="20">
    <w:p w14:paraId="03669175" w14:textId="77777777" w:rsidR="00804408" w:rsidRDefault="00804408" w:rsidP="00804408">
      <w:pPr>
        <w:pStyle w:val="FootnoteText"/>
      </w:pPr>
      <w:r>
        <w:rPr>
          <w:rStyle w:val="FootnoteReference"/>
        </w:rPr>
        <w:footnoteRef/>
      </w:r>
      <w:r>
        <w:t xml:space="preserve"> Freedom of Information Amendment Bill 2022, </w:t>
      </w:r>
      <w:r w:rsidRPr="000E258E">
        <w:rPr>
          <w:i/>
          <w:iCs/>
        </w:rPr>
        <w:t xml:space="preserve">Explanatory Statement, </w:t>
      </w:r>
      <w:r>
        <w:t>p 9.</w:t>
      </w:r>
    </w:p>
  </w:footnote>
  <w:footnote w:id="21">
    <w:p w14:paraId="10E6E0E4" w14:textId="77777777" w:rsidR="00804408" w:rsidRDefault="00804408" w:rsidP="00804408">
      <w:pPr>
        <w:pStyle w:val="FootnoteText"/>
      </w:pPr>
      <w:r>
        <w:rPr>
          <w:rStyle w:val="FootnoteReference"/>
        </w:rPr>
        <w:footnoteRef/>
      </w:r>
      <w:r>
        <w:t xml:space="preserve"> ACT Ombudsman, </w:t>
      </w:r>
      <w:r w:rsidRPr="00144731">
        <w:rPr>
          <w:i/>
          <w:iCs/>
        </w:rPr>
        <w:t>Submission 4</w:t>
      </w:r>
      <w:r>
        <w:t>, p 3-4.</w:t>
      </w:r>
    </w:p>
  </w:footnote>
  <w:footnote w:id="22">
    <w:p w14:paraId="044E44D4" w14:textId="40BAFF0F" w:rsidR="00804408" w:rsidRDefault="00804408" w:rsidP="00804408">
      <w:pPr>
        <w:pStyle w:val="FootnoteText"/>
      </w:pPr>
      <w:r>
        <w:rPr>
          <w:rStyle w:val="FootnoteReference"/>
        </w:rPr>
        <w:footnoteRef/>
      </w:r>
      <w:r>
        <w:t xml:space="preserve"> ACT Government – </w:t>
      </w:r>
      <w:r w:rsidRPr="00AB05D7">
        <w:rPr>
          <w:i/>
          <w:iCs/>
        </w:rPr>
        <w:t>Response to Committee Letter</w:t>
      </w:r>
      <w:r>
        <w:rPr>
          <w:i/>
          <w:iCs/>
        </w:rPr>
        <w:t xml:space="preserve"> </w:t>
      </w:r>
      <w:r>
        <w:t xml:space="preserve">p </w:t>
      </w:r>
      <w:r w:rsidR="0076769A">
        <w:t>4.</w:t>
      </w:r>
    </w:p>
  </w:footnote>
  <w:footnote w:id="23">
    <w:p w14:paraId="49B31CC2" w14:textId="77777777" w:rsidR="00804408" w:rsidRDefault="00804408" w:rsidP="00804408">
      <w:pPr>
        <w:pStyle w:val="FootnoteText"/>
      </w:pPr>
      <w:r>
        <w:rPr>
          <w:rStyle w:val="FootnoteReference"/>
        </w:rPr>
        <w:footnoteRef/>
      </w:r>
      <w:r>
        <w:t xml:space="preserve"> Freedom of Information Amendment Bill 2022, </w:t>
      </w:r>
      <w:r w:rsidRPr="000E258E">
        <w:rPr>
          <w:i/>
          <w:iCs/>
        </w:rPr>
        <w:t xml:space="preserve">Explanatory Statement, </w:t>
      </w:r>
      <w:r>
        <w:t>p 10.</w:t>
      </w:r>
    </w:p>
  </w:footnote>
  <w:footnote w:id="24">
    <w:p w14:paraId="77630A9A" w14:textId="77777777" w:rsidR="00804408" w:rsidRDefault="00804408" w:rsidP="00804408">
      <w:pPr>
        <w:pStyle w:val="FootnoteText"/>
      </w:pPr>
      <w:r>
        <w:rPr>
          <w:rStyle w:val="FootnoteReference"/>
        </w:rPr>
        <w:footnoteRef/>
      </w:r>
      <w:r>
        <w:t xml:space="preserve"> ACT Ombudsman, </w:t>
      </w:r>
      <w:r w:rsidRPr="007179D7">
        <w:rPr>
          <w:i/>
          <w:iCs/>
        </w:rPr>
        <w:t>Submission 4</w:t>
      </w:r>
      <w:r>
        <w:t>, p 4.</w:t>
      </w:r>
    </w:p>
  </w:footnote>
  <w:footnote w:id="25">
    <w:p w14:paraId="2D9AA4C4" w14:textId="2F995BAD" w:rsidR="00804408" w:rsidRDefault="00804408" w:rsidP="00804408">
      <w:pPr>
        <w:pStyle w:val="FootnoteText"/>
      </w:pPr>
      <w:r w:rsidRPr="007179D7">
        <w:rPr>
          <w:rStyle w:val="FootnoteReference"/>
        </w:rPr>
        <w:footnoteRef/>
      </w:r>
      <w:r w:rsidRPr="007179D7">
        <w:t xml:space="preserve"> </w:t>
      </w:r>
      <w:r w:rsidR="0076769A">
        <w:t xml:space="preserve">ACT Government – </w:t>
      </w:r>
      <w:r w:rsidR="0076769A" w:rsidRPr="00AB05D7">
        <w:rPr>
          <w:i/>
          <w:iCs/>
        </w:rPr>
        <w:t>Response to Committee Letter</w:t>
      </w:r>
      <w:r w:rsidR="004E626D">
        <w:rPr>
          <w:i/>
          <w:iCs/>
        </w:rPr>
        <w:t>,</w:t>
      </w:r>
      <w:r w:rsidR="0076769A">
        <w:rPr>
          <w:i/>
          <w:iCs/>
        </w:rPr>
        <w:t xml:space="preserve"> </w:t>
      </w:r>
      <w:r w:rsidR="0076769A">
        <w:t>p 5.</w:t>
      </w:r>
    </w:p>
  </w:footnote>
  <w:footnote w:id="26">
    <w:p w14:paraId="20AFBF8F" w14:textId="77777777" w:rsidR="00804408" w:rsidRDefault="00804408" w:rsidP="00804408">
      <w:pPr>
        <w:pStyle w:val="FootnoteText"/>
      </w:pPr>
      <w:r>
        <w:rPr>
          <w:rStyle w:val="FootnoteReference"/>
        </w:rPr>
        <w:footnoteRef/>
      </w:r>
      <w:r>
        <w:t xml:space="preserve"> Freedom of Information Amendment Bill 2022, </w:t>
      </w:r>
      <w:r w:rsidRPr="000E258E">
        <w:rPr>
          <w:i/>
          <w:iCs/>
        </w:rPr>
        <w:t xml:space="preserve">Explanatory Statement, </w:t>
      </w:r>
      <w:r>
        <w:t>p 12.</w:t>
      </w:r>
    </w:p>
  </w:footnote>
  <w:footnote w:id="27">
    <w:p w14:paraId="115487F3" w14:textId="77777777" w:rsidR="00804408" w:rsidRDefault="00804408" w:rsidP="00804408">
      <w:pPr>
        <w:pStyle w:val="FootnoteText"/>
      </w:pPr>
      <w:r>
        <w:rPr>
          <w:rStyle w:val="FootnoteReference"/>
        </w:rPr>
        <w:footnoteRef/>
      </w:r>
      <w:r>
        <w:t xml:space="preserve"> ACT Ombudsman, </w:t>
      </w:r>
      <w:r w:rsidRPr="007179D7">
        <w:rPr>
          <w:i/>
          <w:iCs/>
        </w:rPr>
        <w:t>Submission 4</w:t>
      </w:r>
      <w:r>
        <w:t>, p 4.</w:t>
      </w:r>
    </w:p>
  </w:footnote>
  <w:footnote w:id="28">
    <w:p w14:paraId="72F03530" w14:textId="107E094C" w:rsidR="00804408" w:rsidRDefault="00804408" w:rsidP="00804408">
      <w:pPr>
        <w:pStyle w:val="FootnoteText"/>
      </w:pPr>
      <w:r w:rsidRPr="007179D7">
        <w:rPr>
          <w:rStyle w:val="FootnoteReference"/>
        </w:rPr>
        <w:footnoteRef/>
      </w:r>
      <w:r w:rsidRPr="007179D7">
        <w:t xml:space="preserve"> </w:t>
      </w:r>
      <w:r w:rsidR="0076769A">
        <w:t xml:space="preserve">ACT Government – </w:t>
      </w:r>
      <w:r w:rsidR="0076769A" w:rsidRPr="00AB05D7">
        <w:rPr>
          <w:i/>
          <w:iCs/>
        </w:rPr>
        <w:t>Response to Committee Letter</w:t>
      </w:r>
      <w:r w:rsidR="0076769A">
        <w:rPr>
          <w:i/>
          <w:iCs/>
        </w:rPr>
        <w:t xml:space="preserve"> </w:t>
      </w:r>
      <w:r w:rsidR="0076769A">
        <w:t>p 5.</w:t>
      </w:r>
    </w:p>
  </w:footnote>
  <w:footnote w:id="29">
    <w:p w14:paraId="04357052" w14:textId="77777777" w:rsidR="00804408" w:rsidRDefault="00804408" w:rsidP="00804408">
      <w:pPr>
        <w:pStyle w:val="FootnoteText"/>
      </w:pPr>
      <w:r>
        <w:rPr>
          <w:rStyle w:val="FootnoteReference"/>
        </w:rPr>
        <w:footnoteRef/>
      </w:r>
      <w:r>
        <w:t xml:space="preserve"> Freedom of Information Amendment Bill 2022 [No 2], </w:t>
      </w:r>
      <w:r w:rsidRPr="008E5EF2">
        <w:rPr>
          <w:i/>
          <w:iCs/>
        </w:rPr>
        <w:t>Explanatory Statement</w:t>
      </w:r>
      <w:r>
        <w:t>, p 2.</w:t>
      </w:r>
    </w:p>
  </w:footnote>
  <w:footnote w:id="30">
    <w:p w14:paraId="1122B343" w14:textId="77777777" w:rsidR="00804408" w:rsidRDefault="00804408" w:rsidP="00804408">
      <w:pPr>
        <w:pStyle w:val="FootnoteText"/>
      </w:pPr>
      <w:r>
        <w:rPr>
          <w:rStyle w:val="FootnoteReference"/>
        </w:rPr>
        <w:footnoteRef/>
      </w:r>
      <w:r>
        <w:t xml:space="preserve"> Freedom of Information Amendment Bill 2022 [No 2], </w:t>
      </w:r>
      <w:r w:rsidRPr="008E5EF2">
        <w:rPr>
          <w:i/>
          <w:iCs/>
        </w:rPr>
        <w:t>Explanatory Statement</w:t>
      </w:r>
      <w:r>
        <w:t>, p 2.</w:t>
      </w:r>
    </w:p>
  </w:footnote>
  <w:footnote w:id="31">
    <w:p w14:paraId="7B43D107" w14:textId="77777777" w:rsidR="00804408" w:rsidRDefault="00804408" w:rsidP="00804408">
      <w:pPr>
        <w:pStyle w:val="FootnoteText"/>
      </w:pPr>
      <w:r>
        <w:rPr>
          <w:rStyle w:val="FootnoteReference"/>
        </w:rPr>
        <w:footnoteRef/>
      </w:r>
      <w:r>
        <w:t xml:space="preserve"> Freedom of Information Amendment Bill 2022 [No 2], </w:t>
      </w:r>
      <w:r w:rsidRPr="008E5EF2">
        <w:rPr>
          <w:i/>
          <w:iCs/>
        </w:rPr>
        <w:t>Explanatory Statement</w:t>
      </w:r>
      <w:r>
        <w:t>, p 2.</w:t>
      </w:r>
    </w:p>
  </w:footnote>
  <w:footnote w:id="32">
    <w:p w14:paraId="73B6E284" w14:textId="77777777" w:rsidR="00804408" w:rsidRDefault="00804408" w:rsidP="00804408">
      <w:pPr>
        <w:pStyle w:val="FootnoteText"/>
      </w:pPr>
      <w:r>
        <w:rPr>
          <w:rStyle w:val="FootnoteReference"/>
        </w:rPr>
        <w:footnoteRef/>
      </w:r>
      <w:r>
        <w:t xml:space="preserve"> Standing Committee on Justice and Community Safety (Legislative Scrutiny Role), </w:t>
      </w:r>
      <w:r w:rsidRPr="000E258E">
        <w:rPr>
          <w:i/>
          <w:iCs/>
        </w:rPr>
        <w:t>Report no. 21</w:t>
      </w:r>
      <w:r>
        <w:t>, October 2022, p 1.</w:t>
      </w:r>
    </w:p>
  </w:footnote>
  <w:footnote w:id="33">
    <w:p w14:paraId="4A1CCE39" w14:textId="77777777" w:rsidR="00804408" w:rsidRDefault="00804408" w:rsidP="00804408">
      <w:pPr>
        <w:pStyle w:val="FootnoteText"/>
      </w:pPr>
      <w:r>
        <w:rPr>
          <w:rStyle w:val="FootnoteReference"/>
        </w:rPr>
        <w:footnoteRef/>
      </w:r>
      <w:r>
        <w:t xml:space="preserve"> Freedom of Information Amendment Bill 2022 [No 2], </w:t>
      </w:r>
      <w:r w:rsidRPr="008E5EF2">
        <w:rPr>
          <w:i/>
          <w:iCs/>
        </w:rPr>
        <w:t>Explanatory Statement</w:t>
      </w:r>
      <w:r>
        <w:t>, p 2.</w:t>
      </w:r>
    </w:p>
  </w:footnote>
  <w:footnote w:id="34">
    <w:p w14:paraId="4E204CAE" w14:textId="77777777" w:rsidR="00804408" w:rsidRDefault="00804408" w:rsidP="00804408">
      <w:pPr>
        <w:pStyle w:val="FootnoteText"/>
      </w:pPr>
      <w:r>
        <w:rPr>
          <w:rStyle w:val="FootnoteReference"/>
        </w:rPr>
        <w:footnoteRef/>
      </w:r>
      <w:r>
        <w:t xml:space="preserve"> Standing Committee on Justice and Community Safety (Legislative Scrutiny Role), </w:t>
      </w:r>
      <w:r w:rsidRPr="000E258E">
        <w:rPr>
          <w:i/>
          <w:iCs/>
        </w:rPr>
        <w:t>Report no. 21</w:t>
      </w:r>
      <w:r>
        <w:t>, October 2022, p 4.</w:t>
      </w:r>
    </w:p>
  </w:footnote>
  <w:footnote w:id="35">
    <w:p w14:paraId="482A7F3C" w14:textId="77777777" w:rsidR="00804408" w:rsidRDefault="00804408" w:rsidP="00804408">
      <w:pPr>
        <w:pStyle w:val="FootnoteText"/>
      </w:pPr>
      <w:r>
        <w:rPr>
          <w:rStyle w:val="FootnoteReference"/>
        </w:rPr>
        <w:footnoteRef/>
      </w:r>
      <w:r>
        <w:t xml:space="preserve"> Ms Elizabeth Lee, </w:t>
      </w:r>
      <w:r w:rsidRPr="007179D7">
        <w:rPr>
          <w:i/>
          <w:iCs/>
        </w:rPr>
        <w:t>Submission 3</w:t>
      </w:r>
      <w:r>
        <w:t>, p 3-4.</w:t>
      </w:r>
    </w:p>
  </w:footnote>
  <w:footnote w:id="36">
    <w:p w14:paraId="215FFA57" w14:textId="77777777" w:rsidR="00804408" w:rsidRDefault="00804408" w:rsidP="00804408">
      <w:pPr>
        <w:pStyle w:val="FootnoteText"/>
      </w:pPr>
      <w:r>
        <w:rPr>
          <w:rStyle w:val="FootnoteReference"/>
        </w:rPr>
        <w:footnoteRef/>
      </w:r>
      <w:r>
        <w:t xml:space="preserve"> Centre for Public Integrity, </w:t>
      </w:r>
      <w:r w:rsidRPr="007450CE">
        <w:rPr>
          <w:i/>
          <w:iCs/>
        </w:rPr>
        <w:t>Submission 1</w:t>
      </w:r>
      <w:r>
        <w:t>, p. 1</w:t>
      </w:r>
    </w:p>
  </w:footnote>
  <w:footnote w:id="37">
    <w:p w14:paraId="7A139167" w14:textId="77777777" w:rsidR="00804408" w:rsidRDefault="00804408" w:rsidP="00804408">
      <w:pPr>
        <w:pStyle w:val="FootnoteText"/>
      </w:pPr>
      <w:r>
        <w:rPr>
          <w:rStyle w:val="FootnoteReference"/>
        </w:rPr>
        <w:footnoteRef/>
      </w:r>
      <w:r>
        <w:t xml:space="preserve"> Bruce Arnold, </w:t>
      </w:r>
      <w:r w:rsidRPr="007450CE">
        <w:rPr>
          <w:i/>
          <w:iCs/>
        </w:rPr>
        <w:t>Submission 2</w:t>
      </w:r>
      <w:r>
        <w:t>, p 1.</w:t>
      </w:r>
    </w:p>
  </w:footnote>
  <w:footnote w:id="38">
    <w:p w14:paraId="5BBE064A" w14:textId="77777777" w:rsidR="00804408" w:rsidRDefault="00804408" w:rsidP="00804408">
      <w:pPr>
        <w:pStyle w:val="FootnoteText"/>
      </w:pPr>
      <w:r>
        <w:rPr>
          <w:rStyle w:val="FootnoteReference"/>
        </w:rPr>
        <w:footnoteRef/>
      </w:r>
      <w:r>
        <w:t xml:space="preserve"> Bruce Arnold, </w:t>
      </w:r>
      <w:r w:rsidRPr="000E258E">
        <w:rPr>
          <w:i/>
          <w:iCs/>
        </w:rPr>
        <w:t>Submission 2</w:t>
      </w:r>
      <w:r>
        <w:t>, p 2.</w:t>
      </w:r>
    </w:p>
  </w:footnote>
  <w:footnote w:id="39">
    <w:p w14:paraId="2404380D" w14:textId="77777777" w:rsidR="00804408" w:rsidRDefault="00804408" w:rsidP="00804408">
      <w:pPr>
        <w:pStyle w:val="FootnoteText"/>
      </w:pPr>
      <w:r>
        <w:rPr>
          <w:rStyle w:val="FootnoteReference"/>
        </w:rPr>
        <w:footnoteRef/>
      </w:r>
      <w:r>
        <w:t xml:space="preserve"> The Honourable Annastacia Palaszczuk, The Honourable Dr Steven Miles, </w:t>
      </w:r>
      <w:r w:rsidRPr="007450CE">
        <w:rPr>
          <w:i/>
          <w:iCs/>
        </w:rPr>
        <w:t>Taskforce to implement Coaldrake recommendations</w:t>
      </w:r>
      <w:r>
        <w:t>, Media Release, 4 July 2022.</w:t>
      </w:r>
    </w:p>
  </w:footnote>
  <w:footnote w:id="40">
    <w:p w14:paraId="50E7052B" w14:textId="77777777" w:rsidR="00804408" w:rsidRDefault="00804408" w:rsidP="00804408">
      <w:pPr>
        <w:pStyle w:val="FootnoteText"/>
      </w:pPr>
      <w:r>
        <w:rPr>
          <w:rStyle w:val="FootnoteReference"/>
        </w:rPr>
        <w:footnoteRef/>
      </w:r>
      <w:r>
        <w:t xml:space="preserve"> Professor Peter Coaldrake AO, </w:t>
      </w:r>
      <w:r w:rsidRPr="007450CE">
        <w:rPr>
          <w:i/>
          <w:iCs/>
        </w:rPr>
        <w:t>Let the sunshine in,</w:t>
      </w:r>
      <w:r>
        <w:t xml:space="preserve"> </w:t>
      </w:r>
      <w:r w:rsidRPr="007450CE">
        <w:rPr>
          <w:i/>
          <w:iCs/>
        </w:rPr>
        <w:t>Review of culture and accountability in the Queensland public sector, Final report,</w:t>
      </w:r>
      <w:r>
        <w:t xml:space="preserve"> 28 June 2022.</w:t>
      </w:r>
    </w:p>
  </w:footnote>
  <w:footnote w:id="41">
    <w:p w14:paraId="49BE102C" w14:textId="77777777" w:rsidR="00804408" w:rsidRDefault="00804408" w:rsidP="00804408">
      <w:pPr>
        <w:pStyle w:val="FootnoteText"/>
      </w:pPr>
      <w:r>
        <w:rPr>
          <w:rStyle w:val="FootnoteReference"/>
        </w:rPr>
        <w:footnoteRef/>
      </w:r>
      <w:r>
        <w:t xml:space="preserve"> The Honourable Annastacia Palaszczuk, The Honourable Dr Steven Miles, </w:t>
      </w:r>
      <w:r w:rsidRPr="000E258E">
        <w:rPr>
          <w:i/>
          <w:iCs/>
        </w:rPr>
        <w:t>Taskforce to implement Coaldrake recommendations</w:t>
      </w:r>
      <w:r>
        <w:t>, Media Release, 4 July 2022.</w:t>
      </w:r>
    </w:p>
  </w:footnote>
  <w:footnote w:id="42">
    <w:p w14:paraId="1B7F41C0" w14:textId="77777777" w:rsidR="00804408" w:rsidRDefault="00804408" w:rsidP="00804408">
      <w:pPr>
        <w:pStyle w:val="FootnoteText"/>
      </w:pPr>
      <w:r>
        <w:rPr>
          <w:rStyle w:val="FootnoteReference"/>
        </w:rPr>
        <w:footnoteRef/>
      </w:r>
      <w:r>
        <w:t xml:space="preserve"> ACT Government, </w:t>
      </w:r>
      <w:r w:rsidRPr="007450CE">
        <w:rPr>
          <w:i/>
          <w:iCs/>
        </w:rPr>
        <w:t>Submission</w:t>
      </w:r>
      <w:r>
        <w:t xml:space="preserve"> </w:t>
      </w:r>
      <w:r w:rsidRPr="00925724">
        <w:rPr>
          <w:i/>
          <w:iCs/>
        </w:rPr>
        <w:t>5</w:t>
      </w:r>
      <w:r>
        <w:t>, p 2.</w:t>
      </w:r>
    </w:p>
  </w:footnote>
  <w:footnote w:id="43">
    <w:p w14:paraId="7C0A2D73" w14:textId="77777777" w:rsidR="00804408" w:rsidRDefault="00804408" w:rsidP="00804408">
      <w:pPr>
        <w:pStyle w:val="FootnoteText"/>
      </w:pPr>
      <w:r>
        <w:rPr>
          <w:rStyle w:val="FootnoteReference"/>
        </w:rPr>
        <w:footnoteRef/>
      </w:r>
      <w:r>
        <w:t xml:space="preserve"> ACT Government, </w:t>
      </w:r>
      <w:r w:rsidRPr="007450CE">
        <w:rPr>
          <w:i/>
          <w:iCs/>
        </w:rPr>
        <w:t>Submission</w:t>
      </w:r>
      <w:r>
        <w:t xml:space="preserve"> </w:t>
      </w:r>
      <w:r w:rsidRPr="00925724">
        <w:rPr>
          <w:i/>
          <w:iCs/>
        </w:rPr>
        <w:t>5</w:t>
      </w:r>
      <w:r>
        <w:t>, p 3.</w:t>
      </w:r>
    </w:p>
  </w:footnote>
  <w:footnote w:id="44">
    <w:p w14:paraId="2D7E98A7" w14:textId="77777777" w:rsidR="00804408" w:rsidRDefault="00804408" w:rsidP="00804408">
      <w:pPr>
        <w:pStyle w:val="FootnoteText"/>
      </w:pPr>
      <w:r>
        <w:rPr>
          <w:rStyle w:val="FootnoteReference"/>
        </w:rPr>
        <w:footnoteRef/>
      </w:r>
      <w:r>
        <w:t xml:space="preserve"> ACT Government, </w:t>
      </w:r>
      <w:r w:rsidRPr="007450CE">
        <w:rPr>
          <w:i/>
          <w:iCs/>
        </w:rPr>
        <w:t>Submission</w:t>
      </w:r>
      <w:r>
        <w:t xml:space="preserve"> </w:t>
      </w:r>
      <w:r w:rsidRPr="00925724">
        <w:rPr>
          <w:i/>
          <w:iCs/>
        </w:rPr>
        <w:t>5,</w:t>
      </w:r>
      <w:r>
        <w:t xml:space="preserve"> p 4.</w:t>
      </w:r>
    </w:p>
  </w:footnote>
  <w:footnote w:id="45">
    <w:p w14:paraId="6CB30C84" w14:textId="77777777" w:rsidR="00804408" w:rsidRPr="00E705ED" w:rsidRDefault="00804408" w:rsidP="00804408">
      <w:pPr>
        <w:pStyle w:val="FootnoteText"/>
      </w:pPr>
      <w:r>
        <w:rPr>
          <w:rStyle w:val="FootnoteReference"/>
        </w:rPr>
        <w:footnoteRef/>
      </w:r>
      <w:r>
        <w:t xml:space="preserve"> New Zealand Department of Prime Minister and Cabinet, </w:t>
      </w:r>
      <w:r>
        <w:rPr>
          <w:i/>
          <w:iCs/>
        </w:rPr>
        <w:t xml:space="preserve">CO (18) 4: Proactive Release of Cabinet Material: Updated Requirements, </w:t>
      </w:r>
      <w:r>
        <w:t xml:space="preserve">24 October 2018, </w:t>
      </w:r>
      <w:hyperlink r:id="rId1" w:history="1">
        <w:r>
          <w:rPr>
            <w:rStyle w:val="Hyperlink"/>
          </w:rPr>
          <w:t>CO (18) 4: Proactive Release of Cabinet Material: Updated Requirements | Department of the Prime Minister and Cabinet (DPMC)</w:t>
        </w:r>
      </w:hyperlink>
      <w:r w:rsidRPr="00E705ED">
        <w:t xml:space="preserve"> </w:t>
      </w:r>
      <w:r>
        <w:t>(accessed 28 December 2022).</w:t>
      </w:r>
    </w:p>
  </w:footnote>
  <w:footnote w:id="46">
    <w:p w14:paraId="2BF41998" w14:textId="77777777" w:rsidR="00804408" w:rsidRDefault="00804408" w:rsidP="00804408">
      <w:pPr>
        <w:pStyle w:val="FootnoteText"/>
      </w:pPr>
      <w:r>
        <w:rPr>
          <w:rStyle w:val="FootnoteReference"/>
        </w:rPr>
        <w:footnoteRef/>
      </w:r>
      <w:r>
        <w:t xml:space="preserve"> ACT Government, </w:t>
      </w:r>
      <w:r w:rsidRPr="007450CE">
        <w:rPr>
          <w:i/>
          <w:iCs/>
        </w:rPr>
        <w:t>Submission</w:t>
      </w:r>
      <w:r>
        <w:t xml:space="preserve"> 5, p 4.</w:t>
      </w:r>
    </w:p>
  </w:footnote>
  <w:footnote w:id="47">
    <w:p w14:paraId="4E869696" w14:textId="77777777" w:rsidR="00804408" w:rsidRDefault="00804408" w:rsidP="00804408">
      <w:pPr>
        <w:pStyle w:val="FootnoteText"/>
      </w:pPr>
      <w:r>
        <w:rPr>
          <w:rStyle w:val="FootnoteReference"/>
        </w:rPr>
        <w:footnoteRef/>
      </w:r>
      <w:r>
        <w:t xml:space="preserve"> ACT Government, </w:t>
      </w:r>
      <w:r w:rsidRPr="007450CE">
        <w:rPr>
          <w:i/>
          <w:iCs/>
        </w:rPr>
        <w:t>Submission</w:t>
      </w:r>
      <w:r>
        <w:t xml:space="preserve"> </w:t>
      </w:r>
      <w:r w:rsidRPr="006E65DB">
        <w:rPr>
          <w:i/>
          <w:iCs/>
        </w:rPr>
        <w:t>5</w:t>
      </w:r>
      <w:r>
        <w:t>, p 4.</w:t>
      </w:r>
    </w:p>
  </w:footnote>
  <w:footnote w:id="48">
    <w:p w14:paraId="1C4BE571" w14:textId="77777777" w:rsidR="00804408" w:rsidRPr="006E65DB" w:rsidRDefault="00804408" w:rsidP="00804408">
      <w:pPr>
        <w:pStyle w:val="FootnoteText"/>
      </w:pPr>
      <w:r>
        <w:rPr>
          <w:rStyle w:val="FootnoteReference"/>
        </w:rPr>
        <w:footnoteRef/>
      </w:r>
      <w:r>
        <w:t xml:space="preserve"> ACT Ombudsman, </w:t>
      </w:r>
      <w:r w:rsidRPr="008C3E38">
        <w:rPr>
          <w:i/>
          <w:iCs/>
        </w:rPr>
        <w:t>Submission 4</w:t>
      </w:r>
      <w:r>
        <w:rPr>
          <w:i/>
          <w:iCs/>
        </w:rPr>
        <w:t xml:space="preserve">, </w:t>
      </w:r>
      <w:r>
        <w:t>1.</w:t>
      </w:r>
    </w:p>
  </w:footnote>
  <w:footnote w:id="49">
    <w:p w14:paraId="20D3DA0E" w14:textId="77777777" w:rsidR="000952B1" w:rsidRDefault="000952B1" w:rsidP="000952B1">
      <w:pPr>
        <w:pStyle w:val="FootnoteText"/>
      </w:pPr>
      <w:r>
        <w:rPr>
          <w:rStyle w:val="FootnoteReference"/>
        </w:rPr>
        <w:footnoteRef/>
      </w:r>
      <w:r>
        <w:t xml:space="preserve"> Ms Elizabeth Lee MLA, </w:t>
      </w:r>
      <w:r w:rsidRPr="000952B1">
        <w:rPr>
          <w:i/>
          <w:iCs/>
        </w:rPr>
        <w:t>Submission 3.1</w:t>
      </w:r>
      <w:r>
        <w:t>, p 1.</w:t>
      </w:r>
    </w:p>
  </w:footnote>
  <w:footnote w:id="50">
    <w:p w14:paraId="5B568DD3" w14:textId="77777777" w:rsidR="00123129" w:rsidRDefault="00123129" w:rsidP="00123129">
      <w:pPr>
        <w:pStyle w:val="FootnoteText"/>
      </w:pPr>
      <w:r>
        <w:rPr>
          <w:rStyle w:val="FootnoteReference"/>
        </w:rPr>
        <w:footnoteRef/>
      </w:r>
      <w:r>
        <w:t xml:space="preserve"> Bruce Baer Arnold, </w:t>
      </w:r>
      <w:r w:rsidRPr="00652AB2">
        <w:rPr>
          <w:i/>
          <w:iCs/>
        </w:rPr>
        <w:t>Submission 2</w:t>
      </w:r>
      <w:r>
        <w:t>,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4917" w14:textId="77777777" w:rsidR="00DA703A" w:rsidRDefault="00DA7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B1CD" w14:textId="77777777" w:rsidR="00DA703A" w:rsidRDefault="00DA7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73D4" w14:textId="77777777" w:rsidR="00804408" w:rsidRPr="00C02510" w:rsidRDefault="00804408" w:rsidP="008B350E">
    <w:pPr>
      <w:pStyle w:val="Header"/>
      <w:jc w:val="center"/>
      <w:rPr>
        <w:color w:val="1A234C"/>
      </w:rPr>
    </w:pPr>
  </w:p>
  <w:p w14:paraId="217A38FA" w14:textId="77777777" w:rsidR="00804408" w:rsidRPr="00917B49" w:rsidRDefault="00804408" w:rsidP="00917B49">
    <w:pPr>
      <w:pStyle w:val="Cover-Assemblyname"/>
    </w:pPr>
    <w:r>
      <w:rPr>
        <w:rFonts w:ascii="Arial" w:hAnsi="Arial"/>
        <w:noProof/>
        <w:color w:val="000000" w:themeColor="text1"/>
      </w:rPr>
      <w:drawing>
        <wp:anchor distT="0" distB="0" distL="114300" distR="114300" simplePos="0" relativeHeight="251659264" behindDoc="1" locked="0" layoutInCell="1" allowOverlap="1" wp14:anchorId="2AB07D99" wp14:editId="4FCF1898">
          <wp:simplePos x="0" y="0"/>
          <wp:positionH relativeFrom="margin">
            <wp:align>left</wp:align>
          </wp:positionH>
          <wp:positionV relativeFrom="page">
            <wp:posOffset>853441</wp:posOffset>
          </wp:positionV>
          <wp:extent cx="839349" cy="8382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839349" cy="838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00" w:themeColor="text1"/>
      </w:rPr>
      <w:br/>
    </w:r>
    <w:r w:rsidRPr="00917B49">
      <w:t>Legislative Assembly for the</w:t>
    </w:r>
  </w:p>
  <w:p w14:paraId="68E881B2" w14:textId="77777777" w:rsidR="00804408" w:rsidRPr="00917B49" w:rsidRDefault="00804408" w:rsidP="00917B49">
    <w:pPr>
      <w:pStyle w:val="Cover-Assemblyname"/>
    </w:pPr>
    <w:r w:rsidRPr="00917B49">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DBA3F9E"/>
    <w:lvl w:ilvl="0">
      <w:start w:val="1"/>
      <w:numFmt w:val="bullet"/>
      <w:lvlText w:val=""/>
      <w:lvlJc w:val="left"/>
      <w:pPr>
        <w:ind w:left="926" w:hanging="360"/>
      </w:pPr>
      <w:rPr>
        <w:rFonts w:ascii="Symbol" w:hAnsi="Symbol" w:hint="default"/>
        <w:color w:val="9DB4DC"/>
      </w:rPr>
    </w:lvl>
  </w:abstractNum>
  <w:abstractNum w:abstractNumId="1" w15:restartNumberingAfterBreak="0">
    <w:nsid w:val="FFFFFF89"/>
    <w:multiLevelType w:val="singleLevel"/>
    <w:tmpl w:val="DA9AC3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E5F09"/>
    <w:multiLevelType w:val="multilevel"/>
    <w:tmpl w:val="632ACF76"/>
    <w:lvl w:ilvl="0">
      <w:start w:val="1"/>
      <w:numFmt w:val="decimal"/>
      <w:lvlText w:val="%1."/>
      <w:lvlJc w:val="left"/>
      <w:pPr>
        <w:ind w:left="851" w:hanging="851"/>
      </w:pPr>
      <w:rPr>
        <w:rFonts w:hint="default"/>
      </w:rPr>
    </w:lvl>
    <w:lvl w:ilvl="1">
      <w:start w:val="1"/>
      <w:numFmt w:val="decimal"/>
      <w:lvlText w:val="%1.%2."/>
      <w:lvlJc w:val="left"/>
      <w:pPr>
        <w:ind w:left="1419" w:hanging="851"/>
      </w:pPr>
      <w:rPr>
        <w:rFonts w:asciiTheme="minorHAnsi" w:hAnsiTheme="minorHAnsi" w:hint="default"/>
        <w:color w:val="auto"/>
        <w:sz w:val="22"/>
      </w:rPr>
    </w:lvl>
    <w:lvl w:ilvl="2">
      <w:start w:val="1"/>
      <w:numFmt w:val="lowerLetter"/>
      <w:lvlText w:val="%3)"/>
      <w:lvlJc w:val="left"/>
      <w:pPr>
        <w:ind w:left="1418" w:hanging="567"/>
      </w:pPr>
      <w:rPr>
        <w:rFonts w:hint="default"/>
      </w:rPr>
    </w:lvl>
    <w:lvl w:ilvl="3">
      <w:start w:val="1"/>
      <w:numFmt w:val="bullet"/>
      <w:lvlText w:val=""/>
      <w:lvlJc w:val="left"/>
      <w:pPr>
        <w:ind w:left="1778" w:hanging="360"/>
      </w:pPr>
      <w:rPr>
        <w:rFonts w:ascii="Symbol" w:hAnsi="Symbol" w:hint="default"/>
      </w:rPr>
    </w:lvl>
    <w:lvl w:ilvl="4">
      <w:start w:val="1"/>
      <w:numFmt w:val="decimal"/>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3" w15:restartNumberingAfterBreak="0">
    <w:nsid w:val="035D3599"/>
    <w:multiLevelType w:val="hybridMultilevel"/>
    <w:tmpl w:val="2F0C4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905FCE"/>
    <w:multiLevelType w:val="multilevel"/>
    <w:tmpl w:val="C756B0A6"/>
    <w:lvl w:ilvl="0">
      <w:start w:val="1"/>
      <w:numFmt w:val="decimal"/>
      <w:pStyle w:val="Heading1"/>
      <w:lvlText w:val="%1."/>
      <w:lvlJc w:val="left"/>
      <w:pPr>
        <w:ind w:left="851" w:hanging="851"/>
      </w:pPr>
      <w:rPr>
        <w:rFonts w:hint="default"/>
      </w:rPr>
    </w:lvl>
    <w:lvl w:ilvl="1">
      <w:start w:val="1"/>
      <w:numFmt w:val="decimal"/>
      <w:pStyle w:val="ListNumber2"/>
      <w:lvlText w:val="%1.%2."/>
      <w:lvlJc w:val="left"/>
      <w:pPr>
        <w:ind w:left="1419" w:hanging="851"/>
      </w:pPr>
      <w:rPr>
        <w:rFonts w:asciiTheme="minorHAnsi" w:hAnsiTheme="minorHAnsi" w:hint="default"/>
        <w:color w:val="auto"/>
        <w:sz w:val="22"/>
      </w:rPr>
    </w:lvl>
    <w:lvl w:ilvl="2">
      <w:start w:val="1"/>
      <w:numFmt w:val="lowerLetter"/>
      <w:pStyle w:val="ListNumber3"/>
      <w:lvlText w:val="%3)"/>
      <w:lvlJc w:val="left"/>
      <w:pPr>
        <w:ind w:left="1418" w:hanging="567"/>
      </w:pPr>
      <w:rPr>
        <w:rFonts w:hint="default"/>
      </w:rPr>
    </w:lvl>
    <w:lvl w:ilvl="3">
      <w:start w:val="1"/>
      <w:numFmt w:val="lowerRoman"/>
      <w:pStyle w:val="ListNumber4"/>
      <w:lvlText w:val="%4)"/>
      <w:lvlJc w:val="left"/>
      <w:pPr>
        <w:ind w:left="1985" w:hanging="567"/>
      </w:pPr>
      <w:rPr>
        <w:rFonts w:hint="default"/>
      </w:rPr>
    </w:lvl>
    <w:lvl w:ilvl="4">
      <w:start w:val="1"/>
      <w:numFmt w:val="decimal"/>
      <w:pStyle w:val="ListNumber5"/>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5" w15:restartNumberingAfterBreak="0">
    <w:nsid w:val="0D5F20E9"/>
    <w:multiLevelType w:val="multilevel"/>
    <w:tmpl w:val="C2BAF334"/>
    <w:lvl w:ilvl="0">
      <w:start w:val="1"/>
      <w:numFmt w:val="bullet"/>
      <w:lvlText w:val=""/>
      <w:lvlJc w:val="left"/>
      <w:pPr>
        <w:ind w:left="340" w:hanging="340"/>
      </w:pPr>
      <w:rPr>
        <w:rFonts w:ascii="Symbol" w:hAnsi="Symbol" w:hint="default"/>
        <w:b w:val="0"/>
        <w:i w:val="0"/>
        <w:color w:val="2F5496"/>
      </w:rPr>
    </w:lvl>
    <w:lvl w:ilvl="1">
      <w:start w:val="1"/>
      <w:numFmt w:val="bullet"/>
      <w:lvlText w:val=""/>
      <w:lvlJc w:val="left"/>
      <w:pPr>
        <w:ind w:left="720" w:hanging="360"/>
      </w:pPr>
      <w:rPr>
        <w:rFonts w:ascii="Symbol" w:hAnsi="Symbol" w:hint="default"/>
        <w:color w:val="7492CD"/>
      </w:rPr>
    </w:lvl>
    <w:lvl w:ilvl="2">
      <w:start w:val="1"/>
      <w:numFmt w:val="bullet"/>
      <w:lvlText w:val=""/>
      <w:lvlJc w:val="left"/>
      <w:pPr>
        <w:ind w:left="1080" w:hanging="360"/>
      </w:pPr>
      <w:rPr>
        <w:rFonts w:ascii="Symbol" w:hAnsi="Symbol" w:hint="default"/>
        <w:color w:val="9DB4DC"/>
      </w:rPr>
    </w:lvl>
    <w:lvl w:ilvl="3">
      <w:start w:val="1"/>
      <w:numFmt w:val="bullet"/>
      <w:lvlText w:val=""/>
      <w:lvlJc w:val="left"/>
      <w:pPr>
        <w:ind w:left="1440" w:hanging="360"/>
      </w:pPr>
      <w:rPr>
        <w:rFonts w:ascii="Symbol" w:hAnsi="Symbol" w:hint="default"/>
        <w:b w:val="0"/>
        <w:i w:val="0"/>
        <w:color w:val="2F5496"/>
      </w:rPr>
    </w:lvl>
    <w:lvl w:ilvl="4">
      <w:start w:val="1"/>
      <w:numFmt w:val="bullet"/>
      <w:lvlText w:val=""/>
      <w:lvlJc w:val="left"/>
      <w:pPr>
        <w:ind w:left="1800" w:hanging="360"/>
      </w:pPr>
      <w:rPr>
        <w:rFonts w:ascii="Symbol" w:hAnsi="Symbol" w:hint="default"/>
        <w:color w:val="7492CD"/>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D65142"/>
    <w:multiLevelType w:val="hybridMultilevel"/>
    <w:tmpl w:val="125A53D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EBD46AA"/>
    <w:multiLevelType w:val="multilevel"/>
    <w:tmpl w:val="ECAAD6C0"/>
    <w:lvl w:ilvl="0">
      <w:start w:val="1"/>
      <w:numFmt w:val="decimal"/>
      <w:lvlText w:val="%1."/>
      <w:lvlJc w:val="left"/>
      <w:pPr>
        <w:ind w:left="851" w:hanging="851"/>
      </w:pPr>
      <w:rPr>
        <w:rFonts w:hint="default"/>
      </w:rPr>
    </w:lvl>
    <w:lvl w:ilvl="1">
      <w:start w:val="1"/>
      <w:numFmt w:val="decimal"/>
      <w:lvlText w:val="%1.%2."/>
      <w:lvlJc w:val="left"/>
      <w:pPr>
        <w:ind w:left="1419" w:hanging="851"/>
      </w:pPr>
      <w:rPr>
        <w:rFonts w:asciiTheme="minorHAnsi" w:hAnsiTheme="minorHAnsi" w:hint="default"/>
        <w:color w:val="auto"/>
        <w:sz w:val="22"/>
      </w:rPr>
    </w:lvl>
    <w:lvl w:ilvl="2">
      <w:start w:val="1"/>
      <w:numFmt w:val="lowerLetter"/>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bullet"/>
      <w:lvlText w:val=""/>
      <w:lvlJc w:val="left"/>
      <w:pPr>
        <w:ind w:left="2345" w:hanging="360"/>
      </w:pPr>
      <w:rPr>
        <w:rFonts w:ascii="Symbol" w:hAnsi="Symbol"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8" w15:restartNumberingAfterBreak="0">
    <w:nsid w:val="410819D5"/>
    <w:multiLevelType w:val="hybridMultilevel"/>
    <w:tmpl w:val="594AF03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2D070CD"/>
    <w:multiLevelType w:val="hybridMultilevel"/>
    <w:tmpl w:val="7D3A8F8A"/>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44C7407F"/>
    <w:multiLevelType w:val="hybridMultilevel"/>
    <w:tmpl w:val="6C5C6F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266B5E"/>
    <w:multiLevelType w:val="multilevel"/>
    <w:tmpl w:val="2E004328"/>
    <w:name w:val="OLA branded2"/>
    <w:lvl w:ilvl="0">
      <w:start w:val="1"/>
      <w:numFmt w:val="bullet"/>
      <w:pStyle w:val="ListBullet4"/>
      <w:lvlText w:val=""/>
      <w:lvlJc w:val="left"/>
      <w:pPr>
        <w:ind w:left="340" w:hanging="340"/>
      </w:pPr>
      <w:rPr>
        <w:rFonts w:ascii="Symbol" w:hAnsi="Symbol" w:hint="default"/>
        <w:b w:val="0"/>
        <w:i w:val="0"/>
        <w:color w:val="2F5496"/>
      </w:rPr>
    </w:lvl>
    <w:lvl w:ilvl="1">
      <w:start w:val="1"/>
      <w:numFmt w:val="bullet"/>
      <w:pStyle w:val="ListBullet5"/>
      <w:lvlText w:val=""/>
      <w:lvlJc w:val="left"/>
      <w:pPr>
        <w:ind w:left="720" w:hanging="360"/>
      </w:pPr>
      <w:rPr>
        <w:rFonts w:ascii="Symbol" w:hAnsi="Symbol" w:hint="default"/>
        <w:color w:val="7492CD"/>
      </w:rPr>
    </w:lvl>
    <w:lvl w:ilvl="2">
      <w:start w:val="1"/>
      <w:numFmt w:val="bullet"/>
      <w:pStyle w:val="ListBullet3"/>
      <w:lvlText w:val=""/>
      <w:lvlJc w:val="left"/>
      <w:pPr>
        <w:ind w:left="1080" w:hanging="360"/>
      </w:pPr>
      <w:rPr>
        <w:rFonts w:ascii="Symbol" w:hAnsi="Symbol" w:hint="default"/>
        <w:color w:val="9DB4DC"/>
      </w:rPr>
    </w:lvl>
    <w:lvl w:ilvl="3">
      <w:start w:val="1"/>
      <w:numFmt w:val="bullet"/>
      <w:pStyle w:val="ListBullet4"/>
      <w:lvlText w:val=""/>
      <w:lvlJc w:val="left"/>
      <w:pPr>
        <w:ind w:left="1440" w:hanging="360"/>
      </w:pPr>
      <w:rPr>
        <w:rFonts w:ascii="Symbol" w:hAnsi="Symbol" w:hint="default"/>
        <w:b w:val="0"/>
        <w:i w:val="0"/>
        <w:color w:val="2F5496"/>
      </w:rPr>
    </w:lvl>
    <w:lvl w:ilvl="4">
      <w:start w:val="1"/>
      <w:numFmt w:val="bullet"/>
      <w:pStyle w:val="ListBullet5"/>
      <w:lvlText w:val=""/>
      <w:lvlJc w:val="left"/>
      <w:pPr>
        <w:ind w:left="1800" w:hanging="360"/>
      </w:pPr>
      <w:rPr>
        <w:rFonts w:ascii="Symbol" w:hAnsi="Symbol" w:hint="default"/>
        <w:color w:val="7492CD"/>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3091333"/>
    <w:multiLevelType w:val="hybridMultilevel"/>
    <w:tmpl w:val="2668DA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6DF0A74"/>
    <w:multiLevelType w:val="hybridMultilevel"/>
    <w:tmpl w:val="6520EE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9143256">
    <w:abstractNumId w:val="11"/>
  </w:num>
  <w:num w:numId="2" w16cid:durableId="1485198528">
    <w:abstractNumId w:val="5"/>
  </w:num>
  <w:num w:numId="3" w16cid:durableId="126245517">
    <w:abstractNumId w:val="4"/>
  </w:num>
  <w:num w:numId="4" w16cid:durableId="223107475">
    <w:abstractNumId w:val="10"/>
  </w:num>
  <w:num w:numId="5" w16cid:durableId="488644036">
    <w:abstractNumId w:val="9"/>
  </w:num>
  <w:num w:numId="6" w16cid:durableId="1775588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85180">
    <w:abstractNumId w:val="0"/>
  </w:num>
  <w:num w:numId="8" w16cid:durableId="1837526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165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766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527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332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7620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9478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659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8838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49899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4403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3561096">
    <w:abstractNumId w:val="2"/>
  </w:num>
  <w:num w:numId="20" w16cid:durableId="1474904650">
    <w:abstractNumId w:val="6"/>
  </w:num>
  <w:num w:numId="21" w16cid:durableId="18356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6129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3991162">
    <w:abstractNumId w:val="12"/>
  </w:num>
  <w:num w:numId="24" w16cid:durableId="268245556">
    <w:abstractNumId w:val="13"/>
  </w:num>
  <w:num w:numId="25" w16cid:durableId="1848711734">
    <w:abstractNumId w:val="8"/>
  </w:num>
  <w:num w:numId="26" w16cid:durableId="320427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4899877">
    <w:abstractNumId w:val="1"/>
  </w:num>
  <w:num w:numId="28" w16cid:durableId="922643749">
    <w:abstractNumId w:val="7"/>
  </w:num>
  <w:num w:numId="29" w16cid:durableId="455291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1D"/>
    <w:rsid w:val="000952B1"/>
    <w:rsid w:val="000E0869"/>
    <w:rsid w:val="00123129"/>
    <w:rsid w:val="0016683F"/>
    <w:rsid w:val="001975D7"/>
    <w:rsid w:val="001B6332"/>
    <w:rsid w:val="00230B16"/>
    <w:rsid w:val="00282B9C"/>
    <w:rsid w:val="00295AE0"/>
    <w:rsid w:val="00304DDB"/>
    <w:rsid w:val="00374B12"/>
    <w:rsid w:val="00457E8F"/>
    <w:rsid w:val="00464E5C"/>
    <w:rsid w:val="004D7CE8"/>
    <w:rsid w:val="004E626D"/>
    <w:rsid w:val="00501312"/>
    <w:rsid w:val="0051668F"/>
    <w:rsid w:val="00552561"/>
    <w:rsid w:val="00587552"/>
    <w:rsid w:val="005C0444"/>
    <w:rsid w:val="005C4AC5"/>
    <w:rsid w:val="005F3A86"/>
    <w:rsid w:val="00760D1D"/>
    <w:rsid w:val="0076769A"/>
    <w:rsid w:val="007B304B"/>
    <w:rsid w:val="00804408"/>
    <w:rsid w:val="008B6CB6"/>
    <w:rsid w:val="008E4710"/>
    <w:rsid w:val="008F320D"/>
    <w:rsid w:val="00976247"/>
    <w:rsid w:val="009F645B"/>
    <w:rsid w:val="00A67972"/>
    <w:rsid w:val="00B058B8"/>
    <w:rsid w:val="00BE1C72"/>
    <w:rsid w:val="00C44045"/>
    <w:rsid w:val="00CE2E83"/>
    <w:rsid w:val="00DA703A"/>
    <w:rsid w:val="00DE45A1"/>
    <w:rsid w:val="00EF3D32"/>
    <w:rsid w:val="00FF63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78559A"/>
  <w15:chartTrackingRefBased/>
  <w15:docId w15:val="{9A51448F-825E-4344-B409-08B3C2E7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D1D"/>
    <w:pPr>
      <w:spacing w:line="283" w:lineRule="auto"/>
    </w:pPr>
  </w:style>
  <w:style w:type="paragraph" w:styleId="Heading1">
    <w:name w:val="heading 1"/>
    <w:next w:val="ListNumber2"/>
    <w:link w:val="Heading1Char"/>
    <w:uiPriority w:val="9"/>
    <w:qFormat/>
    <w:rsid w:val="00760D1D"/>
    <w:pPr>
      <w:keepNext/>
      <w:keepLines/>
      <w:numPr>
        <w:numId w:val="3"/>
      </w:numPr>
      <w:spacing w:before="240" w:after="240"/>
      <w:outlineLvl w:val="0"/>
    </w:pPr>
    <w:rPr>
      <w:rFonts w:ascii="Montserrat" w:eastAsiaTheme="majorEastAsia" w:hAnsi="Montserrat" w:cstheme="majorBidi"/>
      <w:b/>
      <w:color w:val="1A234C"/>
      <w:w w:val="90"/>
      <w:kern w:val="2"/>
      <w:sz w:val="36"/>
      <w:szCs w:val="32"/>
    </w:rPr>
  </w:style>
  <w:style w:type="paragraph" w:styleId="Heading2">
    <w:name w:val="heading 2"/>
    <w:basedOn w:val="Heading1"/>
    <w:next w:val="ListNumber2"/>
    <w:link w:val="Heading2Char"/>
    <w:autoRedefine/>
    <w:uiPriority w:val="9"/>
    <w:unhideWhenUsed/>
    <w:qFormat/>
    <w:rsid w:val="000952B1"/>
    <w:pPr>
      <w:numPr>
        <w:numId w:val="0"/>
      </w:numPr>
      <w:spacing w:after="200"/>
      <w:outlineLvl w:val="1"/>
    </w:pPr>
    <w:rPr>
      <w:color w:val="2F5496"/>
      <w:sz w:val="32"/>
      <w:szCs w:val="26"/>
    </w:rPr>
  </w:style>
  <w:style w:type="paragraph" w:styleId="Heading3">
    <w:name w:val="heading 3"/>
    <w:basedOn w:val="Heading2"/>
    <w:next w:val="ListNumber2"/>
    <w:link w:val="Heading3Char"/>
    <w:uiPriority w:val="9"/>
    <w:unhideWhenUsed/>
    <w:qFormat/>
    <w:rsid w:val="00760D1D"/>
    <w:pPr>
      <w:spacing w:before="120"/>
      <w:outlineLvl w:val="2"/>
    </w:pPr>
    <w:rPr>
      <w:color w:val="7492CD"/>
      <w:sz w:val="28"/>
      <w:szCs w:val="24"/>
    </w:rPr>
  </w:style>
  <w:style w:type="paragraph" w:styleId="Heading4">
    <w:name w:val="heading 4"/>
    <w:basedOn w:val="Heading3"/>
    <w:next w:val="Normal"/>
    <w:link w:val="Heading4Char"/>
    <w:uiPriority w:val="9"/>
    <w:unhideWhenUsed/>
    <w:qFormat/>
    <w:rsid w:val="00760D1D"/>
    <w:pPr>
      <w:outlineLvl w:val="3"/>
    </w:pPr>
    <w:rPr>
      <w:rFonts w:ascii="Montserrat SemiBold" w:hAnsi="Montserrat SemiBold"/>
      <w:b w:val="0"/>
      <w:iCs/>
      <w:color w:val="2F5496"/>
      <w:sz w:val="24"/>
    </w:rPr>
  </w:style>
  <w:style w:type="paragraph" w:styleId="Heading5">
    <w:name w:val="heading 5"/>
    <w:basedOn w:val="Heading4"/>
    <w:next w:val="ListNumber2"/>
    <w:link w:val="Heading5Char"/>
    <w:uiPriority w:val="9"/>
    <w:unhideWhenUsed/>
    <w:qFormat/>
    <w:rsid w:val="00760D1D"/>
    <w:pPr>
      <w:outlineLvl w:val="4"/>
    </w:pPr>
    <w:rPr>
      <w:rFonts w:ascii="Montserrat" w:hAnsi="Montserrat"/>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D1D"/>
    <w:rPr>
      <w:rFonts w:ascii="Montserrat" w:eastAsiaTheme="majorEastAsia" w:hAnsi="Montserrat" w:cstheme="majorBidi"/>
      <w:b/>
      <w:color w:val="1A234C"/>
      <w:w w:val="90"/>
      <w:kern w:val="2"/>
      <w:sz w:val="36"/>
      <w:szCs w:val="32"/>
    </w:rPr>
  </w:style>
  <w:style w:type="character" w:customStyle="1" w:styleId="Heading2Char">
    <w:name w:val="Heading 2 Char"/>
    <w:basedOn w:val="DefaultParagraphFont"/>
    <w:link w:val="Heading2"/>
    <w:uiPriority w:val="9"/>
    <w:rsid w:val="000952B1"/>
    <w:rPr>
      <w:rFonts w:ascii="Montserrat" w:eastAsiaTheme="majorEastAsia" w:hAnsi="Montserrat" w:cstheme="majorBidi"/>
      <w:b/>
      <w:color w:val="2F5496"/>
      <w:w w:val="90"/>
      <w:kern w:val="2"/>
      <w:sz w:val="32"/>
      <w:szCs w:val="26"/>
    </w:rPr>
  </w:style>
  <w:style w:type="character" w:customStyle="1" w:styleId="Heading3Char">
    <w:name w:val="Heading 3 Char"/>
    <w:basedOn w:val="DefaultParagraphFont"/>
    <w:link w:val="Heading3"/>
    <w:uiPriority w:val="9"/>
    <w:rsid w:val="00760D1D"/>
    <w:rPr>
      <w:rFonts w:ascii="Montserrat" w:eastAsiaTheme="majorEastAsia" w:hAnsi="Montserrat" w:cstheme="majorBidi"/>
      <w:b/>
      <w:color w:val="7492CD"/>
      <w:w w:val="90"/>
      <w:kern w:val="2"/>
      <w:sz w:val="28"/>
      <w:szCs w:val="24"/>
    </w:rPr>
  </w:style>
  <w:style w:type="character" w:customStyle="1" w:styleId="Heading4Char">
    <w:name w:val="Heading 4 Char"/>
    <w:basedOn w:val="DefaultParagraphFont"/>
    <w:link w:val="Heading4"/>
    <w:uiPriority w:val="9"/>
    <w:rsid w:val="00760D1D"/>
    <w:rPr>
      <w:rFonts w:ascii="Montserrat SemiBold" w:eastAsiaTheme="majorEastAsia" w:hAnsi="Montserrat SemiBold" w:cstheme="majorBidi"/>
      <w:iCs/>
      <w:color w:val="2F5496"/>
      <w:w w:val="90"/>
      <w:kern w:val="2"/>
      <w:sz w:val="24"/>
      <w:szCs w:val="24"/>
    </w:rPr>
  </w:style>
  <w:style w:type="character" w:customStyle="1" w:styleId="Heading5Char">
    <w:name w:val="Heading 5 Char"/>
    <w:basedOn w:val="DefaultParagraphFont"/>
    <w:link w:val="Heading5"/>
    <w:uiPriority w:val="9"/>
    <w:rsid w:val="00760D1D"/>
    <w:rPr>
      <w:rFonts w:ascii="Montserrat" w:eastAsiaTheme="majorEastAsia" w:hAnsi="Montserrat" w:cstheme="majorBidi"/>
      <w:iCs/>
      <w:color w:val="2F5496"/>
      <w:w w:val="90"/>
      <w:kern w:val="2"/>
      <w:sz w:val="23"/>
      <w:szCs w:val="20"/>
    </w:rPr>
  </w:style>
  <w:style w:type="paragraph" w:styleId="Title">
    <w:name w:val="Title"/>
    <w:basedOn w:val="Normal"/>
    <w:next w:val="Normal"/>
    <w:link w:val="TitleChar"/>
    <w:uiPriority w:val="10"/>
    <w:qFormat/>
    <w:rsid w:val="00760D1D"/>
    <w:pPr>
      <w:spacing w:before="4000" w:after="360" w:line="259" w:lineRule="auto"/>
      <w:ind w:right="2790"/>
      <w:contextualSpacing/>
    </w:pPr>
    <w:rPr>
      <w:rFonts w:ascii="Montserrat" w:eastAsiaTheme="majorEastAsia" w:hAnsi="Montserrat" w:cstheme="majorBidi"/>
      <w:b/>
      <w:spacing w:val="-10"/>
      <w:w w:val="90"/>
      <w:kern w:val="28"/>
      <w:sz w:val="58"/>
      <w:szCs w:val="58"/>
    </w:rPr>
  </w:style>
  <w:style w:type="character" w:customStyle="1" w:styleId="TitleChar">
    <w:name w:val="Title Char"/>
    <w:basedOn w:val="DefaultParagraphFont"/>
    <w:link w:val="Title"/>
    <w:uiPriority w:val="10"/>
    <w:rsid w:val="00760D1D"/>
    <w:rPr>
      <w:rFonts w:ascii="Montserrat" w:eastAsiaTheme="majorEastAsia" w:hAnsi="Montserrat" w:cstheme="majorBidi"/>
      <w:b/>
      <w:spacing w:val="-10"/>
      <w:w w:val="90"/>
      <w:kern w:val="28"/>
      <w:sz w:val="58"/>
      <w:szCs w:val="58"/>
    </w:rPr>
  </w:style>
  <w:style w:type="paragraph" w:styleId="Subtitle">
    <w:name w:val="Subtitle"/>
    <w:basedOn w:val="Normal"/>
    <w:next w:val="Normal"/>
    <w:link w:val="SubtitleChar"/>
    <w:uiPriority w:val="11"/>
    <w:qFormat/>
    <w:rsid w:val="00760D1D"/>
    <w:pPr>
      <w:spacing w:before="120" w:after="120"/>
      <w:ind w:left="2268"/>
    </w:pPr>
    <w:rPr>
      <w:rFonts w:ascii="Arial" w:hAnsi="Arial" w:cs="Arial"/>
      <w:kern w:val="20"/>
      <w:sz w:val="28"/>
      <w:szCs w:val="28"/>
    </w:rPr>
  </w:style>
  <w:style w:type="character" w:customStyle="1" w:styleId="SubtitleChar">
    <w:name w:val="Subtitle Char"/>
    <w:basedOn w:val="DefaultParagraphFont"/>
    <w:link w:val="Subtitle"/>
    <w:uiPriority w:val="11"/>
    <w:rsid w:val="00760D1D"/>
    <w:rPr>
      <w:rFonts w:ascii="Arial" w:hAnsi="Arial" w:cs="Arial"/>
      <w:kern w:val="20"/>
      <w:sz w:val="28"/>
      <w:szCs w:val="28"/>
    </w:rPr>
  </w:style>
  <w:style w:type="paragraph" w:styleId="TOCHeading">
    <w:name w:val="TOC Heading"/>
    <w:basedOn w:val="Heading1"/>
    <w:next w:val="Normal"/>
    <w:uiPriority w:val="39"/>
    <w:unhideWhenUsed/>
    <w:qFormat/>
    <w:rsid w:val="00760D1D"/>
    <w:pPr>
      <w:numPr>
        <w:numId w:val="0"/>
      </w:numPr>
      <w:outlineLvl w:val="9"/>
    </w:pPr>
    <w:rPr>
      <w:lang w:val="en-US"/>
    </w:rPr>
  </w:style>
  <w:style w:type="paragraph" w:styleId="TOC1">
    <w:name w:val="toc 1"/>
    <w:basedOn w:val="Normal"/>
    <w:next w:val="Normal"/>
    <w:autoRedefine/>
    <w:uiPriority w:val="39"/>
    <w:unhideWhenUsed/>
    <w:rsid w:val="00501312"/>
    <w:pPr>
      <w:keepNext/>
      <w:tabs>
        <w:tab w:val="left" w:pos="425"/>
        <w:tab w:val="right" w:pos="9016"/>
      </w:tabs>
      <w:spacing w:before="160" w:after="60"/>
    </w:pPr>
    <w:rPr>
      <w:rFonts w:ascii="Montserrat" w:hAnsi="Montserrat"/>
      <w:b/>
      <w:bCs/>
      <w:noProof/>
      <w:color w:val="2F5496"/>
      <w:w w:val="90"/>
      <w:sz w:val="23"/>
    </w:rPr>
  </w:style>
  <w:style w:type="paragraph" w:styleId="TOC2">
    <w:name w:val="toc 2"/>
    <w:basedOn w:val="Normal"/>
    <w:next w:val="Normal"/>
    <w:autoRedefine/>
    <w:uiPriority w:val="39"/>
    <w:unhideWhenUsed/>
    <w:rsid w:val="00EF3D32"/>
    <w:pPr>
      <w:tabs>
        <w:tab w:val="right" w:pos="9016"/>
      </w:tabs>
      <w:spacing w:before="60" w:after="60"/>
      <w:ind w:left="426"/>
    </w:pPr>
    <w:rPr>
      <w:noProof/>
    </w:rPr>
  </w:style>
  <w:style w:type="paragraph" w:styleId="TOC3">
    <w:name w:val="toc 3"/>
    <w:basedOn w:val="Normal"/>
    <w:next w:val="Normal"/>
    <w:autoRedefine/>
    <w:uiPriority w:val="39"/>
    <w:unhideWhenUsed/>
    <w:rsid w:val="00760D1D"/>
    <w:pPr>
      <w:tabs>
        <w:tab w:val="right" w:pos="9016"/>
      </w:tabs>
      <w:spacing w:before="60" w:after="60"/>
      <w:ind w:left="709"/>
    </w:pPr>
    <w:rPr>
      <w:noProof/>
    </w:rPr>
  </w:style>
  <w:style w:type="character" w:styleId="Hyperlink">
    <w:name w:val="Hyperlink"/>
    <w:basedOn w:val="DefaultParagraphFont"/>
    <w:uiPriority w:val="99"/>
    <w:unhideWhenUsed/>
    <w:rsid w:val="00760D1D"/>
    <w:rPr>
      <w:color w:val="0563C1" w:themeColor="hyperlink"/>
      <w:u w:val="single"/>
    </w:rPr>
  </w:style>
  <w:style w:type="paragraph" w:styleId="List">
    <w:name w:val="List"/>
    <w:basedOn w:val="Normal"/>
    <w:uiPriority w:val="99"/>
    <w:unhideWhenUsed/>
    <w:qFormat/>
    <w:rsid w:val="00760D1D"/>
    <w:pPr>
      <w:spacing w:after="40"/>
    </w:pPr>
  </w:style>
  <w:style w:type="paragraph" w:styleId="Header">
    <w:name w:val="header"/>
    <w:basedOn w:val="Normal"/>
    <w:link w:val="HeaderChar"/>
    <w:uiPriority w:val="99"/>
    <w:unhideWhenUsed/>
    <w:rsid w:val="00760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D1D"/>
  </w:style>
  <w:style w:type="paragraph" w:styleId="Footer">
    <w:name w:val="footer"/>
    <w:basedOn w:val="Normal"/>
    <w:link w:val="FooterChar"/>
    <w:uiPriority w:val="99"/>
    <w:unhideWhenUsed/>
    <w:rsid w:val="00760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D1D"/>
  </w:style>
  <w:style w:type="character" w:styleId="PlaceholderText">
    <w:name w:val="Placeholder Text"/>
    <w:basedOn w:val="DefaultParagraphFont"/>
    <w:uiPriority w:val="99"/>
    <w:semiHidden/>
    <w:rsid w:val="00760D1D"/>
    <w:rPr>
      <w:color w:val="808080"/>
    </w:rPr>
  </w:style>
  <w:style w:type="character" w:styleId="UnresolvedMention">
    <w:name w:val="Unresolved Mention"/>
    <w:basedOn w:val="DefaultParagraphFont"/>
    <w:uiPriority w:val="99"/>
    <w:semiHidden/>
    <w:unhideWhenUsed/>
    <w:rsid w:val="00760D1D"/>
    <w:rPr>
      <w:color w:val="605E5C"/>
      <w:shd w:val="clear" w:color="auto" w:fill="E1DFDD"/>
    </w:rPr>
  </w:style>
  <w:style w:type="paragraph" w:customStyle="1" w:styleId="Cover-Committeename">
    <w:name w:val="Cover - Committee name"/>
    <w:basedOn w:val="Subtitle"/>
    <w:qFormat/>
    <w:rsid w:val="00760D1D"/>
    <w:pPr>
      <w:spacing w:before="60" w:after="240" w:line="240" w:lineRule="auto"/>
      <w:ind w:left="1843" w:right="2648"/>
    </w:pPr>
    <w:rPr>
      <w:rFonts w:ascii="Montserrat Light" w:hAnsi="Montserrat Light"/>
      <w:color w:val="1A234C"/>
      <w:w w:val="90"/>
      <w:sz w:val="25"/>
      <w:szCs w:val="25"/>
    </w:rPr>
  </w:style>
  <w:style w:type="paragraph" w:styleId="Quote">
    <w:name w:val="Quote"/>
    <w:basedOn w:val="Normal"/>
    <w:next w:val="ListNumber2"/>
    <w:link w:val="QuoteChar"/>
    <w:uiPriority w:val="29"/>
    <w:qFormat/>
    <w:rsid w:val="00760D1D"/>
    <w:pPr>
      <w:spacing w:before="200" w:after="200"/>
      <w:ind w:left="1134" w:right="862"/>
    </w:pPr>
    <w:rPr>
      <w:color w:val="595959" w:themeColor="text1" w:themeTint="A6"/>
      <w:sz w:val="21"/>
      <w:szCs w:val="21"/>
    </w:rPr>
  </w:style>
  <w:style w:type="character" w:customStyle="1" w:styleId="QuoteChar">
    <w:name w:val="Quote Char"/>
    <w:basedOn w:val="DefaultParagraphFont"/>
    <w:link w:val="Quote"/>
    <w:uiPriority w:val="29"/>
    <w:rsid w:val="00760D1D"/>
    <w:rPr>
      <w:color w:val="595959" w:themeColor="text1" w:themeTint="A6"/>
      <w:sz w:val="21"/>
      <w:szCs w:val="21"/>
    </w:rPr>
  </w:style>
  <w:style w:type="table" w:styleId="TableGrid">
    <w:name w:val="Table Grid"/>
    <w:basedOn w:val="TableNormal"/>
    <w:uiPriority w:val="39"/>
    <w:rsid w:val="00760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heading">
    <w:name w:val="Recommendation heading"/>
    <w:next w:val="Normal"/>
    <w:rsid w:val="00760D1D"/>
    <w:pPr>
      <w:adjustRightInd w:val="0"/>
      <w:spacing w:before="80" w:after="80" w:line="240" w:lineRule="auto"/>
    </w:pPr>
    <w:rPr>
      <w:rFonts w:ascii="Montserrat" w:hAnsi="Montserrat"/>
      <w:b/>
      <w:bCs/>
      <w:color w:val="2F5496"/>
      <w:w w:val="90"/>
      <w:sz w:val="24"/>
      <w:szCs w:val="24"/>
    </w:rPr>
  </w:style>
  <w:style w:type="paragraph" w:customStyle="1" w:styleId="Heading1nonumber">
    <w:name w:val="Heading 1 (no number)"/>
    <w:basedOn w:val="Heading1"/>
    <w:next w:val="Normal"/>
    <w:link w:val="Heading1nonumberChar"/>
    <w:autoRedefine/>
    <w:qFormat/>
    <w:rsid w:val="000E0869"/>
    <w:pPr>
      <w:numPr>
        <w:numId w:val="0"/>
      </w:numPr>
    </w:pPr>
  </w:style>
  <w:style w:type="character" w:customStyle="1" w:styleId="Heading1nonumberChar">
    <w:name w:val="Heading 1 (no number) Char"/>
    <w:basedOn w:val="Heading1Char"/>
    <w:link w:val="Heading1nonumber"/>
    <w:rsid w:val="000E0869"/>
    <w:rPr>
      <w:rFonts w:ascii="Montserrat" w:eastAsiaTheme="majorEastAsia" w:hAnsi="Montserrat" w:cstheme="majorBidi"/>
      <w:b/>
      <w:color w:val="1A234C"/>
      <w:w w:val="90"/>
      <w:kern w:val="2"/>
      <w:sz w:val="36"/>
      <w:szCs w:val="32"/>
    </w:rPr>
  </w:style>
  <w:style w:type="paragraph" w:styleId="ListBullet">
    <w:name w:val="List Bullet"/>
    <w:basedOn w:val="ListParagraph"/>
    <w:uiPriority w:val="99"/>
    <w:unhideWhenUsed/>
    <w:qFormat/>
    <w:rsid w:val="00760D1D"/>
    <w:pPr>
      <w:numPr>
        <w:numId w:val="27"/>
      </w:numPr>
      <w:tabs>
        <w:tab w:val="clear" w:pos="360"/>
      </w:tabs>
      <w:spacing w:before="120" w:after="120"/>
      <w:ind w:left="340" w:hanging="340"/>
      <w:contextualSpacing w:val="0"/>
    </w:pPr>
  </w:style>
  <w:style w:type="paragraph" w:styleId="ListBullet2">
    <w:name w:val="List Bullet 2"/>
    <w:basedOn w:val="ListParagraph"/>
    <w:uiPriority w:val="99"/>
    <w:unhideWhenUsed/>
    <w:rsid w:val="00760D1D"/>
    <w:pPr>
      <w:spacing w:before="120" w:after="120"/>
      <w:ind w:left="1701" w:hanging="360"/>
      <w:contextualSpacing w:val="0"/>
    </w:pPr>
  </w:style>
  <w:style w:type="paragraph" w:styleId="ListBullet3">
    <w:name w:val="List Bullet 3"/>
    <w:basedOn w:val="ListParagraph"/>
    <w:uiPriority w:val="99"/>
    <w:unhideWhenUsed/>
    <w:rsid w:val="00760D1D"/>
    <w:pPr>
      <w:numPr>
        <w:ilvl w:val="2"/>
        <w:numId w:val="1"/>
      </w:numPr>
      <w:spacing w:before="120" w:after="120"/>
      <w:ind w:left="2127"/>
      <w:contextualSpacing w:val="0"/>
    </w:pPr>
  </w:style>
  <w:style w:type="paragraph" w:styleId="ListParagraph">
    <w:name w:val="List Paragraph"/>
    <w:basedOn w:val="Normal"/>
    <w:uiPriority w:val="34"/>
    <w:qFormat/>
    <w:rsid w:val="00760D1D"/>
    <w:pPr>
      <w:spacing w:after="80"/>
      <w:ind w:left="720"/>
      <w:contextualSpacing/>
    </w:pPr>
  </w:style>
  <w:style w:type="paragraph" w:styleId="ListBullet4">
    <w:name w:val="List Bullet 4"/>
    <w:basedOn w:val="ListParagraph"/>
    <w:uiPriority w:val="99"/>
    <w:unhideWhenUsed/>
    <w:rsid w:val="00760D1D"/>
    <w:pPr>
      <w:numPr>
        <w:ilvl w:val="3"/>
        <w:numId w:val="1"/>
      </w:numPr>
      <w:spacing w:before="120" w:after="120"/>
      <w:ind w:left="2552"/>
      <w:contextualSpacing w:val="0"/>
    </w:pPr>
  </w:style>
  <w:style w:type="paragraph" w:styleId="ListBullet5">
    <w:name w:val="List Bullet 5"/>
    <w:basedOn w:val="ListParagraph"/>
    <w:uiPriority w:val="99"/>
    <w:unhideWhenUsed/>
    <w:rsid w:val="00760D1D"/>
    <w:pPr>
      <w:numPr>
        <w:ilvl w:val="4"/>
        <w:numId w:val="1"/>
      </w:numPr>
      <w:spacing w:before="120" w:after="120"/>
      <w:ind w:left="2977"/>
      <w:contextualSpacing w:val="0"/>
    </w:pPr>
  </w:style>
  <w:style w:type="paragraph" w:styleId="ListNumber5">
    <w:name w:val="List Number 5"/>
    <w:basedOn w:val="ListNumber4"/>
    <w:uiPriority w:val="99"/>
    <w:unhideWhenUsed/>
    <w:rsid w:val="00760D1D"/>
    <w:pPr>
      <w:numPr>
        <w:ilvl w:val="4"/>
      </w:numPr>
    </w:pPr>
  </w:style>
  <w:style w:type="paragraph" w:customStyle="1" w:styleId="Cover-Assemblyname">
    <w:name w:val="Cover - Assembly name"/>
    <w:basedOn w:val="Header"/>
    <w:qFormat/>
    <w:rsid w:val="00760D1D"/>
    <w:pPr>
      <w:spacing w:line="340" w:lineRule="exact"/>
      <w:ind w:left="1701"/>
    </w:pPr>
    <w:rPr>
      <w:rFonts w:ascii="Montserrat" w:hAnsi="Montserrat" w:cs="Arial"/>
      <w:b/>
      <w:bCs/>
      <w:color w:val="1A234C"/>
      <w:w w:val="90"/>
      <w:kern w:val="32"/>
      <w:sz w:val="32"/>
      <w:szCs w:val="32"/>
    </w:rPr>
  </w:style>
  <w:style w:type="paragraph" w:styleId="NoSpacing">
    <w:name w:val="No Spacing"/>
    <w:uiPriority w:val="1"/>
    <w:rsid w:val="00760D1D"/>
    <w:pPr>
      <w:spacing w:after="0" w:line="240" w:lineRule="auto"/>
    </w:pPr>
  </w:style>
  <w:style w:type="paragraph" w:styleId="ListNumber2">
    <w:name w:val="List Number 2"/>
    <w:basedOn w:val="Normal"/>
    <w:uiPriority w:val="99"/>
    <w:unhideWhenUsed/>
    <w:qFormat/>
    <w:rsid w:val="00760D1D"/>
    <w:pPr>
      <w:numPr>
        <w:ilvl w:val="1"/>
        <w:numId w:val="3"/>
      </w:numPr>
      <w:spacing w:before="80" w:after="120"/>
    </w:pPr>
    <w:rPr>
      <w:rFonts w:cstheme="minorHAnsi"/>
      <w:bCs/>
      <w:color w:val="000000" w:themeColor="text1"/>
      <w:szCs w:val="20"/>
    </w:rPr>
  </w:style>
  <w:style w:type="paragraph" w:styleId="ListNumber">
    <w:name w:val="List Number"/>
    <w:basedOn w:val="Heading1"/>
    <w:next w:val="ListNumber2"/>
    <w:uiPriority w:val="99"/>
    <w:unhideWhenUsed/>
    <w:rsid w:val="00760D1D"/>
  </w:style>
  <w:style w:type="paragraph" w:styleId="ListNumber3">
    <w:name w:val="List Number 3"/>
    <w:basedOn w:val="ListNumber2"/>
    <w:uiPriority w:val="99"/>
    <w:unhideWhenUsed/>
    <w:rsid w:val="00760D1D"/>
    <w:pPr>
      <w:numPr>
        <w:ilvl w:val="2"/>
      </w:numPr>
    </w:pPr>
  </w:style>
  <w:style w:type="paragraph" w:styleId="ListNumber4">
    <w:name w:val="List Number 4"/>
    <w:basedOn w:val="ListNumber3"/>
    <w:uiPriority w:val="99"/>
    <w:unhideWhenUsed/>
    <w:rsid w:val="00760D1D"/>
    <w:pPr>
      <w:numPr>
        <w:ilvl w:val="3"/>
      </w:numPr>
    </w:pPr>
  </w:style>
  <w:style w:type="character" w:styleId="CommentReference">
    <w:name w:val="annotation reference"/>
    <w:basedOn w:val="DefaultParagraphFont"/>
    <w:uiPriority w:val="99"/>
    <w:semiHidden/>
    <w:unhideWhenUsed/>
    <w:rsid w:val="00760D1D"/>
    <w:rPr>
      <w:sz w:val="16"/>
      <w:szCs w:val="16"/>
    </w:rPr>
  </w:style>
  <w:style w:type="paragraph" w:styleId="CommentText">
    <w:name w:val="annotation text"/>
    <w:basedOn w:val="Normal"/>
    <w:link w:val="CommentTextChar"/>
    <w:uiPriority w:val="99"/>
    <w:unhideWhenUsed/>
    <w:rsid w:val="00760D1D"/>
    <w:pPr>
      <w:spacing w:line="240" w:lineRule="auto"/>
    </w:pPr>
    <w:rPr>
      <w:sz w:val="20"/>
      <w:szCs w:val="20"/>
    </w:rPr>
  </w:style>
  <w:style w:type="character" w:customStyle="1" w:styleId="CommentTextChar">
    <w:name w:val="Comment Text Char"/>
    <w:basedOn w:val="DefaultParagraphFont"/>
    <w:link w:val="CommentText"/>
    <w:uiPriority w:val="99"/>
    <w:rsid w:val="00760D1D"/>
    <w:rPr>
      <w:sz w:val="20"/>
      <w:szCs w:val="20"/>
    </w:rPr>
  </w:style>
  <w:style w:type="paragraph" w:styleId="CommentSubject">
    <w:name w:val="annotation subject"/>
    <w:basedOn w:val="CommentText"/>
    <w:next w:val="CommentText"/>
    <w:link w:val="CommentSubjectChar"/>
    <w:uiPriority w:val="99"/>
    <w:semiHidden/>
    <w:unhideWhenUsed/>
    <w:rsid w:val="00760D1D"/>
    <w:rPr>
      <w:b/>
      <w:bCs/>
    </w:rPr>
  </w:style>
  <w:style w:type="character" w:customStyle="1" w:styleId="CommentSubjectChar">
    <w:name w:val="Comment Subject Char"/>
    <w:basedOn w:val="CommentTextChar"/>
    <w:link w:val="CommentSubject"/>
    <w:uiPriority w:val="99"/>
    <w:semiHidden/>
    <w:rsid w:val="00760D1D"/>
    <w:rPr>
      <w:b/>
      <w:bCs/>
      <w:sz w:val="20"/>
      <w:szCs w:val="20"/>
    </w:rPr>
  </w:style>
  <w:style w:type="table" w:customStyle="1" w:styleId="Assemblystyletable">
    <w:name w:val="Assembly style table"/>
    <w:basedOn w:val="TableNormal"/>
    <w:uiPriority w:val="99"/>
    <w:rsid w:val="00760D1D"/>
    <w:pPr>
      <w:adjustRightInd w:val="0"/>
      <w:spacing w:before="80" w:after="80" w:line="240" w:lineRule="auto"/>
    </w:pPr>
    <w:rPr>
      <w:color w:val="000000" w:themeColor="text1"/>
      <w:sz w:val="20"/>
    </w:rPr>
    <w:tblPr>
      <w:tblStyleRowBandSize w:val="1"/>
      <w:tblBorders>
        <w:top w:val="single" w:sz="4" w:space="0" w:color="2F5496"/>
        <w:bottom w:val="single" w:sz="12" w:space="0" w:color="2F5496"/>
      </w:tblBorders>
    </w:tblPr>
    <w:tcPr>
      <w:vAlign w:val="center"/>
    </w:tcPr>
    <w:tblStylePr w:type="firstRow">
      <w:pPr>
        <w:jc w:val="left"/>
      </w:pPr>
      <w:rPr>
        <w:rFonts w:ascii="Calibri" w:hAnsi="Calibri"/>
        <w:b w:val="0"/>
        <w:color w:val="000000" w:themeColor="text1"/>
        <w:sz w:val="20"/>
      </w:rPr>
      <w:tblPr/>
      <w:tcPr>
        <w:tcBorders>
          <w:top w:val="single" w:sz="12" w:space="0" w:color="2F5496"/>
          <w:left w:val="nil"/>
          <w:bottom w:val="single" w:sz="4" w:space="0" w:color="2F5496"/>
          <w:right w:val="nil"/>
          <w:insideH w:val="nil"/>
          <w:insideV w:val="nil"/>
        </w:tcBorders>
        <w:vAlign w:val="center"/>
      </w:tcPr>
    </w:tblStylePr>
    <w:tblStylePr w:type="lastRow">
      <w:tblPr/>
      <w:tcPr>
        <w:tcBorders>
          <w:top w:val="single" w:sz="4" w:space="0" w:color="2F5496"/>
          <w:bottom w:val="single" w:sz="12" w:space="0" w:color="2F5496"/>
        </w:tcBorders>
      </w:tcPr>
    </w:tblStylePr>
    <w:tblStylePr w:type="band1Horz">
      <w:tblPr/>
      <w:tcPr>
        <w:shd w:val="clear" w:color="auto" w:fill="F2F2F2"/>
      </w:tcPr>
    </w:tblStylePr>
    <w:tblStylePr w:type="band2Horz">
      <w:tblPr/>
      <w:tcPr>
        <w:shd w:val="clear" w:color="auto" w:fill="E7E6E6"/>
      </w:tcPr>
    </w:tblStylePr>
  </w:style>
  <w:style w:type="paragraph" w:customStyle="1" w:styleId="Tableheading">
    <w:name w:val="Table heading"/>
    <w:qFormat/>
    <w:rsid w:val="00760D1D"/>
    <w:pPr>
      <w:adjustRightInd w:val="0"/>
      <w:spacing w:before="80" w:after="80" w:line="240" w:lineRule="auto"/>
    </w:pPr>
    <w:rPr>
      <w:rFonts w:ascii="Calibri" w:hAnsi="Calibri" w:cstheme="minorHAnsi"/>
      <w:b/>
      <w:bCs/>
      <w:color w:val="000000" w:themeColor="text1"/>
      <w:sz w:val="20"/>
      <w:szCs w:val="20"/>
    </w:rPr>
  </w:style>
  <w:style w:type="paragraph" w:customStyle="1" w:styleId="Tablebody">
    <w:name w:val="Table body"/>
    <w:basedOn w:val="ListNumber3"/>
    <w:qFormat/>
    <w:rsid w:val="00760D1D"/>
    <w:pPr>
      <w:numPr>
        <w:ilvl w:val="0"/>
        <w:numId w:val="0"/>
      </w:numPr>
      <w:adjustRightInd w:val="0"/>
      <w:spacing w:after="80" w:line="240" w:lineRule="auto"/>
    </w:pPr>
    <w:rPr>
      <w:sz w:val="20"/>
    </w:rPr>
  </w:style>
  <w:style w:type="paragraph" w:styleId="Caption">
    <w:name w:val="caption"/>
    <w:basedOn w:val="Normal"/>
    <w:next w:val="ListNumber2"/>
    <w:uiPriority w:val="35"/>
    <w:unhideWhenUsed/>
    <w:qFormat/>
    <w:rsid w:val="00760D1D"/>
    <w:pPr>
      <w:spacing w:after="200" w:line="240" w:lineRule="auto"/>
      <w:ind w:left="709"/>
    </w:pPr>
    <w:rPr>
      <w:iCs/>
      <w:color w:val="7F7F7F" w:themeColor="text1" w:themeTint="80"/>
      <w:sz w:val="18"/>
      <w:szCs w:val="18"/>
    </w:rPr>
  </w:style>
  <w:style w:type="paragraph" w:customStyle="1" w:styleId="FrontmatterRecommendationlistheading">
    <w:name w:val="Front matter (Recommendation list heading)"/>
    <w:basedOn w:val="Recommendationheading"/>
    <w:next w:val="Normal"/>
    <w:rsid w:val="00760D1D"/>
  </w:style>
  <w:style w:type="paragraph" w:customStyle="1" w:styleId="FrontmatterRecommendationlistbody">
    <w:name w:val="Front matter (Recommendation list body)"/>
    <w:basedOn w:val="Normal"/>
    <w:rsid w:val="00760D1D"/>
    <w:pPr>
      <w:spacing w:before="120" w:after="120" w:line="252" w:lineRule="auto"/>
    </w:pPr>
    <w:rPr>
      <w:color w:val="000000" w:themeColor="text1"/>
    </w:rPr>
  </w:style>
  <w:style w:type="paragraph" w:customStyle="1" w:styleId="Recommendationbody">
    <w:name w:val="Recommendation body"/>
    <w:basedOn w:val="Normal"/>
    <w:next w:val="Normal"/>
    <w:rsid w:val="00760D1D"/>
    <w:pPr>
      <w:spacing w:before="120" w:after="120"/>
    </w:pPr>
  </w:style>
  <w:style w:type="table" w:customStyle="1" w:styleId="Recommendationbox">
    <w:name w:val="Recommendation box"/>
    <w:basedOn w:val="TableNormal"/>
    <w:uiPriority w:val="99"/>
    <w:rsid w:val="00760D1D"/>
    <w:pPr>
      <w:spacing w:after="0" w:line="240" w:lineRule="auto"/>
    </w:pPr>
    <w:tblPr>
      <w:tblCellSpacing w:w="71" w:type="dxa"/>
      <w:tblInd w:w="851" w:type="dxa"/>
    </w:tblPr>
    <w:trPr>
      <w:tblCellSpacing w:w="71" w:type="dxa"/>
    </w:trPr>
    <w:tcPr>
      <w:shd w:val="clear" w:color="auto" w:fill="D5DEF0"/>
      <w:vAlign w:val="center"/>
    </w:tcPr>
  </w:style>
  <w:style w:type="paragraph" w:styleId="TableofFigures">
    <w:name w:val="table of figures"/>
    <w:basedOn w:val="Recommendationheading"/>
    <w:next w:val="Recommendationbody"/>
    <w:uiPriority w:val="99"/>
    <w:unhideWhenUsed/>
    <w:rsid w:val="00760D1D"/>
    <w:pPr>
      <w:spacing w:after="0"/>
    </w:pPr>
  </w:style>
  <w:style w:type="paragraph" w:styleId="FootnoteText">
    <w:name w:val="footnote text"/>
    <w:basedOn w:val="Normal"/>
    <w:link w:val="FootnoteTextChar"/>
    <w:uiPriority w:val="99"/>
    <w:unhideWhenUsed/>
    <w:rsid w:val="00760D1D"/>
    <w:pPr>
      <w:spacing w:after="0" w:line="240" w:lineRule="auto"/>
      <w:ind w:left="284" w:hanging="284"/>
    </w:pPr>
    <w:rPr>
      <w:sz w:val="20"/>
      <w:szCs w:val="20"/>
    </w:rPr>
  </w:style>
  <w:style w:type="character" w:customStyle="1" w:styleId="FootnoteTextChar">
    <w:name w:val="Footnote Text Char"/>
    <w:basedOn w:val="DefaultParagraphFont"/>
    <w:link w:val="FootnoteText"/>
    <w:uiPriority w:val="99"/>
    <w:rsid w:val="00760D1D"/>
    <w:rPr>
      <w:sz w:val="20"/>
      <w:szCs w:val="20"/>
    </w:rPr>
  </w:style>
  <w:style w:type="character" w:styleId="FootnoteReference">
    <w:name w:val="footnote reference"/>
    <w:basedOn w:val="DefaultParagraphFont"/>
    <w:uiPriority w:val="99"/>
    <w:semiHidden/>
    <w:unhideWhenUsed/>
    <w:rsid w:val="00760D1D"/>
    <w:rPr>
      <w:vertAlign w:val="superscript"/>
    </w:rPr>
  </w:style>
  <w:style w:type="paragraph" w:styleId="List2">
    <w:name w:val="List 2"/>
    <w:basedOn w:val="Normal"/>
    <w:uiPriority w:val="99"/>
    <w:unhideWhenUsed/>
    <w:rsid w:val="00760D1D"/>
    <w:pPr>
      <w:ind w:left="566" w:hanging="283"/>
      <w:contextualSpacing/>
    </w:pPr>
  </w:style>
  <w:style w:type="paragraph" w:customStyle="1" w:styleId="Recommendationbullet">
    <w:name w:val="Recommendation bullet"/>
    <w:basedOn w:val="ListBullet"/>
    <w:qFormat/>
    <w:rsid w:val="00760D1D"/>
    <w:pPr>
      <w:ind w:left="467"/>
    </w:pPr>
  </w:style>
  <w:style w:type="paragraph" w:styleId="BodyText">
    <w:name w:val="Body Text"/>
    <w:basedOn w:val="Normal"/>
    <w:link w:val="BodyTextChar"/>
    <w:uiPriority w:val="99"/>
    <w:unhideWhenUsed/>
    <w:rsid w:val="00760D1D"/>
    <w:pPr>
      <w:spacing w:after="120"/>
    </w:pPr>
  </w:style>
  <w:style w:type="character" w:customStyle="1" w:styleId="BodyTextChar">
    <w:name w:val="Body Text Char"/>
    <w:basedOn w:val="DefaultParagraphFont"/>
    <w:link w:val="BodyText"/>
    <w:uiPriority w:val="99"/>
    <w:rsid w:val="00760D1D"/>
  </w:style>
  <w:style w:type="character" w:styleId="FollowedHyperlink">
    <w:name w:val="FollowedHyperlink"/>
    <w:basedOn w:val="DefaultParagraphFont"/>
    <w:uiPriority w:val="99"/>
    <w:semiHidden/>
    <w:unhideWhenUsed/>
    <w:rsid w:val="00760D1D"/>
    <w:rPr>
      <w:color w:val="954F72" w:themeColor="followedHyperlink"/>
      <w:u w:val="single"/>
    </w:rPr>
  </w:style>
  <w:style w:type="paragraph" w:styleId="NormalWeb">
    <w:name w:val="Normal (Web)"/>
    <w:basedOn w:val="Normal"/>
    <w:uiPriority w:val="99"/>
    <w:semiHidden/>
    <w:unhideWhenUsed/>
    <w:rsid w:val="00760D1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760D1D"/>
    <w:pPr>
      <w:spacing w:after="0" w:line="240" w:lineRule="auto"/>
    </w:pPr>
  </w:style>
  <w:style w:type="character" w:customStyle="1" w:styleId="paranum">
    <w:name w:val="paranum"/>
    <w:basedOn w:val="DefaultParagraphFont"/>
    <w:rsid w:val="00760D1D"/>
  </w:style>
  <w:style w:type="character" w:styleId="Emphasis">
    <w:name w:val="Emphasis"/>
    <w:basedOn w:val="DefaultParagraphFont"/>
    <w:uiPriority w:val="20"/>
    <w:qFormat/>
    <w:rsid w:val="00760D1D"/>
    <w:rPr>
      <w:i/>
      <w:iCs/>
    </w:rPr>
  </w:style>
  <w:style w:type="paragraph" w:customStyle="1" w:styleId="ah5sec">
    <w:name w:val="ah5sec"/>
    <w:basedOn w:val="Normal"/>
    <w:rsid w:val="0012312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123129"/>
  </w:style>
  <w:style w:type="paragraph" w:customStyle="1" w:styleId="amainreturn">
    <w:name w:val="amainreturn"/>
    <w:basedOn w:val="Normal"/>
    <w:rsid w:val="001231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para">
    <w:name w:val="apara"/>
    <w:basedOn w:val="Normal"/>
    <w:rsid w:val="0012312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egislation.act.gov.au/b/db_6665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slation.act.gov.au/b/db_6667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arliament.act.gov.au/parliamentary-business/in-committees"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parliament.act.gov.au/parliamentary-business/in-committees/committees/jcs" TargetMode="External"/><Relationship Id="rId20" Type="http://schemas.openxmlformats.org/officeDocument/2006/relationships/hyperlink" Target="https://www.legislation.act.gov.au/b/db_666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s://www.legislation.act.gov.au/b/db_6667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2.tmp"/><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pmc.govt.nz/publications/co-18-4-proactive-release-cabinet-material-updated-requireme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FA063-83F8-4F63-9F29-AAE21697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5827</Words>
  <Characters>33219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Emma-Kate</dc:creator>
  <cp:keywords/>
  <dc:description/>
  <cp:lastModifiedBy>Hildyard, AlexJ</cp:lastModifiedBy>
  <cp:revision>2</cp:revision>
  <cp:lastPrinted>2022-12-14T01:45:00Z</cp:lastPrinted>
  <dcterms:created xsi:type="dcterms:W3CDTF">2023-02-06T23:09:00Z</dcterms:created>
  <dcterms:modified xsi:type="dcterms:W3CDTF">2023-02-06T23:09:00Z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2022-12-14T03:26:05Z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af6b58c9-5b2e-427e-9742-7b80473e0f69</vt:lpwstr>
  </property>
  <property fmtid="{D5CDD505-2E9C-101B-9397-08002B2CF9AE}" pid="8" name="MSIP_Label_69af8531-eb46-4968-8cb3-105d2f5ea87e_ContentBits">
    <vt:lpwstr>0</vt:lpwstr>
  </property>
</Properties>
</file>