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32A1B" w14:textId="24A437FB" w:rsidR="00362A8F" w:rsidRDefault="30DEFC74" w:rsidP="30DEFC74">
      <w:pPr>
        <w:rPr>
          <w:sz w:val="24"/>
          <w:szCs w:val="24"/>
        </w:rPr>
      </w:pPr>
      <w:r w:rsidRPr="30DEFC74">
        <w:rPr>
          <w:sz w:val="24"/>
          <w:szCs w:val="24"/>
        </w:rPr>
        <w:t>Dear JACS Scrutiny Committee,</w:t>
      </w:r>
    </w:p>
    <w:p w14:paraId="232A791B" w14:textId="5923B582" w:rsidR="00362A8F" w:rsidRDefault="0FF41D8E" w:rsidP="495D5009">
      <w:pPr>
        <w:rPr>
          <w:sz w:val="24"/>
          <w:szCs w:val="24"/>
        </w:rPr>
      </w:pPr>
      <w:r w:rsidRPr="4F5DBE55">
        <w:rPr>
          <w:sz w:val="24"/>
          <w:szCs w:val="24"/>
        </w:rPr>
        <w:t>Thank you for the Justice and Community Safety (JACS) (Scrutiny) Committee’s (the Committee) report of 15 March 2022, and the comments on the Crimes (Consent) Amendment Bill 2022.</w:t>
      </w:r>
    </w:p>
    <w:p w14:paraId="0D5F2A0B" w14:textId="5BA95569" w:rsidR="00362A8F" w:rsidRDefault="0FF41D8E" w:rsidP="495D5009">
      <w:pPr>
        <w:rPr>
          <w:sz w:val="24"/>
          <w:szCs w:val="24"/>
        </w:rPr>
      </w:pPr>
      <w:r w:rsidRPr="320F1D8E">
        <w:rPr>
          <w:sz w:val="24"/>
          <w:szCs w:val="24"/>
        </w:rPr>
        <w:t>I have considered in detail each of the matters you raise</w:t>
      </w:r>
      <w:r w:rsidR="65F792FA" w:rsidRPr="320F1D8E">
        <w:rPr>
          <w:sz w:val="24"/>
          <w:szCs w:val="24"/>
        </w:rPr>
        <w:t xml:space="preserve"> </w:t>
      </w:r>
      <w:r w:rsidRPr="320F1D8E">
        <w:rPr>
          <w:sz w:val="24"/>
          <w:szCs w:val="24"/>
        </w:rPr>
        <w:t xml:space="preserve">and have worked with the Parliamentary Counsel Office to further finesse and strengthen the Bill. </w:t>
      </w:r>
    </w:p>
    <w:p w14:paraId="7CB072E7" w14:textId="570C6A4F" w:rsidR="30DEFC74" w:rsidRDefault="30DEFC74" w:rsidP="30DEFC74">
      <w:pPr>
        <w:rPr>
          <w:sz w:val="24"/>
          <w:szCs w:val="24"/>
        </w:rPr>
      </w:pPr>
    </w:p>
    <w:p w14:paraId="03D48A10" w14:textId="40C00702" w:rsidR="00362A8F" w:rsidRPr="009D2D43" w:rsidRDefault="0FF41D8E" w:rsidP="4F5DBE55">
      <w:pPr>
        <w:rPr>
          <w:b/>
          <w:bCs/>
          <w:i/>
          <w:iCs/>
          <w:sz w:val="24"/>
          <w:szCs w:val="24"/>
        </w:rPr>
      </w:pPr>
      <w:r w:rsidRPr="009D2D43">
        <w:rPr>
          <w:b/>
          <w:bCs/>
          <w:i/>
          <w:iCs/>
          <w:sz w:val="24"/>
          <w:szCs w:val="24"/>
        </w:rPr>
        <w:t>Positive communication</w:t>
      </w:r>
    </w:p>
    <w:p w14:paraId="6CAF0A99" w14:textId="52BCA45C" w:rsidR="79ECA3AE" w:rsidRDefault="79ECA3AE" w:rsidP="320F1D8E">
      <w:pPr>
        <w:rPr>
          <w:i/>
          <w:iCs/>
          <w:sz w:val="24"/>
          <w:szCs w:val="24"/>
        </w:rPr>
      </w:pPr>
      <w:r w:rsidRPr="320F1D8E">
        <w:rPr>
          <w:sz w:val="24"/>
          <w:szCs w:val="24"/>
        </w:rPr>
        <w:t>The Committee raised concern that the Bill “will require both the complainant and the accused person to take affirmative steps to communicate or ascertain consent. In this way, the Bill goes further than recent reforms in other jurisdictions”. The committee further raised concern that a recent review in Ireland “generally considered that a proportionate reform would be for the trial to take into account what, if anything, the accused person did to ascertain consent as part of assessing the reasonableness of the accused person’s belief in consent”.</w:t>
      </w:r>
    </w:p>
    <w:p w14:paraId="62FFA564" w14:textId="2DDBBF85" w:rsidR="30DEFC74" w:rsidRDefault="79ECA3AE" w:rsidP="30DEFC74">
      <w:pPr>
        <w:rPr>
          <w:sz w:val="24"/>
          <w:szCs w:val="24"/>
        </w:rPr>
      </w:pPr>
      <w:r w:rsidRPr="320F1D8E">
        <w:rPr>
          <w:sz w:val="24"/>
          <w:szCs w:val="24"/>
        </w:rPr>
        <w:t>I thank the Committee for bringing this to my attention.</w:t>
      </w:r>
    </w:p>
    <w:p w14:paraId="00D596BB" w14:textId="2D0496A6" w:rsidR="2307C0AC" w:rsidRDefault="2307C0AC" w:rsidP="320F1D8E">
      <w:pPr>
        <w:rPr>
          <w:sz w:val="24"/>
          <w:szCs w:val="24"/>
        </w:rPr>
      </w:pPr>
      <w:r w:rsidRPr="320F1D8E">
        <w:rPr>
          <w:rFonts w:ascii="Calibri" w:eastAsia="Calibri" w:hAnsi="Calibri" w:cs="Calibri"/>
          <w:sz w:val="24"/>
          <w:szCs w:val="24"/>
        </w:rPr>
        <w:t>The intention in this Bill is that an accused person cannot rely on silence and inaction to claim that they reasonably believed another person consented to a sexual act.</w:t>
      </w:r>
    </w:p>
    <w:p w14:paraId="01EB135E" w14:textId="5ECE080C" w:rsidR="2307C0AC" w:rsidRDefault="2307C0AC" w:rsidP="320F1D8E">
      <w:pPr>
        <w:rPr>
          <w:sz w:val="24"/>
          <w:szCs w:val="24"/>
        </w:rPr>
      </w:pPr>
      <w:r w:rsidRPr="320F1D8E">
        <w:rPr>
          <w:rFonts w:ascii="Calibri" w:eastAsia="Calibri" w:hAnsi="Calibri" w:cs="Calibri"/>
          <w:sz w:val="24"/>
          <w:szCs w:val="24"/>
        </w:rPr>
        <w:t>I note</w:t>
      </w:r>
      <w:r w:rsidR="0FF41D8E" w:rsidRPr="320F1D8E">
        <w:rPr>
          <w:sz w:val="24"/>
          <w:szCs w:val="24"/>
        </w:rPr>
        <w:t xml:space="preserve"> the Committee’s concern that ‘while not strictly imposing a legal burden on the accused person, the Bill may still limit the presumption of innocence protected as a right in criminal proceedings by section 22 of the </w:t>
      </w:r>
      <w:r w:rsidR="0FF41D8E" w:rsidRPr="320F1D8E">
        <w:rPr>
          <w:i/>
          <w:iCs/>
          <w:sz w:val="24"/>
          <w:szCs w:val="24"/>
        </w:rPr>
        <w:t>Human Rights Act 2004’</w:t>
      </w:r>
      <w:r w:rsidR="0FF41D8E" w:rsidRPr="320F1D8E">
        <w:rPr>
          <w:sz w:val="24"/>
          <w:szCs w:val="24"/>
        </w:rPr>
        <w:t xml:space="preserve">. </w:t>
      </w:r>
    </w:p>
    <w:p w14:paraId="7C208048" w14:textId="54D8387C" w:rsidR="2307C0AC" w:rsidRDefault="2307C0AC" w:rsidP="320F1D8E">
      <w:pPr>
        <w:spacing w:line="257" w:lineRule="auto"/>
        <w:rPr>
          <w:rFonts w:ascii="Calibri" w:eastAsia="Calibri" w:hAnsi="Calibri" w:cs="Calibri"/>
          <w:sz w:val="24"/>
          <w:szCs w:val="24"/>
        </w:rPr>
      </w:pPr>
      <w:r w:rsidRPr="320F1D8E">
        <w:rPr>
          <w:rFonts w:ascii="Calibri" w:eastAsia="Calibri" w:hAnsi="Calibri" w:cs="Calibri"/>
          <w:sz w:val="24"/>
          <w:szCs w:val="24"/>
        </w:rPr>
        <w:t xml:space="preserve">To be clear, there is no element in this Bill or in these amendments which is required to be proven by an accused person or which requires that the accused introduce evidence to establish their innocence. Establishing that an accused person’s mistaken belief in consent (if any) is unreasonable is entirely for the prosecution, as is presently the case. </w:t>
      </w:r>
    </w:p>
    <w:p w14:paraId="4BEF34F5" w14:textId="2910F312" w:rsidR="2307C0AC" w:rsidRDefault="2307C0AC" w:rsidP="320F1D8E">
      <w:pPr>
        <w:spacing w:line="257" w:lineRule="auto"/>
        <w:rPr>
          <w:rFonts w:ascii="Calibri" w:eastAsia="Calibri" w:hAnsi="Calibri" w:cs="Calibri"/>
          <w:sz w:val="24"/>
          <w:szCs w:val="24"/>
        </w:rPr>
      </w:pPr>
      <w:r w:rsidRPr="320F1D8E">
        <w:rPr>
          <w:rFonts w:ascii="Calibri" w:eastAsia="Calibri" w:hAnsi="Calibri" w:cs="Calibri"/>
          <w:sz w:val="24"/>
          <w:szCs w:val="24"/>
        </w:rPr>
        <w:t>The change that this Bill introduces in bringing forward a hybrid test is that honest but unreasonable belief will no longer be acceptable and relying on either a victim-survivor’s silence or an accused person’s failure to do anything at all to ascertain consent will not be acceptable as a defence. This is in line with growing community expectations about consent and aligns with the changes recently passed in New South Wales.</w:t>
      </w:r>
    </w:p>
    <w:p w14:paraId="5C98FC7F" w14:textId="73F4F418" w:rsidR="2307C0AC" w:rsidRDefault="2307C0AC" w:rsidP="320F1D8E">
      <w:r w:rsidRPr="320F1D8E">
        <w:rPr>
          <w:rFonts w:ascii="Calibri" w:eastAsia="Calibri" w:hAnsi="Calibri" w:cs="Calibri"/>
          <w:sz w:val="24"/>
          <w:szCs w:val="24"/>
        </w:rPr>
        <w:lastRenderedPageBreak/>
        <w:t xml:space="preserve">I believe this is </w:t>
      </w:r>
      <w:r w:rsidR="0FF41D8E" w:rsidRPr="320F1D8E">
        <w:rPr>
          <w:sz w:val="24"/>
          <w:szCs w:val="24"/>
        </w:rPr>
        <w:t xml:space="preserve">a proportionate reform taking into account what, if anything, an accused person said or did to ascertain consent in assessing the reasonableness of an accused person’s belief that consent was given. </w:t>
      </w:r>
    </w:p>
    <w:p w14:paraId="6A0674CF" w14:textId="13D9BDED" w:rsidR="0FF41D8E" w:rsidRDefault="0FF41D8E" w:rsidP="320F1D8E">
      <w:pPr>
        <w:rPr>
          <w:sz w:val="24"/>
          <w:szCs w:val="24"/>
        </w:rPr>
      </w:pPr>
      <w:r w:rsidRPr="320F1D8E">
        <w:rPr>
          <w:sz w:val="24"/>
          <w:szCs w:val="24"/>
        </w:rPr>
        <w:t>This reaffirms the Bill’s intent to introduce a hybrid subjective-objective test and ensures appropriate provision from which to establish the intent of an accused person, while retaining their right to the presumption of innocence.</w:t>
      </w:r>
    </w:p>
    <w:p w14:paraId="4020E96B" w14:textId="77D93D17" w:rsidR="320F1D8E" w:rsidRDefault="320F1D8E" w:rsidP="320F1D8E">
      <w:pPr>
        <w:rPr>
          <w:sz w:val="24"/>
          <w:szCs w:val="24"/>
        </w:rPr>
      </w:pPr>
      <w:r w:rsidRPr="320F1D8E">
        <w:rPr>
          <w:sz w:val="24"/>
          <w:szCs w:val="24"/>
        </w:rPr>
        <w:t>The revised Explanatory Statement provides further analysis on this.</w:t>
      </w:r>
    </w:p>
    <w:p w14:paraId="43E45C7D" w14:textId="3D51C75D" w:rsidR="30DEFC74" w:rsidRDefault="30DEFC74" w:rsidP="30DEFC74">
      <w:pPr>
        <w:rPr>
          <w:sz w:val="24"/>
          <w:szCs w:val="24"/>
        </w:rPr>
      </w:pPr>
    </w:p>
    <w:p w14:paraId="2B0ADA98" w14:textId="196A54BF" w:rsidR="00362A8F" w:rsidRPr="009D2D43" w:rsidRDefault="0FF41D8E" w:rsidP="4F5DBE55">
      <w:pPr>
        <w:rPr>
          <w:b/>
          <w:bCs/>
          <w:sz w:val="24"/>
          <w:szCs w:val="24"/>
        </w:rPr>
      </w:pPr>
      <w:r w:rsidRPr="009D2D43">
        <w:rPr>
          <w:b/>
          <w:bCs/>
          <w:i/>
          <w:iCs/>
          <w:sz w:val="24"/>
          <w:szCs w:val="24"/>
        </w:rPr>
        <w:t>Principles of consent</w:t>
      </w:r>
    </w:p>
    <w:p w14:paraId="35E361AB" w14:textId="28A82764" w:rsidR="00362A8F" w:rsidRDefault="495D5009" w:rsidP="495D5009">
      <w:pPr>
        <w:rPr>
          <w:sz w:val="24"/>
          <w:szCs w:val="24"/>
          <w:highlight w:val="yellow"/>
        </w:rPr>
      </w:pPr>
      <w:r w:rsidRPr="32DEBB5F">
        <w:rPr>
          <w:sz w:val="24"/>
          <w:szCs w:val="24"/>
        </w:rPr>
        <w:t xml:space="preserve">The title of Section 50A has been amended from ‘Principles of consent’ to ‘Objects - </w:t>
      </w:r>
      <w:proofErr w:type="spellStart"/>
      <w:r w:rsidRPr="32DEBB5F">
        <w:rPr>
          <w:sz w:val="24"/>
          <w:szCs w:val="24"/>
        </w:rPr>
        <w:t>pt</w:t>
      </w:r>
      <w:proofErr w:type="spellEnd"/>
      <w:r w:rsidRPr="32DEBB5F">
        <w:rPr>
          <w:sz w:val="24"/>
          <w:szCs w:val="24"/>
        </w:rPr>
        <w:t xml:space="preserve"> 3’, making it clear that the Objects of this part relate to consent for a sexual act in Part 3 of the Act. </w:t>
      </w:r>
      <w:bookmarkStart w:id="0" w:name="_Int_0ueW7MOR"/>
      <w:r w:rsidRPr="32DEBB5F">
        <w:rPr>
          <w:sz w:val="24"/>
          <w:szCs w:val="24"/>
        </w:rPr>
        <w:t>This addresses</w:t>
      </w:r>
      <w:bookmarkEnd w:id="0"/>
      <w:r w:rsidRPr="32DEBB5F">
        <w:rPr>
          <w:sz w:val="24"/>
          <w:szCs w:val="24"/>
        </w:rPr>
        <w:t xml:space="preserve"> concerns raised by the Scrutiny Committee that ‘it is not clear to the Committee what legal effect, if any, these principles are intended to have, including whether they are only intended to guide the interpretation of sexual offence provisions in Part 3 of the Act, applies more broadly to any offence potentially involving undefined sexual acts, or seeks to establish a distinct right’. </w:t>
      </w:r>
    </w:p>
    <w:p w14:paraId="44720952" w14:textId="75B2AB90" w:rsidR="00362A8F" w:rsidRDefault="495D5009" w:rsidP="495D5009">
      <w:pPr>
        <w:rPr>
          <w:sz w:val="24"/>
          <w:szCs w:val="24"/>
          <w:highlight w:val="yellow"/>
        </w:rPr>
      </w:pPr>
      <w:r w:rsidRPr="320F1D8E">
        <w:rPr>
          <w:sz w:val="24"/>
          <w:szCs w:val="24"/>
        </w:rPr>
        <w:t xml:space="preserve">The amendment from ‘principles’ to ‘objects’ aligns with recent reforms in NSW, as referenced by the Committee in your report. </w:t>
      </w:r>
    </w:p>
    <w:p w14:paraId="2769C7FC" w14:textId="1226350D" w:rsidR="00362A8F" w:rsidRDefault="495D5009" w:rsidP="495D5009">
      <w:pPr>
        <w:rPr>
          <w:sz w:val="24"/>
          <w:szCs w:val="24"/>
          <w:highlight w:val="yellow"/>
        </w:rPr>
      </w:pPr>
      <w:r w:rsidRPr="320F1D8E">
        <w:rPr>
          <w:sz w:val="24"/>
          <w:szCs w:val="24"/>
        </w:rPr>
        <w:t xml:space="preserve">The Supplementary Explanatory Statement clarifies that the objects of consent are intended to guide the interpretation and application of the sexual offence provisions of Part 3 of the </w:t>
      </w:r>
      <w:r w:rsidRPr="320F1D8E">
        <w:rPr>
          <w:i/>
          <w:iCs/>
          <w:sz w:val="24"/>
          <w:szCs w:val="24"/>
        </w:rPr>
        <w:t>Crimes Act 1900</w:t>
      </w:r>
      <w:r w:rsidRPr="320F1D8E">
        <w:rPr>
          <w:sz w:val="24"/>
          <w:szCs w:val="24"/>
        </w:rPr>
        <w:t>.</w:t>
      </w:r>
    </w:p>
    <w:p w14:paraId="50F1DBBD" w14:textId="1834B611" w:rsidR="320F1D8E" w:rsidRDefault="320F1D8E" w:rsidP="320F1D8E">
      <w:pPr>
        <w:rPr>
          <w:sz w:val="24"/>
          <w:szCs w:val="24"/>
        </w:rPr>
      </w:pPr>
    </w:p>
    <w:p w14:paraId="5E67DE68" w14:textId="47DFEC17" w:rsidR="00362A8F" w:rsidRPr="009D2D43" w:rsidRDefault="0FF41D8E" w:rsidP="4F5DBE55">
      <w:pPr>
        <w:rPr>
          <w:b/>
          <w:bCs/>
          <w:sz w:val="24"/>
          <w:szCs w:val="24"/>
        </w:rPr>
      </w:pPr>
      <w:r w:rsidRPr="009D2D43">
        <w:rPr>
          <w:b/>
          <w:bCs/>
          <w:i/>
          <w:iCs/>
          <w:sz w:val="24"/>
          <w:szCs w:val="24"/>
        </w:rPr>
        <w:t>Right to recognition and equality before the law (section 8 HRA)</w:t>
      </w:r>
    </w:p>
    <w:p w14:paraId="627793AC" w14:textId="29376002" w:rsidR="30DEFC74" w:rsidRDefault="79ECA3AE" w:rsidP="4F5DBE55">
      <w:pPr>
        <w:rPr>
          <w:sz w:val="24"/>
          <w:szCs w:val="24"/>
        </w:rPr>
      </w:pPr>
      <w:r w:rsidRPr="4F5DBE55">
        <w:rPr>
          <w:sz w:val="24"/>
          <w:szCs w:val="24"/>
        </w:rPr>
        <w:t xml:space="preserve">The Scrutiny Committee report raised concern that: “the amendments in the Bill may have a disproportionate impact </w:t>
      </w:r>
      <w:r w:rsidR="0FF41D8E" w:rsidRPr="4F5DBE55">
        <w:rPr>
          <w:sz w:val="24"/>
          <w:szCs w:val="24"/>
        </w:rPr>
        <w:t xml:space="preserve">on accused persons whose age, mental or cognitive impairment or other disability may impact on their ability to take steps or recognise when such steps (to obtain consent) might be necessary”. </w:t>
      </w:r>
    </w:p>
    <w:p w14:paraId="64FA4755" w14:textId="4C6AE96B" w:rsidR="495D5009" w:rsidRDefault="0FF41D8E" w:rsidP="4F5DBE55">
      <w:pPr>
        <w:rPr>
          <w:sz w:val="24"/>
          <w:szCs w:val="24"/>
        </w:rPr>
      </w:pPr>
      <w:r w:rsidRPr="4F5DBE55">
        <w:rPr>
          <w:sz w:val="24"/>
          <w:szCs w:val="24"/>
        </w:rPr>
        <w:t>This was further noted as being of concern because: “where a person does not take any steps to ascertain consent, the circumstances of the case are not otherwise considered”.</w:t>
      </w:r>
    </w:p>
    <w:p w14:paraId="2261652F" w14:textId="652C58DE" w:rsidR="30DEFC74" w:rsidRDefault="30DEFC74" w:rsidP="30DEFC74">
      <w:pPr>
        <w:rPr>
          <w:sz w:val="24"/>
          <w:szCs w:val="24"/>
        </w:rPr>
      </w:pPr>
      <w:r w:rsidRPr="30DEFC74">
        <w:rPr>
          <w:sz w:val="24"/>
          <w:szCs w:val="24"/>
        </w:rPr>
        <w:t>I note the Committee reports that “</w:t>
      </w:r>
      <w:r w:rsidR="495D5009" w:rsidRPr="30DEFC74">
        <w:rPr>
          <w:sz w:val="24"/>
          <w:szCs w:val="24"/>
        </w:rPr>
        <w:t>NSW reforms did not require an accused person to take steps to find out whether the other person consents where the accused person had a cognitive or mental health impairment which was a substantial cause of the accused person not doing or saying anything to obtain consent”.</w:t>
      </w:r>
    </w:p>
    <w:p w14:paraId="78861974" w14:textId="46ADC882" w:rsidR="0FF41D8E" w:rsidRDefault="0FF41D8E" w:rsidP="320F1D8E">
      <w:pPr>
        <w:rPr>
          <w:sz w:val="24"/>
          <w:szCs w:val="24"/>
        </w:rPr>
      </w:pPr>
      <w:r w:rsidRPr="320F1D8E">
        <w:rPr>
          <w:sz w:val="24"/>
          <w:szCs w:val="24"/>
        </w:rPr>
        <w:t>I wish to reassure the Committee that the matters raised about criminal responsibility whereby an accused person has a cognitive or mental impairment or illness which was a substantive cause of their not doing or saying something to obtain consent has been considered in detail in the drafting of this Bill.</w:t>
      </w:r>
    </w:p>
    <w:p w14:paraId="13F1ED74" w14:textId="23F2C58F" w:rsidR="495D5009" w:rsidRDefault="0FF41D8E" w:rsidP="4F5DBE55">
      <w:pPr>
        <w:rPr>
          <w:rFonts w:ascii="Calibri" w:eastAsia="Calibri" w:hAnsi="Calibri" w:cs="Calibri"/>
          <w:color w:val="000000" w:themeColor="text1"/>
          <w:sz w:val="24"/>
          <w:szCs w:val="24"/>
        </w:rPr>
      </w:pPr>
      <w:r w:rsidRPr="4F5DBE55">
        <w:rPr>
          <w:sz w:val="24"/>
          <w:szCs w:val="24"/>
        </w:rPr>
        <w:t xml:space="preserve">I am confident that the ACTs </w:t>
      </w:r>
      <w:r w:rsidRPr="4F5DBE55">
        <w:rPr>
          <w:i/>
          <w:iCs/>
          <w:sz w:val="24"/>
          <w:szCs w:val="24"/>
        </w:rPr>
        <w:t>Criminal Code 2002</w:t>
      </w:r>
      <w:r w:rsidRPr="4F5DBE55">
        <w:rPr>
          <w:sz w:val="24"/>
          <w:szCs w:val="24"/>
        </w:rPr>
        <w:t xml:space="preserve"> Division 2.3.2 appropriately addresses this matter; and will be a matter for consideration of any sexual offence provision through the criminal justice process. </w:t>
      </w:r>
      <w:r w:rsidR="65F792FA" w:rsidRPr="4F5DBE55">
        <w:rPr>
          <w:rFonts w:ascii="Calibri" w:eastAsia="Calibri" w:hAnsi="Calibri" w:cs="Calibri"/>
          <w:color w:val="000000" w:themeColor="text1"/>
          <w:sz w:val="24"/>
          <w:szCs w:val="24"/>
        </w:rPr>
        <w:t xml:space="preserve">This division applies to ‘circumstances where there is no criminal responsibility’ </w:t>
      </w:r>
      <w:r w:rsidR="65F792FA" w:rsidRPr="4F5DBE55">
        <w:rPr>
          <w:rFonts w:ascii="Calibri" w:eastAsia="Calibri" w:hAnsi="Calibri" w:cs="Calibri"/>
          <w:color w:val="000000" w:themeColor="text1"/>
          <w:sz w:val="24"/>
          <w:szCs w:val="24"/>
        </w:rPr>
        <w:lastRenderedPageBreak/>
        <w:t>and necessitates that a trier of fact must consider an accused person’s cognitive capacity or impairment.</w:t>
      </w:r>
    </w:p>
    <w:p w14:paraId="0904E266" w14:textId="06698053" w:rsidR="495D5009" w:rsidRDefault="0FF41D8E" w:rsidP="30DEFC74">
      <w:pPr>
        <w:rPr>
          <w:sz w:val="24"/>
          <w:szCs w:val="24"/>
        </w:rPr>
      </w:pPr>
      <w:r w:rsidRPr="4F5DBE55">
        <w:rPr>
          <w:sz w:val="24"/>
          <w:szCs w:val="24"/>
        </w:rPr>
        <w:t xml:space="preserve">I am confident that human rights under the </w:t>
      </w:r>
      <w:r w:rsidRPr="4F5DBE55">
        <w:rPr>
          <w:i/>
          <w:iCs/>
          <w:sz w:val="24"/>
          <w:szCs w:val="24"/>
        </w:rPr>
        <w:t>Human Rights Act 2004</w:t>
      </w:r>
      <w:r w:rsidRPr="4F5DBE55">
        <w:rPr>
          <w:sz w:val="24"/>
          <w:szCs w:val="24"/>
        </w:rPr>
        <w:t xml:space="preserve"> are therefore not impinged on through this Bill. However, I do thank the Committee for raising this important matter and ensuring that it has been adequately considered and addressed.</w:t>
      </w:r>
    </w:p>
    <w:p w14:paraId="078CC1F1" w14:textId="7AFC2599" w:rsidR="495D5009" w:rsidRDefault="495D5009" w:rsidP="5F7EC5F0">
      <w:pPr>
        <w:rPr>
          <w:sz w:val="24"/>
          <w:szCs w:val="24"/>
        </w:rPr>
      </w:pPr>
      <w:r w:rsidRPr="2307C0AC">
        <w:rPr>
          <w:sz w:val="24"/>
          <w:szCs w:val="24"/>
        </w:rPr>
        <w:t xml:space="preserve">The Explanatory Statement has been revised to reference specifically the </w:t>
      </w:r>
      <w:r w:rsidRPr="2307C0AC">
        <w:rPr>
          <w:i/>
          <w:iCs/>
          <w:sz w:val="24"/>
          <w:szCs w:val="24"/>
        </w:rPr>
        <w:t>Criminal Code 2002</w:t>
      </w:r>
      <w:r w:rsidRPr="2307C0AC">
        <w:rPr>
          <w:sz w:val="24"/>
          <w:szCs w:val="24"/>
        </w:rPr>
        <w:t xml:space="preserve"> in relation to this. This clarifies that the right to equality protected by section 8 of the HR Act is retained.</w:t>
      </w:r>
    </w:p>
    <w:p w14:paraId="0C3D838E" w14:textId="3F87D2E5" w:rsidR="5F7EC5F0" w:rsidRDefault="5F7EC5F0" w:rsidP="5F7EC5F0">
      <w:pPr>
        <w:rPr>
          <w:sz w:val="24"/>
          <w:szCs w:val="24"/>
        </w:rPr>
      </w:pPr>
    </w:p>
    <w:p w14:paraId="6BD5FEB4" w14:textId="15103E05" w:rsidR="00362A8F" w:rsidRDefault="5F7EC5F0" w:rsidP="18D3150F">
      <w:pPr>
        <w:rPr>
          <w:sz w:val="24"/>
          <w:szCs w:val="24"/>
        </w:rPr>
      </w:pPr>
      <w:r w:rsidRPr="320F1D8E">
        <w:rPr>
          <w:sz w:val="24"/>
          <w:szCs w:val="24"/>
        </w:rPr>
        <w:t>I wish to again thank the Committee for your comments on the Crimes (Consent) Amendment Bill 2022.</w:t>
      </w:r>
    </w:p>
    <w:p w14:paraId="0A67E835" w14:textId="4CEF4A9C" w:rsidR="320F1D8E" w:rsidRDefault="320F1D8E" w:rsidP="320F1D8E">
      <w:pPr>
        <w:rPr>
          <w:sz w:val="24"/>
          <w:szCs w:val="24"/>
        </w:rPr>
      </w:pPr>
    </w:p>
    <w:p w14:paraId="6258B7A3" w14:textId="0B99321C" w:rsidR="00467177" w:rsidRPr="001C2BF3" w:rsidRDefault="00467177" w:rsidP="2307C0AC">
      <w:pPr>
        <w:spacing w:after="0" w:line="240" w:lineRule="auto"/>
        <w:rPr>
          <w:sz w:val="24"/>
          <w:szCs w:val="24"/>
        </w:rPr>
      </w:pPr>
      <w:r w:rsidRPr="2307C0AC">
        <w:rPr>
          <w:sz w:val="24"/>
          <w:szCs w:val="24"/>
        </w:rPr>
        <w:t>Yours sincerely</w:t>
      </w:r>
      <w:r w:rsidR="00366F80" w:rsidRPr="2307C0AC">
        <w:rPr>
          <w:sz w:val="24"/>
          <w:szCs w:val="24"/>
        </w:rPr>
        <w:t>,</w:t>
      </w:r>
    </w:p>
    <w:p w14:paraId="54AA6D3D" w14:textId="0EB063D3" w:rsidR="00403572" w:rsidRPr="001C2BF3" w:rsidRDefault="0FA88D03" w:rsidP="2307C0AC">
      <w:pPr>
        <w:spacing w:after="0" w:line="240" w:lineRule="auto"/>
        <w:rPr>
          <w:sz w:val="24"/>
          <w:szCs w:val="24"/>
        </w:rPr>
      </w:pPr>
      <w:r>
        <w:rPr>
          <w:noProof/>
        </w:rPr>
        <w:drawing>
          <wp:inline distT="0" distB="0" distL="0" distR="0" wp14:anchorId="65E22899" wp14:editId="54A04A96">
            <wp:extent cx="1186686" cy="408943"/>
            <wp:effectExtent l="0" t="0" r="0" b="0"/>
            <wp:docPr id="1294270329" name="Picture 1294270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427032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6686" cy="408943"/>
                    </a:xfrm>
                    <a:prstGeom prst="rect">
                      <a:avLst/>
                    </a:prstGeom>
                  </pic:spPr>
                </pic:pic>
              </a:graphicData>
            </a:graphic>
          </wp:inline>
        </w:drawing>
      </w:r>
    </w:p>
    <w:p w14:paraId="0089CEDF" w14:textId="485D350C" w:rsidR="00467177" w:rsidRPr="001C2BF3" w:rsidRDefault="00366F80" w:rsidP="2307C0AC">
      <w:pPr>
        <w:spacing w:after="0" w:line="240" w:lineRule="auto"/>
        <w:rPr>
          <w:sz w:val="24"/>
          <w:szCs w:val="24"/>
        </w:rPr>
      </w:pPr>
      <w:r w:rsidRPr="2307C0AC">
        <w:rPr>
          <w:sz w:val="24"/>
          <w:szCs w:val="24"/>
        </w:rPr>
        <w:t>Dr Marisa Paterson</w:t>
      </w:r>
      <w:r w:rsidR="00467177" w:rsidRPr="2307C0AC">
        <w:rPr>
          <w:sz w:val="24"/>
          <w:szCs w:val="24"/>
        </w:rPr>
        <w:t xml:space="preserve"> MLA</w:t>
      </w:r>
      <w:r>
        <w:br/>
      </w:r>
      <w:r w:rsidR="00467177" w:rsidRPr="2307C0AC">
        <w:rPr>
          <w:sz w:val="24"/>
          <w:szCs w:val="24"/>
        </w:rPr>
        <w:t xml:space="preserve">Member for </w:t>
      </w:r>
      <w:r w:rsidRPr="2307C0AC">
        <w:rPr>
          <w:sz w:val="24"/>
          <w:szCs w:val="24"/>
        </w:rPr>
        <w:t>Murrumbidgee</w:t>
      </w:r>
      <w:r>
        <w:br/>
      </w:r>
      <w:r w:rsidR="00C01A27">
        <w:rPr>
          <w:sz w:val="24"/>
          <w:szCs w:val="24"/>
        </w:rPr>
        <w:t>2 May</w:t>
      </w:r>
      <w:r w:rsidR="00B90656" w:rsidRPr="2307C0AC">
        <w:rPr>
          <w:sz w:val="24"/>
          <w:szCs w:val="24"/>
        </w:rPr>
        <w:t xml:space="preserve"> </w:t>
      </w:r>
      <w:r w:rsidR="0092141F" w:rsidRPr="2307C0AC">
        <w:rPr>
          <w:sz w:val="24"/>
          <w:szCs w:val="24"/>
        </w:rPr>
        <w:t>202</w:t>
      </w:r>
      <w:r w:rsidR="46EA2BCD" w:rsidRPr="2307C0AC">
        <w:rPr>
          <w:sz w:val="24"/>
          <w:szCs w:val="24"/>
        </w:rPr>
        <w:t>2</w:t>
      </w:r>
    </w:p>
    <w:sectPr w:rsidR="00467177" w:rsidRPr="001C2BF3" w:rsidSect="009D2D43">
      <w:footerReference w:type="default" r:id="rId11"/>
      <w:headerReference w:type="first" r:id="rId12"/>
      <w:footerReference w:type="first" r:id="rId13"/>
      <w:pgSz w:w="11906" w:h="16838"/>
      <w:pgMar w:top="720" w:right="991" w:bottom="72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3DBB5" w14:textId="77777777" w:rsidR="001D25AF" w:rsidRDefault="001D25AF" w:rsidP="00467177">
      <w:pPr>
        <w:spacing w:after="0" w:line="240" w:lineRule="auto"/>
      </w:pPr>
      <w:r>
        <w:separator/>
      </w:r>
    </w:p>
  </w:endnote>
  <w:endnote w:type="continuationSeparator" w:id="0">
    <w:p w14:paraId="0BBD4B63" w14:textId="77777777" w:rsidR="001D25AF" w:rsidRDefault="001D25AF" w:rsidP="0046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725F4" w14:textId="77777777" w:rsidR="00467177" w:rsidRDefault="00467177" w:rsidP="00867D20"/>
  <w:p w14:paraId="72FCDDE9" w14:textId="77777777" w:rsidR="00467177" w:rsidRDefault="00467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8DD2D" w14:textId="77777777" w:rsidR="009D2D43" w:rsidRPr="00A04D39" w:rsidRDefault="009D2D43" w:rsidP="009D2D43">
    <w:pPr>
      <w:spacing w:after="60"/>
      <w:jc w:val="center"/>
      <w:rPr>
        <w:rFonts w:ascii="Calibri" w:hAnsi="Calibri" w:cs="Arial"/>
        <w:b/>
        <w:smallCaps/>
        <w:sz w:val="8"/>
      </w:rPr>
    </w:pPr>
    <w:r w:rsidRPr="00A04D39">
      <w:rPr>
        <w:rFonts w:ascii="Calibri" w:hAnsi="Calibri" w:cs="Arial"/>
        <w:b/>
        <w:smallCaps/>
        <w:sz w:val="8"/>
      </w:rPr>
      <w:t>___________________________________________________________________</w:t>
    </w:r>
  </w:p>
  <w:p w14:paraId="19FA0275" w14:textId="77777777" w:rsidR="009D2D43" w:rsidRPr="00A04D39" w:rsidRDefault="009D2D43" w:rsidP="009D2D43">
    <w:pPr>
      <w:spacing w:after="20"/>
      <w:jc w:val="center"/>
      <w:rPr>
        <w:rFonts w:ascii="Calibri" w:hAnsi="Calibri" w:cs="Arial"/>
        <w:sz w:val="18"/>
      </w:rPr>
    </w:pPr>
    <w:r w:rsidRPr="00A04D39">
      <w:rPr>
        <w:rFonts w:ascii="Calibri" w:hAnsi="Calibri" w:cs="Arial"/>
        <w:sz w:val="18"/>
      </w:rPr>
      <w:t xml:space="preserve">London Circuit, Canberra ACT 2601 </w:t>
    </w:r>
    <w:r>
      <w:rPr>
        <w:rFonts w:ascii="Calibri" w:hAnsi="Calibri" w:cs="Arial"/>
        <w:sz w:val="18"/>
      </w:rPr>
      <w:t xml:space="preserve">- </w:t>
    </w:r>
    <w:r w:rsidRPr="00A04D39">
      <w:rPr>
        <w:rFonts w:ascii="Calibri" w:hAnsi="Calibri" w:cs="Arial"/>
        <w:sz w:val="18"/>
      </w:rPr>
      <w:t>GPO Box 1020, Canberra ACT 2601</w:t>
    </w:r>
  </w:p>
  <w:p w14:paraId="273D06B1" w14:textId="77777777" w:rsidR="009D2D43" w:rsidRPr="0092141F" w:rsidRDefault="009D2D43" w:rsidP="009D2D43">
    <w:pPr>
      <w:pStyle w:val="Footer"/>
      <w:spacing w:after="20"/>
      <w:ind w:left="-1077" w:right="-1077"/>
      <w:jc w:val="center"/>
      <w:rPr>
        <w:rFonts w:ascii="Calibri" w:hAnsi="Calibri"/>
        <w:sz w:val="18"/>
        <w:lang w:val="fr-FR"/>
      </w:rPr>
    </w:pPr>
    <w:r w:rsidRPr="0092141F">
      <w:rPr>
        <w:rFonts w:ascii="Calibri" w:hAnsi="Calibri"/>
        <w:sz w:val="18"/>
        <w:lang w:val="fr-FR"/>
      </w:rPr>
      <w:t xml:space="preserve">Phone: (02) 6205 </w:t>
    </w:r>
    <w:r>
      <w:rPr>
        <w:rFonts w:ascii="Calibri" w:hAnsi="Calibri"/>
        <w:sz w:val="18"/>
        <w:lang w:val="fr-FR"/>
      </w:rPr>
      <w:t xml:space="preserve">1448 - </w:t>
    </w:r>
    <w:r w:rsidRPr="0092141F">
      <w:rPr>
        <w:rFonts w:ascii="Calibri" w:hAnsi="Calibri"/>
        <w:sz w:val="18"/>
        <w:lang w:val="fr-FR"/>
      </w:rPr>
      <w:t xml:space="preserve">Email: </w:t>
    </w:r>
    <w:r>
      <w:rPr>
        <w:rFonts w:ascii="Calibri" w:hAnsi="Calibri"/>
        <w:sz w:val="18"/>
        <w:lang w:val="fr-FR"/>
      </w:rPr>
      <w:t>paterson</w:t>
    </w:r>
    <w:r w:rsidRPr="0092141F">
      <w:rPr>
        <w:rFonts w:ascii="Calibri" w:hAnsi="Calibri"/>
        <w:sz w:val="18"/>
        <w:lang w:val="fr-FR"/>
      </w:rPr>
      <w:t>@</w:t>
    </w:r>
    <w:r>
      <w:rPr>
        <w:rFonts w:ascii="Calibri" w:hAnsi="Calibri"/>
        <w:sz w:val="18"/>
        <w:lang w:val="fr-FR"/>
      </w:rPr>
      <w:t>parliament.</w:t>
    </w:r>
    <w:r w:rsidRPr="0092141F">
      <w:rPr>
        <w:rFonts w:ascii="Calibri" w:hAnsi="Calibri"/>
        <w:sz w:val="18"/>
        <w:lang w:val="fr-FR"/>
      </w:rPr>
      <w:t>act.gov.au</w:t>
    </w:r>
  </w:p>
  <w:p w14:paraId="6B367303" w14:textId="77777777" w:rsidR="009D2D43" w:rsidRDefault="009D2D43" w:rsidP="009D2D43">
    <w:pPr>
      <w:pStyle w:val="Footer"/>
      <w:spacing w:after="20"/>
      <w:ind w:left="-1077" w:right="-1077"/>
      <w:jc w:val="center"/>
      <w:rPr>
        <w:rFonts w:ascii="Calibri" w:hAnsi="Calibri"/>
        <w:sz w:val="18"/>
      </w:rPr>
    </w:pPr>
    <w:r>
      <w:rPr>
        <w:rFonts w:ascii="Calibri" w:hAnsi="Calibri"/>
        <w:sz w:val="18"/>
      </w:rPr>
      <w:t xml:space="preserve">Website: </w:t>
    </w:r>
    <w:r w:rsidRPr="00690E5C">
      <w:rPr>
        <w:rFonts w:ascii="Calibri" w:hAnsi="Calibri"/>
        <w:sz w:val="18"/>
      </w:rPr>
      <w:t>https://marisapaterson.com.au/</w:t>
    </w:r>
  </w:p>
  <w:p w14:paraId="22E73B91" w14:textId="77777777" w:rsidR="009D2D43" w:rsidRPr="00A04D39" w:rsidRDefault="009D2D43" w:rsidP="009D2D43">
    <w:pPr>
      <w:pStyle w:val="Footer"/>
      <w:spacing w:after="20"/>
      <w:ind w:left="-1077" w:right="-1077"/>
      <w:jc w:val="center"/>
      <w:rPr>
        <w:rFonts w:ascii="Calibri" w:hAnsi="Calibri"/>
      </w:rPr>
    </w:pPr>
    <w:r>
      <w:rPr>
        <w:rFonts w:ascii="Calibri" w:hAnsi="Calibri"/>
        <w:sz w:val="18"/>
      </w:rPr>
      <w:t>Facebook:</w:t>
    </w:r>
    <w:r>
      <w:rPr>
        <w:rFonts w:ascii="Palatino" w:hAnsi="Palatino"/>
        <w:sz w:val="18"/>
      </w:rPr>
      <w:t xml:space="preserve"> </w:t>
    </w:r>
    <w:r>
      <w:rPr>
        <w:rFonts w:ascii="Calibri" w:hAnsi="Calibri"/>
        <w:sz w:val="18"/>
        <w:szCs w:val="18"/>
      </w:rPr>
      <w:t>www.facebook.com/MarisaPatersonMLA</w:t>
    </w:r>
  </w:p>
  <w:p w14:paraId="6B34914B" w14:textId="77777777" w:rsidR="00A84FE1" w:rsidRDefault="00A84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8F456" w14:textId="77777777" w:rsidR="001D25AF" w:rsidRDefault="001D25AF" w:rsidP="00467177">
      <w:pPr>
        <w:spacing w:after="0" w:line="240" w:lineRule="auto"/>
      </w:pPr>
      <w:r>
        <w:separator/>
      </w:r>
    </w:p>
  </w:footnote>
  <w:footnote w:type="continuationSeparator" w:id="0">
    <w:p w14:paraId="6E457CD5" w14:textId="77777777" w:rsidR="001D25AF" w:rsidRDefault="001D25AF" w:rsidP="00467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2100E" w14:textId="77777777" w:rsidR="009D2D43" w:rsidRPr="000D6082" w:rsidRDefault="009D2D43" w:rsidP="009D2D43">
    <w:pPr>
      <w:spacing w:after="60" w:line="276" w:lineRule="auto"/>
      <w:ind w:right="-1"/>
      <w:jc w:val="center"/>
      <w:rPr>
        <w:rFonts w:ascii="Palatino" w:eastAsia="Calibri" w:hAnsi="Palatino"/>
        <w:b/>
        <w:sz w:val="34"/>
      </w:rPr>
    </w:pPr>
    <w:r>
      <w:rPr>
        <w:noProof/>
      </w:rPr>
      <w:drawing>
        <wp:inline distT="0" distB="0" distL="0" distR="0" wp14:anchorId="5C569925" wp14:editId="013DF4E4">
          <wp:extent cx="647700" cy="571500"/>
          <wp:effectExtent l="0" t="0" r="0" b="0"/>
          <wp:docPr id="4" name="Picture 4" descr="AC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647700" cy="571500"/>
                  </a:xfrm>
                  <a:prstGeom prst="rect">
                    <a:avLst/>
                  </a:prstGeom>
                </pic:spPr>
              </pic:pic>
            </a:graphicData>
          </a:graphic>
        </wp:inline>
      </w:drawing>
    </w:r>
  </w:p>
  <w:p w14:paraId="5A5ECB64" w14:textId="77777777" w:rsidR="009D2D43" w:rsidRPr="000D6082" w:rsidRDefault="009D2D43" w:rsidP="009D2D43">
    <w:pPr>
      <w:spacing w:after="60" w:line="276" w:lineRule="auto"/>
      <w:ind w:right="-1"/>
      <w:jc w:val="center"/>
      <w:rPr>
        <w:rFonts w:ascii="Calibri" w:eastAsia="Calibri" w:hAnsi="Calibri"/>
        <w:smallCaps/>
        <w:sz w:val="36"/>
      </w:rPr>
    </w:pPr>
    <w:r>
      <w:rPr>
        <w:rFonts w:ascii="Calibri" w:eastAsia="Calibri" w:hAnsi="Calibri"/>
        <w:b/>
        <w:sz w:val="34"/>
      </w:rPr>
      <w:t>Dr Marisa Paterson</w:t>
    </w:r>
    <w:r w:rsidRPr="000D6082">
      <w:rPr>
        <w:rFonts w:ascii="Calibri" w:eastAsia="Calibri" w:hAnsi="Calibri"/>
        <w:sz w:val="36"/>
      </w:rPr>
      <w:t xml:space="preserve"> </w:t>
    </w:r>
    <w:proofErr w:type="spellStart"/>
    <w:r w:rsidRPr="000D6082">
      <w:rPr>
        <w:rFonts w:ascii="Calibri" w:eastAsia="Calibri" w:hAnsi="Calibri"/>
        <w:smallCaps/>
        <w:sz w:val="36"/>
      </w:rPr>
      <w:t>mla</w:t>
    </w:r>
    <w:proofErr w:type="spellEnd"/>
  </w:p>
  <w:p w14:paraId="01ADA129" w14:textId="77777777" w:rsidR="009D2D43" w:rsidRPr="000D6082" w:rsidRDefault="009D2D43" w:rsidP="009D2D43">
    <w:pPr>
      <w:spacing w:after="200" w:line="276" w:lineRule="auto"/>
      <w:jc w:val="center"/>
      <w:rPr>
        <w:rFonts w:ascii="Calibri" w:eastAsia="Calibri" w:hAnsi="Calibri" w:cs="Arial"/>
        <w:smallCaps/>
        <w:szCs w:val="24"/>
      </w:rPr>
    </w:pPr>
    <w:r w:rsidRPr="000D6082">
      <w:rPr>
        <w:rFonts w:ascii="Calibri" w:eastAsia="Calibri" w:hAnsi="Calibri" w:cs="Arial"/>
        <w:smallCaps/>
        <w:szCs w:val="24"/>
      </w:rPr>
      <w:t>ACT Legislative Assembly</w:t>
    </w:r>
  </w:p>
  <w:p w14:paraId="7D0C4F99" w14:textId="77777777" w:rsidR="009D2D43" w:rsidRPr="000D6082" w:rsidRDefault="009D2D43" w:rsidP="009D2D43">
    <w:pPr>
      <w:pBdr>
        <w:top w:val="single" w:sz="4" w:space="1" w:color="auto"/>
      </w:pBdr>
      <w:ind w:right="-1"/>
      <w:jc w:val="center"/>
      <w:rPr>
        <w:rFonts w:ascii="Arial" w:hAnsi="Arial" w:cs="Arial"/>
        <w:szCs w:val="24"/>
      </w:rPr>
    </w:pPr>
    <w:r w:rsidRPr="000D6082">
      <w:rPr>
        <w:rFonts w:ascii="Calibri" w:hAnsi="Calibri"/>
        <w:smallCaps/>
        <w:szCs w:val="24"/>
      </w:rPr>
      <w:t xml:space="preserve">Member for </w:t>
    </w:r>
    <w:r>
      <w:rPr>
        <w:rFonts w:ascii="Calibri" w:hAnsi="Calibri"/>
        <w:smallCaps/>
        <w:szCs w:val="24"/>
      </w:rPr>
      <w:t>Murrumbidgee</w:t>
    </w:r>
  </w:p>
  <w:p w14:paraId="37B43243" w14:textId="77777777" w:rsidR="00A84FE1" w:rsidRDefault="00A84FE1">
    <w:pPr>
      <w:pStyle w:val="Header"/>
    </w:pPr>
  </w:p>
</w:hdr>
</file>

<file path=word/intelligence2.xml><?xml version="1.0" encoding="utf-8"?>
<int2:intelligence xmlns:int2="http://schemas.microsoft.com/office/intelligence/2020/intelligence">
  <int2:observations>
    <int2:bookmark int2:bookmarkName="_Int_0ueW7MOR" int2:invalidationBookmarkName="" int2:hashCode="OUNaYy8KVVujzB" int2:id="h2oTVahN">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C1731"/>
    <w:multiLevelType w:val="hybridMultilevel"/>
    <w:tmpl w:val="B46C3070"/>
    <w:lvl w:ilvl="0" w:tplc="8188B62C">
      <w:start w:val="1"/>
      <w:numFmt w:val="bullet"/>
      <w:lvlText w:val=""/>
      <w:lvlJc w:val="left"/>
      <w:pPr>
        <w:ind w:left="720" w:hanging="360"/>
      </w:pPr>
      <w:rPr>
        <w:rFonts w:ascii="Symbol" w:hAnsi="Symbol" w:hint="default"/>
      </w:rPr>
    </w:lvl>
    <w:lvl w:ilvl="1" w:tplc="49E676B0">
      <w:start w:val="1"/>
      <w:numFmt w:val="bullet"/>
      <w:lvlText w:val="o"/>
      <w:lvlJc w:val="left"/>
      <w:pPr>
        <w:ind w:left="1440" w:hanging="360"/>
      </w:pPr>
      <w:rPr>
        <w:rFonts w:ascii="Courier New" w:hAnsi="Courier New" w:hint="default"/>
      </w:rPr>
    </w:lvl>
    <w:lvl w:ilvl="2" w:tplc="B3C2B628">
      <w:start w:val="1"/>
      <w:numFmt w:val="bullet"/>
      <w:lvlText w:val=""/>
      <w:lvlJc w:val="left"/>
      <w:pPr>
        <w:ind w:left="2160" w:hanging="360"/>
      </w:pPr>
      <w:rPr>
        <w:rFonts w:ascii="Wingdings" w:hAnsi="Wingdings" w:hint="default"/>
      </w:rPr>
    </w:lvl>
    <w:lvl w:ilvl="3" w:tplc="B93CAAF6">
      <w:start w:val="1"/>
      <w:numFmt w:val="bullet"/>
      <w:lvlText w:val=""/>
      <w:lvlJc w:val="left"/>
      <w:pPr>
        <w:ind w:left="2880" w:hanging="360"/>
      </w:pPr>
      <w:rPr>
        <w:rFonts w:ascii="Symbol" w:hAnsi="Symbol" w:hint="default"/>
      </w:rPr>
    </w:lvl>
    <w:lvl w:ilvl="4" w:tplc="528880D0">
      <w:start w:val="1"/>
      <w:numFmt w:val="bullet"/>
      <w:lvlText w:val="o"/>
      <w:lvlJc w:val="left"/>
      <w:pPr>
        <w:ind w:left="3600" w:hanging="360"/>
      </w:pPr>
      <w:rPr>
        <w:rFonts w:ascii="Courier New" w:hAnsi="Courier New" w:hint="default"/>
      </w:rPr>
    </w:lvl>
    <w:lvl w:ilvl="5" w:tplc="28AC9DB0">
      <w:start w:val="1"/>
      <w:numFmt w:val="bullet"/>
      <w:lvlText w:val=""/>
      <w:lvlJc w:val="left"/>
      <w:pPr>
        <w:ind w:left="4320" w:hanging="360"/>
      </w:pPr>
      <w:rPr>
        <w:rFonts w:ascii="Wingdings" w:hAnsi="Wingdings" w:hint="default"/>
      </w:rPr>
    </w:lvl>
    <w:lvl w:ilvl="6" w:tplc="E9F62620">
      <w:start w:val="1"/>
      <w:numFmt w:val="bullet"/>
      <w:lvlText w:val=""/>
      <w:lvlJc w:val="left"/>
      <w:pPr>
        <w:ind w:left="5040" w:hanging="360"/>
      </w:pPr>
      <w:rPr>
        <w:rFonts w:ascii="Symbol" w:hAnsi="Symbol" w:hint="default"/>
      </w:rPr>
    </w:lvl>
    <w:lvl w:ilvl="7" w:tplc="2430A33E">
      <w:start w:val="1"/>
      <w:numFmt w:val="bullet"/>
      <w:lvlText w:val="o"/>
      <w:lvlJc w:val="left"/>
      <w:pPr>
        <w:ind w:left="5760" w:hanging="360"/>
      </w:pPr>
      <w:rPr>
        <w:rFonts w:ascii="Courier New" w:hAnsi="Courier New" w:hint="default"/>
      </w:rPr>
    </w:lvl>
    <w:lvl w:ilvl="8" w:tplc="0324B48C">
      <w:start w:val="1"/>
      <w:numFmt w:val="bullet"/>
      <w:lvlText w:val=""/>
      <w:lvlJc w:val="left"/>
      <w:pPr>
        <w:ind w:left="6480" w:hanging="360"/>
      </w:pPr>
      <w:rPr>
        <w:rFonts w:ascii="Wingdings" w:hAnsi="Wingdings" w:hint="default"/>
      </w:rPr>
    </w:lvl>
  </w:abstractNum>
  <w:abstractNum w:abstractNumId="1" w15:restartNumberingAfterBreak="0">
    <w:nsid w:val="469E55DB"/>
    <w:multiLevelType w:val="hybridMultilevel"/>
    <w:tmpl w:val="FADA0678"/>
    <w:lvl w:ilvl="0" w:tplc="8C6EDD7C">
      <w:start w:val="1"/>
      <w:numFmt w:val="bullet"/>
      <w:lvlText w:val=""/>
      <w:lvlJc w:val="left"/>
      <w:pPr>
        <w:ind w:left="720" w:hanging="360"/>
      </w:pPr>
      <w:rPr>
        <w:rFonts w:ascii="Symbol" w:hAnsi="Symbol" w:hint="default"/>
      </w:rPr>
    </w:lvl>
    <w:lvl w:ilvl="1" w:tplc="761C9EEC">
      <w:start w:val="1"/>
      <w:numFmt w:val="bullet"/>
      <w:lvlText w:val="o"/>
      <w:lvlJc w:val="left"/>
      <w:pPr>
        <w:ind w:left="1440" w:hanging="360"/>
      </w:pPr>
      <w:rPr>
        <w:rFonts w:ascii="Courier New" w:hAnsi="Courier New" w:hint="default"/>
      </w:rPr>
    </w:lvl>
    <w:lvl w:ilvl="2" w:tplc="58D66E66">
      <w:start w:val="1"/>
      <w:numFmt w:val="bullet"/>
      <w:lvlText w:val=""/>
      <w:lvlJc w:val="left"/>
      <w:pPr>
        <w:ind w:left="2160" w:hanging="360"/>
      </w:pPr>
      <w:rPr>
        <w:rFonts w:ascii="Wingdings" w:hAnsi="Wingdings" w:hint="default"/>
      </w:rPr>
    </w:lvl>
    <w:lvl w:ilvl="3" w:tplc="C8946E12">
      <w:start w:val="1"/>
      <w:numFmt w:val="bullet"/>
      <w:lvlText w:val=""/>
      <w:lvlJc w:val="left"/>
      <w:pPr>
        <w:ind w:left="2880" w:hanging="360"/>
      </w:pPr>
      <w:rPr>
        <w:rFonts w:ascii="Symbol" w:hAnsi="Symbol" w:hint="default"/>
      </w:rPr>
    </w:lvl>
    <w:lvl w:ilvl="4" w:tplc="0CBA89D6">
      <w:start w:val="1"/>
      <w:numFmt w:val="bullet"/>
      <w:lvlText w:val="o"/>
      <w:lvlJc w:val="left"/>
      <w:pPr>
        <w:ind w:left="3600" w:hanging="360"/>
      </w:pPr>
      <w:rPr>
        <w:rFonts w:ascii="Courier New" w:hAnsi="Courier New" w:hint="default"/>
      </w:rPr>
    </w:lvl>
    <w:lvl w:ilvl="5" w:tplc="36E08538">
      <w:start w:val="1"/>
      <w:numFmt w:val="bullet"/>
      <w:lvlText w:val=""/>
      <w:lvlJc w:val="left"/>
      <w:pPr>
        <w:ind w:left="4320" w:hanging="360"/>
      </w:pPr>
      <w:rPr>
        <w:rFonts w:ascii="Wingdings" w:hAnsi="Wingdings" w:hint="default"/>
      </w:rPr>
    </w:lvl>
    <w:lvl w:ilvl="6" w:tplc="31F25EA2">
      <w:start w:val="1"/>
      <w:numFmt w:val="bullet"/>
      <w:lvlText w:val=""/>
      <w:lvlJc w:val="left"/>
      <w:pPr>
        <w:ind w:left="5040" w:hanging="360"/>
      </w:pPr>
      <w:rPr>
        <w:rFonts w:ascii="Symbol" w:hAnsi="Symbol" w:hint="default"/>
      </w:rPr>
    </w:lvl>
    <w:lvl w:ilvl="7" w:tplc="0896B6B8">
      <w:start w:val="1"/>
      <w:numFmt w:val="bullet"/>
      <w:lvlText w:val="o"/>
      <w:lvlJc w:val="left"/>
      <w:pPr>
        <w:ind w:left="5760" w:hanging="360"/>
      </w:pPr>
      <w:rPr>
        <w:rFonts w:ascii="Courier New" w:hAnsi="Courier New" w:hint="default"/>
      </w:rPr>
    </w:lvl>
    <w:lvl w:ilvl="8" w:tplc="272ABE04">
      <w:start w:val="1"/>
      <w:numFmt w:val="bullet"/>
      <w:lvlText w:val=""/>
      <w:lvlJc w:val="left"/>
      <w:pPr>
        <w:ind w:left="6480" w:hanging="360"/>
      </w:pPr>
      <w:rPr>
        <w:rFonts w:ascii="Wingdings" w:hAnsi="Wingdings" w:hint="default"/>
      </w:rPr>
    </w:lvl>
  </w:abstractNum>
  <w:abstractNum w:abstractNumId="2" w15:restartNumberingAfterBreak="0">
    <w:nsid w:val="6AA75FB3"/>
    <w:multiLevelType w:val="hybridMultilevel"/>
    <w:tmpl w:val="3B441EB2"/>
    <w:lvl w:ilvl="0" w:tplc="0D780042">
      <w:start w:val="1"/>
      <w:numFmt w:val="decimal"/>
      <w:lvlText w:val="%1."/>
      <w:lvlJc w:val="left"/>
      <w:pPr>
        <w:ind w:left="720" w:hanging="360"/>
      </w:pPr>
    </w:lvl>
    <w:lvl w:ilvl="1" w:tplc="21C007AC">
      <w:start w:val="1"/>
      <w:numFmt w:val="lowerLetter"/>
      <w:lvlText w:val="%2."/>
      <w:lvlJc w:val="left"/>
      <w:pPr>
        <w:ind w:left="1440" w:hanging="360"/>
      </w:pPr>
    </w:lvl>
    <w:lvl w:ilvl="2" w:tplc="AC2EDA84">
      <w:start w:val="1"/>
      <w:numFmt w:val="lowerRoman"/>
      <w:lvlText w:val="%3."/>
      <w:lvlJc w:val="right"/>
      <w:pPr>
        <w:ind w:left="2160" w:hanging="180"/>
      </w:pPr>
    </w:lvl>
    <w:lvl w:ilvl="3" w:tplc="B13CEB5A">
      <w:start w:val="1"/>
      <w:numFmt w:val="decimal"/>
      <w:lvlText w:val="%4."/>
      <w:lvlJc w:val="left"/>
      <w:pPr>
        <w:ind w:left="2880" w:hanging="360"/>
      </w:pPr>
    </w:lvl>
    <w:lvl w:ilvl="4" w:tplc="98DA727A">
      <w:start w:val="1"/>
      <w:numFmt w:val="lowerLetter"/>
      <w:lvlText w:val="%5."/>
      <w:lvlJc w:val="left"/>
      <w:pPr>
        <w:ind w:left="3600" w:hanging="360"/>
      </w:pPr>
    </w:lvl>
    <w:lvl w:ilvl="5" w:tplc="31665E28">
      <w:start w:val="1"/>
      <w:numFmt w:val="lowerRoman"/>
      <w:lvlText w:val="%6."/>
      <w:lvlJc w:val="right"/>
      <w:pPr>
        <w:ind w:left="4320" w:hanging="180"/>
      </w:pPr>
    </w:lvl>
    <w:lvl w:ilvl="6" w:tplc="98D22184">
      <w:start w:val="1"/>
      <w:numFmt w:val="decimal"/>
      <w:lvlText w:val="%7."/>
      <w:lvlJc w:val="left"/>
      <w:pPr>
        <w:ind w:left="5040" w:hanging="360"/>
      </w:pPr>
    </w:lvl>
    <w:lvl w:ilvl="7" w:tplc="0D167E30">
      <w:start w:val="1"/>
      <w:numFmt w:val="lowerLetter"/>
      <w:lvlText w:val="%8."/>
      <w:lvlJc w:val="left"/>
      <w:pPr>
        <w:ind w:left="5760" w:hanging="360"/>
      </w:pPr>
    </w:lvl>
    <w:lvl w:ilvl="8" w:tplc="8454EBC8">
      <w:start w:val="1"/>
      <w:numFmt w:val="lowerRoman"/>
      <w:lvlText w:val="%9."/>
      <w:lvlJc w:val="right"/>
      <w:pPr>
        <w:ind w:left="6480" w:hanging="180"/>
      </w:pPr>
    </w:lvl>
  </w:abstractNum>
  <w:abstractNum w:abstractNumId="3" w15:restartNumberingAfterBreak="0">
    <w:nsid w:val="6ABC7E1B"/>
    <w:multiLevelType w:val="hybridMultilevel"/>
    <w:tmpl w:val="493E43DC"/>
    <w:lvl w:ilvl="0" w:tplc="E550E420">
      <w:start w:val="1"/>
      <w:numFmt w:val="lowerLetter"/>
      <w:lvlText w:val="(%1)"/>
      <w:lvlJc w:val="left"/>
      <w:pPr>
        <w:ind w:left="720" w:hanging="360"/>
      </w:pPr>
    </w:lvl>
    <w:lvl w:ilvl="1" w:tplc="1FE89314">
      <w:start w:val="1"/>
      <w:numFmt w:val="lowerLetter"/>
      <w:lvlText w:val="%2."/>
      <w:lvlJc w:val="left"/>
      <w:pPr>
        <w:ind w:left="1440" w:hanging="360"/>
      </w:pPr>
    </w:lvl>
    <w:lvl w:ilvl="2" w:tplc="F1806510">
      <w:start w:val="1"/>
      <w:numFmt w:val="lowerRoman"/>
      <w:lvlText w:val="%3."/>
      <w:lvlJc w:val="right"/>
      <w:pPr>
        <w:ind w:left="2160" w:hanging="180"/>
      </w:pPr>
    </w:lvl>
    <w:lvl w:ilvl="3" w:tplc="841CA04A">
      <w:start w:val="1"/>
      <w:numFmt w:val="decimal"/>
      <w:lvlText w:val="%4."/>
      <w:lvlJc w:val="left"/>
      <w:pPr>
        <w:ind w:left="2880" w:hanging="360"/>
      </w:pPr>
    </w:lvl>
    <w:lvl w:ilvl="4" w:tplc="DA5CB8B4">
      <w:start w:val="1"/>
      <w:numFmt w:val="lowerLetter"/>
      <w:lvlText w:val="%5."/>
      <w:lvlJc w:val="left"/>
      <w:pPr>
        <w:ind w:left="3600" w:hanging="360"/>
      </w:pPr>
    </w:lvl>
    <w:lvl w:ilvl="5" w:tplc="4B92A768">
      <w:start w:val="1"/>
      <w:numFmt w:val="lowerRoman"/>
      <w:lvlText w:val="%6."/>
      <w:lvlJc w:val="right"/>
      <w:pPr>
        <w:ind w:left="4320" w:hanging="180"/>
      </w:pPr>
    </w:lvl>
    <w:lvl w:ilvl="6" w:tplc="E7006718">
      <w:start w:val="1"/>
      <w:numFmt w:val="decimal"/>
      <w:lvlText w:val="%7."/>
      <w:lvlJc w:val="left"/>
      <w:pPr>
        <w:ind w:left="5040" w:hanging="360"/>
      </w:pPr>
    </w:lvl>
    <w:lvl w:ilvl="7" w:tplc="88CC7E64">
      <w:start w:val="1"/>
      <w:numFmt w:val="lowerLetter"/>
      <w:lvlText w:val="%8."/>
      <w:lvlJc w:val="left"/>
      <w:pPr>
        <w:ind w:left="5760" w:hanging="360"/>
      </w:pPr>
    </w:lvl>
    <w:lvl w:ilvl="8" w:tplc="59AA2C66">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177"/>
    <w:rsid w:val="000066C8"/>
    <w:rsid w:val="00010A84"/>
    <w:rsid w:val="00041408"/>
    <w:rsid w:val="000AC3CD"/>
    <w:rsid w:val="001102C6"/>
    <w:rsid w:val="001115E0"/>
    <w:rsid w:val="00134185"/>
    <w:rsid w:val="00135E9D"/>
    <w:rsid w:val="00155660"/>
    <w:rsid w:val="00190E6C"/>
    <w:rsid w:val="001C2BF3"/>
    <w:rsid w:val="001D25AF"/>
    <w:rsid w:val="001E5577"/>
    <w:rsid w:val="00235657"/>
    <w:rsid w:val="00242260"/>
    <w:rsid w:val="00250AFA"/>
    <w:rsid w:val="0025322B"/>
    <w:rsid w:val="002600C2"/>
    <w:rsid w:val="00264001"/>
    <w:rsid w:val="0026688D"/>
    <w:rsid w:val="002930A3"/>
    <w:rsid w:val="002D6E15"/>
    <w:rsid w:val="002E579C"/>
    <w:rsid w:val="003155D1"/>
    <w:rsid w:val="0034440B"/>
    <w:rsid w:val="00362A8F"/>
    <w:rsid w:val="00366F80"/>
    <w:rsid w:val="00387FAE"/>
    <w:rsid w:val="003E1848"/>
    <w:rsid w:val="00403572"/>
    <w:rsid w:val="0042260F"/>
    <w:rsid w:val="00467177"/>
    <w:rsid w:val="00482B0E"/>
    <w:rsid w:val="004A44CF"/>
    <w:rsid w:val="004D0D3E"/>
    <w:rsid w:val="004D21DA"/>
    <w:rsid w:val="004E4A77"/>
    <w:rsid w:val="0056253C"/>
    <w:rsid w:val="005B4524"/>
    <w:rsid w:val="005D079D"/>
    <w:rsid w:val="00690E5C"/>
    <w:rsid w:val="006A3E69"/>
    <w:rsid w:val="006B77A0"/>
    <w:rsid w:val="006D2BE7"/>
    <w:rsid w:val="007501B4"/>
    <w:rsid w:val="00752A64"/>
    <w:rsid w:val="00765CAF"/>
    <w:rsid w:val="0077504A"/>
    <w:rsid w:val="007C0198"/>
    <w:rsid w:val="007D01A9"/>
    <w:rsid w:val="007D303A"/>
    <w:rsid w:val="007F481D"/>
    <w:rsid w:val="00800DCB"/>
    <w:rsid w:val="00821035"/>
    <w:rsid w:val="008233C6"/>
    <w:rsid w:val="008813A2"/>
    <w:rsid w:val="008D36D3"/>
    <w:rsid w:val="0092141F"/>
    <w:rsid w:val="00923506"/>
    <w:rsid w:val="00956444"/>
    <w:rsid w:val="00973345"/>
    <w:rsid w:val="009D21EE"/>
    <w:rsid w:val="009D2D43"/>
    <w:rsid w:val="00A2493D"/>
    <w:rsid w:val="00A84FE1"/>
    <w:rsid w:val="00AA7776"/>
    <w:rsid w:val="00AF33FA"/>
    <w:rsid w:val="00B03CCE"/>
    <w:rsid w:val="00B458C2"/>
    <w:rsid w:val="00B5066C"/>
    <w:rsid w:val="00B90656"/>
    <w:rsid w:val="00BB4E4B"/>
    <w:rsid w:val="00BC4030"/>
    <w:rsid w:val="00C01A27"/>
    <w:rsid w:val="00C176E0"/>
    <w:rsid w:val="00C3110F"/>
    <w:rsid w:val="00C45347"/>
    <w:rsid w:val="00C76941"/>
    <w:rsid w:val="00D561A4"/>
    <w:rsid w:val="00DE1D59"/>
    <w:rsid w:val="00E34A08"/>
    <w:rsid w:val="00E561D4"/>
    <w:rsid w:val="00E71877"/>
    <w:rsid w:val="00E82ED2"/>
    <w:rsid w:val="00EA1B13"/>
    <w:rsid w:val="00EC5FD8"/>
    <w:rsid w:val="00EF0933"/>
    <w:rsid w:val="00F40AC4"/>
    <w:rsid w:val="00F44BF7"/>
    <w:rsid w:val="00F53EB3"/>
    <w:rsid w:val="00F87A56"/>
    <w:rsid w:val="01062F6A"/>
    <w:rsid w:val="013C3B44"/>
    <w:rsid w:val="024B045B"/>
    <w:rsid w:val="02F294C8"/>
    <w:rsid w:val="0307B9A0"/>
    <w:rsid w:val="034AFF5F"/>
    <w:rsid w:val="040634A8"/>
    <w:rsid w:val="0473DC06"/>
    <w:rsid w:val="04A38A01"/>
    <w:rsid w:val="04B74D20"/>
    <w:rsid w:val="054E51E9"/>
    <w:rsid w:val="0550B2BE"/>
    <w:rsid w:val="05611239"/>
    <w:rsid w:val="05A20509"/>
    <w:rsid w:val="05B97CD0"/>
    <w:rsid w:val="06201905"/>
    <w:rsid w:val="070438A8"/>
    <w:rsid w:val="073DD56A"/>
    <w:rsid w:val="07A188A6"/>
    <w:rsid w:val="07EE889C"/>
    <w:rsid w:val="09998FD9"/>
    <w:rsid w:val="0A5195BA"/>
    <w:rsid w:val="0CD1309B"/>
    <w:rsid w:val="0DC48EB5"/>
    <w:rsid w:val="0E6D00FC"/>
    <w:rsid w:val="0E8DB6D6"/>
    <w:rsid w:val="0EA314A3"/>
    <w:rsid w:val="0F1848F5"/>
    <w:rsid w:val="0F2CF463"/>
    <w:rsid w:val="0FA88D03"/>
    <w:rsid w:val="0FF41D8E"/>
    <w:rsid w:val="102A04A7"/>
    <w:rsid w:val="103EE504"/>
    <w:rsid w:val="10910490"/>
    <w:rsid w:val="110C46F1"/>
    <w:rsid w:val="117503C7"/>
    <w:rsid w:val="11C06FCA"/>
    <w:rsid w:val="122A453B"/>
    <w:rsid w:val="12649525"/>
    <w:rsid w:val="139B5A07"/>
    <w:rsid w:val="13D85082"/>
    <w:rsid w:val="13F2C3A7"/>
    <w:rsid w:val="1450031E"/>
    <w:rsid w:val="1455AAAB"/>
    <w:rsid w:val="150F9AA4"/>
    <w:rsid w:val="165EEA84"/>
    <w:rsid w:val="169CEEA6"/>
    <w:rsid w:val="1781F81A"/>
    <w:rsid w:val="186ECB2A"/>
    <w:rsid w:val="18CBE923"/>
    <w:rsid w:val="18D3150F"/>
    <w:rsid w:val="1970705A"/>
    <w:rsid w:val="19B17AD4"/>
    <w:rsid w:val="19B68F06"/>
    <w:rsid w:val="1AEEC742"/>
    <w:rsid w:val="1B1E9CD7"/>
    <w:rsid w:val="1B874A6F"/>
    <w:rsid w:val="1CBE32F8"/>
    <w:rsid w:val="1CC8682B"/>
    <w:rsid w:val="1CD07E28"/>
    <w:rsid w:val="1D7F32C8"/>
    <w:rsid w:val="1D8A356E"/>
    <w:rsid w:val="1DABB5A5"/>
    <w:rsid w:val="1DE2A005"/>
    <w:rsid w:val="1E994807"/>
    <w:rsid w:val="1EA6E058"/>
    <w:rsid w:val="1EBEEB31"/>
    <w:rsid w:val="1F1A2FC7"/>
    <w:rsid w:val="1F7E7066"/>
    <w:rsid w:val="20D6FB08"/>
    <w:rsid w:val="20DEE88E"/>
    <w:rsid w:val="21A3645C"/>
    <w:rsid w:val="2307C0AC"/>
    <w:rsid w:val="23668E5C"/>
    <w:rsid w:val="237933F7"/>
    <w:rsid w:val="23AC613E"/>
    <w:rsid w:val="24B963B2"/>
    <w:rsid w:val="25150458"/>
    <w:rsid w:val="25B259B1"/>
    <w:rsid w:val="26553413"/>
    <w:rsid w:val="270CECB1"/>
    <w:rsid w:val="2740D74E"/>
    <w:rsid w:val="276AF5D5"/>
    <w:rsid w:val="279999C5"/>
    <w:rsid w:val="27D1994E"/>
    <w:rsid w:val="280B1AD2"/>
    <w:rsid w:val="28130858"/>
    <w:rsid w:val="29456AAC"/>
    <w:rsid w:val="2995E32D"/>
    <w:rsid w:val="29A621E5"/>
    <w:rsid w:val="2A19DA2E"/>
    <w:rsid w:val="2B31B38E"/>
    <w:rsid w:val="2B5323BE"/>
    <w:rsid w:val="2B5EA2B2"/>
    <w:rsid w:val="2C219B35"/>
    <w:rsid w:val="2C6D0AE8"/>
    <w:rsid w:val="2CCD83EF"/>
    <w:rsid w:val="2D7C2E35"/>
    <w:rsid w:val="2DB9268B"/>
    <w:rsid w:val="2E08DB49"/>
    <w:rsid w:val="2E5AD6EB"/>
    <w:rsid w:val="2EA3DBC5"/>
    <w:rsid w:val="2EBBE69E"/>
    <w:rsid w:val="2F593BF7"/>
    <w:rsid w:val="304F8D38"/>
    <w:rsid w:val="3098937D"/>
    <w:rsid w:val="30DEFC74"/>
    <w:rsid w:val="31B1A984"/>
    <w:rsid w:val="320F1D8E"/>
    <w:rsid w:val="327747A8"/>
    <w:rsid w:val="328C97AE"/>
    <w:rsid w:val="32BBC934"/>
    <w:rsid w:val="32DEBB5F"/>
    <w:rsid w:val="3428680F"/>
    <w:rsid w:val="342CAD1A"/>
    <w:rsid w:val="34390879"/>
    <w:rsid w:val="3441906C"/>
    <w:rsid w:val="35A93C1E"/>
    <w:rsid w:val="35D4D8DA"/>
    <w:rsid w:val="376008D1"/>
    <w:rsid w:val="37BF4F97"/>
    <w:rsid w:val="37F9F533"/>
    <w:rsid w:val="3825C015"/>
    <w:rsid w:val="38E12864"/>
    <w:rsid w:val="398724E1"/>
    <w:rsid w:val="39913C7B"/>
    <w:rsid w:val="3A130B27"/>
    <w:rsid w:val="3A97A993"/>
    <w:rsid w:val="3AC13A1A"/>
    <w:rsid w:val="3BC1F8E7"/>
    <w:rsid w:val="3C0540A8"/>
    <w:rsid w:val="3C625409"/>
    <w:rsid w:val="3C9A0328"/>
    <w:rsid w:val="3CF93138"/>
    <w:rsid w:val="3D09A6FA"/>
    <w:rsid w:val="3D273CE7"/>
    <w:rsid w:val="3D4AABE9"/>
    <w:rsid w:val="3E29FCFA"/>
    <w:rsid w:val="3E2C3AB1"/>
    <w:rsid w:val="3E35D389"/>
    <w:rsid w:val="3E64DF4A"/>
    <w:rsid w:val="4030D1FA"/>
    <w:rsid w:val="40780606"/>
    <w:rsid w:val="40ECD4B9"/>
    <w:rsid w:val="41149C7A"/>
    <w:rsid w:val="41CCA25B"/>
    <w:rsid w:val="41E5CAB8"/>
    <w:rsid w:val="42543609"/>
    <w:rsid w:val="42861564"/>
    <w:rsid w:val="42B323A2"/>
    <w:rsid w:val="43C70606"/>
    <w:rsid w:val="44EDBD7F"/>
    <w:rsid w:val="45ADEE20"/>
    <w:rsid w:val="45BDB626"/>
    <w:rsid w:val="45E249C0"/>
    <w:rsid w:val="46A80104"/>
    <w:rsid w:val="46EA2BCD"/>
    <w:rsid w:val="477B28D8"/>
    <w:rsid w:val="483EFC58"/>
    <w:rsid w:val="484FA6FE"/>
    <w:rsid w:val="48875392"/>
    <w:rsid w:val="488B8946"/>
    <w:rsid w:val="48F65A7A"/>
    <w:rsid w:val="493B7C6B"/>
    <w:rsid w:val="493FB21F"/>
    <w:rsid w:val="495D5009"/>
    <w:rsid w:val="4A147D1E"/>
    <w:rsid w:val="4AE3D8F7"/>
    <w:rsid w:val="4B8747C0"/>
    <w:rsid w:val="4BD0B74C"/>
    <w:rsid w:val="4C674794"/>
    <w:rsid w:val="4C7752E1"/>
    <w:rsid w:val="4C8AA745"/>
    <w:rsid w:val="4D0855E1"/>
    <w:rsid w:val="4DC63855"/>
    <w:rsid w:val="4DD34547"/>
    <w:rsid w:val="4EB312E9"/>
    <w:rsid w:val="4ED810DF"/>
    <w:rsid w:val="4EEE6B22"/>
    <w:rsid w:val="4F5DBE55"/>
    <w:rsid w:val="4FABDB2D"/>
    <w:rsid w:val="4FCAB64E"/>
    <w:rsid w:val="5031D0EC"/>
    <w:rsid w:val="5040DCC4"/>
    <w:rsid w:val="5074F550"/>
    <w:rsid w:val="50E724C5"/>
    <w:rsid w:val="50FDD917"/>
    <w:rsid w:val="510AE609"/>
    <w:rsid w:val="5124FC67"/>
    <w:rsid w:val="535E6F08"/>
    <w:rsid w:val="541EC587"/>
    <w:rsid w:val="551C047C"/>
    <w:rsid w:val="558E7108"/>
    <w:rsid w:val="55DBC776"/>
    <w:rsid w:val="5639F7D2"/>
    <w:rsid w:val="56B7D4DD"/>
    <w:rsid w:val="56C25663"/>
    <w:rsid w:val="571A4E91"/>
    <w:rsid w:val="57A445E2"/>
    <w:rsid w:val="57F299A5"/>
    <w:rsid w:val="586ED881"/>
    <w:rsid w:val="58A3E701"/>
    <w:rsid w:val="58CEE3B2"/>
    <w:rsid w:val="5953E1F5"/>
    <w:rsid w:val="59719894"/>
    <w:rsid w:val="5989105B"/>
    <w:rsid w:val="59A13AD5"/>
    <w:rsid w:val="59CDB08C"/>
    <w:rsid w:val="5AE7C5CB"/>
    <w:rsid w:val="5B19ED51"/>
    <w:rsid w:val="5C57E70B"/>
    <w:rsid w:val="5C67AF0E"/>
    <w:rsid w:val="5C809F85"/>
    <w:rsid w:val="5CBB7F04"/>
    <w:rsid w:val="5CCF4AB6"/>
    <w:rsid w:val="5D05514E"/>
    <w:rsid w:val="5D681141"/>
    <w:rsid w:val="5DF91441"/>
    <w:rsid w:val="5E0800E8"/>
    <w:rsid w:val="5E5C817E"/>
    <w:rsid w:val="5EC1492D"/>
    <w:rsid w:val="5F4CA5EF"/>
    <w:rsid w:val="5F7EC5F0"/>
    <w:rsid w:val="5F8F87CD"/>
    <w:rsid w:val="5FD8B051"/>
    <w:rsid w:val="5FFDE77A"/>
    <w:rsid w:val="603CF210"/>
    <w:rsid w:val="60A8087A"/>
    <w:rsid w:val="61649FA0"/>
    <w:rsid w:val="628446B1"/>
    <w:rsid w:val="639774CA"/>
    <w:rsid w:val="64538B29"/>
    <w:rsid w:val="64B44B3B"/>
    <w:rsid w:val="64F49A7D"/>
    <w:rsid w:val="65F792FA"/>
    <w:rsid w:val="663810C3"/>
    <w:rsid w:val="6671458D"/>
    <w:rsid w:val="67025447"/>
    <w:rsid w:val="678B2BEB"/>
    <w:rsid w:val="679F2325"/>
    <w:rsid w:val="686AE5ED"/>
    <w:rsid w:val="68E5A810"/>
    <w:rsid w:val="694AB38F"/>
    <w:rsid w:val="696FB185"/>
    <w:rsid w:val="698009B9"/>
    <w:rsid w:val="6A2857BA"/>
    <w:rsid w:val="6A2D6BEC"/>
    <w:rsid w:val="6ABE6EEC"/>
    <w:rsid w:val="6AEB0476"/>
    <w:rsid w:val="6AF7BEC7"/>
    <w:rsid w:val="6CEEC73A"/>
    <w:rsid w:val="6E6F9F63"/>
    <w:rsid w:val="6ECD1A7F"/>
    <w:rsid w:val="6EE335C9"/>
    <w:rsid w:val="7018885D"/>
    <w:rsid w:val="70202B52"/>
    <w:rsid w:val="709A3A1D"/>
    <w:rsid w:val="70ADB806"/>
    <w:rsid w:val="730DC3A2"/>
    <w:rsid w:val="732CEE0E"/>
    <w:rsid w:val="734DBF98"/>
    <w:rsid w:val="73C7AEF2"/>
    <w:rsid w:val="7409393A"/>
    <w:rsid w:val="748D6636"/>
    <w:rsid w:val="74C5B88A"/>
    <w:rsid w:val="75C4AB56"/>
    <w:rsid w:val="76293697"/>
    <w:rsid w:val="76456464"/>
    <w:rsid w:val="76943E4C"/>
    <w:rsid w:val="76ACA5D3"/>
    <w:rsid w:val="76EF87B1"/>
    <w:rsid w:val="779CF1F4"/>
    <w:rsid w:val="77E1D2BB"/>
    <w:rsid w:val="77FD594C"/>
    <w:rsid w:val="7808085E"/>
    <w:rsid w:val="7815C1CE"/>
    <w:rsid w:val="785CA243"/>
    <w:rsid w:val="786F9CAE"/>
    <w:rsid w:val="78F16B1A"/>
    <w:rsid w:val="7960D759"/>
    <w:rsid w:val="79ADE53B"/>
    <w:rsid w:val="79ECA3AE"/>
    <w:rsid w:val="7A1DF18B"/>
    <w:rsid w:val="7B106AD9"/>
    <w:rsid w:val="7B48176D"/>
    <w:rsid w:val="7CF8546B"/>
    <w:rsid w:val="7D40D82A"/>
    <w:rsid w:val="7F136398"/>
    <w:rsid w:val="7F14618F"/>
    <w:rsid w:val="7F44393C"/>
    <w:rsid w:val="7FA06AE2"/>
    <w:rsid w:val="7FBAF4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E224D"/>
  <w15:chartTrackingRefBased/>
  <w15:docId w15:val="{42E5078A-F6C7-4294-BBD7-031D97EC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1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177"/>
  </w:style>
  <w:style w:type="paragraph" w:styleId="Footer">
    <w:name w:val="footer"/>
    <w:basedOn w:val="Normal"/>
    <w:link w:val="FooterChar"/>
    <w:uiPriority w:val="99"/>
    <w:unhideWhenUsed/>
    <w:rsid w:val="004671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177"/>
  </w:style>
  <w:style w:type="paragraph" w:styleId="Revision">
    <w:name w:val="Revision"/>
    <w:hidden/>
    <w:uiPriority w:val="99"/>
    <w:semiHidden/>
    <w:rsid w:val="008813A2"/>
    <w:pPr>
      <w:spacing w:after="0" w:line="240" w:lineRule="auto"/>
    </w:pPr>
  </w:style>
  <w:style w:type="paragraph" w:styleId="BalloonText">
    <w:name w:val="Balloon Text"/>
    <w:basedOn w:val="Normal"/>
    <w:link w:val="BalloonTextChar"/>
    <w:uiPriority w:val="99"/>
    <w:semiHidden/>
    <w:unhideWhenUsed/>
    <w:rsid w:val="008813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3A2"/>
    <w:rPr>
      <w:rFonts w:ascii="Segoe UI" w:hAnsi="Segoe UI" w:cs="Segoe UI"/>
      <w:sz w:val="18"/>
      <w:szCs w:val="18"/>
    </w:rPr>
  </w:style>
  <w:style w:type="character" w:styleId="Hyperlink">
    <w:name w:val="Hyperlink"/>
    <w:basedOn w:val="DefaultParagraphFont"/>
    <w:uiPriority w:val="99"/>
    <w:unhideWhenUsed/>
    <w:rsid w:val="0092141F"/>
    <w:rPr>
      <w:color w:val="0563C1" w:themeColor="hyperlink"/>
      <w:u w:val="single"/>
    </w:rPr>
  </w:style>
  <w:style w:type="character" w:styleId="UnresolvedMention">
    <w:name w:val="Unresolved Mention"/>
    <w:basedOn w:val="DefaultParagraphFont"/>
    <w:uiPriority w:val="99"/>
    <w:semiHidden/>
    <w:unhideWhenUsed/>
    <w:rsid w:val="0092141F"/>
    <w:rPr>
      <w:color w:val="605E5C"/>
      <w:shd w:val="clear" w:color="auto" w:fill="E1DFDD"/>
    </w:rPr>
  </w:style>
  <w:style w:type="paragraph" w:styleId="NoSpacing">
    <w:name w:val="No Spacing"/>
    <w:uiPriority w:val="1"/>
    <w:qFormat/>
    <w:rsid w:val="0092141F"/>
    <w:pPr>
      <w:spacing w:after="0" w:line="240" w:lineRule="auto"/>
    </w:p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61187">
      <w:bodyDiv w:val="1"/>
      <w:marLeft w:val="0"/>
      <w:marRight w:val="0"/>
      <w:marTop w:val="0"/>
      <w:marBottom w:val="0"/>
      <w:divBdr>
        <w:top w:val="none" w:sz="0" w:space="0" w:color="auto"/>
        <w:left w:val="none" w:sz="0" w:space="0" w:color="auto"/>
        <w:bottom w:val="none" w:sz="0" w:space="0" w:color="auto"/>
        <w:right w:val="none" w:sz="0" w:space="0" w:color="auto"/>
      </w:divBdr>
    </w:div>
    <w:div w:id="324630294">
      <w:bodyDiv w:val="1"/>
      <w:marLeft w:val="0"/>
      <w:marRight w:val="0"/>
      <w:marTop w:val="0"/>
      <w:marBottom w:val="0"/>
      <w:divBdr>
        <w:top w:val="none" w:sz="0" w:space="0" w:color="auto"/>
        <w:left w:val="none" w:sz="0" w:space="0" w:color="auto"/>
        <w:bottom w:val="none" w:sz="0" w:space="0" w:color="auto"/>
        <w:right w:val="none" w:sz="0" w:space="0" w:color="auto"/>
      </w:divBdr>
    </w:div>
    <w:div w:id="400254145">
      <w:bodyDiv w:val="1"/>
      <w:marLeft w:val="0"/>
      <w:marRight w:val="0"/>
      <w:marTop w:val="0"/>
      <w:marBottom w:val="0"/>
      <w:divBdr>
        <w:top w:val="none" w:sz="0" w:space="0" w:color="auto"/>
        <w:left w:val="none" w:sz="0" w:space="0" w:color="auto"/>
        <w:bottom w:val="none" w:sz="0" w:space="0" w:color="auto"/>
        <w:right w:val="none" w:sz="0" w:space="0" w:color="auto"/>
      </w:divBdr>
    </w:div>
    <w:div w:id="863324124">
      <w:bodyDiv w:val="1"/>
      <w:marLeft w:val="0"/>
      <w:marRight w:val="0"/>
      <w:marTop w:val="0"/>
      <w:marBottom w:val="0"/>
      <w:divBdr>
        <w:top w:val="none" w:sz="0" w:space="0" w:color="auto"/>
        <w:left w:val="none" w:sz="0" w:space="0" w:color="auto"/>
        <w:bottom w:val="none" w:sz="0" w:space="0" w:color="auto"/>
        <w:right w:val="none" w:sz="0" w:space="0" w:color="auto"/>
      </w:divBdr>
    </w:div>
    <w:div w:id="117900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F0683F28785942808EB82D5E3B7DE9" ma:contentTypeVersion="13" ma:contentTypeDescription="Create a new document." ma:contentTypeScope="" ma:versionID="231009a6e7841ab1456d6dfa9abf12da">
  <xsd:schema xmlns:xsd="http://www.w3.org/2001/XMLSchema" xmlns:xs="http://www.w3.org/2001/XMLSchema" xmlns:p="http://schemas.microsoft.com/office/2006/metadata/properties" xmlns:ns2="59e67eeb-fce3-49b3-8ae1-7a9445df062a" xmlns:ns3="f30c1bb0-da18-4de0-b50c-df7289619289" targetNamespace="http://schemas.microsoft.com/office/2006/metadata/properties" ma:root="true" ma:fieldsID="7f9f6e5f3770077c2ea1ea58b62de6a5" ns2:_="" ns3:_="">
    <xsd:import namespace="59e67eeb-fce3-49b3-8ae1-7a9445df062a"/>
    <xsd:import namespace="f30c1bb0-da18-4de0-b50c-df72896192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67eeb-fce3-49b3-8ae1-7a9445df0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0c1bb0-da18-4de0-b50c-df72896192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F02D4C-2ECB-47F1-BB19-E9FC065DE0A9}">
  <ds:schemaRefs>
    <ds:schemaRef ds:uri="http://schemas.microsoft.com/sharepoint/v3/contenttype/forms"/>
  </ds:schemaRefs>
</ds:datastoreItem>
</file>

<file path=customXml/itemProps2.xml><?xml version="1.0" encoding="utf-8"?>
<ds:datastoreItem xmlns:ds="http://schemas.openxmlformats.org/officeDocument/2006/customXml" ds:itemID="{F3C88EE4-1427-434F-B033-CD8AF66B3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67eeb-fce3-49b3-8ae1-7a9445df062a"/>
    <ds:schemaRef ds:uri="f30c1bb0-da18-4de0-b50c-df7289619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D5EB2B-89DF-4E96-A892-4358701BA2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4999</Characters>
  <Application>Microsoft Office Word</Application>
  <DocSecurity>0</DocSecurity>
  <Lines>41</Lines>
  <Paragraphs>11</Paragraphs>
  <ScaleCrop>false</ScaleCrop>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Hugh</dc:creator>
  <cp:keywords/>
  <dc:description/>
  <cp:lastModifiedBy>Gurnhill, AnnaG</cp:lastModifiedBy>
  <cp:revision>50</cp:revision>
  <cp:lastPrinted>2020-11-11T00:19:00Z</cp:lastPrinted>
  <dcterms:created xsi:type="dcterms:W3CDTF">2020-11-13T04:10:00Z</dcterms:created>
  <dcterms:modified xsi:type="dcterms:W3CDTF">2022-05-01T21:12:00Z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0x01010051F0683F28785942808EB82D5E3B7DE9</vt:lpwstr>
  </property>
</Properties>
</file>