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C685" w14:textId="0530657D" w:rsidR="00F25118" w:rsidRPr="00290FD2" w:rsidRDefault="00F25118" w:rsidP="002A5D5E">
      <w:pPr>
        <w:pStyle w:val="Heading1"/>
        <w:spacing w:before="8000"/>
        <w:ind w:firstLine="720"/>
      </w:pPr>
      <w:bookmarkStart w:id="0" w:name="_Hlk87453493"/>
      <w:bookmarkStart w:id="1" w:name="_Hlk87256422"/>
      <w:r w:rsidRPr="00290FD2">
        <w:t>Appropriation Bill 202</w:t>
      </w:r>
      <w:r w:rsidR="00A96E1A">
        <w:t>1</w:t>
      </w:r>
      <w:r w:rsidRPr="00290FD2">
        <w:t>-202</w:t>
      </w:r>
      <w:r w:rsidR="00A96E1A">
        <w:t>2</w:t>
      </w:r>
      <w:r w:rsidRPr="00290FD2">
        <w:t xml:space="preserve"> and</w:t>
      </w:r>
      <w:r w:rsidRPr="00290FD2">
        <w:br/>
        <w:t>Appropriation (Office of the Legislative Assembly) Bill 2021-2022</w:t>
      </w:r>
    </w:p>
    <w:bookmarkEnd w:id="0"/>
    <w:p w14:paraId="1CE1C55E" w14:textId="139003ED" w:rsidR="00F25118" w:rsidRPr="00290FD2" w:rsidRDefault="00F25118" w:rsidP="00F25118">
      <w:pPr>
        <w:pStyle w:val="CommitteeName"/>
      </w:pPr>
      <w:r w:rsidRPr="00290FD2">
        <w:t xml:space="preserve">Standing Committee on </w:t>
      </w:r>
      <w:r w:rsidR="00290FD2" w:rsidRPr="00290FD2">
        <w:t>Health and Community Wellbeing</w:t>
      </w:r>
    </w:p>
    <w:p w14:paraId="1C5D73F4" w14:textId="77777777" w:rsidR="00F25118" w:rsidRPr="00290FD2" w:rsidRDefault="00F25118" w:rsidP="00F25118">
      <w:pPr>
        <w:pStyle w:val="Date"/>
      </w:pPr>
      <w:r w:rsidRPr="00290FD2">
        <w:t>November 2021</w:t>
      </w:r>
    </w:p>
    <w:p w14:paraId="48361216" w14:textId="70BDFA4F" w:rsidR="00F25118" w:rsidRDefault="00F25118" w:rsidP="00F25118">
      <w:pPr>
        <w:spacing w:before="1200"/>
        <w:jc w:val="right"/>
        <w:rPr>
          <w:rFonts w:ascii="Arial Narrow" w:hAnsi="Arial Narrow"/>
          <w:smallCaps/>
          <w:sz w:val="24"/>
        </w:rPr>
      </w:pPr>
      <w:r w:rsidRPr="00290FD2">
        <w:rPr>
          <w:rFonts w:ascii="Arial Narrow" w:hAnsi="Arial Narrow"/>
          <w:smallCaps/>
          <w:sz w:val="24"/>
        </w:rPr>
        <w:t>Report</w:t>
      </w:r>
      <w:r w:rsidRPr="001D50B4">
        <w:rPr>
          <w:rFonts w:ascii="Arial Narrow" w:hAnsi="Arial Narrow"/>
          <w:smallCaps/>
          <w:sz w:val="24"/>
        </w:rPr>
        <w:t xml:space="preserve"> </w:t>
      </w:r>
      <w:r w:rsidR="00290FD2" w:rsidRPr="001D50B4">
        <w:rPr>
          <w:rFonts w:ascii="Arial Narrow" w:hAnsi="Arial Narrow"/>
          <w:smallCaps/>
          <w:sz w:val="24"/>
        </w:rPr>
        <w:t>3</w:t>
      </w:r>
    </w:p>
    <w:p w14:paraId="3C5E060B" w14:textId="77777777" w:rsidR="00F25118" w:rsidRDefault="00F25118" w:rsidP="00F25118"/>
    <w:p w14:paraId="7E1AB181" w14:textId="77777777" w:rsidR="00F25118" w:rsidRDefault="00F25118" w:rsidP="00F25118">
      <w:pPr>
        <w:sectPr w:rsidR="00F25118" w:rsidSect="00F25118">
          <w:footerReference w:type="default" r:id="rId8"/>
          <w:pgSz w:w="11907" w:h="16840" w:code="9"/>
          <w:pgMar w:top="1588" w:right="1418" w:bottom="1418" w:left="1418" w:header="720" w:footer="851" w:gutter="0"/>
          <w:cols w:space="720"/>
          <w:docGrid w:linePitch="360"/>
        </w:sectPr>
      </w:pPr>
    </w:p>
    <w:p w14:paraId="61189613" w14:textId="77777777" w:rsidR="00F25118" w:rsidRDefault="00F25118" w:rsidP="00F25118">
      <w:pPr>
        <w:pStyle w:val="Heading2"/>
        <w:ind w:left="567" w:hanging="567"/>
      </w:pPr>
      <w:bookmarkStart w:id="2" w:name="_Toc502671580"/>
      <w:bookmarkStart w:id="3" w:name="_Toc502671759"/>
      <w:bookmarkStart w:id="4" w:name="_Toc502671864"/>
      <w:bookmarkStart w:id="5" w:name="_Toc502672797"/>
      <w:bookmarkStart w:id="6" w:name="_Toc87607398"/>
      <w:r>
        <w:lastRenderedPageBreak/>
        <w:t>The Committee</w:t>
      </w:r>
      <w:bookmarkEnd w:id="2"/>
      <w:bookmarkEnd w:id="3"/>
      <w:bookmarkEnd w:id="4"/>
      <w:bookmarkEnd w:id="5"/>
      <w:bookmarkEnd w:id="6"/>
    </w:p>
    <w:p w14:paraId="07424C9E" w14:textId="77777777" w:rsidR="00F25118" w:rsidRDefault="00F25118" w:rsidP="00F25118">
      <w:pPr>
        <w:pStyle w:val="Heading3"/>
        <w:ind w:hanging="567"/>
      </w:pPr>
      <w:bookmarkStart w:id="7" w:name="_Toc502671581"/>
      <w:bookmarkStart w:id="8" w:name="_Toc502671760"/>
      <w:bookmarkStart w:id="9" w:name="_Toc502671865"/>
      <w:bookmarkStart w:id="10" w:name="_Toc502672798"/>
      <w:bookmarkStart w:id="11" w:name="_Toc87607399"/>
      <w:r>
        <w:t>Committee Membership</w:t>
      </w:r>
      <w:bookmarkEnd w:id="7"/>
      <w:bookmarkEnd w:id="8"/>
      <w:bookmarkEnd w:id="9"/>
      <w:bookmarkEnd w:id="10"/>
      <w:bookmarkEnd w:id="11"/>
    </w:p>
    <w:p w14:paraId="15820A97" w14:textId="3F606D73" w:rsidR="00F25118" w:rsidRPr="00290FD2" w:rsidRDefault="00290FD2" w:rsidP="00F25118">
      <w:pPr>
        <w:pStyle w:val="ListNoBullet"/>
      </w:pPr>
      <w:r w:rsidRPr="00290FD2">
        <w:t xml:space="preserve">Johnathan Davis </w:t>
      </w:r>
      <w:r w:rsidR="00F25118" w:rsidRPr="00290FD2">
        <w:t>MLA (Chair)</w:t>
      </w:r>
    </w:p>
    <w:p w14:paraId="38DCF762" w14:textId="0CA1A29C" w:rsidR="00F25118" w:rsidRPr="00290FD2" w:rsidRDefault="00290FD2" w:rsidP="00F25118">
      <w:pPr>
        <w:pStyle w:val="ListNoBullet"/>
      </w:pPr>
      <w:r w:rsidRPr="00290FD2">
        <w:t xml:space="preserve">James Milligan </w:t>
      </w:r>
      <w:r w:rsidR="00F25118" w:rsidRPr="00290FD2">
        <w:t>MLA (Deputy Chair)</w:t>
      </w:r>
    </w:p>
    <w:p w14:paraId="100B2ABE" w14:textId="0D6F9B5C" w:rsidR="00F25118" w:rsidRDefault="00290FD2" w:rsidP="00F25118">
      <w:pPr>
        <w:pStyle w:val="ListNoBullet"/>
      </w:pPr>
      <w:r w:rsidRPr="00290FD2">
        <w:t xml:space="preserve">Michael Pettersson </w:t>
      </w:r>
      <w:r w:rsidR="00F25118">
        <w:t>MLA</w:t>
      </w:r>
    </w:p>
    <w:p w14:paraId="17738116" w14:textId="77777777" w:rsidR="00F25118" w:rsidRDefault="00F25118" w:rsidP="00F25118">
      <w:pPr>
        <w:pStyle w:val="Heading3"/>
        <w:ind w:hanging="567"/>
      </w:pPr>
      <w:bookmarkStart w:id="12" w:name="_Toc502671582"/>
      <w:bookmarkStart w:id="13" w:name="_Toc502671761"/>
      <w:bookmarkStart w:id="14" w:name="_Toc502671866"/>
      <w:bookmarkStart w:id="15" w:name="_Toc502672799"/>
      <w:bookmarkStart w:id="16" w:name="_Toc87607400"/>
      <w:r>
        <w:t>Secretariat</w:t>
      </w:r>
      <w:bookmarkEnd w:id="12"/>
      <w:bookmarkEnd w:id="13"/>
      <w:bookmarkEnd w:id="14"/>
      <w:bookmarkEnd w:id="15"/>
      <w:bookmarkEnd w:id="16"/>
    </w:p>
    <w:p w14:paraId="452BD619" w14:textId="4A54A85F" w:rsidR="00F25118" w:rsidRPr="00290FD2" w:rsidRDefault="00290FD2" w:rsidP="00F25118">
      <w:pPr>
        <w:pStyle w:val="ListNoBullet"/>
        <w:numPr>
          <w:ilvl w:val="0"/>
          <w:numId w:val="0"/>
        </w:numPr>
      </w:pPr>
      <w:r>
        <w:t>Andrew Snedden</w:t>
      </w:r>
      <w:r>
        <w:tab/>
      </w:r>
      <w:r w:rsidRPr="00290FD2">
        <w:t>C</w:t>
      </w:r>
      <w:r w:rsidR="00F25118" w:rsidRPr="00290FD2">
        <w:t>ommittee Secretary</w:t>
      </w:r>
    </w:p>
    <w:p w14:paraId="3DC16442" w14:textId="31B42FE9" w:rsidR="00F25118" w:rsidRPr="00290FD2" w:rsidRDefault="00F25118" w:rsidP="00290FD2">
      <w:pPr>
        <w:pStyle w:val="ListNoBullet"/>
        <w:numPr>
          <w:ilvl w:val="0"/>
          <w:numId w:val="0"/>
        </w:numPr>
      </w:pPr>
      <w:r w:rsidRPr="00290FD2">
        <w:t>Lydia Chung</w:t>
      </w:r>
      <w:r w:rsidRPr="00290FD2">
        <w:tab/>
      </w:r>
      <w:r w:rsidRPr="00290FD2">
        <w:tab/>
        <w:t>Administrative Assistant</w:t>
      </w:r>
    </w:p>
    <w:p w14:paraId="3F301663" w14:textId="22ECE553" w:rsidR="00F25118" w:rsidRPr="00290FD2" w:rsidRDefault="00F25118" w:rsidP="00F25118">
      <w:pPr>
        <w:pStyle w:val="ListNoBullet"/>
      </w:pPr>
      <w:r w:rsidRPr="00290FD2">
        <w:t>Nick Byrne</w:t>
      </w:r>
      <w:r w:rsidRPr="00290FD2">
        <w:tab/>
      </w:r>
      <w:r w:rsidRPr="00290FD2">
        <w:tab/>
        <w:t>Administrative Assistant</w:t>
      </w:r>
    </w:p>
    <w:p w14:paraId="32D7A8B6" w14:textId="77777777" w:rsidR="00F25118" w:rsidRPr="00290FD2" w:rsidRDefault="00F25118" w:rsidP="00F25118">
      <w:pPr>
        <w:pStyle w:val="Heading3"/>
        <w:ind w:hanging="567"/>
      </w:pPr>
      <w:bookmarkStart w:id="17" w:name="_Toc502671583"/>
      <w:bookmarkStart w:id="18" w:name="_Toc502671762"/>
      <w:bookmarkStart w:id="19" w:name="_Toc502671867"/>
      <w:bookmarkStart w:id="20" w:name="_Toc502672800"/>
      <w:bookmarkStart w:id="21" w:name="_Toc87607401"/>
      <w:r w:rsidRPr="00290FD2">
        <w:t>Contact Information</w:t>
      </w:r>
      <w:bookmarkEnd w:id="17"/>
      <w:bookmarkEnd w:id="18"/>
      <w:bookmarkEnd w:id="19"/>
      <w:bookmarkEnd w:id="20"/>
      <w:bookmarkEnd w:id="21"/>
    </w:p>
    <w:p w14:paraId="1670124E" w14:textId="1A1D1079" w:rsidR="00F25118" w:rsidRPr="00290FD2" w:rsidRDefault="00F25118" w:rsidP="00F25118">
      <w:pPr>
        <w:spacing w:before="40" w:after="60"/>
      </w:pPr>
      <w:r w:rsidRPr="00290FD2">
        <w:t>Telephone</w:t>
      </w:r>
      <w:r w:rsidRPr="00290FD2">
        <w:tab/>
        <w:t xml:space="preserve">02 620 </w:t>
      </w:r>
      <w:r w:rsidR="00290FD2" w:rsidRPr="00290FD2">
        <w:t>50199</w:t>
      </w:r>
    </w:p>
    <w:p w14:paraId="647AF90D" w14:textId="77777777" w:rsidR="00F25118" w:rsidRPr="00290FD2" w:rsidRDefault="00F25118" w:rsidP="00F25118">
      <w:pPr>
        <w:tabs>
          <w:tab w:val="left" w:pos="1418"/>
        </w:tabs>
        <w:spacing w:before="40" w:after="60"/>
      </w:pPr>
      <w:r w:rsidRPr="00290FD2">
        <w:t>Post</w:t>
      </w:r>
      <w:r w:rsidRPr="00290FD2">
        <w:tab/>
        <w:t>GPO Box 1020, CANBERRA ACT 2601</w:t>
      </w:r>
    </w:p>
    <w:p w14:paraId="5CB142D6" w14:textId="3A6F6780" w:rsidR="00F25118" w:rsidRPr="00290FD2" w:rsidRDefault="00F25118" w:rsidP="00F25118">
      <w:pPr>
        <w:tabs>
          <w:tab w:val="left" w:pos="1418"/>
        </w:tabs>
        <w:spacing w:before="40" w:after="60"/>
      </w:pPr>
      <w:r w:rsidRPr="00290FD2">
        <w:t>Email</w:t>
      </w:r>
      <w:r w:rsidRPr="00290FD2">
        <w:tab/>
      </w:r>
      <w:hyperlink r:id="rId9" w:history="1">
        <w:r w:rsidR="00DE7950" w:rsidRPr="004E1A18">
          <w:rPr>
            <w:rStyle w:val="Hyperlink"/>
          </w:rPr>
          <w:t>LAcommitteeHCW@parliament.act.gov.au</w:t>
        </w:r>
      </w:hyperlink>
    </w:p>
    <w:p w14:paraId="175DE0CA" w14:textId="77777777" w:rsidR="00F25118" w:rsidRDefault="00F25118" w:rsidP="00F25118">
      <w:pPr>
        <w:tabs>
          <w:tab w:val="left" w:pos="1418"/>
        </w:tabs>
        <w:spacing w:before="40" w:after="60"/>
      </w:pPr>
      <w:r w:rsidRPr="00290FD2">
        <w:t>Website</w:t>
      </w:r>
      <w:r w:rsidRPr="00290FD2">
        <w:tab/>
      </w:r>
      <w:hyperlink r:id="rId10" w:history="1">
        <w:r w:rsidRPr="00290FD2">
          <w:rPr>
            <w:rStyle w:val="Hyperlink"/>
          </w:rPr>
          <w:t>www.parliament.act.gov.au</w:t>
        </w:r>
      </w:hyperlink>
      <w:r>
        <w:t xml:space="preserve"> </w:t>
      </w:r>
      <w:bookmarkStart w:id="22" w:name="_Toc502671584"/>
      <w:bookmarkStart w:id="23" w:name="_Toc502671763"/>
      <w:bookmarkStart w:id="24" w:name="_Toc502671868"/>
      <w:bookmarkStart w:id="25" w:name="_Toc502672801"/>
    </w:p>
    <w:p w14:paraId="07855F15" w14:textId="77777777" w:rsidR="00F25118" w:rsidRPr="00714062" w:rsidRDefault="00F25118" w:rsidP="00F25118">
      <w:pPr>
        <w:pStyle w:val="Heading3"/>
        <w:ind w:hanging="567"/>
      </w:pPr>
      <w:r>
        <w:br w:type="page"/>
      </w:r>
      <w:bookmarkStart w:id="26" w:name="_Toc87607402"/>
      <w:r w:rsidRPr="00714062">
        <w:lastRenderedPageBreak/>
        <w:t>Resolution of appointment</w:t>
      </w:r>
      <w:bookmarkEnd w:id="22"/>
      <w:bookmarkEnd w:id="23"/>
      <w:bookmarkEnd w:id="24"/>
      <w:bookmarkEnd w:id="25"/>
      <w:bookmarkEnd w:id="26"/>
    </w:p>
    <w:p w14:paraId="229D56DD" w14:textId="10C4F495" w:rsidR="00F25118" w:rsidRPr="00714062" w:rsidRDefault="00F25118" w:rsidP="00F25118">
      <w:bookmarkStart w:id="27" w:name="_Toc502671585"/>
      <w:bookmarkStart w:id="28" w:name="_Toc502671764"/>
      <w:bookmarkStart w:id="29" w:name="_Toc502671869"/>
      <w:bookmarkStart w:id="30" w:name="_Toc502672802"/>
      <w:r w:rsidRPr="00714062">
        <w:t xml:space="preserve">The Legislative Assembly for the ACT established the Standing Committee on </w:t>
      </w:r>
      <w:r w:rsidR="00290FD2" w:rsidRPr="00714062">
        <w:t>Health and Community Wellbeing</w:t>
      </w:r>
      <w:r w:rsidRPr="00714062">
        <w:t xml:space="preserve"> on 2 December 2020 by resolution</w:t>
      </w:r>
      <w:r w:rsidRPr="00714062">
        <w:rPr>
          <w:rStyle w:val="FootnoteReference"/>
        </w:rPr>
        <w:footnoteReference w:id="1"/>
      </w:r>
      <w:r w:rsidRPr="00714062">
        <w:t xml:space="preserve"> which states (in part) that:</w:t>
      </w:r>
    </w:p>
    <w:p w14:paraId="2177FD29" w14:textId="77777777" w:rsidR="00290FD2" w:rsidRPr="00697120" w:rsidRDefault="00290FD2" w:rsidP="00290FD2">
      <w:pPr>
        <w:tabs>
          <w:tab w:val="left" w:pos="567"/>
        </w:tabs>
        <w:spacing w:before="60" w:after="60"/>
        <w:ind w:left="1701" w:hanging="567"/>
      </w:pPr>
      <w:r w:rsidRPr="00697120">
        <w:t>(1)</w:t>
      </w:r>
      <w:r w:rsidRPr="00697120">
        <w:tab/>
        <w:t xml:space="preserve">the following general-purpose standing committees be established as set out in the table below. The purpose of such committees is to enhance the scrutiny of the </w:t>
      </w:r>
      <w:r>
        <w:t>E</w:t>
      </w:r>
      <w:r w:rsidRPr="00697120">
        <w:t>xecutive, to examine and suggest improvements to any bills referred to it, to enable the citizens of the Territory to engage and to participate in law-making and policy review, to en</w:t>
      </w:r>
      <w:r>
        <w:t>able financial scrutiny of the E</w:t>
      </w:r>
      <w:r w:rsidRPr="00697120">
        <w:t>xecutive</w:t>
      </w:r>
      <w:r>
        <w:t>’</w:t>
      </w:r>
      <w:r w:rsidRPr="00697120">
        <w:t xml:space="preserve">s budget proposals and to review annual reports of taxpayer funded </w:t>
      </w:r>
      <w:proofErr w:type="gramStart"/>
      <w:r w:rsidRPr="00697120">
        <w:t>agencies</w:t>
      </w:r>
      <w:r>
        <w:t>;</w:t>
      </w:r>
      <w:proofErr w:type="gramEnd"/>
    </w:p>
    <w:p w14:paraId="1337C02D" w14:textId="77777777" w:rsidR="00290FD2" w:rsidRPr="00697120" w:rsidRDefault="00290FD2" w:rsidP="00290FD2">
      <w:pPr>
        <w:tabs>
          <w:tab w:val="left" w:pos="567"/>
        </w:tabs>
        <w:spacing w:before="60" w:after="60"/>
        <w:ind w:left="1701" w:hanging="567"/>
      </w:pPr>
      <w:r w:rsidRPr="00697120">
        <w:t>(2)</w:t>
      </w:r>
      <w:r w:rsidRPr="00697120">
        <w:tab/>
        <w:t xml:space="preserve">the committees so established may inquire and report on matters referred to it by the Assembly or matters that are considered by the committee to be of concern to the community and within the nominated areas of </w:t>
      </w:r>
      <w:proofErr w:type="gramStart"/>
      <w:r w:rsidRPr="00697120">
        <w:t>responsibility;</w:t>
      </w:r>
      <w:proofErr w:type="gramEnd"/>
    </w:p>
    <w:p w14:paraId="5CD42D40" w14:textId="77777777" w:rsidR="00290FD2" w:rsidRDefault="00290FD2" w:rsidP="00290FD2">
      <w:pPr>
        <w:tabs>
          <w:tab w:val="left" w:pos="567"/>
        </w:tabs>
        <w:spacing w:before="60" w:after="60"/>
        <w:ind w:left="1701" w:hanging="567"/>
      </w:pPr>
      <w:r w:rsidRPr="00697120">
        <w:t>(3)</w:t>
      </w:r>
      <w:r w:rsidRPr="00697120">
        <w:tab/>
        <w:t xml:space="preserve">calendar and financial year annual and financial reports stand referred to the relevant standing committee for inquiry and report by 31 March of the year after the presentation of the report to the Assembly pursuant to the </w:t>
      </w:r>
      <w:r w:rsidRPr="00697120">
        <w:rPr>
          <w:i/>
        </w:rPr>
        <w:t xml:space="preserve">Annual Reports (Government Agencies) Act </w:t>
      </w:r>
      <w:proofErr w:type="gramStart"/>
      <w:r w:rsidRPr="00697120">
        <w:rPr>
          <w:i/>
        </w:rPr>
        <w:t>2004</w:t>
      </w:r>
      <w:r w:rsidRPr="00697120">
        <w:t>;</w:t>
      </w:r>
      <w:proofErr w:type="gramEnd"/>
    </w:p>
    <w:p w14:paraId="52D8E536" w14:textId="77777777" w:rsidR="00290FD2" w:rsidRDefault="00290FD2" w:rsidP="00290FD2">
      <w:pPr>
        <w:tabs>
          <w:tab w:val="left" w:pos="567"/>
        </w:tabs>
        <w:spacing w:before="60" w:after="60"/>
        <w:ind w:left="1701" w:hanging="567"/>
      </w:pPr>
      <w:r>
        <w:t>…..</w:t>
      </w:r>
    </w:p>
    <w:p w14:paraId="65DE3736" w14:textId="77777777" w:rsidR="00290FD2" w:rsidRDefault="00290FD2" w:rsidP="00290FD2">
      <w:pPr>
        <w:tabs>
          <w:tab w:val="left" w:pos="567"/>
        </w:tabs>
        <w:spacing w:before="60" w:after="60"/>
        <w:ind w:left="1701" w:hanging="567"/>
      </w:pPr>
      <w:r w:rsidRPr="00697120">
        <w:t>(7)</w:t>
      </w:r>
      <w:r w:rsidRPr="00697120">
        <w:tab/>
        <w:t xml:space="preserve">the committees so established are required to examine the expenditure proposals contained in the main appropriation bills for the Territory and any revenue estimates proposed by the Government in the annual budget and prepare a report to the Assembly within 60 days of the presentation of the budget </w:t>
      </w:r>
      <w:proofErr w:type="gramStart"/>
      <w:r w:rsidRPr="00697120">
        <w:t>bills;</w:t>
      </w:r>
      <w:proofErr w:type="gramEnd"/>
    </w:p>
    <w:tbl>
      <w:tblPr>
        <w:tblW w:w="8079" w:type="dxa"/>
        <w:tblInd w:w="983" w:type="dxa"/>
        <w:tblCellMar>
          <w:left w:w="0" w:type="dxa"/>
          <w:right w:w="0" w:type="dxa"/>
        </w:tblCellMar>
        <w:tblLook w:val="04A0" w:firstRow="1" w:lastRow="0" w:firstColumn="1" w:lastColumn="0" w:noHBand="0" w:noVBand="1"/>
      </w:tblPr>
      <w:tblGrid>
        <w:gridCol w:w="1706"/>
        <w:gridCol w:w="2126"/>
        <w:gridCol w:w="4247"/>
      </w:tblGrid>
      <w:tr w:rsidR="00290FD2" w:rsidRPr="00697120" w14:paraId="7CA5DF7D" w14:textId="77777777" w:rsidTr="00AF3E26">
        <w:trPr>
          <w:trHeight w:val="834"/>
        </w:trPr>
        <w:tc>
          <w:tcPr>
            <w:tcW w:w="1706"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21298F74" w14:textId="77777777" w:rsidR="00290FD2" w:rsidRPr="00D13DF4" w:rsidRDefault="00290FD2" w:rsidP="00AF3E26">
            <w:pPr>
              <w:tabs>
                <w:tab w:val="left" w:pos="245"/>
              </w:tabs>
              <w:rPr>
                <w:b/>
                <w:bCs/>
                <w:szCs w:val="22"/>
              </w:rPr>
            </w:pPr>
          </w:p>
          <w:p w14:paraId="5271180D" w14:textId="77777777" w:rsidR="00290FD2" w:rsidRPr="00D13DF4" w:rsidRDefault="00290FD2" w:rsidP="00AF3E26">
            <w:pPr>
              <w:tabs>
                <w:tab w:val="left" w:pos="245"/>
              </w:tabs>
              <w:jc w:val="center"/>
              <w:rPr>
                <w:b/>
                <w:bCs/>
                <w:szCs w:val="22"/>
              </w:rPr>
            </w:pPr>
            <w:r w:rsidRPr="00D13DF4">
              <w:rPr>
                <w:b/>
                <w:bCs/>
                <w:szCs w:val="22"/>
              </w:rPr>
              <w:t>Committee</w:t>
            </w:r>
          </w:p>
        </w:tc>
        <w:tc>
          <w:tcPr>
            <w:tcW w:w="2126"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57B48C6E" w14:textId="77777777" w:rsidR="00290FD2" w:rsidRPr="00D13DF4" w:rsidRDefault="00290FD2" w:rsidP="00AF3E26">
            <w:pPr>
              <w:rPr>
                <w:b/>
                <w:bCs/>
                <w:szCs w:val="22"/>
              </w:rPr>
            </w:pPr>
          </w:p>
          <w:p w14:paraId="447C2C68" w14:textId="77777777" w:rsidR="00290FD2" w:rsidRPr="00D13DF4" w:rsidRDefault="00290FD2" w:rsidP="00AF3E26">
            <w:pPr>
              <w:jc w:val="center"/>
              <w:rPr>
                <w:b/>
                <w:bCs/>
                <w:szCs w:val="22"/>
              </w:rPr>
            </w:pPr>
            <w:r w:rsidRPr="00D13DF4">
              <w:rPr>
                <w:b/>
                <w:bCs/>
                <w:szCs w:val="22"/>
              </w:rPr>
              <w:t>Primary Wellbeing Indicators</w:t>
            </w:r>
          </w:p>
          <w:p w14:paraId="6AC06074" w14:textId="77777777" w:rsidR="00290FD2" w:rsidRPr="00D13DF4" w:rsidRDefault="00290FD2" w:rsidP="00AF3E26">
            <w:pPr>
              <w:rPr>
                <w:b/>
                <w:bCs/>
                <w:szCs w:val="22"/>
              </w:rPr>
            </w:pPr>
          </w:p>
        </w:tc>
        <w:tc>
          <w:tcPr>
            <w:tcW w:w="4247"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714137B3" w14:textId="77777777" w:rsidR="00290FD2" w:rsidRPr="00D13DF4" w:rsidRDefault="00290FD2" w:rsidP="00AF3E26">
            <w:pPr>
              <w:spacing w:line="259" w:lineRule="auto"/>
              <w:rPr>
                <w:b/>
                <w:bCs/>
                <w:szCs w:val="22"/>
              </w:rPr>
            </w:pPr>
          </w:p>
          <w:p w14:paraId="6E02CE01" w14:textId="77777777" w:rsidR="00290FD2" w:rsidRPr="00D13DF4" w:rsidRDefault="00290FD2" w:rsidP="00AF3E26">
            <w:pPr>
              <w:spacing w:line="259" w:lineRule="auto"/>
              <w:jc w:val="center"/>
              <w:rPr>
                <w:b/>
                <w:bCs/>
                <w:szCs w:val="22"/>
              </w:rPr>
            </w:pPr>
            <w:r w:rsidRPr="00D13DF4">
              <w:rPr>
                <w:b/>
                <w:bCs/>
                <w:szCs w:val="22"/>
              </w:rPr>
              <w:t>Areas of Responsibility</w:t>
            </w:r>
          </w:p>
        </w:tc>
      </w:tr>
      <w:tr w:rsidR="00290FD2" w:rsidRPr="00697120" w14:paraId="09B4CAEB" w14:textId="77777777" w:rsidTr="00AF3E26">
        <w:trPr>
          <w:trHeight w:val="834"/>
        </w:trPr>
        <w:tc>
          <w:tcPr>
            <w:tcW w:w="1706"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14:paraId="027BCA9B" w14:textId="77777777" w:rsidR="00290FD2" w:rsidRPr="00697120" w:rsidRDefault="00290FD2" w:rsidP="00AF3E26">
            <w:pPr>
              <w:tabs>
                <w:tab w:val="left" w:pos="245"/>
              </w:tabs>
              <w:rPr>
                <w:szCs w:val="22"/>
              </w:rPr>
            </w:pPr>
            <w:r w:rsidRPr="00697120">
              <w:rPr>
                <w:szCs w:val="22"/>
              </w:rPr>
              <w:t>Health and Community Wellbeing</w:t>
            </w:r>
          </w:p>
        </w:tc>
        <w:tc>
          <w:tcPr>
            <w:tcW w:w="2126"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62184A17" w14:textId="77777777" w:rsidR="00290FD2" w:rsidRPr="00697120" w:rsidRDefault="00290FD2" w:rsidP="00AF3E26">
            <w:pPr>
              <w:rPr>
                <w:szCs w:val="22"/>
              </w:rPr>
            </w:pPr>
            <w:r w:rsidRPr="00697120">
              <w:rPr>
                <w:szCs w:val="22"/>
              </w:rPr>
              <w:t>Health and Social Connection</w:t>
            </w:r>
          </w:p>
        </w:tc>
        <w:tc>
          <w:tcPr>
            <w:tcW w:w="4247"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58DF2D85" w14:textId="77777777" w:rsidR="00290FD2" w:rsidRPr="00697120" w:rsidRDefault="00290FD2" w:rsidP="00F336AA">
            <w:pPr>
              <w:numPr>
                <w:ilvl w:val="0"/>
                <w:numId w:val="10"/>
              </w:numPr>
              <w:spacing w:before="0" w:after="0" w:line="259" w:lineRule="auto"/>
              <w:ind w:left="147" w:hanging="147"/>
              <w:rPr>
                <w:szCs w:val="22"/>
              </w:rPr>
            </w:pPr>
            <w:r w:rsidRPr="00697120">
              <w:rPr>
                <w:szCs w:val="22"/>
              </w:rPr>
              <w:t>Health and health system</w:t>
            </w:r>
          </w:p>
          <w:p w14:paraId="04E23E02" w14:textId="77777777" w:rsidR="00290FD2" w:rsidRPr="00697120" w:rsidRDefault="00290FD2" w:rsidP="00F336AA">
            <w:pPr>
              <w:numPr>
                <w:ilvl w:val="0"/>
                <w:numId w:val="10"/>
              </w:numPr>
              <w:spacing w:before="0" w:after="0" w:line="259" w:lineRule="auto"/>
              <w:ind w:left="147" w:hanging="147"/>
              <w:rPr>
                <w:szCs w:val="22"/>
              </w:rPr>
            </w:pPr>
            <w:r w:rsidRPr="00697120">
              <w:rPr>
                <w:szCs w:val="22"/>
              </w:rPr>
              <w:t>Justice Health</w:t>
            </w:r>
          </w:p>
          <w:p w14:paraId="76717B69" w14:textId="77777777" w:rsidR="00290FD2" w:rsidRPr="00697120" w:rsidRDefault="00290FD2" w:rsidP="00F336AA">
            <w:pPr>
              <w:numPr>
                <w:ilvl w:val="0"/>
                <w:numId w:val="10"/>
              </w:numPr>
              <w:spacing w:before="0" w:after="0" w:line="259" w:lineRule="auto"/>
              <w:ind w:left="147" w:hanging="147"/>
              <w:rPr>
                <w:szCs w:val="22"/>
              </w:rPr>
            </w:pPr>
            <w:r w:rsidRPr="00697120">
              <w:rPr>
                <w:szCs w:val="22"/>
              </w:rPr>
              <w:t>Mental Health</w:t>
            </w:r>
          </w:p>
          <w:p w14:paraId="7A985D2F" w14:textId="77777777" w:rsidR="00290FD2" w:rsidRPr="00697120" w:rsidRDefault="00290FD2" w:rsidP="00F336AA">
            <w:pPr>
              <w:numPr>
                <w:ilvl w:val="0"/>
                <w:numId w:val="10"/>
              </w:numPr>
              <w:spacing w:before="0" w:after="0" w:line="259" w:lineRule="auto"/>
              <w:ind w:left="147" w:hanging="147"/>
              <w:rPr>
                <w:szCs w:val="22"/>
              </w:rPr>
            </w:pPr>
            <w:r w:rsidRPr="00697120">
              <w:rPr>
                <w:szCs w:val="22"/>
              </w:rPr>
              <w:t xml:space="preserve">Homelessness and </w:t>
            </w:r>
            <w:r>
              <w:rPr>
                <w:szCs w:val="22"/>
              </w:rPr>
              <w:t>h</w:t>
            </w:r>
            <w:r w:rsidRPr="00697120">
              <w:rPr>
                <w:szCs w:val="22"/>
              </w:rPr>
              <w:t>ousing services</w:t>
            </w:r>
          </w:p>
          <w:p w14:paraId="423BBF99" w14:textId="77777777" w:rsidR="00290FD2" w:rsidRPr="00697120" w:rsidRDefault="00290FD2" w:rsidP="00F336AA">
            <w:pPr>
              <w:numPr>
                <w:ilvl w:val="0"/>
                <w:numId w:val="10"/>
              </w:numPr>
              <w:spacing w:before="0" w:after="0" w:line="259" w:lineRule="auto"/>
              <w:ind w:left="147" w:hanging="147"/>
              <w:rPr>
                <w:szCs w:val="22"/>
              </w:rPr>
            </w:pPr>
            <w:r w:rsidRPr="00697120">
              <w:rPr>
                <w:szCs w:val="22"/>
              </w:rPr>
              <w:t>Prevention of Domestic and Family Violence</w:t>
            </w:r>
          </w:p>
          <w:p w14:paraId="09321D3D" w14:textId="77777777" w:rsidR="00290FD2" w:rsidRPr="00697120" w:rsidRDefault="00290FD2" w:rsidP="00F336AA">
            <w:pPr>
              <w:numPr>
                <w:ilvl w:val="0"/>
                <w:numId w:val="10"/>
              </w:numPr>
              <w:spacing w:before="0" w:after="0" w:line="259" w:lineRule="auto"/>
              <w:ind w:left="147" w:hanging="147"/>
              <w:rPr>
                <w:szCs w:val="22"/>
              </w:rPr>
            </w:pPr>
            <w:r w:rsidRPr="00697120">
              <w:rPr>
                <w:szCs w:val="22"/>
              </w:rPr>
              <w:t xml:space="preserve">Families </w:t>
            </w:r>
          </w:p>
          <w:p w14:paraId="629859AA" w14:textId="77777777" w:rsidR="00290FD2" w:rsidRPr="00697120" w:rsidRDefault="00290FD2" w:rsidP="00F336AA">
            <w:pPr>
              <w:numPr>
                <w:ilvl w:val="0"/>
                <w:numId w:val="10"/>
              </w:numPr>
              <w:spacing w:before="0" w:after="0" w:line="259" w:lineRule="auto"/>
              <w:ind w:left="147" w:hanging="147"/>
              <w:rPr>
                <w:szCs w:val="22"/>
              </w:rPr>
            </w:pPr>
            <w:r w:rsidRPr="00697120">
              <w:rPr>
                <w:szCs w:val="22"/>
              </w:rPr>
              <w:t>Community Services</w:t>
            </w:r>
          </w:p>
        </w:tc>
      </w:tr>
    </w:tbl>
    <w:p w14:paraId="4C65C96F" w14:textId="77777777" w:rsidR="00F25118" w:rsidRDefault="00F25118" w:rsidP="00F25118">
      <w:pPr>
        <w:pStyle w:val="Heading3"/>
        <w:pageBreakBefore/>
        <w:ind w:hanging="567"/>
      </w:pPr>
      <w:bookmarkStart w:id="31" w:name="_Toc87607403"/>
      <w:r>
        <w:t>Terms of reference</w:t>
      </w:r>
      <w:bookmarkEnd w:id="27"/>
      <w:bookmarkEnd w:id="28"/>
      <w:bookmarkEnd w:id="29"/>
      <w:bookmarkEnd w:id="30"/>
      <w:bookmarkEnd w:id="31"/>
      <w:r>
        <w:t xml:space="preserve"> </w:t>
      </w:r>
    </w:p>
    <w:p w14:paraId="77ED977D" w14:textId="5A5D8724" w:rsidR="00F25118" w:rsidRPr="00B23C55" w:rsidRDefault="00F25118" w:rsidP="00F25118">
      <w:r w:rsidRPr="00B23C55">
        <w:t>As outlined above, the resolution of establishment</w:t>
      </w:r>
      <w:r w:rsidRPr="00B23C55">
        <w:rPr>
          <w:rStyle w:val="FootnoteReference"/>
        </w:rPr>
        <w:footnoteReference w:id="2"/>
      </w:r>
      <w:r w:rsidRPr="00B23C55">
        <w:t xml:space="preserve"> for standing committees of the Tenth Assembly requires the Standing Committee on </w:t>
      </w:r>
      <w:r w:rsidR="00B23C55" w:rsidRPr="00B23C55">
        <w:t>Health and Community Wellbeing</w:t>
      </w:r>
      <w:r w:rsidRPr="00B23C55">
        <w:t xml:space="preserve"> to inquire into ACT Budget </w:t>
      </w:r>
      <w:proofErr w:type="gramStart"/>
      <w:r w:rsidRPr="00B23C55">
        <w:t>2021-22;</w:t>
      </w:r>
      <w:proofErr w:type="gramEnd"/>
    </w:p>
    <w:p w14:paraId="70D99363" w14:textId="77777777" w:rsidR="00F25118" w:rsidRPr="00B23C55" w:rsidRDefault="00F25118" w:rsidP="00F336AA">
      <w:pPr>
        <w:pStyle w:val="ListParagraph"/>
        <w:numPr>
          <w:ilvl w:val="0"/>
          <w:numId w:val="9"/>
        </w:numPr>
      </w:pPr>
      <w:r w:rsidRPr="00B23C55">
        <w:t xml:space="preserve">the committees so established are required to examine the expenditure proposals contained in the main appropriation bills for the Territory and any revenue estimates proposed by the Government in the annual budget and prepare a report to the Assembly within 60 days of the presentation of the budget </w:t>
      </w:r>
      <w:proofErr w:type="gramStart"/>
      <w:r w:rsidRPr="00B23C55">
        <w:t>bills;</w:t>
      </w:r>
      <w:proofErr w:type="gramEnd"/>
    </w:p>
    <w:p w14:paraId="65F83C44" w14:textId="77777777" w:rsidR="00F25118" w:rsidRDefault="00F25118" w:rsidP="00F25118">
      <w:r w:rsidRPr="00B23C55">
        <w:t>At its meeting on Tuesday 9 November 2021, the Assembly resolved to amend the due date for standing committees to report on the ACT Budget, by requiring committees to report by 12 November 2021</w:t>
      </w:r>
      <w:r w:rsidRPr="00B23C55">
        <w:rPr>
          <w:rStyle w:val="FootnoteReference"/>
        </w:rPr>
        <w:footnoteReference w:id="3"/>
      </w:r>
      <w:r w:rsidRPr="00B23C55">
        <w:t>.</w:t>
      </w:r>
    </w:p>
    <w:p w14:paraId="73F4B9B4" w14:textId="77777777" w:rsidR="00F25118" w:rsidRDefault="00F25118" w:rsidP="00F25118"/>
    <w:p w14:paraId="4FB6FF11" w14:textId="77777777" w:rsidR="00C56407" w:rsidRDefault="00C56407">
      <w:pPr>
        <w:spacing w:before="0" w:after="160" w:line="259" w:lineRule="auto"/>
        <w:rPr>
          <w:rFonts w:ascii="Arial Narrow" w:hAnsi="Arial Narrow"/>
          <w:smallCaps/>
          <w:spacing w:val="20"/>
          <w:kern w:val="42"/>
          <w:sz w:val="44"/>
          <w:szCs w:val="44"/>
        </w:rPr>
      </w:pPr>
      <w:r>
        <w:br w:type="page"/>
      </w:r>
    </w:p>
    <w:p w14:paraId="0E85212F" w14:textId="779FFCED" w:rsidR="00F25118" w:rsidRPr="0064133C" w:rsidRDefault="00F25118" w:rsidP="00F25118">
      <w:pPr>
        <w:pStyle w:val="TOCHeading"/>
      </w:pPr>
      <w:r>
        <w:br w:type="page"/>
      </w:r>
      <w:r w:rsidRPr="0064133C">
        <w:t>Table of Contents</w:t>
      </w:r>
    </w:p>
    <w:p w14:paraId="5ABF24C1" w14:textId="665264CF" w:rsidR="00403045" w:rsidRDefault="00F25118">
      <w:pPr>
        <w:pStyle w:val="TOC1"/>
        <w:rPr>
          <w:rFonts w:asciiTheme="minorHAnsi" w:eastAsiaTheme="minorEastAsia" w:hAnsiTheme="minorHAnsi" w:cstheme="minorBidi"/>
          <w:b w:val="0"/>
          <w:bCs w:val="0"/>
          <w:smallCaps w:val="0"/>
          <w:noProof/>
          <w:spacing w:val="0"/>
          <w:sz w:val="22"/>
          <w:szCs w:val="22"/>
          <w:lang w:eastAsia="zh-TW"/>
        </w:rPr>
      </w:pPr>
      <w:r>
        <w:fldChar w:fldCharType="begin"/>
      </w:r>
      <w:r>
        <w:instrText xml:space="preserve"> TOC \h \z \t "Heading 2,1,Heading 3,2" </w:instrText>
      </w:r>
      <w:r>
        <w:fldChar w:fldCharType="separate"/>
      </w:r>
      <w:hyperlink w:anchor="_Toc87607398" w:history="1">
        <w:r w:rsidR="00403045" w:rsidRPr="00256B42">
          <w:rPr>
            <w:rStyle w:val="Hyperlink"/>
            <w:noProof/>
          </w:rPr>
          <w:t>The Committee</w:t>
        </w:r>
        <w:r w:rsidR="00403045">
          <w:rPr>
            <w:noProof/>
            <w:webHidden/>
          </w:rPr>
          <w:tab/>
        </w:r>
        <w:r w:rsidR="00403045">
          <w:rPr>
            <w:noProof/>
            <w:webHidden/>
          </w:rPr>
          <w:fldChar w:fldCharType="begin"/>
        </w:r>
        <w:r w:rsidR="00403045">
          <w:rPr>
            <w:noProof/>
            <w:webHidden/>
          </w:rPr>
          <w:instrText xml:space="preserve"> PAGEREF _Toc87607398 \h </w:instrText>
        </w:r>
        <w:r w:rsidR="00403045">
          <w:rPr>
            <w:noProof/>
            <w:webHidden/>
          </w:rPr>
        </w:r>
        <w:r w:rsidR="00403045">
          <w:rPr>
            <w:noProof/>
            <w:webHidden/>
          </w:rPr>
          <w:fldChar w:fldCharType="separate"/>
        </w:r>
        <w:r w:rsidR="00403045">
          <w:rPr>
            <w:noProof/>
            <w:webHidden/>
          </w:rPr>
          <w:t>i</w:t>
        </w:r>
        <w:r w:rsidR="00403045">
          <w:rPr>
            <w:noProof/>
            <w:webHidden/>
          </w:rPr>
          <w:fldChar w:fldCharType="end"/>
        </w:r>
      </w:hyperlink>
    </w:p>
    <w:p w14:paraId="71F1E710" w14:textId="788A98CF" w:rsidR="00403045" w:rsidRDefault="00403045">
      <w:pPr>
        <w:pStyle w:val="TOC2"/>
        <w:rPr>
          <w:rFonts w:asciiTheme="minorHAnsi" w:eastAsiaTheme="minorEastAsia" w:hAnsiTheme="minorHAnsi" w:cstheme="minorBidi"/>
          <w:b w:val="0"/>
          <w:noProof/>
          <w:sz w:val="22"/>
          <w:szCs w:val="22"/>
          <w:lang w:eastAsia="zh-TW"/>
        </w:rPr>
      </w:pPr>
      <w:hyperlink w:anchor="_Toc87607399" w:history="1">
        <w:r w:rsidRPr="00256B42">
          <w:rPr>
            <w:rStyle w:val="Hyperlink"/>
            <w:noProof/>
          </w:rPr>
          <w:t>Committee Membership</w:t>
        </w:r>
        <w:r>
          <w:rPr>
            <w:noProof/>
            <w:webHidden/>
          </w:rPr>
          <w:tab/>
        </w:r>
        <w:r>
          <w:rPr>
            <w:noProof/>
            <w:webHidden/>
          </w:rPr>
          <w:fldChar w:fldCharType="begin"/>
        </w:r>
        <w:r>
          <w:rPr>
            <w:noProof/>
            <w:webHidden/>
          </w:rPr>
          <w:instrText xml:space="preserve"> PAGEREF _Toc87607399 \h </w:instrText>
        </w:r>
        <w:r>
          <w:rPr>
            <w:noProof/>
            <w:webHidden/>
          </w:rPr>
        </w:r>
        <w:r>
          <w:rPr>
            <w:noProof/>
            <w:webHidden/>
          </w:rPr>
          <w:fldChar w:fldCharType="separate"/>
        </w:r>
        <w:r>
          <w:rPr>
            <w:noProof/>
            <w:webHidden/>
          </w:rPr>
          <w:t>i</w:t>
        </w:r>
        <w:r>
          <w:rPr>
            <w:noProof/>
            <w:webHidden/>
          </w:rPr>
          <w:fldChar w:fldCharType="end"/>
        </w:r>
      </w:hyperlink>
    </w:p>
    <w:p w14:paraId="683A40AE" w14:textId="602337DD" w:rsidR="00403045" w:rsidRDefault="00403045">
      <w:pPr>
        <w:pStyle w:val="TOC2"/>
        <w:rPr>
          <w:rFonts w:asciiTheme="minorHAnsi" w:eastAsiaTheme="minorEastAsia" w:hAnsiTheme="minorHAnsi" w:cstheme="minorBidi"/>
          <w:b w:val="0"/>
          <w:noProof/>
          <w:sz w:val="22"/>
          <w:szCs w:val="22"/>
          <w:lang w:eastAsia="zh-TW"/>
        </w:rPr>
      </w:pPr>
      <w:hyperlink w:anchor="_Toc87607400" w:history="1">
        <w:r w:rsidRPr="00256B42">
          <w:rPr>
            <w:rStyle w:val="Hyperlink"/>
            <w:noProof/>
          </w:rPr>
          <w:t>Secretariat</w:t>
        </w:r>
        <w:r>
          <w:rPr>
            <w:noProof/>
            <w:webHidden/>
          </w:rPr>
          <w:tab/>
        </w:r>
        <w:r>
          <w:rPr>
            <w:noProof/>
            <w:webHidden/>
          </w:rPr>
          <w:fldChar w:fldCharType="begin"/>
        </w:r>
        <w:r>
          <w:rPr>
            <w:noProof/>
            <w:webHidden/>
          </w:rPr>
          <w:instrText xml:space="preserve"> PAGEREF _Toc87607400 \h </w:instrText>
        </w:r>
        <w:r>
          <w:rPr>
            <w:noProof/>
            <w:webHidden/>
          </w:rPr>
        </w:r>
        <w:r>
          <w:rPr>
            <w:noProof/>
            <w:webHidden/>
          </w:rPr>
          <w:fldChar w:fldCharType="separate"/>
        </w:r>
        <w:r>
          <w:rPr>
            <w:noProof/>
            <w:webHidden/>
          </w:rPr>
          <w:t>i</w:t>
        </w:r>
        <w:r>
          <w:rPr>
            <w:noProof/>
            <w:webHidden/>
          </w:rPr>
          <w:fldChar w:fldCharType="end"/>
        </w:r>
      </w:hyperlink>
    </w:p>
    <w:p w14:paraId="1DD03465" w14:textId="43D2E0AB" w:rsidR="00403045" w:rsidRDefault="00403045">
      <w:pPr>
        <w:pStyle w:val="TOC2"/>
        <w:rPr>
          <w:rFonts w:asciiTheme="minorHAnsi" w:eastAsiaTheme="minorEastAsia" w:hAnsiTheme="minorHAnsi" w:cstheme="minorBidi"/>
          <w:b w:val="0"/>
          <w:noProof/>
          <w:sz w:val="22"/>
          <w:szCs w:val="22"/>
          <w:lang w:eastAsia="zh-TW"/>
        </w:rPr>
      </w:pPr>
      <w:hyperlink w:anchor="_Toc87607401" w:history="1">
        <w:r w:rsidRPr="00256B42">
          <w:rPr>
            <w:rStyle w:val="Hyperlink"/>
            <w:noProof/>
          </w:rPr>
          <w:t>Contact Information</w:t>
        </w:r>
        <w:r>
          <w:rPr>
            <w:noProof/>
            <w:webHidden/>
          </w:rPr>
          <w:tab/>
        </w:r>
        <w:r>
          <w:rPr>
            <w:noProof/>
            <w:webHidden/>
          </w:rPr>
          <w:fldChar w:fldCharType="begin"/>
        </w:r>
        <w:r>
          <w:rPr>
            <w:noProof/>
            <w:webHidden/>
          </w:rPr>
          <w:instrText xml:space="preserve"> PAGEREF _Toc87607401 \h </w:instrText>
        </w:r>
        <w:r>
          <w:rPr>
            <w:noProof/>
            <w:webHidden/>
          </w:rPr>
        </w:r>
        <w:r>
          <w:rPr>
            <w:noProof/>
            <w:webHidden/>
          </w:rPr>
          <w:fldChar w:fldCharType="separate"/>
        </w:r>
        <w:r>
          <w:rPr>
            <w:noProof/>
            <w:webHidden/>
          </w:rPr>
          <w:t>i</w:t>
        </w:r>
        <w:r>
          <w:rPr>
            <w:noProof/>
            <w:webHidden/>
          </w:rPr>
          <w:fldChar w:fldCharType="end"/>
        </w:r>
      </w:hyperlink>
    </w:p>
    <w:p w14:paraId="5776D0B8" w14:textId="573509AD" w:rsidR="00403045" w:rsidRDefault="00403045">
      <w:pPr>
        <w:pStyle w:val="TOC2"/>
        <w:rPr>
          <w:rFonts w:asciiTheme="minorHAnsi" w:eastAsiaTheme="minorEastAsia" w:hAnsiTheme="minorHAnsi" w:cstheme="minorBidi"/>
          <w:b w:val="0"/>
          <w:noProof/>
          <w:sz w:val="22"/>
          <w:szCs w:val="22"/>
          <w:lang w:eastAsia="zh-TW"/>
        </w:rPr>
      </w:pPr>
      <w:hyperlink w:anchor="_Toc87607402" w:history="1">
        <w:r w:rsidRPr="00256B42">
          <w:rPr>
            <w:rStyle w:val="Hyperlink"/>
            <w:noProof/>
          </w:rPr>
          <w:t>Resolution of appointment</w:t>
        </w:r>
        <w:r>
          <w:rPr>
            <w:noProof/>
            <w:webHidden/>
          </w:rPr>
          <w:tab/>
        </w:r>
        <w:r>
          <w:rPr>
            <w:noProof/>
            <w:webHidden/>
          </w:rPr>
          <w:fldChar w:fldCharType="begin"/>
        </w:r>
        <w:r>
          <w:rPr>
            <w:noProof/>
            <w:webHidden/>
          </w:rPr>
          <w:instrText xml:space="preserve"> PAGEREF _Toc87607402 \h </w:instrText>
        </w:r>
        <w:r>
          <w:rPr>
            <w:noProof/>
            <w:webHidden/>
          </w:rPr>
        </w:r>
        <w:r>
          <w:rPr>
            <w:noProof/>
            <w:webHidden/>
          </w:rPr>
          <w:fldChar w:fldCharType="separate"/>
        </w:r>
        <w:r>
          <w:rPr>
            <w:noProof/>
            <w:webHidden/>
          </w:rPr>
          <w:t>ii</w:t>
        </w:r>
        <w:r>
          <w:rPr>
            <w:noProof/>
            <w:webHidden/>
          </w:rPr>
          <w:fldChar w:fldCharType="end"/>
        </w:r>
      </w:hyperlink>
    </w:p>
    <w:p w14:paraId="04320E5F" w14:textId="63E6A662" w:rsidR="00403045" w:rsidRDefault="00403045">
      <w:pPr>
        <w:pStyle w:val="TOC2"/>
        <w:rPr>
          <w:rFonts w:asciiTheme="minorHAnsi" w:eastAsiaTheme="minorEastAsia" w:hAnsiTheme="minorHAnsi" w:cstheme="minorBidi"/>
          <w:b w:val="0"/>
          <w:noProof/>
          <w:sz w:val="22"/>
          <w:szCs w:val="22"/>
          <w:lang w:eastAsia="zh-TW"/>
        </w:rPr>
      </w:pPr>
      <w:hyperlink w:anchor="_Toc87607403" w:history="1">
        <w:r w:rsidRPr="00256B42">
          <w:rPr>
            <w:rStyle w:val="Hyperlink"/>
            <w:noProof/>
          </w:rPr>
          <w:t>Terms of reference</w:t>
        </w:r>
        <w:r>
          <w:rPr>
            <w:noProof/>
            <w:webHidden/>
          </w:rPr>
          <w:tab/>
        </w:r>
        <w:r>
          <w:rPr>
            <w:noProof/>
            <w:webHidden/>
          </w:rPr>
          <w:fldChar w:fldCharType="begin"/>
        </w:r>
        <w:r>
          <w:rPr>
            <w:noProof/>
            <w:webHidden/>
          </w:rPr>
          <w:instrText xml:space="preserve"> PAGEREF _Toc87607403 \h </w:instrText>
        </w:r>
        <w:r>
          <w:rPr>
            <w:noProof/>
            <w:webHidden/>
          </w:rPr>
        </w:r>
        <w:r>
          <w:rPr>
            <w:noProof/>
            <w:webHidden/>
          </w:rPr>
          <w:fldChar w:fldCharType="separate"/>
        </w:r>
        <w:r>
          <w:rPr>
            <w:noProof/>
            <w:webHidden/>
          </w:rPr>
          <w:t>iii</w:t>
        </w:r>
        <w:r>
          <w:rPr>
            <w:noProof/>
            <w:webHidden/>
          </w:rPr>
          <w:fldChar w:fldCharType="end"/>
        </w:r>
      </w:hyperlink>
    </w:p>
    <w:p w14:paraId="0F5DF8BA" w14:textId="1D8EFE74"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04" w:history="1">
        <w:r w:rsidRPr="00256B42">
          <w:rPr>
            <w:rStyle w:val="Hyperlink"/>
            <w:noProof/>
          </w:rPr>
          <w:t>Recommendations</w:t>
        </w:r>
        <w:r>
          <w:rPr>
            <w:noProof/>
            <w:webHidden/>
          </w:rPr>
          <w:tab/>
        </w:r>
        <w:r>
          <w:rPr>
            <w:noProof/>
            <w:webHidden/>
          </w:rPr>
          <w:fldChar w:fldCharType="begin"/>
        </w:r>
        <w:r>
          <w:rPr>
            <w:noProof/>
            <w:webHidden/>
          </w:rPr>
          <w:instrText xml:space="preserve"> PAGEREF _Toc87607404 \h </w:instrText>
        </w:r>
        <w:r>
          <w:rPr>
            <w:noProof/>
            <w:webHidden/>
          </w:rPr>
        </w:r>
        <w:r>
          <w:rPr>
            <w:noProof/>
            <w:webHidden/>
          </w:rPr>
          <w:fldChar w:fldCharType="separate"/>
        </w:r>
        <w:r>
          <w:rPr>
            <w:noProof/>
            <w:webHidden/>
          </w:rPr>
          <w:t>vii</w:t>
        </w:r>
        <w:r>
          <w:rPr>
            <w:noProof/>
            <w:webHidden/>
          </w:rPr>
          <w:fldChar w:fldCharType="end"/>
        </w:r>
      </w:hyperlink>
    </w:p>
    <w:p w14:paraId="231BC37A" w14:textId="45022AD2"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05" w:history="1">
        <w:r w:rsidRPr="00256B42">
          <w:rPr>
            <w:rStyle w:val="Hyperlink"/>
            <w:noProof/>
          </w:rPr>
          <w:t>1</w:t>
        </w:r>
        <w:r>
          <w:rPr>
            <w:rFonts w:asciiTheme="minorHAnsi" w:eastAsiaTheme="minorEastAsia" w:hAnsiTheme="minorHAnsi" w:cstheme="minorBidi"/>
            <w:b w:val="0"/>
            <w:bCs w:val="0"/>
            <w:smallCaps w:val="0"/>
            <w:noProof/>
            <w:spacing w:val="0"/>
            <w:sz w:val="22"/>
            <w:szCs w:val="22"/>
            <w:lang w:eastAsia="zh-TW"/>
          </w:rPr>
          <w:tab/>
        </w:r>
        <w:r w:rsidRPr="00256B42">
          <w:rPr>
            <w:rStyle w:val="Hyperlink"/>
            <w:noProof/>
          </w:rPr>
          <w:t>Introduction</w:t>
        </w:r>
        <w:r>
          <w:rPr>
            <w:noProof/>
            <w:webHidden/>
          </w:rPr>
          <w:tab/>
        </w:r>
        <w:r>
          <w:rPr>
            <w:noProof/>
            <w:webHidden/>
          </w:rPr>
          <w:fldChar w:fldCharType="begin"/>
        </w:r>
        <w:r>
          <w:rPr>
            <w:noProof/>
            <w:webHidden/>
          </w:rPr>
          <w:instrText xml:space="preserve"> PAGEREF _Toc87607405 \h </w:instrText>
        </w:r>
        <w:r>
          <w:rPr>
            <w:noProof/>
            <w:webHidden/>
          </w:rPr>
        </w:r>
        <w:r>
          <w:rPr>
            <w:noProof/>
            <w:webHidden/>
          </w:rPr>
          <w:fldChar w:fldCharType="separate"/>
        </w:r>
        <w:r>
          <w:rPr>
            <w:noProof/>
            <w:webHidden/>
          </w:rPr>
          <w:t>1</w:t>
        </w:r>
        <w:r>
          <w:rPr>
            <w:noProof/>
            <w:webHidden/>
          </w:rPr>
          <w:fldChar w:fldCharType="end"/>
        </w:r>
      </w:hyperlink>
    </w:p>
    <w:p w14:paraId="7B26D2DE" w14:textId="606F7419" w:rsidR="00403045" w:rsidRDefault="00403045">
      <w:pPr>
        <w:pStyle w:val="TOC2"/>
        <w:rPr>
          <w:rFonts w:asciiTheme="minorHAnsi" w:eastAsiaTheme="minorEastAsia" w:hAnsiTheme="minorHAnsi" w:cstheme="minorBidi"/>
          <w:b w:val="0"/>
          <w:noProof/>
          <w:sz w:val="22"/>
          <w:szCs w:val="22"/>
          <w:lang w:eastAsia="zh-TW"/>
        </w:rPr>
      </w:pPr>
      <w:hyperlink w:anchor="_Toc87607406" w:history="1">
        <w:r w:rsidRPr="00256B42">
          <w:rPr>
            <w:rStyle w:val="Hyperlink"/>
            <w:noProof/>
          </w:rPr>
          <w:t>Presentation of the ACT Budget 2021-22</w:t>
        </w:r>
        <w:r>
          <w:rPr>
            <w:noProof/>
            <w:webHidden/>
          </w:rPr>
          <w:tab/>
        </w:r>
        <w:r>
          <w:rPr>
            <w:noProof/>
            <w:webHidden/>
          </w:rPr>
          <w:fldChar w:fldCharType="begin"/>
        </w:r>
        <w:r>
          <w:rPr>
            <w:noProof/>
            <w:webHidden/>
          </w:rPr>
          <w:instrText xml:space="preserve"> PAGEREF _Toc87607406 \h </w:instrText>
        </w:r>
        <w:r>
          <w:rPr>
            <w:noProof/>
            <w:webHidden/>
          </w:rPr>
        </w:r>
        <w:r>
          <w:rPr>
            <w:noProof/>
            <w:webHidden/>
          </w:rPr>
          <w:fldChar w:fldCharType="separate"/>
        </w:r>
        <w:r>
          <w:rPr>
            <w:noProof/>
            <w:webHidden/>
          </w:rPr>
          <w:t>1</w:t>
        </w:r>
        <w:r>
          <w:rPr>
            <w:noProof/>
            <w:webHidden/>
          </w:rPr>
          <w:fldChar w:fldCharType="end"/>
        </w:r>
      </w:hyperlink>
    </w:p>
    <w:p w14:paraId="1B748DA8" w14:textId="2A4ECD33" w:rsidR="00403045" w:rsidRDefault="00403045">
      <w:pPr>
        <w:pStyle w:val="TOC2"/>
        <w:rPr>
          <w:rFonts w:asciiTheme="minorHAnsi" w:eastAsiaTheme="minorEastAsia" w:hAnsiTheme="minorHAnsi" w:cstheme="minorBidi"/>
          <w:b w:val="0"/>
          <w:noProof/>
          <w:sz w:val="22"/>
          <w:szCs w:val="22"/>
          <w:lang w:eastAsia="zh-TW"/>
        </w:rPr>
      </w:pPr>
      <w:hyperlink w:anchor="_Toc87607407" w:history="1">
        <w:r w:rsidRPr="00256B42">
          <w:rPr>
            <w:rStyle w:val="Hyperlink"/>
            <w:noProof/>
          </w:rPr>
          <w:t>Acknowledgements</w:t>
        </w:r>
        <w:r>
          <w:rPr>
            <w:noProof/>
            <w:webHidden/>
          </w:rPr>
          <w:tab/>
        </w:r>
        <w:r>
          <w:rPr>
            <w:noProof/>
            <w:webHidden/>
          </w:rPr>
          <w:fldChar w:fldCharType="begin"/>
        </w:r>
        <w:r>
          <w:rPr>
            <w:noProof/>
            <w:webHidden/>
          </w:rPr>
          <w:instrText xml:space="preserve"> PAGEREF _Toc87607407 \h </w:instrText>
        </w:r>
        <w:r>
          <w:rPr>
            <w:noProof/>
            <w:webHidden/>
          </w:rPr>
        </w:r>
        <w:r>
          <w:rPr>
            <w:noProof/>
            <w:webHidden/>
          </w:rPr>
          <w:fldChar w:fldCharType="separate"/>
        </w:r>
        <w:r>
          <w:rPr>
            <w:noProof/>
            <w:webHidden/>
          </w:rPr>
          <w:t>2</w:t>
        </w:r>
        <w:r>
          <w:rPr>
            <w:noProof/>
            <w:webHidden/>
          </w:rPr>
          <w:fldChar w:fldCharType="end"/>
        </w:r>
      </w:hyperlink>
    </w:p>
    <w:p w14:paraId="616B1502" w14:textId="57183F94"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08" w:history="1">
        <w:r w:rsidRPr="00256B42">
          <w:rPr>
            <w:rStyle w:val="Hyperlink"/>
            <w:noProof/>
          </w:rPr>
          <w:t>2</w:t>
        </w:r>
        <w:r>
          <w:rPr>
            <w:rFonts w:asciiTheme="minorHAnsi" w:eastAsiaTheme="minorEastAsia" w:hAnsiTheme="minorHAnsi" w:cstheme="minorBidi"/>
            <w:b w:val="0"/>
            <w:bCs w:val="0"/>
            <w:smallCaps w:val="0"/>
            <w:noProof/>
            <w:spacing w:val="0"/>
            <w:sz w:val="22"/>
            <w:szCs w:val="22"/>
            <w:lang w:eastAsia="zh-TW"/>
          </w:rPr>
          <w:tab/>
        </w:r>
        <w:r w:rsidRPr="00256B42">
          <w:rPr>
            <w:rStyle w:val="Hyperlink"/>
            <w:noProof/>
          </w:rPr>
          <w:t>Community Day Hearing – 15 October 2021</w:t>
        </w:r>
        <w:r>
          <w:rPr>
            <w:noProof/>
            <w:webHidden/>
          </w:rPr>
          <w:tab/>
        </w:r>
        <w:r>
          <w:rPr>
            <w:noProof/>
            <w:webHidden/>
          </w:rPr>
          <w:fldChar w:fldCharType="begin"/>
        </w:r>
        <w:r>
          <w:rPr>
            <w:noProof/>
            <w:webHidden/>
          </w:rPr>
          <w:instrText xml:space="preserve"> PAGEREF _Toc87607408 \h </w:instrText>
        </w:r>
        <w:r>
          <w:rPr>
            <w:noProof/>
            <w:webHidden/>
          </w:rPr>
        </w:r>
        <w:r>
          <w:rPr>
            <w:noProof/>
            <w:webHidden/>
          </w:rPr>
          <w:fldChar w:fldCharType="separate"/>
        </w:r>
        <w:r>
          <w:rPr>
            <w:noProof/>
            <w:webHidden/>
          </w:rPr>
          <w:t>3</w:t>
        </w:r>
        <w:r>
          <w:rPr>
            <w:noProof/>
            <w:webHidden/>
          </w:rPr>
          <w:fldChar w:fldCharType="end"/>
        </w:r>
      </w:hyperlink>
    </w:p>
    <w:p w14:paraId="6411E9A8" w14:textId="53E8C81A" w:rsidR="00403045" w:rsidRDefault="00403045">
      <w:pPr>
        <w:pStyle w:val="TOC2"/>
        <w:rPr>
          <w:rFonts w:asciiTheme="minorHAnsi" w:eastAsiaTheme="minorEastAsia" w:hAnsiTheme="minorHAnsi" w:cstheme="minorBidi"/>
          <w:b w:val="0"/>
          <w:noProof/>
          <w:sz w:val="22"/>
          <w:szCs w:val="22"/>
          <w:lang w:eastAsia="zh-TW"/>
        </w:rPr>
      </w:pPr>
      <w:hyperlink w:anchor="_Toc87607409" w:history="1">
        <w:r w:rsidRPr="00256B42">
          <w:rPr>
            <w:rStyle w:val="Hyperlink"/>
            <w:noProof/>
          </w:rPr>
          <w:t>Matters Raised by the Committee during the hearing</w:t>
        </w:r>
        <w:r>
          <w:rPr>
            <w:noProof/>
            <w:webHidden/>
          </w:rPr>
          <w:tab/>
        </w:r>
        <w:r>
          <w:rPr>
            <w:noProof/>
            <w:webHidden/>
          </w:rPr>
          <w:fldChar w:fldCharType="begin"/>
        </w:r>
        <w:r>
          <w:rPr>
            <w:noProof/>
            <w:webHidden/>
          </w:rPr>
          <w:instrText xml:space="preserve"> PAGEREF _Toc87607409 \h </w:instrText>
        </w:r>
        <w:r>
          <w:rPr>
            <w:noProof/>
            <w:webHidden/>
          </w:rPr>
        </w:r>
        <w:r>
          <w:rPr>
            <w:noProof/>
            <w:webHidden/>
          </w:rPr>
          <w:fldChar w:fldCharType="separate"/>
        </w:r>
        <w:r>
          <w:rPr>
            <w:noProof/>
            <w:webHidden/>
          </w:rPr>
          <w:t>3</w:t>
        </w:r>
        <w:r>
          <w:rPr>
            <w:noProof/>
            <w:webHidden/>
          </w:rPr>
          <w:fldChar w:fldCharType="end"/>
        </w:r>
      </w:hyperlink>
    </w:p>
    <w:p w14:paraId="1E3DBC82" w14:textId="27005A2E" w:rsidR="00403045" w:rsidRDefault="00403045">
      <w:pPr>
        <w:pStyle w:val="TOC2"/>
        <w:rPr>
          <w:rFonts w:asciiTheme="minorHAnsi" w:eastAsiaTheme="minorEastAsia" w:hAnsiTheme="minorHAnsi" w:cstheme="minorBidi"/>
          <w:b w:val="0"/>
          <w:noProof/>
          <w:sz w:val="22"/>
          <w:szCs w:val="22"/>
          <w:lang w:eastAsia="zh-TW"/>
        </w:rPr>
      </w:pPr>
      <w:hyperlink w:anchor="_Toc87607410" w:history="1">
        <w:r w:rsidRPr="00256B42">
          <w:rPr>
            <w:rStyle w:val="Hyperlink"/>
            <w:noProof/>
          </w:rPr>
          <w:t>Responses to Issues raised by the Committee</w:t>
        </w:r>
        <w:r>
          <w:rPr>
            <w:noProof/>
            <w:webHidden/>
          </w:rPr>
          <w:tab/>
        </w:r>
        <w:r>
          <w:rPr>
            <w:noProof/>
            <w:webHidden/>
          </w:rPr>
          <w:fldChar w:fldCharType="begin"/>
        </w:r>
        <w:r>
          <w:rPr>
            <w:noProof/>
            <w:webHidden/>
          </w:rPr>
          <w:instrText xml:space="preserve"> PAGEREF _Toc87607410 \h </w:instrText>
        </w:r>
        <w:r>
          <w:rPr>
            <w:noProof/>
            <w:webHidden/>
          </w:rPr>
        </w:r>
        <w:r>
          <w:rPr>
            <w:noProof/>
            <w:webHidden/>
          </w:rPr>
          <w:fldChar w:fldCharType="separate"/>
        </w:r>
        <w:r>
          <w:rPr>
            <w:noProof/>
            <w:webHidden/>
          </w:rPr>
          <w:t>5</w:t>
        </w:r>
        <w:r>
          <w:rPr>
            <w:noProof/>
            <w:webHidden/>
          </w:rPr>
          <w:fldChar w:fldCharType="end"/>
        </w:r>
      </w:hyperlink>
    </w:p>
    <w:p w14:paraId="41757EF9" w14:textId="03B75206"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11" w:history="1">
        <w:r w:rsidRPr="00256B42">
          <w:rPr>
            <w:rStyle w:val="Hyperlink"/>
            <w:noProof/>
          </w:rPr>
          <w:t>3</w:t>
        </w:r>
        <w:r>
          <w:rPr>
            <w:rFonts w:asciiTheme="minorHAnsi" w:eastAsiaTheme="minorEastAsia" w:hAnsiTheme="minorHAnsi" w:cstheme="minorBidi"/>
            <w:b w:val="0"/>
            <w:bCs w:val="0"/>
            <w:smallCaps w:val="0"/>
            <w:noProof/>
            <w:spacing w:val="0"/>
            <w:sz w:val="22"/>
            <w:szCs w:val="22"/>
            <w:lang w:eastAsia="zh-TW"/>
          </w:rPr>
          <w:tab/>
        </w:r>
        <w:r w:rsidRPr="00256B42">
          <w:rPr>
            <w:rStyle w:val="Hyperlink"/>
            <w:noProof/>
          </w:rPr>
          <w:t>Mental Health and Justice Health Hearing – 20 October 2021</w:t>
        </w:r>
        <w:r>
          <w:rPr>
            <w:noProof/>
            <w:webHidden/>
          </w:rPr>
          <w:tab/>
        </w:r>
        <w:r>
          <w:rPr>
            <w:noProof/>
            <w:webHidden/>
          </w:rPr>
          <w:fldChar w:fldCharType="begin"/>
        </w:r>
        <w:r>
          <w:rPr>
            <w:noProof/>
            <w:webHidden/>
          </w:rPr>
          <w:instrText xml:space="preserve"> PAGEREF _Toc87607411 \h </w:instrText>
        </w:r>
        <w:r>
          <w:rPr>
            <w:noProof/>
            <w:webHidden/>
          </w:rPr>
        </w:r>
        <w:r>
          <w:rPr>
            <w:noProof/>
            <w:webHidden/>
          </w:rPr>
          <w:fldChar w:fldCharType="separate"/>
        </w:r>
        <w:r>
          <w:rPr>
            <w:noProof/>
            <w:webHidden/>
          </w:rPr>
          <w:t>10</w:t>
        </w:r>
        <w:r>
          <w:rPr>
            <w:noProof/>
            <w:webHidden/>
          </w:rPr>
          <w:fldChar w:fldCharType="end"/>
        </w:r>
      </w:hyperlink>
    </w:p>
    <w:p w14:paraId="5394F5B1" w14:textId="5A413625" w:rsidR="00403045" w:rsidRDefault="00403045">
      <w:pPr>
        <w:pStyle w:val="TOC2"/>
        <w:rPr>
          <w:rFonts w:asciiTheme="minorHAnsi" w:eastAsiaTheme="minorEastAsia" w:hAnsiTheme="minorHAnsi" w:cstheme="minorBidi"/>
          <w:b w:val="0"/>
          <w:noProof/>
          <w:sz w:val="22"/>
          <w:szCs w:val="22"/>
          <w:lang w:eastAsia="zh-TW"/>
        </w:rPr>
      </w:pPr>
      <w:hyperlink w:anchor="_Toc87607412" w:history="1">
        <w:r w:rsidRPr="00256B42">
          <w:rPr>
            <w:rStyle w:val="Hyperlink"/>
            <w:noProof/>
          </w:rPr>
          <w:t>Matters Raised by the Committee</w:t>
        </w:r>
        <w:r>
          <w:rPr>
            <w:noProof/>
            <w:webHidden/>
          </w:rPr>
          <w:tab/>
        </w:r>
        <w:r>
          <w:rPr>
            <w:noProof/>
            <w:webHidden/>
          </w:rPr>
          <w:fldChar w:fldCharType="begin"/>
        </w:r>
        <w:r>
          <w:rPr>
            <w:noProof/>
            <w:webHidden/>
          </w:rPr>
          <w:instrText xml:space="preserve"> PAGEREF _Toc87607412 \h </w:instrText>
        </w:r>
        <w:r>
          <w:rPr>
            <w:noProof/>
            <w:webHidden/>
          </w:rPr>
        </w:r>
        <w:r>
          <w:rPr>
            <w:noProof/>
            <w:webHidden/>
          </w:rPr>
          <w:fldChar w:fldCharType="separate"/>
        </w:r>
        <w:r>
          <w:rPr>
            <w:noProof/>
            <w:webHidden/>
          </w:rPr>
          <w:t>10</w:t>
        </w:r>
        <w:r>
          <w:rPr>
            <w:noProof/>
            <w:webHidden/>
          </w:rPr>
          <w:fldChar w:fldCharType="end"/>
        </w:r>
      </w:hyperlink>
    </w:p>
    <w:p w14:paraId="14A25BF9" w14:textId="72E74EF3" w:rsidR="00403045" w:rsidRDefault="00403045">
      <w:pPr>
        <w:pStyle w:val="TOC2"/>
        <w:rPr>
          <w:rFonts w:asciiTheme="minorHAnsi" w:eastAsiaTheme="minorEastAsia" w:hAnsiTheme="minorHAnsi" w:cstheme="minorBidi"/>
          <w:b w:val="0"/>
          <w:noProof/>
          <w:sz w:val="22"/>
          <w:szCs w:val="22"/>
          <w:lang w:eastAsia="zh-TW"/>
        </w:rPr>
      </w:pPr>
      <w:hyperlink w:anchor="_Toc87607413" w:history="1">
        <w:r w:rsidRPr="00256B42">
          <w:rPr>
            <w:rStyle w:val="Hyperlink"/>
            <w:noProof/>
          </w:rPr>
          <w:t>Responses to the Committee from the Minister and Officials</w:t>
        </w:r>
        <w:r>
          <w:rPr>
            <w:noProof/>
            <w:webHidden/>
          </w:rPr>
          <w:tab/>
        </w:r>
        <w:r>
          <w:rPr>
            <w:noProof/>
            <w:webHidden/>
          </w:rPr>
          <w:fldChar w:fldCharType="begin"/>
        </w:r>
        <w:r>
          <w:rPr>
            <w:noProof/>
            <w:webHidden/>
          </w:rPr>
          <w:instrText xml:space="preserve"> PAGEREF _Toc87607413 \h </w:instrText>
        </w:r>
        <w:r>
          <w:rPr>
            <w:noProof/>
            <w:webHidden/>
          </w:rPr>
        </w:r>
        <w:r>
          <w:rPr>
            <w:noProof/>
            <w:webHidden/>
          </w:rPr>
          <w:fldChar w:fldCharType="separate"/>
        </w:r>
        <w:r>
          <w:rPr>
            <w:noProof/>
            <w:webHidden/>
          </w:rPr>
          <w:t>12</w:t>
        </w:r>
        <w:r>
          <w:rPr>
            <w:noProof/>
            <w:webHidden/>
          </w:rPr>
          <w:fldChar w:fldCharType="end"/>
        </w:r>
      </w:hyperlink>
    </w:p>
    <w:p w14:paraId="33AF1CAD" w14:textId="2DBEA5C6"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14" w:history="1">
        <w:r w:rsidRPr="00256B42">
          <w:rPr>
            <w:rStyle w:val="Hyperlink"/>
            <w:noProof/>
          </w:rPr>
          <w:t>4</w:t>
        </w:r>
        <w:r>
          <w:rPr>
            <w:rFonts w:asciiTheme="minorHAnsi" w:eastAsiaTheme="minorEastAsia" w:hAnsiTheme="minorHAnsi" w:cstheme="minorBidi"/>
            <w:b w:val="0"/>
            <w:bCs w:val="0"/>
            <w:smallCaps w:val="0"/>
            <w:noProof/>
            <w:spacing w:val="0"/>
            <w:sz w:val="22"/>
            <w:szCs w:val="22"/>
            <w:lang w:eastAsia="zh-TW"/>
          </w:rPr>
          <w:tab/>
        </w:r>
        <w:r w:rsidRPr="00256B42">
          <w:rPr>
            <w:rStyle w:val="Hyperlink"/>
            <w:noProof/>
          </w:rPr>
          <w:t>Community Services; Homelessness and Health Hearings – 21 October 2021</w:t>
        </w:r>
        <w:r>
          <w:rPr>
            <w:noProof/>
            <w:webHidden/>
          </w:rPr>
          <w:tab/>
        </w:r>
        <w:r>
          <w:rPr>
            <w:noProof/>
            <w:webHidden/>
          </w:rPr>
          <w:fldChar w:fldCharType="begin"/>
        </w:r>
        <w:r>
          <w:rPr>
            <w:noProof/>
            <w:webHidden/>
          </w:rPr>
          <w:instrText xml:space="preserve"> PAGEREF _Toc87607414 \h </w:instrText>
        </w:r>
        <w:r>
          <w:rPr>
            <w:noProof/>
            <w:webHidden/>
          </w:rPr>
        </w:r>
        <w:r>
          <w:rPr>
            <w:noProof/>
            <w:webHidden/>
          </w:rPr>
          <w:fldChar w:fldCharType="separate"/>
        </w:r>
        <w:r>
          <w:rPr>
            <w:noProof/>
            <w:webHidden/>
          </w:rPr>
          <w:t>18</w:t>
        </w:r>
        <w:r>
          <w:rPr>
            <w:noProof/>
            <w:webHidden/>
          </w:rPr>
          <w:fldChar w:fldCharType="end"/>
        </w:r>
      </w:hyperlink>
    </w:p>
    <w:p w14:paraId="5FEBDBAF" w14:textId="7416165E" w:rsidR="00403045" w:rsidRDefault="00403045">
      <w:pPr>
        <w:pStyle w:val="TOC2"/>
        <w:rPr>
          <w:rFonts w:asciiTheme="minorHAnsi" w:eastAsiaTheme="minorEastAsia" w:hAnsiTheme="minorHAnsi" w:cstheme="minorBidi"/>
          <w:b w:val="0"/>
          <w:noProof/>
          <w:sz w:val="22"/>
          <w:szCs w:val="22"/>
          <w:lang w:eastAsia="zh-TW"/>
        </w:rPr>
      </w:pPr>
      <w:hyperlink w:anchor="_Toc87607415" w:history="1">
        <w:r w:rsidRPr="00256B42">
          <w:rPr>
            <w:rStyle w:val="Hyperlink"/>
            <w:noProof/>
          </w:rPr>
          <w:t>Matters Raised by the Committee with Minister Davidson</w:t>
        </w:r>
        <w:r>
          <w:rPr>
            <w:noProof/>
            <w:webHidden/>
          </w:rPr>
          <w:tab/>
        </w:r>
        <w:r>
          <w:rPr>
            <w:noProof/>
            <w:webHidden/>
          </w:rPr>
          <w:fldChar w:fldCharType="begin"/>
        </w:r>
        <w:r>
          <w:rPr>
            <w:noProof/>
            <w:webHidden/>
          </w:rPr>
          <w:instrText xml:space="preserve"> PAGEREF _Toc87607415 \h </w:instrText>
        </w:r>
        <w:r>
          <w:rPr>
            <w:noProof/>
            <w:webHidden/>
          </w:rPr>
        </w:r>
        <w:r>
          <w:rPr>
            <w:noProof/>
            <w:webHidden/>
          </w:rPr>
          <w:fldChar w:fldCharType="separate"/>
        </w:r>
        <w:r>
          <w:rPr>
            <w:noProof/>
            <w:webHidden/>
          </w:rPr>
          <w:t>18</w:t>
        </w:r>
        <w:r>
          <w:rPr>
            <w:noProof/>
            <w:webHidden/>
          </w:rPr>
          <w:fldChar w:fldCharType="end"/>
        </w:r>
      </w:hyperlink>
    </w:p>
    <w:p w14:paraId="7657A34F" w14:textId="231F2BDA" w:rsidR="00403045" w:rsidRDefault="00403045">
      <w:pPr>
        <w:pStyle w:val="TOC2"/>
        <w:rPr>
          <w:rFonts w:asciiTheme="minorHAnsi" w:eastAsiaTheme="minorEastAsia" w:hAnsiTheme="minorHAnsi" w:cstheme="minorBidi"/>
          <w:b w:val="0"/>
          <w:noProof/>
          <w:sz w:val="22"/>
          <w:szCs w:val="22"/>
          <w:lang w:eastAsia="zh-TW"/>
        </w:rPr>
      </w:pPr>
      <w:hyperlink w:anchor="_Toc87607416" w:history="1">
        <w:r w:rsidRPr="00256B42">
          <w:rPr>
            <w:rStyle w:val="Hyperlink"/>
            <w:noProof/>
          </w:rPr>
          <w:t>Advice provided to the Committee by Minister Davidson and Officials</w:t>
        </w:r>
        <w:r>
          <w:rPr>
            <w:noProof/>
            <w:webHidden/>
          </w:rPr>
          <w:tab/>
        </w:r>
        <w:r>
          <w:rPr>
            <w:noProof/>
            <w:webHidden/>
          </w:rPr>
          <w:fldChar w:fldCharType="begin"/>
        </w:r>
        <w:r>
          <w:rPr>
            <w:noProof/>
            <w:webHidden/>
          </w:rPr>
          <w:instrText xml:space="preserve"> PAGEREF _Toc87607416 \h </w:instrText>
        </w:r>
        <w:r>
          <w:rPr>
            <w:noProof/>
            <w:webHidden/>
          </w:rPr>
        </w:r>
        <w:r>
          <w:rPr>
            <w:noProof/>
            <w:webHidden/>
          </w:rPr>
          <w:fldChar w:fldCharType="separate"/>
        </w:r>
        <w:r>
          <w:rPr>
            <w:noProof/>
            <w:webHidden/>
          </w:rPr>
          <w:t>19</w:t>
        </w:r>
        <w:r>
          <w:rPr>
            <w:noProof/>
            <w:webHidden/>
          </w:rPr>
          <w:fldChar w:fldCharType="end"/>
        </w:r>
      </w:hyperlink>
    </w:p>
    <w:p w14:paraId="1B210CA1" w14:textId="2B9C1285" w:rsidR="00403045" w:rsidRDefault="00403045">
      <w:pPr>
        <w:pStyle w:val="TOC2"/>
        <w:rPr>
          <w:rFonts w:asciiTheme="minorHAnsi" w:eastAsiaTheme="minorEastAsia" w:hAnsiTheme="minorHAnsi" w:cstheme="minorBidi"/>
          <w:b w:val="0"/>
          <w:noProof/>
          <w:sz w:val="22"/>
          <w:szCs w:val="22"/>
          <w:lang w:eastAsia="zh-TW"/>
        </w:rPr>
      </w:pPr>
      <w:hyperlink w:anchor="_Toc87607417" w:history="1">
        <w:r w:rsidRPr="00256B42">
          <w:rPr>
            <w:rStyle w:val="Hyperlink"/>
            <w:noProof/>
          </w:rPr>
          <w:t>Matters Raised by the Committee with Minister Vassarotti</w:t>
        </w:r>
        <w:r>
          <w:rPr>
            <w:noProof/>
            <w:webHidden/>
          </w:rPr>
          <w:tab/>
        </w:r>
        <w:r>
          <w:rPr>
            <w:noProof/>
            <w:webHidden/>
          </w:rPr>
          <w:fldChar w:fldCharType="begin"/>
        </w:r>
        <w:r>
          <w:rPr>
            <w:noProof/>
            <w:webHidden/>
          </w:rPr>
          <w:instrText xml:space="preserve"> PAGEREF _Toc87607417 \h </w:instrText>
        </w:r>
        <w:r>
          <w:rPr>
            <w:noProof/>
            <w:webHidden/>
          </w:rPr>
        </w:r>
        <w:r>
          <w:rPr>
            <w:noProof/>
            <w:webHidden/>
          </w:rPr>
          <w:fldChar w:fldCharType="separate"/>
        </w:r>
        <w:r>
          <w:rPr>
            <w:noProof/>
            <w:webHidden/>
          </w:rPr>
          <w:t>22</w:t>
        </w:r>
        <w:r>
          <w:rPr>
            <w:noProof/>
            <w:webHidden/>
          </w:rPr>
          <w:fldChar w:fldCharType="end"/>
        </w:r>
      </w:hyperlink>
    </w:p>
    <w:p w14:paraId="5DEE4AF0" w14:textId="2B64BD3F" w:rsidR="00403045" w:rsidRDefault="00403045">
      <w:pPr>
        <w:pStyle w:val="TOC2"/>
        <w:rPr>
          <w:rFonts w:asciiTheme="minorHAnsi" w:eastAsiaTheme="minorEastAsia" w:hAnsiTheme="minorHAnsi" w:cstheme="minorBidi"/>
          <w:b w:val="0"/>
          <w:noProof/>
          <w:sz w:val="22"/>
          <w:szCs w:val="22"/>
          <w:lang w:eastAsia="zh-TW"/>
        </w:rPr>
      </w:pPr>
      <w:hyperlink w:anchor="_Toc87607418" w:history="1">
        <w:r w:rsidRPr="00256B42">
          <w:rPr>
            <w:rStyle w:val="Hyperlink"/>
            <w:noProof/>
          </w:rPr>
          <w:t>Advice provided to the Committee by Minister Vassarotti and Officials</w:t>
        </w:r>
        <w:r>
          <w:rPr>
            <w:noProof/>
            <w:webHidden/>
          </w:rPr>
          <w:tab/>
        </w:r>
        <w:r>
          <w:rPr>
            <w:noProof/>
            <w:webHidden/>
          </w:rPr>
          <w:fldChar w:fldCharType="begin"/>
        </w:r>
        <w:r>
          <w:rPr>
            <w:noProof/>
            <w:webHidden/>
          </w:rPr>
          <w:instrText xml:space="preserve"> PAGEREF _Toc87607418 \h </w:instrText>
        </w:r>
        <w:r>
          <w:rPr>
            <w:noProof/>
            <w:webHidden/>
          </w:rPr>
        </w:r>
        <w:r>
          <w:rPr>
            <w:noProof/>
            <w:webHidden/>
          </w:rPr>
          <w:fldChar w:fldCharType="separate"/>
        </w:r>
        <w:r>
          <w:rPr>
            <w:noProof/>
            <w:webHidden/>
          </w:rPr>
          <w:t>23</w:t>
        </w:r>
        <w:r>
          <w:rPr>
            <w:noProof/>
            <w:webHidden/>
          </w:rPr>
          <w:fldChar w:fldCharType="end"/>
        </w:r>
      </w:hyperlink>
    </w:p>
    <w:p w14:paraId="19BDB9D9" w14:textId="45DC778E" w:rsidR="00403045" w:rsidRDefault="00403045">
      <w:pPr>
        <w:pStyle w:val="TOC2"/>
        <w:rPr>
          <w:rFonts w:asciiTheme="minorHAnsi" w:eastAsiaTheme="minorEastAsia" w:hAnsiTheme="minorHAnsi" w:cstheme="minorBidi"/>
          <w:b w:val="0"/>
          <w:noProof/>
          <w:sz w:val="22"/>
          <w:szCs w:val="22"/>
          <w:lang w:eastAsia="zh-TW"/>
        </w:rPr>
      </w:pPr>
      <w:hyperlink w:anchor="_Toc87607419" w:history="1">
        <w:r w:rsidRPr="00256B42">
          <w:rPr>
            <w:rStyle w:val="Hyperlink"/>
            <w:noProof/>
          </w:rPr>
          <w:t>Committee Comment</w:t>
        </w:r>
        <w:r>
          <w:rPr>
            <w:noProof/>
            <w:webHidden/>
          </w:rPr>
          <w:tab/>
        </w:r>
        <w:r>
          <w:rPr>
            <w:noProof/>
            <w:webHidden/>
          </w:rPr>
          <w:fldChar w:fldCharType="begin"/>
        </w:r>
        <w:r>
          <w:rPr>
            <w:noProof/>
            <w:webHidden/>
          </w:rPr>
          <w:instrText xml:space="preserve"> PAGEREF _Toc87607419 \h </w:instrText>
        </w:r>
        <w:r>
          <w:rPr>
            <w:noProof/>
            <w:webHidden/>
          </w:rPr>
        </w:r>
        <w:r>
          <w:rPr>
            <w:noProof/>
            <w:webHidden/>
          </w:rPr>
          <w:fldChar w:fldCharType="separate"/>
        </w:r>
        <w:r>
          <w:rPr>
            <w:noProof/>
            <w:webHidden/>
          </w:rPr>
          <w:t>25</w:t>
        </w:r>
        <w:r>
          <w:rPr>
            <w:noProof/>
            <w:webHidden/>
          </w:rPr>
          <w:fldChar w:fldCharType="end"/>
        </w:r>
      </w:hyperlink>
    </w:p>
    <w:p w14:paraId="1E8F7973" w14:textId="39CC1999" w:rsidR="00403045" w:rsidRDefault="00403045">
      <w:pPr>
        <w:pStyle w:val="TOC2"/>
        <w:rPr>
          <w:rFonts w:asciiTheme="minorHAnsi" w:eastAsiaTheme="minorEastAsia" w:hAnsiTheme="minorHAnsi" w:cstheme="minorBidi"/>
          <w:b w:val="0"/>
          <w:noProof/>
          <w:sz w:val="22"/>
          <w:szCs w:val="22"/>
          <w:lang w:eastAsia="zh-TW"/>
        </w:rPr>
      </w:pPr>
      <w:hyperlink w:anchor="_Toc87607420" w:history="1">
        <w:r w:rsidRPr="00256B42">
          <w:rPr>
            <w:rStyle w:val="Hyperlink"/>
            <w:noProof/>
          </w:rPr>
          <w:t xml:space="preserve">Matters Raised by the Committee with Minister Stephen-Smith </w:t>
        </w:r>
        <w:r>
          <w:rPr>
            <w:noProof/>
            <w:webHidden/>
          </w:rPr>
          <w:tab/>
        </w:r>
        <w:r>
          <w:rPr>
            <w:noProof/>
            <w:webHidden/>
          </w:rPr>
          <w:fldChar w:fldCharType="begin"/>
        </w:r>
        <w:r>
          <w:rPr>
            <w:noProof/>
            <w:webHidden/>
          </w:rPr>
          <w:instrText xml:space="preserve"> PAGEREF _Toc87607420 \h </w:instrText>
        </w:r>
        <w:r>
          <w:rPr>
            <w:noProof/>
            <w:webHidden/>
          </w:rPr>
        </w:r>
        <w:r>
          <w:rPr>
            <w:noProof/>
            <w:webHidden/>
          </w:rPr>
          <w:fldChar w:fldCharType="separate"/>
        </w:r>
        <w:r>
          <w:rPr>
            <w:noProof/>
            <w:webHidden/>
          </w:rPr>
          <w:t>26</w:t>
        </w:r>
        <w:r>
          <w:rPr>
            <w:noProof/>
            <w:webHidden/>
          </w:rPr>
          <w:fldChar w:fldCharType="end"/>
        </w:r>
      </w:hyperlink>
    </w:p>
    <w:p w14:paraId="0132EC6D" w14:textId="63C90066" w:rsidR="00403045" w:rsidRDefault="00403045">
      <w:pPr>
        <w:pStyle w:val="TOC2"/>
        <w:rPr>
          <w:rFonts w:asciiTheme="minorHAnsi" w:eastAsiaTheme="minorEastAsia" w:hAnsiTheme="minorHAnsi" w:cstheme="minorBidi"/>
          <w:b w:val="0"/>
          <w:noProof/>
          <w:sz w:val="22"/>
          <w:szCs w:val="22"/>
          <w:lang w:eastAsia="zh-TW"/>
        </w:rPr>
      </w:pPr>
      <w:hyperlink w:anchor="_Toc87607421" w:history="1">
        <w:r w:rsidRPr="00256B42">
          <w:rPr>
            <w:rStyle w:val="Hyperlink"/>
            <w:noProof/>
          </w:rPr>
          <w:t>Responses to the Committee by Minister Stephen-Smith and Officials</w:t>
        </w:r>
        <w:r>
          <w:rPr>
            <w:noProof/>
            <w:webHidden/>
          </w:rPr>
          <w:tab/>
        </w:r>
        <w:r>
          <w:rPr>
            <w:noProof/>
            <w:webHidden/>
          </w:rPr>
          <w:fldChar w:fldCharType="begin"/>
        </w:r>
        <w:r>
          <w:rPr>
            <w:noProof/>
            <w:webHidden/>
          </w:rPr>
          <w:instrText xml:space="preserve"> PAGEREF _Toc87607421 \h </w:instrText>
        </w:r>
        <w:r>
          <w:rPr>
            <w:noProof/>
            <w:webHidden/>
          </w:rPr>
        </w:r>
        <w:r>
          <w:rPr>
            <w:noProof/>
            <w:webHidden/>
          </w:rPr>
          <w:fldChar w:fldCharType="separate"/>
        </w:r>
        <w:r>
          <w:rPr>
            <w:noProof/>
            <w:webHidden/>
          </w:rPr>
          <w:t>28</w:t>
        </w:r>
        <w:r>
          <w:rPr>
            <w:noProof/>
            <w:webHidden/>
          </w:rPr>
          <w:fldChar w:fldCharType="end"/>
        </w:r>
      </w:hyperlink>
    </w:p>
    <w:p w14:paraId="19A4B531" w14:textId="0F55D738"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22" w:history="1">
        <w:r w:rsidRPr="00256B42">
          <w:rPr>
            <w:rStyle w:val="Hyperlink"/>
            <w:noProof/>
          </w:rPr>
          <w:t>5</w:t>
        </w:r>
        <w:r>
          <w:rPr>
            <w:rFonts w:asciiTheme="minorHAnsi" w:eastAsiaTheme="minorEastAsia" w:hAnsiTheme="minorHAnsi" w:cstheme="minorBidi"/>
            <w:b w:val="0"/>
            <w:bCs w:val="0"/>
            <w:smallCaps w:val="0"/>
            <w:noProof/>
            <w:spacing w:val="0"/>
            <w:sz w:val="22"/>
            <w:szCs w:val="22"/>
            <w:lang w:eastAsia="zh-TW"/>
          </w:rPr>
          <w:tab/>
        </w:r>
        <w:r w:rsidRPr="00256B42">
          <w:rPr>
            <w:rStyle w:val="Hyperlink"/>
            <w:noProof/>
          </w:rPr>
          <w:t>Families and Community Services Hearing – 25 October 2021</w:t>
        </w:r>
        <w:r>
          <w:rPr>
            <w:noProof/>
            <w:webHidden/>
          </w:rPr>
          <w:tab/>
        </w:r>
        <w:r>
          <w:rPr>
            <w:noProof/>
            <w:webHidden/>
          </w:rPr>
          <w:fldChar w:fldCharType="begin"/>
        </w:r>
        <w:r>
          <w:rPr>
            <w:noProof/>
            <w:webHidden/>
          </w:rPr>
          <w:instrText xml:space="preserve"> PAGEREF _Toc87607422 \h </w:instrText>
        </w:r>
        <w:r>
          <w:rPr>
            <w:noProof/>
            <w:webHidden/>
          </w:rPr>
        </w:r>
        <w:r>
          <w:rPr>
            <w:noProof/>
            <w:webHidden/>
          </w:rPr>
          <w:fldChar w:fldCharType="separate"/>
        </w:r>
        <w:r>
          <w:rPr>
            <w:noProof/>
            <w:webHidden/>
          </w:rPr>
          <w:t>36</w:t>
        </w:r>
        <w:r>
          <w:rPr>
            <w:noProof/>
            <w:webHidden/>
          </w:rPr>
          <w:fldChar w:fldCharType="end"/>
        </w:r>
      </w:hyperlink>
    </w:p>
    <w:p w14:paraId="5EC7D6FE" w14:textId="0CF1727C" w:rsidR="00403045" w:rsidRDefault="00403045">
      <w:pPr>
        <w:pStyle w:val="TOC2"/>
        <w:rPr>
          <w:rFonts w:asciiTheme="minorHAnsi" w:eastAsiaTheme="minorEastAsia" w:hAnsiTheme="minorHAnsi" w:cstheme="minorBidi"/>
          <w:b w:val="0"/>
          <w:noProof/>
          <w:sz w:val="22"/>
          <w:szCs w:val="22"/>
          <w:lang w:eastAsia="zh-TW"/>
        </w:rPr>
      </w:pPr>
      <w:hyperlink w:anchor="_Toc87607423" w:history="1">
        <w:r w:rsidRPr="00256B42">
          <w:rPr>
            <w:rStyle w:val="Hyperlink"/>
            <w:noProof/>
          </w:rPr>
          <w:t>Matters Raised by the Committee</w:t>
        </w:r>
        <w:r>
          <w:rPr>
            <w:noProof/>
            <w:webHidden/>
          </w:rPr>
          <w:tab/>
        </w:r>
        <w:r>
          <w:rPr>
            <w:noProof/>
            <w:webHidden/>
          </w:rPr>
          <w:fldChar w:fldCharType="begin"/>
        </w:r>
        <w:r>
          <w:rPr>
            <w:noProof/>
            <w:webHidden/>
          </w:rPr>
          <w:instrText xml:space="preserve"> PAGEREF _Toc87607423 \h </w:instrText>
        </w:r>
        <w:r>
          <w:rPr>
            <w:noProof/>
            <w:webHidden/>
          </w:rPr>
        </w:r>
        <w:r>
          <w:rPr>
            <w:noProof/>
            <w:webHidden/>
          </w:rPr>
          <w:fldChar w:fldCharType="separate"/>
        </w:r>
        <w:r>
          <w:rPr>
            <w:noProof/>
            <w:webHidden/>
          </w:rPr>
          <w:t>36</w:t>
        </w:r>
        <w:r>
          <w:rPr>
            <w:noProof/>
            <w:webHidden/>
          </w:rPr>
          <w:fldChar w:fldCharType="end"/>
        </w:r>
      </w:hyperlink>
    </w:p>
    <w:p w14:paraId="338FAA79" w14:textId="216FEC61" w:rsidR="00403045" w:rsidRDefault="00403045">
      <w:pPr>
        <w:pStyle w:val="TOC2"/>
        <w:rPr>
          <w:rFonts w:asciiTheme="minorHAnsi" w:eastAsiaTheme="minorEastAsia" w:hAnsiTheme="minorHAnsi" w:cstheme="minorBidi"/>
          <w:b w:val="0"/>
          <w:noProof/>
          <w:sz w:val="22"/>
          <w:szCs w:val="22"/>
          <w:lang w:eastAsia="zh-TW"/>
        </w:rPr>
      </w:pPr>
      <w:hyperlink w:anchor="_Toc87607424" w:history="1">
        <w:r w:rsidRPr="00256B42">
          <w:rPr>
            <w:rStyle w:val="Hyperlink"/>
            <w:noProof/>
          </w:rPr>
          <w:t>Responses provided by Minister Stephen-Smith and Officials</w:t>
        </w:r>
        <w:r>
          <w:rPr>
            <w:noProof/>
            <w:webHidden/>
          </w:rPr>
          <w:tab/>
        </w:r>
        <w:r>
          <w:rPr>
            <w:noProof/>
            <w:webHidden/>
          </w:rPr>
          <w:fldChar w:fldCharType="begin"/>
        </w:r>
        <w:r>
          <w:rPr>
            <w:noProof/>
            <w:webHidden/>
          </w:rPr>
          <w:instrText xml:space="preserve"> PAGEREF _Toc87607424 \h </w:instrText>
        </w:r>
        <w:r>
          <w:rPr>
            <w:noProof/>
            <w:webHidden/>
          </w:rPr>
        </w:r>
        <w:r>
          <w:rPr>
            <w:noProof/>
            <w:webHidden/>
          </w:rPr>
          <w:fldChar w:fldCharType="separate"/>
        </w:r>
        <w:r>
          <w:rPr>
            <w:noProof/>
            <w:webHidden/>
          </w:rPr>
          <w:t>38</w:t>
        </w:r>
        <w:r>
          <w:rPr>
            <w:noProof/>
            <w:webHidden/>
          </w:rPr>
          <w:fldChar w:fldCharType="end"/>
        </w:r>
      </w:hyperlink>
    </w:p>
    <w:p w14:paraId="298BBE2C" w14:textId="54FBE927"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25" w:history="1">
        <w:r w:rsidRPr="00256B42">
          <w:rPr>
            <w:rStyle w:val="Hyperlink"/>
            <w:noProof/>
          </w:rPr>
          <w:t>6</w:t>
        </w:r>
        <w:r>
          <w:rPr>
            <w:rFonts w:asciiTheme="minorHAnsi" w:eastAsiaTheme="minorEastAsia" w:hAnsiTheme="minorHAnsi" w:cstheme="minorBidi"/>
            <w:b w:val="0"/>
            <w:bCs w:val="0"/>
            <w:smallCaps w:val="0"/>
            <w:noProof/>
            <w:spacing w:val="0"/>
            <w:sz w:val="22"/>
            <w:szCs w:val="22"/>
            <w:lang w:eastAsia="zh-TW"/>
          </w:rPr>
          <w:tab/>
        </w:r>
        <w:r w:rsidRPr="00256B42">
          <w:rPr>
            <w:rStyle w:val="Hyperlink"/>
            <w:noProof/>
          </w:rPr>
          <w:t>House and Suburban Development; Prevention of Domestic and Family Violence – Hearing - 29 October 2021</w:t>
        </w:r>
        <w:r>
          <w:rPr>
            <w:noProof/>
            <w:webHidden/>
          </w:rPr>
          <w:tab/>
        </w:r>
        <w:r>
          <w:rPr>
            <w:noProof/>
            <w:webHidden/>
          </w:rPr>
          <w:fldChar w:fldCharType="begin"/>
        </w:r>
        <w:r>
          <w:rPr>
            <w:noProof/>
            <w:webHidden/>
          </w:rPr>
          <w:instrText xml:space="preserve"> PAGEREF _Toc87607425 \h </w:instrText>
        </w:r>
        <w:r>
          <w:rPr>
            <w:noProof/>
            <w:webHidden/>
          </w:rPr>
        </w:r>
        <w:r>
          <w:rPr>
            <w:noProof/>
            <w:webHidden/>
          </w:rPr>
          <w:fldChar w:fldCharType="separate"/>
        </w:r>
        <w:r>
          <w:rPr>
            <w:noProof/>
            <w:webHidden/>
          </w:rPr>
          <w:t>43</w:t>
        </w:r>
        <w:r>
          <w:rPr>
            <w:noProof/>
            <w:webHidden/>
          </w:rPr>
          <w:fldChar w:fldCharType="end"/>
        </w:r>
      </w:hyperlink>
    </w:p>
    <w:p w14:paraId="710B6C22" w14:textId="5D114F32" w:rsidR="00403045" w:rsidRDefault="00403045">
      <w:pPr>
        <w:pStyle w:val="TOC2"/>
        <w:rPr>
          <w:rFonts w:asciiTheme="minorHAnsi" w:eastAsiaTheme="minorEastAsia" w:hAnsiTheme="minorHAnsi" w:cstheme="minorBidi"/>
          <w:b w:val="0"/>
          <w:noProof/>
          <w:sz w:val="22"/>
          <w:szCs w:val="22"/>
          <w:lang w:eastAsia="zh-TW"/>
        </w:rPr>
      </w:pPr>
      <w:hyperlink w:anchor="_Toc87607426" w:history="1">
        <w:r w:rsidRPr="00256B42">
          <w:rPr>
            <w:rStyle w:val="Hyperlink"/>
            <w:noProof/>
          </w:rPr>
          <w:t>Matters Raised by the Committee</w:t>
        </w:r>
        <w:r>
          <w:rPr>
            <w:noProof/>
            <w:webHidden/>
          </w:rPr>
          <w:tab/>
        </w:r>
        <w:r>
          <w:rPr>
            <w:noProof/>
            <w:webHidden/>
          </w:rPr>
          <w:fldChar w:fldCharType="begin"/>
        </w:r>
        <w:r>
          <w:rPr>
            <w:noProof/>
            <w:webHidden/>
          </w:rPr>
          <w:instrText xml:space="preserve"> PAGEREF _Toc87607426 \h </w:instrText>
        </w:r>
        <w:r>
          <w:rPr>
            <w:noProof/>
            <w:webHidden/>
          </w:rPr>
        </w:r>
        <w:r>
          <w:rPr>
            <w:noProof/>
            <w:webHidden/>
          </w:rPr>
          <w:fldChar w:fldCharType="separate"/>
        </w:r>
        <w:r>
          <w:rPr>
            <w:noProof/>
            <w:webHidden/>
          </w:rPr>
          <w:t>43</w:t>
        </w:r>
        <w:r>
          <w:rPr>
            <w:noProof/>
            <w:webHidden/>
          </w:rPr>
          <w:fldChar w:fldCharType="end"/>
        </w:r>
      </w:hyperlink>
    </w:p>
    <w:p w14:paraId="5E403F7F" w14:textId="360BE825" w:rsidR="00403045" w:rsidRDefault="00403045">
      <w:pPr>
        <w:pStyle w:val="TOC2"/>
        <w:rPr>
          <w:rFonts w:asciiTheme="minorHAnsi" w:eastAsiaTheme="minorEastAsia" w:hAnsiTheme="minorHAnsi" w:cstheme="minorBidi"/>
          <w:b w:val="0"/>
          <w:noProof/>
          <w:sz w:val="22"/>
          <w:szCs w:val="22"/>
          <w:lang w:eastAsia="zh-TW"/>
        </w:rPr>
      </w:pPr>
      <w:hyperlink w:anchor="_Toc87607427" w:history="1">
        <w:r w:rsidRPr="00256B42">
          <w:rPr>
            <w:rStyle w:val="Hyperlink"/>
            <w:noProof/>
          </w:rPr>
          <w:t>Responses provided by Minister Berry and Officials</w:t>
        </w:r>
        <w:r>
          <w:rPr>
            <w:noProof/>
            <w:webHidden/>
          </w:rPr>
          <w:tab/>
        </w:r>
        <w:r>
          <w:rPr>
            <w:noProof/>
            <w:webHidden/>
          </w:rPr>
          <w:fldChar w:fldCharType="begin"/>
        </w:r>
        <w:r>
          <w:rPr>
            <w:noProof/>
            <w:webHidden/>
          </w:rPr>
          <w:instrText xml:space="preserve"> PAGEREF _Toc87607427 \h </w:instrText>
        </w:r>
        <w:r>
          <w:rPr>
            <w:noProof/>
            <w:webHidden/>
          </w:rPr>
        </w:r>
        <w:r>
          <w:rPr>
            <w:noProof/>
            <w:webHidden/>
          </w:rPr>
          <w:fldChar w:fldCharType="separate"/>
        </w:r>
        <w:r>
          <w:rPr>
            <w:noProof/>
            <w:webHidden/>
          </w:rPr>
          <w:t>45</w:t>
        </w:r>
        <w:r>
          <w:rPr>
            <w:noProof/>
            <w:webHidden/>
          </w:rPr>
          <w:fldChar w:fldCharType="end"/>
        </w:r>
      </w:hyperlink>
    </w:p>
    <w:p w14:paraId="61D0E1BF" w14:textId="2F24229E"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28" w:history="1">
        <w:r w:rsidRPr="00256B42">
          <w:rPr>
            <w:rStyle w:val="Hyperlink"/>
            <w:noProof/>
          </w:rPr>
          <w:t>7</w:t>
        </w:r>
        <w:r>
          <w:rPr>
            <w:rFonts w:asciiTheme="minorHAnsi" w:eastAsiaTheme="minorEastAsia" w:hAnsiTheme="minorHAnsi" w:cstheme="minorBidi"/>
            <w:b w:val="0"/>
            <w:bCs w:val="0"/>
            <w:smallCaps w:val="0"/>
            <w:noProof/>
            <w:spacing w:val="0"/>
            <w:sz w:val="22"/>
            <w:szCs w:val="22"/>
            <w:lang w:eastAsia="zh-TW"/>
          </w:rPr>
          <w:tab/>
        </w:r>
        <w:r w:rsidRPr="00256B42">
          <w:rPr>
            <w:rStyle w:val="Hyperlink"/>
            <w:noProof/>
          </w:rPr>
          <w:t>Conclusion</w:t>
        </w:r>
        <w:r>
          <w:rPr>
            <w:noProof/>
            <w:webHidden/>
          </w:rPr>
          <w:tab/>
        </w:r>
        <w:r>
          <w:rPr>
            <w:noProof/>
            <w:webHidden/>
          </w:rPr>
          <w:fldChar w:fldCharType="begin"/>
        </w:r>
        <w:r>
          <w:rPr>
            <w:noProof/>
            <w:webHidden/>
          </w:rPr>
          <w:instrText xml:space="preserve"> PAGEREF _Toc87607428 \h </w:instrText>
        </w:r>
        <w:r>
          <w:rPr>
            <w:noProof/>
            <w:webHidden/>
          </w:rPr>
        </w:r>
        <w:r>
          <w:rPr>
            <w:noProof/>
            <w:webHidden/>
          </w:rPr>
          <w:fldChar w:fldCharType="separate"/>
        </w:r>
        <w:r>
          <w:rPr>
            <w:noProof/>
            <w:webHidden/>
          </w:rPr>
          <w:t>49</w:t>
        </w:r>
        <w:r>
          <w:rPr>
            <w:noProof/>
            <w:webHidden/>
          </w:rPr>
          <w:fldChar w:fldCharType="end"/>
        </w:r>
      </w:hyperlink>
    </w:p>
    <w:p w14:paraId="25714AD5" w14:textId="7B78392C"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29" w:history="1">
        <w:r w:rsidRPr="00256B42">
          <w:rPr>
            <w:rStyle w:val="Hyperlink"/>
            <w:noProof/>
          </w:rPr>
          <w:t>Appendix A - Witnesses</w:t>
        </w:r>
        <w:r>
          <w:rPr>
            <w:noProof/>
            <w:webHidden/>
          </w:rPr>
          <w:tab/>
        </w:r>
        <w:r>
          <w:rPr>
            <w:noProof/>
            <w:webHidden/>
          </w:rPr>
          <w:fldChar w:fldCharType="begin"/>
        </w:r>
        <w:r>
          <w:rPr>
            <w:noProof/>
            <w:webHidden/>
          </w:rPr>
          <w:instrText xml:space="preserve"> PAGEREF _Toc87607429 \h </w:instrText>
        </w:r>
        <w:r>
          <w:rPr>
            <w:noProof/>
            <w:webHidden/>
          </w:rPr>
        </w:r>
        <w:r>
          <w:rPr>
            <w:noProof/>
            <w:webHidden/>
          </w:rPr>
          <w:fldChar w:fldCharType="separate"/>
        </w:r>
        <w:r>
          <w:rPr>
            <w:noProof/>
            <w:webHidden/>
          </w:rPr>
          <w:t>51</w:t>
        </w:r>
        <w:r>
          <w:rPr>
            <w:noProof/>
            <w:webHidden/>
          </w:rPr>
          <w:fldChar w:fldCharType="end"/>
        </w:r>
      </w:hyperlink>
    </w:p>
    <w:p w14:paraId="06509D2E" w14:textId="1656554C" w:rsidR="00403045" w:rsidRDefault="00403045">
      <w:pPr>
        <w:pStyle w:val="TOC2"/>
        <w:rPr>
          <w:rFonts w:asciiTheme="minorHAnsi" w:eastAsiaTheme="minorEastAsia" w:hAnsiTheme="minorHAnsi" w:cstheme="minorBidi"/>
          <w:b w:val="0"/>
          <w:noProof/>
          <w:sz w:val="22"/>
          <w:szCs w:val="22"/>
          <w:lang w:eastAsia="zh-TW"/>
        </w:rPr>
      </w:pPr>
      <w:hyperlink w:anchor="_Toc87607430" w:history="1">
        <w:r w:rsidRPr="00256B42">
          <w:rPr>
            <w:rStyle w:val="Hyperlink"/>
            <w:bCs/>
            <w:noProof/>
          </w:rPr>
          <w:t>15 October 2021</w:t>
        </w:r>
        <w:r>
          <w:rPr>
            <w:noProof/>
            <w:webHidden/>
          </w:rPr>
          <w:tab/>
        </w:r>
        <w:r>
          <w:rPr>
            <w:noProof/>
            <w:webHidden/>
          </w:rPr>
          <w:fldChar w:fldCharType="begin"/>
        </w:r>
        <w:r>
          <w:rPr>
            <w:noProof/>
            <w:webHidden/>
          </w:rPr>
          <w:instrText xml:space="preserve"> PAGEREF _Toc87607430 \h </w:instrText>
        </w:r>
        <w:r>
          <w:rPr>
            <w:noProof/>
            <w:webHidden/>
          </w:rPr>
        </w:r>
        <w:r>
          <w:rPr>
            <w:noProof/>
            <w:webHidden/>
          </w:rPr>
          <w:fldChar w:fldCharType="separate"/>
        </w:r>
        <w:r>
          <w:rPr>
            <w:noProof/>
            <w:webHidden/>
          </w:rPr>
          <w:t>51</w:t>
        </w:r>
        <w:r>
          <w:rPr>
            <w:noProof/>
            <w:webHidden/>
          </w:rPr>
          <w:fldChar w:fldCharType="end"/>
        </w:r>
      </w:hyperlink>
    </w:p>
    <w:p w14:paraId="5DAAB258" w14:textId="794865A1" w:rsidR="00403045" w:rsidRDefault="00403045">
      <w:pPr>
        <w:pStyle w:val="TOC2"/>
        <w:rPr>
          <w:rFonts w:asciiTheme="minorHAnsi" w:eastAsiaTheme="minorEastAsia" w:hAnsiTheme="minorHAnsi" w:cstheme="minorBidi"/>
          <w:b w:val="0"/>
          <w:noProof/>
          <w:sz w:val="22"/>
          <w:szCs w:val="22"/>
          <w:lang w:eastAsia="zh-TW"/>
        </w:rPr>
      </w:pPr>
      <w:hyperlink w:anchor="_Toc87607431" w:history="1">
        <w:r w:rsidRPr="00256B42">
          <w:rPr>
            <w:rStyle w:val="Hyperlink"/>
            <w:bCs/>
            <w:noProof/>
          </w:rPr>
          <w:t>20 October 2021</w:t>
        </w:r>
        <w:r>
          <w:rPr>
            <w:noProof/>
            <w:webHidden/>
          </w:rPr>
          <w:tab/>
        </w:r>
        <w:r>
          <w:rPr>
            <w:noProof/>
            <w:webHidden/>
          </w:rPr>
          <w:fldChar w:fldCharType="begin"/>
        </w:r>
        <w:r>
          <w:rPr>
            <w:noProof/>
            <w:webHidden/>
          </w:rPr>
          <w:instrText xml:space="preserve"> PAGEREF _Toc87607431 \h </w:instrText>
        </w:r>
        <w:r>
          <w:rPr>
            <w:noProof/>
            <w:webHidden/>
          </w:rPr>
        </w:r>
        <w:r>
          <w:rPr>
            <w:noProof/>
            <w:webHidden/>
          </w:rPr>
          <w:fldChar w:fldCharType="separate"/>
        </w:r>
        <w:r>
          <w:rPr>
            <w:noProof/>
            <w:webHidden/>
          </w:rPr>
          <w:t>51</w:t>
        </w:r>
        <w:r>
          <w:rPr>
            <w:noProof/>
            <w:webHidden/>
          </w:rPr>
          <w:fldChar w:fldCharType="end"/>
        </w:r>
      </w:hyperlink>
    </w:p>
    <w:p w14:paraId="7888C27E" w14:textId="7A8C7878" w:rsidR="00403045" w:rsidRDefault="00403045">
      <w:pPr>
        <w:pStyle w:val="TOC2"/>
        <w:rPr>
          <w:rFonts w:asciiTheme="minorHAnsi" w:eastAsiaTheme="minorEastAsia" w:hAnsiTheme="minorHAnsi" w:cstheme="minorBidi"/>
          <w:b w:val="0"/>
          <w:noProof/>
          <w:sz w:val="22"/>
          <w:szCs w:val="22"/>
          <w:lang w:eastAsia="zh-TW"/>
        </w:rPr>
      </w:pPr>
      <w:hyperlink w:anchor="_Toc87607432" w:history="1">
        <w:r w:rsidRPr="00256B42">
          <w:rPr>
            <w:rStyle w:val="Hyperlink"/>
            <w:noProof/>
          </w:rPr>
          <w:t>21 October 2021</w:t>
        </w:r>
        <w:r>
          <w:rPr>
            <w:noProof/>
            <w:webHidden/>
          </w:rPr>
          <w:tab/>
        </w:r>
        <w:r>
          <w:rPr>
            <w:noProof/>
            <w:webHidden/>
          </w:rPr>
          <w:fldChar w:fldCharType="begin"/>
        </w:r>
        <w:r>
          <w:rPr>
            <w:noProof/>
            <w:webHidden/>
          </w:rPr>
          <w:instrText xml:space="preserve"> PAGEREF _Toc87607432 \h </w:instrText>
        </w:r>
        <w:r>
          <w:rPr>
            <w:noProof/>
            <w:webHidden/>
          </w:rPr>
        </w:r>
        <w:r>
          <w:rPr>
            <w:noProof/>
            <w:webHidden/>
          </w:rPr>
          <w:fldChar w:fldCharType="separate"/>
        </w:r>
        <w:r>
          <w:rPr>
            <w:noProof/>
            <w:webHidden/>
          </w:rPr>
          <w:t>52</w:t>
        </w:r>
        <w:r>
          <w:rPr>
            <w:noProof/>
            <w:webHidden/>
          </w:rPr>
          <w:fldChar w:fldCharType="end"/>
        </w:r>
      </w:hyperlink>
    </w:p>
    <w:p w14:paraId="319A4486" w14:textId="57F07A20" w:rsidR="00403045" w:rsidRDefault="00403045">
      <w:pPr>
        <w:pStyle w:val="TOC2"/>
        <w:rPr>
          <w:rFonts w:asciiTheme="minorHAnsi" w:eastAsiaTheme="minorEastAsia" w:hAnsiTheme="minorHAnsi" w:cstheme="minorBidi"/>
          <w:b w:val="0"/>
          <w:noProof/>
          <w:sz w:val="22"/>
          <w:szCs w:val="22"/>
          <w:lang w:eastAsia="zh-TW"/>
        </w:rPr>
      </w:pPr>
      <w:hyperlink w:anchor="_Toc87607433" w:history="1">
        <w:r w:rsidRPr="00256B42">
          <w:rPr>
            <w:rStyle w:val="Hyperlink"/>
            <w:noProof/>
          </w:rPr>
          <w:t>25 October 2021</w:t>
        </w:r>
        <w:r>
          <w:rPr>
            <w:noProof/>
            <w:webHidden/>
          </w:rPr>
          <w:tab/>
        </w:r>
        <w:r>
          <w:rPr>
            <w:noProof/>
            <w:webHidden/>
          </w:rPr>
          <w:fldChar w:fldCharType="begin"/>
        </w:r>
        <w:r>
          <w:rPr>
            <w:noProof/>
            <w:webHidden/>
          </w:rPr>
          <w:instrText xml:space="preserve"> PAGEREF _Toc87607433 \h </w:instrText>
        </w:r>
        <w:r>
          <w:rPr>
            <w:noProof/>
            <w:webHidden/>
          </w:rPr>
        </w:r>
        <w:r>
          <w:rPr>
            <w:noProof/>
            <w:webHidden/>
          </w:rPr>
          <w:fldChar w:fldCharType="separate"/>
        </w:r>
        <w:r>
          <w:rPr>
            <w:noProof/>
            <w:webHidden/>
          </w:rPr>
          <w:t>53</w:t>
        </w:r>
        <w:r>
          <w:rPr>
            <w:noProof/>
            <w:webHidden/>
          </w:rPr>
          <w:fldChar w:fldCharType="end"/>
        </w:r>
      </w:hyperlink>
    </w:p>
    <w:p w14:paraId="0643A020" w14:textId="6A69F68B" w:rsidR="00403045" w:rsidRDefault="00403045">
      <w:pPr>
        <w:pStyle w:val="TOC2"/>
        <w:rPr>
          <w:rFonts w:asciiTheme="minorHAnsi" w:eastAsiaTheme="minorEastAsia" w:hAnsiTheme="minorHAnsi" w:cstheme="minorBidi"/>
          <w:b w:val="0"/>
          <w:noProof/>
          <w:sz w:val="22"/>
          <w:szCs w:val="22"/>
          <w:lang w:eastAsia="zh-TW"/>
        </w:rPr>
      </w:pPr>
      <w:hyperlink w:anchor="_Toc87607434" w:history="1">
        <w:r w:rsidRPr="00256B42">
          <w:rPr>
            <w:rStyle w:val="Hyperlink"/>
            <w:noProof/>
          </w:rPr>
          <w:t>29 October 2021</w:t>
        </w:r>
        <w:r>
          <w:rPr>
            <w:noProof/>
            <w:webHidden/>
          </w:rPr>
          <w:tab/>
        </w:r>
        <w:r>
          <w:rPr>
            <w:noProof/>
            <w:webHidden/>
          </w:rPr>
          <w:fldChar w:fldCharType="begin"/>
        </w:r>
        <w:r>
          <w:rPr>
            <w:noProof/>
            <w:webHidden/>
          </w:rPr>
          <w:instrText xml:space="preserve"> PAGEREF _Toc87607434 \h </w:instrText>
        </w:r>
        <w:r>
          <w:rPr>
            <w:noProof/>
            <w:webHidden/>
          </w:rPr>
        </w:r>
        <w:r>
          <w:rPr>
            <w:noProof/>
            <w:webHidden/>
          </w:rPr>
          <w:fldChar w:fldCharType="separate"/>
        </w:r>
        <w:r>
          <w:rPr>
            <w:noProof/>
            <w:webHidden/>
          </w:rPr>
          <w:t>54</w:t>
        </w:r>
        <w:r>
          <w:rPr>
            <w:noProof/>
            <w:webHidden/>
          </w:rPr>
          <w:fldChar w:fldCharType="end"/>
        </w:r>
      </w:hyperlink>
    </w:p>
    <w:p w14:paraId="6B629E20" w14:textId="02DF8DF9" w:rsidR="00403045" w:rsidRDefault="00403045">
      <w:pPr>
        <w:pStyle w:val="TOC1"/>
        <w:rPr>
          <w:rFonts w:asciiTheme="minorHAnsi" w:eastAsiaTheme="minorEastAsia" w:hAnsiTheme="minorHAnsi" w:cstheme="minorBidi"/>
          <w:b w:val="0"/>
          <w:bCs w:val="0"/>
          <w:smallCaps w:val="0"/>
          <w:noProof/>
          <w:spacing w:val="0"/>
          <w:sz w:val="22"/>
          <w:szCs w:val="22"/>
          <w:lang w:eastAsia="zh-TW"/>
        </w:rPr>
      </w:pPr>
      <w:hyperlink w:anchor="_Toc87607435" w:history="1">
        <w:r w:rsidRPr="00256B42">
          <w:rPr>
            <w:rStyle w:val="Hyperlink"/>
            <w:noProof/>
          </w:rPr>
          <w:t>Appendix B – Questions taken on Notice/ Questions on Notice</w:t>
        </w:r>
        <w:r>
          <w:rPr>
            <w:noProof/>
            <w:webHidden/>
          </w:rPr>
          <w:tab/>
        </w:r>
        <w:r>
          <w:rPr>
            <w:noProof/>
            <w:webHidden/>
          </w:rPr>
          <w:fldChar w:fldCharType="begin"/>
        </w:r>
        <w:r>
          <w:rPr>
            <w:noProof/>
            <w:webHidden/>
          </w:rPr>
          <w:instrText xml:space="preserve"> PAGEREF _Toc87607435 \h </w:instrText>
        </w:r>
        <w:r>
          <w:rPr>
            <w:noProof/>
            <w:webHidden/>
          </w:rPr>
        </w:r>
        <w:r>
          <w:rPr>
            <w:noProof/>
            <w:webHidden/>
          </w:rPr>
          <w:fldChar w:fldCharType="separate"/>
        </w:r>
        <w:r>
          <w:rPr>
            <w:noProof/>
            <w:webHidden/>
          </w:rPr>
          <w:t>55</w:t>
        </w:r>
        <w:r>
          <w:rPr>
            <w:noProof/>
            <w:webHidden/>
          </w:rPr>
          <w:fldChar w:fldCharType="end"/>
        </w:r>
      </w:hyperlink>
    </w:p>
    <w:p w14:paraId="2B698EF1" w14:textId="41591BCC" w:rsidR="00F25118" w:rsidRDefault="00F25118" w:rsidP="00F25118">
      <w:r>
        <w:fldChar w:fldCharType="end"/>
      </w:r>
    </w:p>
    <w:p w14:paraId="0B9D763E" w14:textId="77777777" w:rsidR="00F25118" w:rsidRDefault="00F25118" w:rsidP="00F25118">
      <w:pPr>
        <w:sectPr w:rsidR="00F25118" w:rsidSect="005C087D">
          <w:headerReference w:type="even" r:id="rId11"/>
          <w:headerReference w:type="default" r:id="rId12"/>
          <w:footerReference w:type="even" r:id="rId13"/>
          <w:footerReference w:type="default" r:id="rId14"/>
          <w:headerReference w:type="first" r:id="rId15"/>
          <w:type w:val="oddPage"/>
          <w:pgSz w:w="11907" w:h="16840" w:code="9"/>
          <w:pgMar w:top="1588" w:right="1418" w:bottom="1418" w:left="1418" w:header="720" w:footer="851" w:gutter="0"/>
          <w:pgNumType w:fmt="lowerRoman" w:start="1"/>
          <w:cols w:space="720"/>
          <w:docGrid w:linePitch="360"/>
        </w:sectPr>
      </w:pPr>
    </w:p>
    <w:p w14:paraId="32CDCEF6" w14:textId="77777777" w:rsidR="00F25118" w:rsidRDefault="00F25118" w:rsidP="00F25118">
      <w:pPr>
        <w:pStyle w:val="Heading2"/>
      </w:pPr>
      <w:bookmarkStart w:id="32" w:name="_Toc87607404"/>
      <w:r>
        <w:t>Recommendations</w:t>
      </w:r>
      <w:bookmarkEnd w:id="32"/>
    </w:p>
    <w:p w14:paraId="18C59CDB" w14:textId="77777777" w:rsidR="008B2761" w:rsidRDefault="00DE7950">
      <w:pPr>
        <w:pStyle w:val="TOC1"/>
        <w:rPr>
          <w:noProof/>
        </w:rPr>
      </w:pPr>
      <w:r>
        <w:softHyphen/>
      </w:r>
      <w:r w:rsidR="00F25118">
        <w:fldChar w:fldCharType="begin"/>
      </w:r>
      <w:r w:rsidR="00F25118">
        <w:instrText xml:space="preserve"> TOC \n \h \z \t "Recommendation Heading,1,Recommendation Text,2,Recommendation Bullet,3" </w:instrText>
      </w:r>
      <w:r w:rsidR="00F25118">
        <w:fldChar w:fldCharType="separate"/>
      </w:r>
    </w:p>
    <w:p w14:paraId="701F2B1D" w14:textId="25950D9D"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29" w:history="1">
        <w:r w:rsidRPr="00645E67">
          <w:rPr>
            <w:rStyle w:val="Hyperlink"/>
            <w:noProof/>
          </w:rPr>
          <w:t>Recommendation 1</w:t>
        </w:r>
      </w:hyperlink>
    </w:p>
    <w:p w14:paraId="76C5E228" w14:textId="1A209C43" w:rsidR="008B2761" w:rsidRDefault="008B2761">
      <w:pPr>
        <w:pStyle w:val="TOC2"/>
        <w:tabs>
          <w:tab w:val="left" w:pos="992"/>
        </w:tabs>
        <w:rPr>
          <w:rFonts w:asciiTheme="minorHAnsi" w:eastAsiaTheme="minorEastAsia" w:hAnsiTheme="minorHAnsi" w:cstheme="minorBidi"/>
          <w:b w:val="0"/>
          <w:noProof/>
          <w:sz w:val="22"/>
          <w:szCs w:val="22"/>
          <w:lang w:eastAsia="zh-TW"/>
        </w:rPr>
      </w:pPr>
      <w:hyperlink w:anchor="_Toc87607630" w:history="1">
        <w:r w:rsidRPr="00645E67">
          <w:rPr>
            <w:rStyle w:val="Hyperlink"/>
            <w:noProof/>
          </w:rPr>
          <w:t>60.</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ACT Government increase funding for frontline domestic violence and rape crisis services from the current year provision to meet a continuing identification of need and an increasing number of cases.</w:t>
        </w:r>
      </w:hyperlink>
    </w:p>
    <w:p w14:paraId="208204A8" w14:textId="4DA50433"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31" w:history="1">
        <w:r w:rsidRPr="00645E67">
          <w:rPr>
            <w:rStyle w:val="Hyperlink"/>
            <w:rFonts w:eastAsiaTheme="minorHAnsi"/>
            <w:noProof/>
          </w:rPr>
          <w:t>Recommendation 2</w:t>
        </w:r>
      </w:hyperlink>
    </w:p>
    <w:p w14:paraId="36F958B4" w14:textId="44B33B94" w:rsidR="008B2761" w:rsidRDefault="008B2761">
      <w:pPr>
        <w:pStyle w:val="TOC2"/>
        <w:tabs>
          <w:tab w:val="left" w:pos="992"/>
        </w:tabs>
        <w:rPr>
          <w:rFonts w:asciiTheme="minorHAnsi" w:eastAsiaTheme="minorEastAsia" w:hAnsiTheme="minorHAnsi" w:cstheme="minorBidi"/>
          <w:b w:val="0"/>
          <w:noProof/>
          <w:sz w:val="22"/>
          <w:szCs w:val="22"/>
          <w:lang w:eastAsia="zh-TW"/>
        </w:rPr>
      </w:pPr>
      <w:hyperlink w:anchor="_Toc87607632" w:history="1">
        <w:r w:rsidRPr="00645E67">
          <w:rPr>
            <w:rStyle w:val="Hyperlink"/>
            <w:noProof/>
          </w:rPr>
          <w:t>61.</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investigate the co-location of sexual health services with walk-in health centres.</w:t>
        </w:r>
      </w:hyperlink>
    </w:p>
    <w:p w14:paraId="16CCC9A9" w14:textId="6F614A4F"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33" w:history="1">
        <w:r w:rsidRPr="00645E67">
          <w:rPr>
            <w:rStyle w:val="Hyperlink"/>
            <w:noProof/>
          </w:rPr>
          <w:t>Recommendation 3</w:t>
        </w:r>
      </w:hyperlink>
    </w:p>
    <w:p w14:paraId="49610AD2" w14:textId="1F185203" w:rsidR="008B2761" w:rsidRDefault="008B2761">
      <w:pPr>
        <w:pStyle w:val="TOC2"/>
        <w:tabs>
          <w:tab w:val="left" w:pos="992"/>
        </w:tabs>
        <w:rPr>
          <w:rFonts w:asciiTheme="minorHAnsi" w:eastAsiaTheme="minorEastAsia" w:hAnsiTheme="minorHAnsi" w:cstheme="minorBidi"/>
          <w:b w:val="0"/>
          <w:noProof/>
          <w:sz w:val="22"/>
          <w:szCs w:val="22"/>
          <w:lang w:eastAsia="zh-TW"/>
        </w:rPr>
      </w:pPr>
      <w:hyperlink w:anchor="_Toc87607634" w:history="1">
        <w:r w:rsidRPr="00645E67">
          <w:rPr>
            <w:rStyle w:val="Hyperlink"/>
            <w:noProof/>
          </w:rPr>
          <w:t>62.</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release a timeline for the additional 400 public houses and 600 affordable rentals provided for in the Parliamentary and Government Agreement for the 10</w:t>
        </w:r>
        <w:r w:rsidRPr="00645E67">
          <w:rPr>
            <w:rStyle w:val="Hyperlink"/>
            <w:noProof/>
            <w:vertAlign w:val="superscript"/>
          </w:rPr>
          <w:t>th</w:t>
        </w:r>
        <w:r w:rsidRPr="00645E67">
          <w:rPr>
            <w:rStyle w:val="Hyperlink"/>
            <w:noProof/>
          </w:rPr>
          <w:t xml:space="preserve"> Assembly.</w:t>
        </w:r>
      </w:hyperlink>
    </w:p>
    <w:p w14:paraId="2AE8FD7F" w14:textId="7393C0C8"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35" w:history="1">
        <w:r w:rsidRPr="00645E67">
          <w:rPr>
            <w:rStyle w:val="Hyperlink"/>
            <w:noProof/>
          </w:rPr>
          <w:t>Recommendation 4</w:t>
        </w:r>
      </w:hyperlink>
    </w:p>
    <w:p w14:paraId="4751B77F" w14:textId="6CEBC926" w:rsidR="008B2761" w:rsidRDefault="008B2761">
      <w:pPr>
        <w:pStyle w:val="TOC2"/>
        <w:tabs>
          <w:tab w:val="left" w:pos="992"/>
        </w:tabs>
        <w:rPr>
          <w:rFonts w:asciiTheme="minorHAnsi" w:eastAsiaTheme="minorEastAsia" w:hAnsiTheme="minorHAnsi" w:cstheme="minorBidi"/>
          <w:b w:val="0"/>
          <w:noProof/>
          <w:sz w:val="22"/>
          <w:szCs w:val="22"/>
          <w:lang w:eastAsia="zh-TW"/>
        </w:rPr>
      </w:pPr>
      <w:hyperlink w:anchor="_Toc87607636" w:history="1">
        <w:r w:rsidRPr="00645E67">
          <w:rPr>
            <w:rStyle w:val="Hyperlink"/>
            <w:noProof/>
          </w:rPr>
          <w:t>63.</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a dedicated inpatient ward at Canberra Hospital be provided to enable family support for patients at the end of life.</w:t>
        </w:r>
      </w:hyperlink>
    </w:p>
    <w:p w14:paraId="24F94C1E" w14:textId="43EC9A60"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37" w:history="1">
        <w:r w:rsidRPr="00645E67">
          <w:rPr>
            <w:rStyle w:val="Hyperlink"/>
            <w:noProof/>
          </w:rPr>
          <w:t>Recommendation 5</w:t>
        </w:r>
      </w:hyperlink>
    </w:p>
    <w:p w14:paraId="0AE9F198" w14:textId="699C7AEE" w:rsidR="008B2761" w:rsidRDefault="008B2761">
      <w:pPr>
        <w:pStyle w:val="TOC2"/>
        <w:tabs>
          <w:tab w:val="left" w:pos="992"/>
        </w:tabs>
        <w:rPr>
          <w:rFonts w:asciiTheme="minorHAnsi" w:eastAsiaTheme="minorEastAsia" w:hAnsiTheme="minorHAnsi" w:cstheme="minorBidi"/>
          <w:b w:val="0"/>
          <w:noProof/>
          <w:sz w:val="22"/>
          <w:szCs w:val="22"/>
          <w:lang w:eastAsia="zh-TW"/>
        </w:rPr>
      </w:pPr>
      <w:hyperlink w:anchor="_Toc87607638" w:history="1">
        <w:r w:rsidRPr="00645E67">
          <w:rPr>
            <w:rStyle w:val="Hyperlink"/>
            <w:noProof/>
          </w:rPr>
          <w:t>64.</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through the Clare Holland House expansion, ensure that palliative care in any dedicated inpatient facility at the Canberra Hospital have at least five beds.</w:t>
        </w:r>
      </w:hyperlink>
    </w:p>
    <w:p w14:paraId="4BE60DC3" w14:textId="2D3A34B7"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39" w:history="1">
        <w:r w:rsidRPr="00645E67">
          <w:rPr>
            <w:rStyle w:val="Hyperlink"/>
            <w:noProof/>
          </w:rPr>
          <w:t>Recommendation 6</w:t>
        </w:r>
      </w:hyperlink>
    </w:p>
    <w:p w14:paraId="53AADEDC" w14:textId="38AB8F2E"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40" w:history="1">
        <w:r w:rsidRPr="00645E67">
          <w:rPr>
            <w:rStyle w:val="Hyperlink"/>
            <w:noProof/>
          </w:rPr>
          <w:t>114.</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publish a plan on how it will expand the facilities at the Hume Medical Centre.</w:t>
        </w:r>
      </w:hyperlink>
    </w:p>
    <w:p w14:paraId="5D3482C6" w14:textId="3616336C"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41" w:history="1">
        <w:r w:rsidRPr="00645E67">
          <w:rPr>
            <w:rStyle w:val="Hyperlink"/>
            <w:noProof/>
          </w:rPr>
          <w:t>Recommendation 7</w:t>
        </w:r>
      </w:hyperlink>
    </w:p>
    <w:p w14:paraId="4289D280" w14:textId="2D3A8CBD"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42" w:history="1">
        <w:r w:rsidRPr="00645E67">
          <w:rPr>
            <w:rStyle w:val="Hyperlink"/>
            <w:noProof/>
          </w:rPr>
          <w:t>115.</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continue to investigate a needle exchange program for the AMC.</w:t>
        </w:r>
      </w:hyperlink>
    </w:p>
    <w:p w14:paraId="3C5D59E8" w14:textId="430869AB"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43" w:history="1">
        <w:r w:rsidRPr="00645E67">
          <w:rPr>
            <w:rStyle w:val="Hyperlink"/>
            <w:noProof/>
          </w:rPr>
          <w:t>Recommendation 8</w:t>
        </w:r>
      </w:hyperlink>
    </w:p>
    <w:p w14:paraId="644EF837" w14:textId="5B2A4195"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44" w:history="1">
        <w:r w:rsidRPr="00645E67">
          <w:rPr>
            <w:rStyle w:val="Hyperlink"/>
            <w:noProof/>
          </w:rPr>
          <w:t>116.</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publicly release the role descriptions of the ACT Chief Psychiatrist and the Coordinator-General of the Office of Mental Health and Wellbeing.</w:t>
        </w:r>
      </w:hyperlink>
    </w:p>
    <w:p w14:paraId="44953524" w14:textId="772A22BC"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45" w:history="1">
        <w:r w:rsidRPr="00645E67">
          <w:rPr>
            <w:rStyle w:val="Hyperlink"/>
            <w:noProof/>
          </w:rPr>
          <w:t>Recommendation 9</w:t>
        </w:r>
      </w:hyperlink>
    </w:p>
    <w:p w14:paraId="2B2473C8" w14:textId="1C254CC5"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46" w:history="1">
        <w:r w:rsidRPr="00645E67">
          <w:rPr>
            <w:rStyle w:val="Hyperlink"/>
            <w:noProof/>
          </w:rPr>
          <w:t>117.</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investigate the implementation of an updated and improved system to handle and process complaints about mental health issues and to review the current processes applied in this matter.</w:t>
        </w:r>
      </w:hyperlink>
    </w:p>
    <w:p w14:paraId="307A80FF" w14:textId="173F5624"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47" w:history="1">
        <w:r w:rsidRPr="00645E67">
          <w:rPr>
            <w:rStyle w:val="Hyperlink"/>
            <w:noProof/>
          </w:rPr>
          <w:t>Recommendation 10</w:t>
        </w:r>
      </w:hyperlink>
    </w:p>
    <w:p w14:paraId="66B37919" w14:textId="4F40A2F4"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48" w:history="1">
        <w:r w:rsidRPr="00645E67">
          <w:rPr>
            <w:rStyle w:val="Hyperlink"/>
            <w:noProof/>
          </w:rPr>
          <w:t>142.</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grants from the ACT Government Community Support Package be better promoted to community partners eligible for funding support.</w:t>
        </w:r>
      </w:hyperlink>
    </w:p>
    <w:p w14:paraId="0E399258" w14:textId="21DFEC15"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49" w:history="1">
        <w:r w:rsidRPr="00645E67">
          <w:rPr>
            <w:rStyle w:val="Hyperlink"/>
            <w:noProof/>
          </w:rPr>
          <w:t>Recommendation 11</w:t>
        </w:r>
      </w:hyperlink>
    </w:p>
    <w:p w14:paraId="51B000C6" w14:textId="48C176B8"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50" w:history="1">
        <w:r w:rsidRPr="00645E67">
          <w:rPr>
            <w:rStyle w:val="Hyperlink"/>
            <w:noProof/>
          </w:rPr>
          <w:t>143.</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provide updates to the Legislative Assembly on development of a Disability Health Strategy by the end of 2022.</w:t>
        </w:r>
      </w:hyperlink>
    </w:p>
    <w:p w14:paraId="681A9EB8" w14:textId="7A01094A"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51" w:history="1">
        <w:r w:rsidRPr="00645E67">
          <w:rPr>
            <w:rStyle w:val="Hyperlink"/>
            <w:noProof/>
          </w:rPr>
          <w:t>Recommendation 12</w:t>
        </w:r>
      </w:hyperlink>
    </w:p>
    <w:p w14:paraId="6047DD2C" w14:textId="4C678176"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52" w:history="1">
        <w:r w:rsidRPr="00645E67">
          <w:rPr>
            <w:rStyle w:val="Hyperlink"/>
            <w:noProof/>
          </w:rPr>
          <w:t>144.</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detainees at Bimberi Youth Justice Centre continue to have access to AV links for family visits.</w:t>
        </w:r>
      </w:hyperlink>
    </w:p>
    <w:p w14:paraId="3FFCC324" w14:textId="25A2AEE6"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53" w:history="1">
        <w:r w:rsidRPr="00645E67">
          <w:rPr>
            <w:rStyle w:val="Hyperlink"/>
            <w:noProof/>
          </w:rPr>
          <w:t>Recommendation13</w:t>
        </w:r>
      </w:hyperlink>
    </w:p>
    <w:p w14:paraId="5ED713F8" w14:textId="792CEEC0"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54" w:history="1">
        <w:r w:rsidRPr="00645E67">
          <w:rPr>
            <w:rStyle w:val="Hyperlink"/>
            <w:noProof/>
          </w:rPr>
          <w:t>145.</w:t>
        </w:r>
        <w:r>
          <w:rPr>
            <w:rFonts w:asciiTheme="minorHAnsi" w:eastAsiaTheme="minorEastAsia" w:hAnsiTheme="minorHAnsi" w:cstheme="minorBidi"/>
            <w:b w:val="0"/>
            <w:noProof/>
            <w:sz w:val="22"/>
            <w:szCs w:val="22"/>
            <w:lang w:eastAsia="zh-TW"/>
          </w:rPr>
          <w:tab/>
        </w:r>
        <w:r w:rsidRPr="00645E67">
          <w:rPr>
            <w:rStyle w:val="Hyperlink"/>
            <w:noProof/>
          </w:rPr>
          <w:t>The Committee recommends to the ACT Government that young detainees at Bimberi Youth Justice Centre receive additional therapeutic supports, including mental health supports and counselling, whenever they are locked down for any reason.</w:t>
        </w:r>
      </w:hyperlink>
    </w:p>
    <w:p w14:paraId="7C25ED67" w14:textId="0D4B6065"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55" w:history="1">
        <w:r w:rsidRPr="00645E67">
          <w:rPr>
            <w:rStyle w:val="Hyperlink"/>
            <w:noProof/>
          </w:rPr>
          <w:t>Recommendation 14</w:t>
        </w:r>
      </w:hyperlink>
    </w:p>
    <w:p w14:paraId="5611803A" w14:textId="49E319BC"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56" w:history="1">
        <w:r w:rsidRPr="00645E67">
          <w:rPr>
            <w:rStyle w:val="Hyperlink"/>
            <w:noProof/>
          </w:rPr>
          <w:t>175.</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ensure that AMC detainees are not disadvantaged during parole hearings through providing a guarantee of housing either through Justice Housing or Housing ACT.</w:t>
        </w:r>
      </w:hyperlink>
    </w:p>
    <w:p w14:paraId="78711BFD" w14:textId="654D2C1D"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57" w:history="1">
        <w:r w:rsidRPr="00645E67">
          <w:rPr>
            <w:rStyle w:val="Hyperlink"/>
            <w:noProof/>
          </w:rPr>
          <w:t>Recommendation 15</w:t>
        </w:r>
      </w:hyperlink>
    </w:p>
    <w:p w14:paraId="264BC0D5" w14:textId="5A7FC97F"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58" w:history="1">
        <w:r w:rsidRPr="00645E67">
          <w:rPr>
            <w:rStyle w:val="Hyperlink"/>
            <w:noProof/>
          </w:rPr>
          <w:t>238.</w:t>
        </w:r>
        <w:r>
          <w:rPr>
            <w:rFonts w:asciiTheme="minorHAnsi" w:eastAsiaTheme="minorEastAsia" w:hAnsiTheme="minorHAnsi" w:cstheme="minorBidi"/>
            <w:b w:val="0"/>
            <w:noProof/>
            <w:sz w:val="22"/>
            <w:szCs w:val="22"/>
            <w:lang w:eastAsia="zh-TW"/>
          </w:rPr>
          <w:tab/>
        </w:r>
        <w:r w:rsidRPr="00645E67">
          <w:rPr>
            <w:rStyle w:val="Hyperlink"/>
            <w:noProof/>
          </w:rPr>
          <w:t>The Committee recommends the ACT Government develop a health workforce strategy and provide an update before the end of Financial Year 2021-2022.</w:t>
        </w:r>
      </w:hyperlink>
    </w:p>
    <w:p w14:paraId="43317209" w14:textId="0DA4B978"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59" w:history="1">
        <w:r w:rsidRPr="00645E67">
          <w:rPr>
            <w:rStyle w:val="Hyperlink"/>
            <w:noProof/>
          </w:rPr>
          <w:t>Recommendation 16</w:t>
        </w:r>
      </w:hyperlink>
    </w:p>
    <w:p w14:paraId="5AF0A81F" w14:textId="5FBFB9B0"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60" w:history="1">
        <w:r w:rsidRPr="00645E67">
          <w:rPr>
            <w:rStyle w:val="Hyperlink"/>
            <w:noProof/>
          </w:rPr>
          <w:t>239.</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publicly release the human rights compatibility statement on vaccination requirements for all health directions as recommended by the ACT Human Rights Commission.</w:t>
        </w:r>
      </w:hyperlink>
    </w:p>
    <w:p w14:paraId="5D6E99D5" w14:textId="0EA6AFCF"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61" w:history="1">
        <w:r w:rsidRPr="00645E67">
          <w:rPr>
            <w:rStyle w:val="Hyperlink"/>
            <w:noProof/>
          </w:rPr>
          <w:t>Recommendation 17</w:t>
        </w:r>
      </w:hyperlink>
    </w:p>
    <w:p w14:paraId="771061C8" w14:textId="183CFF97"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62" w:history="1">
        <w:r w:rsidRPr="00645E67">
          <w:rPr>
            <w:rStyle w:val="Hyperlink"/>
            <w:noProof/>
          </w:rPr>
          <w:t>240.</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investigate and report on the viability of providing risk-based streaming, such as seniors streaming, in Emergency Departments.</w:t>
        </w:r>
      </w:hyperlink>
    </w:p>
    <w:p w14:paraId="4A843AF4" w14:textId="0A9EDABD"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63" w:history="1">
        <w:r w:rsidRPr="00645E67">
          <w:rPr>
            <w:rStyle w:val="Hyperlink"/>
            <w:noProof/>
          </w:rPr>
          <w:t>Recommendation 18</w:t>
        </w:r>
      </w:hyperlink>
    </w:p>
    <w:p w14:paraId="4DD681E0" w14:textId="541DE1A9"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64" w:history="1">
        <w:r w:rsidRPr="00645E67">
          <w:rPr>
            <w:rStyle w:val="Hyperlink"/>
            <w:noProof/>
          </w:rPr>
          <w:t>241.</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fund a dedicated team of policy experts within ACT Health to address the intersection of climate change and health.</w:t>
        </w:r>
      </w:hyperlink>
    </w:p>
    <w:p w14:paraId="3941430B" w14:textId="1E84F6D4"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65" w:history="1">
        <w:r w:rsidRPr="00645E67">
          <w:rPr>
            <w:rStyle w:val="Hyperlink"/>
            <w:noProof/>
          </w:rPr>
          <w:t>Recommendation 19</w:t>
        </w:r>
      </w:hyperlink>
    </w:p>
    <w:p w14:paraId="17B5E094" w14:textId="430B388B"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66" w:history="1">
        <w:r w:rsidRPr="00645E67">
          <w:rPr>
            <w:rStyle w:val="Hyperlink"/>
            <w:noProof/>
          </w:rPr>
          <w:t>242.</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should ensure that any external consultants commissioned to implement the recommendations of the LGBTIQA+ scoping study demonstrate connection to the LGBTIQA+ community and the service sector that surrounds it.</w:t>
        </w:r>
      </w:hyperlink>
    </w:p>
    <w:p w14:paraId="3775509A" w14:textId="28BE7505"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67" w:history="1">
        <w:r w:rsidRPr="00645E67">
          <w:rPr>
            <w:rStyle w:val="Hyperlink"/>
            <w:noProof/>
          </w:rPr>
          <w:t>Recommendation 20</w:t>
        </w:r>
      </w:hyperlink>
    </w:p>
    <w:p w14:paraId="2AA1FEAF" w14:textId="58DFAEE4"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68" w:history="1">
        <w:r w:rsidRPr="00645E67">
          <w:rPr>
            <w:rStyle w:val="Hyperlink"/>
            <w:noProof/>
            <w:lang w:eastAsia="en-AU"/>
          </w:rPr>
          <w:t>285.</w:t>
        </w:r>
        <w:r>
          <w:rPr>
            <w:rFonts w:asciiTheme="minorHAnsi" w:eastAsiaTheme="minorEastAsia" w:hAnsiTheme="minorHAnsi" w:cstheme="minorBidi"/>
            <w:b w:val="0"/>
            <w:noProof/>
            <w:sz w:val="22"/>
            <w:szCs w:val="22"/>
            <w:lang w:eastAsia="zh-TW"/>
          </w:rPr>
          <w:tab/>
        </w:r>
        <w:r w:rsidRPr="00645E67">
          <w:rPr>
            <w:rStyle w:val="Hyperlink"/>
            <w:noProof/>
          </w:rPr>
          <w:t xml:space="preserve">The Committee recommends that the new iteration of </w:t>
        </w:r>
        <w:r w:rsidRPr="00645E67">
          <w:rPr>
            <w:rStyle w:val="Hyperlink"/>
            <w:i/>
            <w:iCs/>
            <w:noProof/>
            <w:lang w:eastAsia="en-AU"/>
          </w:rPr>
          <w:t>A Step Up for Our Kids</w:t>
        </w:r>
        <w:r w:rsidRPr="00645E67">
          <w:rPr>
            <w:rStyle w:val="Hyperlink"/>
            <w:noProof/>
            <w:lang w:eastAsia="en-AU"/>
          </w:rPr>
          <w:t xml:space="preserve"> specifically address concerns raised by foster and kinship carers.</w:t>
        </w:r>
      </w:hyperlink>
    </w:p>
    <w:p w14:paraId="23B45824" w14:textId="35B163B9"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69" w:history="1">
        <w:r w:rsidRPr="00645E67">
          <w:rPr>
            <w:rStyle w:val="Hyperlink"/>
            <w:noProof/>
            <w:lang w:eastAsia="en-AU"/>
          </w:rPr>
          <w:t>Recommendation 21</w:t>
        </w:r>
      </w:hyperlink>
    </w:p>
    <w:p w14:paraId="58A62B61" w14:textId="763BAB39"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70" w:history="1">
        <w:r w:rsidRPr="00645E67">
          <w:rPr>
            <w:rStyle w:val="Hyperlink"/>
            <w:noProof/>
            <w:lang w:eastAsia="en-AU"/>
          </w:rPr>
          <w:t>286.</w:t>
        </w:r>
        <w:r>
          <w:rPr>
            <w:rFonts w:asciiTheme="minorHAnsi" w:eastAsiaTheme="minorEastAsia" w:hAnsiTheme="minorHAnsi" w:cstheme="minorBidi"/>
            <w:b w:val="0"/>
            <w:noProof/>
            <w:sz w:val="22"/>
            <w:szCs w:val="22"/>
            <w:lang w:eastAsia="zh-TW"/>
          </w:rPr>
          <w:tab/>
        </w:r>
        <w:r w:rsidRPr="00645E67">
          <w:rPr>
            <w:rStyle w:val="Hyperlink"/>
            <w:noProof/>
            <w:lang w:eastAsia="en-AU"/>
          </w:rPr>
          <w:t>The Committee recommends that the ACT Government fund implementation of the carers’ strategy with emphasis on respite care.</w:t>
        </w:r>
      </w:hyperlink>
    </w:p>
    <w:p w14:paraId="79DAFAF5" w14:textId="1AD3AA30"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71" w:history="1">
        <w:r w:rsidRPr="00645E67">
          <w:rPr>
            <w:rStyle w:val="Hyperlink"/>
            <w:noProof/>
          </w:rPr>
          <w:t>Recommendation 22</w:t>
        </w:r>
      </w:hyperlink>
    </w:p>
    <w:p w14:paraId="60DA7739" w14:textId="12AEB142"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72" w:history="1">
        <w:r w:rsidRPr="00645E67">
          <w:rPr>
            <w:rStyle w:val="Hyperlink"/>
            <w:noProof/>
          </w:rPr>
          <w:t>330.</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articulate in the Budget the amount of money from the family safety Levy going to frontline services and the amount being used by government policy responses.</w:t>
        </w:r>
      </w:hyperlink>
    </w:p>
    <w:p w14:paraId="381CA70A" w14:textId="7EE96F70" w:rsidR="008B2761" w:rsidRDefault="008B2761">
      <w:pPr>
        <w:pStyle w:val="TOC1"/>
        <w:rPr>
          <w:rFonts w:asciiTheme="minorHAnsi" w:eastAsiaTheme="minorEastAsia" w:hAnsiTheme="minorHAnsi" w:cstheme="minorBidi"/>
          <w:b w:val="0"/>
          <w:bCs w:val="0"/>
          <w:smallCaps w:val="0"/>
          <w:noProof/>
          <w:spacing w:val="0"/>
          <w:sz w:val="22"/>
          <w:szCs w:val="22"/>
          <w:lang w:eastAsia="zh-TW"/>
        </w:rPr>
      </w:pPr>
      <w:hyperlink w:anchor="_Toc87607673" w:history="1">
        <w:r w:rsidRPr="00645E67">
          <w:rPr>
            <w:rStyle w:val="Hyperlink"/>
            <w:noProof/>
          </w:rPr>
          <w:t>Recommendation 23</w:t>
        </w:r>
      </w:hyperlink>
    </w:p>
    <w:p w14:paraId="3E410299" w14:textId="2FCBD60E" w:rsidR="008B2761" w:rsidRDefault="008B2761">
      <w:pPr>
        <w:pStyle w:val="TOC2"/>
        <w:tabs>
          <w:tab w:val="left" w:pos="1276"/>
        </w:tabs>
        <w:rPr>
          <w:rFonts w:asciiTheme="minorHAnsi" w:eastAsiaTheme="minorEastAsia" w:hAnsiTheme="minorHAnsi" w:cstheme="minorBidi"/>
          <w:b w:val="0"/>
          <w:noProof/>
          <w:sz w:val="22"/>
          <w:szCs w:val="22"/>
          <w:lang w:eastAsia="zh-TW"/>
        </w:rPr>
      </w:pPr>
      <w:hyperlink w:anchor="_Toc87607674" w:history="1">
        <w:r w:rsidRPr="00645E67">
          <w:rPr>
            <w:rStyle w:val="Hyperlink"/>
            <w:noProof/>
          </w:rPr>
          <w:t>331.</w:t>
        </w:r>
        <w:r>
          <w:rPr>
            <w:rFonts w:asciiTheme="minorHAnsi" w:eastAsiaTheme="minorEastAsia" w:hAnsiTheme="minorHAnsi" w:cstheme="minorBidi"/>
            <w:b w:val="0"/>
            <w:noProof/>
            <w:sz w:val="22"/>
            <w:szCs w:val="22"/>
            <w:lang w:eastAsia="zh-TW"/>
          </w:rPr>
          <w:tab/>
        </w:r>
        <w:r w:rsidRPr="00645E67">
          <w:rPr>
            <w:rStyle w:val="Hyperlink"/>
            <w:noProof/>
          </w:rPr>
          <w:t>The Committee recommends that the ACT Government fund specialist trauma counselling services for children in women’s refuges.</w:t>
        </w:r>
      </w:hyperlink>
    </w:p>
    <w:p w14:paraId="189EC576" w14:textId="581A0D01" w:rsidR="00EA075F" w:rsidRDefault="00F25118" w:rsidP="008B2761">
      <w:pPr>
        <w:pStyle w:val="Heading2"/>
        <w:pageBreakBefore w:val="0"/>
        <w:rPr>
          <w:bCs w:val="0"/>
          <w:smallCaps w:val="0"/>
        </w:rPr>
      </w:pPr>
      <w:r>
        <w:fldChar w:fldCharType="end"/>
      </w:r>
      <w:r w:rsidR="00EA075F">
        <w:br w:type="page"/>
      </w:r>
    </w:p>
    <w:p w14:paraId="59DFC84E" w14:textId="149EB848" w:rsidR="00EA075F" w:rsidRDefault="00EA075F">
      <w:pPr>
        <w:spacing w:before="0" w:after="160" w:line="259" w:lineRule="auto"/>
        <w:rPr>
          <w:rFonts w:ascii="Arial Narrow" w:hAnsi="Arial Narrow" w:cs="Arial"/>
          <w:bCs/>
          <w:smallCaps/>
          <w:spacing w:val="40"/>
          <w:kern w:val="32"/>
          <w:sz w:val="44"/>
          <w:szCs w:val="36"/>
        </w:rPr>
      </w:pPr>
      <w:r>
        <w:br w:type="page"/>
      </w:r>
    </w:p>
    <w:p w14:paraId="28105110" w14:textId="77777777" w:rsidR="00F25118" w:rsidRDefault="00F25118" w:rsidP="002E00DB">
      <w:pPr>
        <w:pStyle w:val="Heading2"/>
        <w:pageBreakBefore w:val="0"/>
        <w:sectPr w:rsidR="00F25118" w:rsidSect="00AF3E26">
          <w:headerReference w:type="even" r:id="rId16"/>
          <w:headerReference w:type="default" r:id="rId17"/>
          <w:footerReference w:type="default" r:id="rId18"/>
          <w:headerReference w:type="first" r:id="rId19"/>
          <w:type w:val="oddPage"/>
          <w:pgSz w:w="11907" w:h="16840" w:code="9"/>
          <w:pgMar w:top="1588" w:right="1418" w:bottom="1418" w:left="1418" w:header="720" w:footer="851" w:gutter="0"/>
          <w:pgNumType w:fmt="lowerRoman"/>
          <w:cols w:space="720"/>
          <w:docGrid w:linePitch="360"/>
        </w:sectPr>
      </w:pPr>
    </w:p>
    <w:p w14:paraId="1A36DA26" w14:textId="4807F977" w:rsidR="00F25118" w:rsidRDefault="00F25118" w:rsidP="00F336AA">
      <w:pPr>
        <w:pStyle w:val="Heading2"/>
        <w:numPr>
          <w:ilvl w:val="0"/>
          <w:numId w:val="13"/>
        </w:numPr>
        <w:tabs>
          <w:tab w:val="num" w:pos="680"/>
        </w:tabs>
        <w:ind w:left="567" w:hanging="567"/>
      </w:pPr>
      <w:bookmarkStart w:id="33" w:name="_Hlk87534695"/>
      <w:bookmarkStart w:id="34" w:name="_Toc87607405"/>
      <w:r w:rsidRPr="00B32C3C">
        <w:t>Introduction</w:t>
      </w:r>
      <w:bookmarkEnd w:id="34"/>
    </w:p>
    <w:p w14:paraId="455BA584" w14:textId="67D8B781" w:rsidR="00F25118" w:rsidRDefault="00F25118" w:rsidP="002E00DB">
      <w:pPr>
        <w:pStyle w:val="Heading3"/>
      </w:pPr>
      <w:bookmarkStart w:id="35" w:name="_Toc87607406"/>
      <w:r w:rsidRPr="002E00DB">
        <w:t>Presentation of the ACT Budget 2021-22</w:t>
      </w:r>
      <w:bookmarkEnd w:id="35"/>
    </w:p>
    <w:p w14:paraId="0DC18910" w14:textId="77777777" w:rsidR="00DC6BB4" w:rsidRPr="00C27B1E" w:rsidRDefault="00DC6BB4" w:rsidP="006F382E">
      <w:pPr>
        <w:pStyle w:val="BodyText"/>
      </w:pPr>
      <w:r w:rsidRPr="00C27B1E">
        <w:t xml:space="preserve">On 6 October 2021 the </w:t>
      </w:r>
      <w:hyperlink r:id="rId20" w:tooltip="Appropriation Bill 2021-2022" w:history="1">
        <w:r w:rsidRPr="00C27B1E">
          <w:rPr>
            <w:rStyle w:val="Hyperlink"/>
          </w:rPr>
          <w:t>Appropriation Bill 2021-2022</w:t>
        </w:r>
      </w:hyperlink>
      <w:r w:rsidRPr="00C27B1E">
        <w:t xml:space="preserve"> and </w:t>
      </w:r>
      <w:hyperlink r:id="rId21" w:tooltip="Appropriation (Office of the Legislative Assembly) Bill 2021-2022" w:history="1">
        <w:r w:rsidRPr="00C27B1E">
          <w:rPr>
            <w:rStyle w:val="Hyperlink"/>
          </w:rPr>
          <w:t>Appropriation (Office of the Legislative Assembly) Bill 2021-2022</w:t>
        </w:r>
      </w:hyperlink>
      <w:r w:rsidRPr="00C27B1E">
        <w:t xml:space="preserve"> were presented in the Assembly</w:t>
      </w:r>
      <w:r w:rsidRPr="00C27B1E">
        <w:rPr>
          <w:rStyle w:val="FootnoteReference"/>
        </w:rPr>
        <w:footnoteReference w:id="4"/>
      </w:r>
      <w:r w:rsidRPr="00C27B1E">
        <w:t>, and the related Budget papers were published on the Treasury website</w:t>
      </w:r>
      <w:r w:rsidRPr="00C27B1E">
        <w:rPr>
          <w:rStyle w:val="FootnoteReference"/>
        </w:rPr>
        <w:footnoteReference w:id="5"/>
      </w:r>
      <w:r w:rsidRPr="00C27B1E">
        <w:t>.</w:t>
      </w:r>
    </w:p>
    <w:p w14:paraId="086913A3" w14:textId="4CD351CE" w:rsidR="00F25118" w:rsidRDefault="00F25118" w:rsidP="006F382E">
      <w:pPr>
        <w:pStyle w:val="BodyText"/>
      </w:pPr>
      <w:bookmarkStart w:id="36" w:name="_Hlk87535827"/>
      <w:r w:rsidRPr="00C27B1E">
        <w:t xml:space="preserve">During this inquiry the Standing Committee on </w:t>
      </w:r>
      <w:r w:rsidR="007D428A" w:rsidRPr="00C27B1E">
        <w:t>Health and Community Wellbeing</w:t>
      </w:r>
      <w:r w:rsidRPr="00C27B1E">
        <w:t xml:space="preserve"> was required to examine the expenditure proposals for the following outputs in the main appropriation bills for the Territory, as outlined in </w:t>
      </w:r>
      <w:r w:rsidR="00CD58BE" w:rsidRPr="00C27B1E">
        <w:t>Budget Statements A</w:t>
      </w:r>
      <w:r w:rsidRPr="00C27B1E">
        <w:t xml:space="preserve">, </w:t>
      </w:r>
      <w:r w:rsidR="00CD58BE" w:rsidRPr="00C27B1E">
        <w:t>Budget Statements </w:t>
      </w:r>
      <w:proofErr w:type="gramStart"/>
      <w:r w:rsidR="00CD58BE" w:rsidRPr="00C27B1E">
        <w:t xml:space="preserve">C </w:t>
      </w:r>
      <w:r w:rsidRPr="00C27B1E">
        <w:t>,</w:t>
      </w:r>
      <w:proofErr w:type="gramEnd"/>
      <w:r w:rsidRPr="00C27B1E">
        <w:t xml:space="preserve"> and </w:t>
      </w:r>
      <w:r w:rsidR="00CD58BE" w:rsidRPr="00C27B1E">
        <w:t>Budget Statements G</w:t>
      </w:r>
      <w:r w:rsidR="006F382E">
        <w:t>.</w:t>
      </w:r>
    </w:p>
    <w:p w14:paraId="2848008C" w14:textId="77777777" w:rsidR="00F25118" w:rsidRPr="00077D16" w:rsidRDefault="00F25118" w:rsidP="00F25118">
      <w:pPr>
        <w:pStyle w:val="Heading4"/>
      </w:pPr>
      <w:bookmarkStart w:id="37" w:name="_Hlk87536107"/>
      <w:bookmarkEnd w:id="36"/>
      <w:r w:rsidRPr="00077D16">
        <w:t>Public Hearings</w:t>
      </w:r>
    </w:p>
    <w:p w14:paraId="6D49BA3F" w14:textId="71C996ED" w:rsidR="00F25118" w:rsidRPr="00077D16" w:rsidRDefault="00F25118" w:rsidP="00F25118">
      <w:pPr>
        <w:pStyle w:val="BodyText"/>
      </w:pPr>
      <w:r w:rsidRPr="00077D16">
        <w:t xml:space="preserve">The Committee held </w:t>
      </w:r>
      <w:r w:rsidR="007D428A" w:rsidRPr="00077D16">
        <w:t xml:space="preserve">5 </w:t>
      </w:r>
      <w:r w:rsidRPr="00077D16">
        <w:t xml:space="preserve">public hearings on </w:t>
      </w:r>
      <w:r w:rsidR="007D428A" w:rsidRPr="00077D16">
        <w:t xml:space="preserve">15, 20, 21, </w:t>
      </w:r>
      <w:r w:rsidR="008D4E6C" w:rsidRPr="00077D16">
        <w:t>25 and</w:t>
      </w:r>
      <w:r w:rsidR="007D428A" w:rsidRPr="00077D16">
        <w:t xml:space="preserve"> </w:t>
      </w:r>
      <w:proofErr w:type="gramStart"/>
      <w:r w:rsidR="007D428A" w:rsidRPr="00077D16">
        <w:t xml:space="preserve">29 </w:t>
      </w:r>
      <w:r w:rsidRPr="00077D16">
        <w:t xml:space="preserve"> October</w:t>
      </w:r>
      <w:proofErr w:type="gramEnd"/>
      <w:r w:rsidRPr="00077D16">
        <w:t xml:space="preserve"> 2021</w:t>
      </w:r>
      <w:r w:rsidR="007D428A" w:rsidRPr="00077D16">
        <w:t>.</w:t>
      </w:r>
      <w:r w:rsidRPr="00077D16">
        <w:t xml:space="preserve"> At the hearings the Committee heard </w:t>
      </w:r>
      <w:r w:rsidR="00744B24" w:rsidRPr="00077D16">
        <w:t xml:space="preserve">evidence </w:t>
      </w:r>
      <w:r w:rsidRPr="00077D16">
        <w:t>from ACT Government Ministers and their accompanying directorate officials</w:t>
      </w:r>
      <w:r w:rsidR="00744B24" w:rsidRPr="00077D16">
        <w:t xml:space="preserve"> and conducted detailed Q &amp; A sessions on matters relevant to the Committee’s inquiry.</w:t>
      </w:r>
    </w:p>
    <w:p w14:paraId="407AF65A" w14:textId="5B9DFEA5" w:rsidR="00F25118" w:rsidRPr="00077D16" w:rsidRDefault="00F25118" w:rsidP="00F25118">
      <w:pPr>
        <w:pStyle w:val="BodyText"/>
      </w:pPr>
      <w:r w:rsidRPr="00077D16">
        <w:t xml:space="preserve">Witnesses who appeared before the Committee are listed at </w:t>
      </w:r>
      <w:r w:rsidRPr="00077D16">
        <w:rPr>
          <w:u w:val="single"/>
        </w:rPr>
        <w:t>Appendix A</w:t>
      </w:r>
      <w:r w:rsidRPr="00077D16">
        <w:t>. Transcripts from the hearings are available on the Assembly website. Footage of the hearings is available via video on demand on the Legislative Assembly website.</w:t>
      </w:r>
    </w:p>
    <w:p w14:paraId="573EF055" w14:textId="303C88C9" w:rsidR="00744B24" w:rsidRPr="00077D16" w:rsidRDefault="00744B24" w:rsidP="00F25118">
      <w:pPr>
        <w:pStyle w:val="BodyText"/>
      </w:pPr>
      <w:r w:rsidRPr="00077D16">
        <w:t xml:space="preserve">In addition to the members of the Committee, other members of the Assembly </w:t>
      </w:r>
      <w:r w:rsidR="00017666" w:rsidRPr="00077D16">
        <w:t>- Ms</w:t>
      </w:r>
      <w:r w:rsidRPr="00077D16">
        <w:t xml:space="preserve"> Lawder MLA, Mr Parton MLA, Mr Braddock MLA, Mrs Kikkert </w:t>
      </w:r>
      <w:proofErr w:type="gramStart"/>
      <w:r w:rsidRPr="00077D16">
        <w:t>MLA</w:t>
      </w:r>
      <w:proofErr w:type="gramEnd"/>
      <w:r w:rsidR="00077D16">
        <w:t xml:space="preserve"> and </w:t>
      </w:r>
      <w:r w:rsidRPr="00077D16">
        <w:t>Mrs Jones MLA participated in the Committee’s hearings.</w:t>
      </w:r>
    </w:p>
    <w:p w14:paraId="4849B116" w14:textId="3E958403" w:rsidR="00F25118" w:rsidRPr="00077D16" w:rsidRDefault="00F25118" w:rsidP="00F25118">
      <w:pPr>
        <w:pStyle w:val="Heading4"/>
      </w:pPr>
      <w:bookmarkStart w:id="38" w:name="_Hlk87536124"/>
      <w:bookmarkEnd w:id="37"/>
      <w:r w:rsidRPr="00077D16">
        <w:t>Questions Taken on Notice</w:t>
      </w:r>
      <w:r w:rsidR="00077D16">
        <w:t xml:space="preserve"> (QToNs)</w:t>
      </w:r>
      <w:r w:rsidRPr="00077D16">
        <w:t xml:space="preserve"> at Hearing and Questions Placed on Notice</w:t>
      </w:r>
      <w:r w:rsidR="00077D16">
        <w:t xml:space="preserve"> (QoNs)</w:t>
      </w:r>
    </w:p>
    <w:p w14:paraId="4E1B8364" w14:textId="209CD538" w:rsidR="00F25118" w:rsidRPr="00077D16" w:rsidRDefault="00F25118" w:rsidP="00F25118">
      <w:pPr>
        <w:pStyle w:val="BodyText"/>
      </w:pPr>
      <w:r w:rsidRPr="00077D16">
        <w:t xml:space="preserve">A total of </w:t>
      </w:r>
      <w:r w:rsidR="00047A3A">
        <w:t xml:space="preserve">96 </w:t>
      </w:r>
      <w:r w:rsidRPr="00077D16">
        <w:t xml:space="preserve">questions were lodged during the inquiry. </w:t>
      </w:r>
      <w:r w:rsidR="00047A3A">
        <w:t>28</w:t>
      </w:r>
      <w:r w:rsidRPr="00077D16">
        <w:t xml:space="preserve"> questions were taken on notice by Ministers and statutory office holders during the hearings, </w:t>
      </w:r>
      <w:r w:rsidR="00017666" w:rsidRPr="00077D16">
        <w:t>and 68</w:t>
      </w:r>
      <w:r w:rsidR="00047A3A">
        <w:t xml:space="preserve"> </w:t>
      </w:r>
      <w:r w:rsidRPr="00077D16">
        <w:t>questions on notice were submitted by Committee Members and visiting MLAs following the hearings.</w:t>
      </w:r>
    </w:p>
    <w:p w14:paraId="108C6A79" w14:textId="77777777" w:rsidR="00F25118" w:rsidRPr="00077D16" w:rsidRDefault="00F25118" w:rsidP="00F25118">
      <w:pPr>
        <w:pStyle w:val="BodyText"/>
      </w:pPr>
      <w:r w:rsidRPr="00077D16">
        <w:t xml:space="preserve">The answers to questions, and a list of questions (by subject, submitter, recipient) are available at </w:t>
      </w:r>
      <w:r w:rsidRPr="00077D16">
        <w:rPr>
          <w:u w:val="single"/>
        </w:rPr>
        <w:t>Appendix B</w:t>
      </w:r>
      <w:r w:rsidRPr="00077D16">
        <w:t>, and on the inquiry webpage.</w:t>
      </w:r>
    </w:p>
    <w:p w14:paraId="75DD60F2" w14:textId="77777777" w:rsidR="00F25118" w:rsidRPr="00077D16" w:rsidRDefault="00F25118" w:rsidP="00F25118">
      <w:pPr>
        <w:pStyle w:val="Heading3"/>
      </w:pPr>
      <w:bookmarkStart w:id="39" w:name="_Toc87607407"/>
      <w:r w:rsidRPr="00077D16">
        <w:t>Acknowledgements</w:t>
      </w:r>
      <w:bookmarkEnd w:id="39"/>
    </w:p>
    <w:p w14:paraId="48DD1E92" w14:textId="20E09D18" w:rsidR="00F25118" w:rsidRPr="00077D16" w:rsidRDefault="00F25118" w:rsidP="00F25118">
      <w:pPr>
        <w:pStyle w:val="BodyText"/>
      </w:pPr>
      <w:r w:rsidRPr="00077D16">
        <w:t>The Committee thanks everyone who participated in, or otherwise assisted</w:t>
      </w:r>
      <w:r w:rsidR="007D428A" w:rsidRPr="00077D16">
        <w:t xml:space="preserve"> the Committee during</w:t>
      </w:r>
      <w:r w:rsidRPr="00077D16">
        <w:t xml:space="preserve"> this inquiry. This includes ACT Government Ministers, directorate officials, statutory officers, members of governing boards, Members of the Legislative Assembly, Members’ staff, and staff of the Office of the Legislative Assembly.</w:t>
      </w:r>
    </w:p>
    <w:p w14:paraId="63F76E12" w14:textId="5AF42D95" w:rsidR="00744B24" w:rsidRDefault="00744B24" w:rsidP="00F25118">
      <w:pPr>
        <w:pStyle w:val="BodyText"/>
      </w:pPr>
      <w:r w:rsidRPr="00077D16">
        <w:t xml:space="preserve">The Committee particularly thanks </w:t>
      </w:r>
      <w:r w:rsidR="00077D16" w:rsidRPr="00077D16">
        <w:t>Ministers</w:t>
      </w:r>
      <w:r w:rsidRPr="00077D16">
        <w:t xml:space="preserve"> and </w:t>
      </w:r>
      <w:r w:rsidR="00077D16" w:rsidRPr="00077D16">
        <w:t>officials</w:t>
      </w:r>
      <w:r w:rsidRPr="00077D16">
        <w:t xml:space="preserve"> for the open, </w:t>
      </w:r>
      <w:r w:rsidR="00077D16" w:rsidRPr="00077D16">
        <w:t>communicative,</w:t>
      </w:r>
      <w:r w:rsidRPr="00077D16">
        <w:t xml:space="preserve"> and forthright advice received, and for the flexibility and patience shown in utilising WebEx forum for the hearing programs.</w:t>
      </w:r>
    </w:p>
    <w:p w14:paraId="64858671" w14:textId="64928219" w:rsidR="009E37EF" w:rsidRDefault="009E37EF">
      <w:pPr>
        <w:spacing w:before="0" w:after="160" w:line="259" w:lineRule="auto"/>
      </w:pPr>
      <w:r>
        <w:br w:type="page"/>
      </w:r>
    </w:p>
    <w:p w14:paraId="65EAAE37" w14:textId="34C4B9F5" w:rsidR="00F25118" w:rsidRPr="001E12B1" w:rsidRDefault="007D428A" w:rsidP="00DE7950">
      <w:pPr>
        <w:pStyle w:val="Heading2"/>
        <w:numPr>
          <w:ilvl w:val="0"/>
          <w:numId w:val="13"/>
        </w:numPr>
        <w:tabs>
          <w:tab w:val="num" w:pos="680"/>
        </w:tabs>
        <w:ind w:left="567" w:hanging="567"/>
      </w:pPr>
      <w:bookmarkStart w:id="40" w:name="_Hlk87536362"/>
      <w:bookmarkStart w:id="41" w:name="_Hlk87536220"/>
      <w:bookmarkStart w:id="42" w:name="_Toc87607408"/>
      <w:bookmarkEnd w:id="33"/>
      <w:bookmarkEnd w:id="38"/>
      <w:r w:rsidRPr="001E12B1">
        <w:t>Community Day Hearing – 15 October 2021</w:t>
      </w:r>
      <w:bookmarkEnd w:id="42"/>
    </w:p>
    <w:p w14:paraId="3F9E444F" w14:textId="5EB65DD9" w:rsidR="007D428A" w:rsidRDefault="007D428A" w:rsidP="00F25118">
      <w:pPr>
        <w:pStyle w:val="BodyText"/>
      </w:pPr>
      <w:r>
        <w:t xml:space="preserve">On 15 October 2021, the Committee conducted hearings with </w:t>
      </w:r>
      <w:r w:rsidR="006A3AE5">
        <w:t>representatives</w:t>
      </w:r>
      <w:r>
        <w:t xml:space="preserve"> of three organisations involved in, and contributing to, a range of matters which </w:t>
      </w:r>
      <w:r w:rsidR="006A3AE5">
        <w:t>are</w:t>
      </w:r>
      <w:r>
        <w:t xml:space="preserve"> within the HCW areas of responsibility.</w:t>
      </w:r>
    </w:p>
    <w:p w14:paraId="49E392AB" w14:textId="38B375ED" w:rsidR="007D428A" w:rsidRDefault="007D428A" w:rsidP="00F25118">
      <w:pPr>
        <w:pStyle w:val="BodyText"/>
      </w:pPr>
      <w:r>
        <w:t xml:space="preserve">The </w:t>
      </w:r>
      <w:r w:rsidR="006A3AE5">
        <w:t>organisations</w:t>
      </w:r>
      <w:r>
        <w:t xml:space="preserve"> were:</w:t>
      </w:r>
    </w:p>
    <w:p w14:paraId="72D2E759" w14:textId="77DCDA9C" w:rsidR="007D428A" w:rsidRDefault="00882A0E" w:rsidP="00612A41">
      <w:pPr>
        <w:pStyle w:val="ListBullet"/>
        <w:numPr>
          <w:ilvl w:val="0"/>
          <w:numId w:val="28"/>
        </w:numPr>
      </w:pPr>
      <w:r>
        <w:rPr>
          <w:noProof/>
        </w:rPr>
        <w:t>ACT Council of Social Service</w:t>
      </w:r>
      <w:r w:rsidR="003F32D5">
        <w:rPr>
          <w:noProof/>
        </w:rPr>
        <w:t xml:space="preserve"> (ACTCOSS)</w:t>
      </w:r>
      <w:r>
        <w:rPr>
          <w:noProof/>
        </w:rPr>
        <w:t>;</w:t>
      </w:r>
    </w:p>
    <w:p w14:paraId="3660C465" w14:textId="6CE370CA" w:rsidR="00882A0E" w:rsidRDefault="00882A0E" w:rsidP="00612A41">
      <w:pPr>
        <w:pStyle w:val="ListBullet"/>
        <w:numPr>
          <w:ilvl w:val="0"/>
          <w:numId w:val="28"/>
        </w:numPr>
      </w:pPr>
      <w:r>
        <w:rPr>
          <w:noProof/>
        </w:rPr>
        <w:t>Health Care Consumers Association</w:t>
      </w:r>
      <w:r w:rsidR="003F32D5">
        <w:rPr>
          <w:noProof/>
        </w:rPr>
        <w:t xml:space="preserve"> (HCCA)</w:t>
      </w:r>
    </w:p>
    <w:p w14:paraId="5BAD07AF" w14:textId="0D74BE29" w:rsidR="00882A0E" w:rsidRDefault="00882A0E" w:rsidP="00612A41">
      <w:pPr>
        <w:pStyle w:val="ListBullet"/>
        <w:numPr>
          <w:ilvl w:val="0"/>
          <w:numId w:val="28"/>
        </w:numPr>
      </w:pPr>
      <w:r w:rsidRPr="009B37FC">
        <w:rPr>
          <w:noProof/>
          <w:lang w:val="en-GB"/>
        </w:rPr>
        <w:t>Sexual Health and Family Planning ACT Inc</w:t>
      </w:r>
      <w:r w:rsidR="003F32D5">
        <w:rPr>
          <w:noProof/>
          <w:lang w:val="en-GB"/>
        </w:rPr>
        <w:t xml:space="preserve"> (SHaFP)</w:t>
      </w:r>
      <w:r>
        <w:rPr>
          <w:noProof/>
        </w:rPr>
        <w:tab/>
      </w:r>
    </w:p>
    <w:p w14:paraId="7C14CCF0" w14:textId="6AFC8741" w:rsidR="00F25118" w:rsidRDefault="00F25118" w:rsidP="00612185">
      <w:pPr>
        <w:pStyle w:val="Heading3"/>
      </w:pPr>
      <w:bookmarkStart w:id="43" w:name="_Hlk87536488"/>
      <w:bookmarkStart w:id="44" w:name="_Toc87607409"/>
      <w:bookmarkEnd w:id="40"/>
      <w:r>
        <w:t xml:space="preserve">Matters </w:t>
      </w:r>
      <w:r w:rsidR="00612185">
        <w:t>Raised by the Committee</w:t>
      </w:r>
      <w:r w:rsidR="009E37EF">
        <w:t xml:space="preserve"> during the hearing</w:t>
      </w:r>
      <w:bookmarkEnd w:id="44"/>
    </w:p>
    <w:p w14:paraId="4507108B" w14:textId="09F08726" w:rsidR="00F25118" w:rsidRDefault="00F25118" w:rsidP="00F25118">
      <w:pPr>
        <w:pStyle w:val="BodyText"/>
      </w:pPr>
      <w:r>
        <w:t xml:space="preserve">Committee </w:t>
      </w:r>
      <w:r w:rsidR="00612185">
        <w:t xml:space="preserve">members raised </w:t>
      </w:r>
      <w:proofErr w:type="gramStart"/>
      <w:r w:rsidR="00612185">
        <w:t>a number of</w:t>
      </w:r>
      <w:proofErr w:type="gramEnd"/>
      <w:r w:rsidR="00612185">
        <w:t xml:space="preserve"> matters during the Committee’s Q &amp; A part of the hearing, as follows:</w:t>
      </w:r>
    </w:p>
    <w:p w14:paraId="3B1279FD" w14:textId="2B90521B" w:rsidR="00F25118" w:rsidRDefault="00612185" w:rsidP="00744B24">
      <w:pPr>
        <w:pStyle w:val="Heading5"/>
      </w:pPr>
      <w:r>
        <w:t>ACTCOSS</w:t>
      </w:r>
      <w:r w:rsidR="00F25118">
        <w:rPr>
          <w:rStyle w:val="FootnoteReference"/>
        </w:rPr>
        <w:footnoteReference w:id="6"/>
      </w:r>
      <w:r w:rsidR="00017666">
        <w:t xml:space="preserve"> –</w:t>
      </w:r>
    </w:p>
    <w:p w14:paraId="2672ED0D" w14:textId="047F6D07" w:rsidR="00744B24" w:rsidRDefault="002174D9" w:rsidP="00744B24">
      <w:pPr>
        <w:pStyle w:val="BodyText"/>
      </w:pPr>
      <w:r>
        <w:t xml:space="preserve">ACTCOSS’s Proposal for establishment of a healthcare sustainability unit, and </w:t>
      </w:r>
      <w:r w:rsidR="00077D16">
        <w:t>whether</w:t>
      </w:r>
      <w:r>
        <w:t xml:space="preserve"> such a </w:t>
      </w:r>
      <w:r w:rsidR="00077D16">
        <w:t>unit would</w:t>
      </w:r>
      <w:r>
        <w:t xml:space="preserve"> be </w:t>
      </w:r>
      <w:r w:rsidR="00077D16">
        <w:t>responsible</w:t>
      </w:r>
      <w:r>
        <w:t xml:space="preserve"> for reducing the climate impacts</w:t>
      </w:r>
      <w:r w:rsidR="008E0FC6">
        <w:t xml:space="preserve"> </w:t>
      </w:r>
      <w:r>
        <w:t xml:space="preserve">of health care, or </w:t>
      </w:r>
      <w:r w:rsidR="00077D16">
        <w:t>respond</w:t>
      </w:r>
      <w:r>
        <w:t xml:space="preserve"> to the impacts of climate change on health</w:t>
      </w:r>
    </w:p>
    <w:p w14:paraId="07FBC26E" w14:textId="6BC10EC0" w:rsidR="002174D9" w:rsidRPr="008E0FC6" w:rsidRDefault="002174D9" w:rsidP="00744B24">
      <w:pPr>
        <w:pStyle w:val="BodyText"/>
      </w:pPr>
      <w:r w:rsidRPr="008E0FC6">
        <w:t xml:space="preserve">Apparent gaps in support for older Canberrans, as well as parental health services and community facilities and an apparent lack of funding to go towards an ACT carers strategy or a disability health </w:t>
      </w:r>
      <w:proofErr w:type="gramStart"/>
      <w:r w:rsidRPr="008E0FC6">
        <w:t>strategy;</w:t>
      </w:r>
      <w:proofErr w:type="gramEnd"/>
      <w:r w:rsidRPr="008E0FC6">
        <w:t xml:space="preserve"> and th</w:t>
      </w:r>
      <w:r w:rsidR="00393592">
        <w:t>e</w:t>
      </w:r>
      <w:r w:rsidRPr="008E0FC6">
        <w:t xml:space="preserve"> need for an ideal time frame for such a strategy. </w:t>
      </w:r>
    </w:p>
    <w:p w14:paraId="1ADF4F6E" w14:textId="0AA8B6DE" w:rsidR="008E0FC6" w:rsidRPr="008E0FC6" w:rsidRDefault="0035434B" w:rsidP="008E0FC6">
      <w:pPr>
        <w:pStyle w:val="BodyText"/>
      </w:pPr>
      <w:r w:rsidRPr="008E0FC6">
        <w:t xml:space="preserve">The possible </w:t>
      </w:r>
      <w:r w:rsidR="002174D9" w:rsidRPr="008E0FC6">
        <w:t>effect th</w:t>
      </w:r>
      <w:r w:rsidRPr="008E0FC6">
        <w:t>e</w:t>
      </w:r>
      <w:r w:rsidR="002174D9" w:rsidRPr="008E0FC6">
        <w:t xml:space="preserve"> budget will have on frontline domestic violence services, and whether there are any questions about funding into the outyears</w:t>
      </w:r>
      <w:r w:rsidR="008E0FC6" w:rsidRPr="008E0FC6">
        <w:t xml:space="preserve"> and </w:t>
      </w:r>
      <w:r w:rsidRPr="008E0FC6">
        <w:t>whether</w:t>
      </w:r>
      <w:r w:rsidR="008E0FC6" w:rsidRPr="008E0FC6">
        <w:t xml:space="preserve"> there is any effect from the budget on frontline domestic violence services – including outyears. In addition, how will a funding reduction affect service providers; the need to hire more staff or alter their budgets to provide these services at this time may be short term if there is a reduction in funding to these organisations in a year or two </w:t>
      </w:r>
      <w:r w:rsidR="00077D16" w:rsidRPr="008E0FC6">
        <w:t>years’ time</w:t>
      </w:r>
      <w:r w:rsidR="008E0FC6" w:rsidRPr="008E0FC6">
        <w:t>.</w:t>
      </w:r>
    </w:p>
    <w:p w14:paraId="7845F5A5" w14:textId="4ABDCDE0" w:rsidR="008E0FC6" w:rsidRDefault="008E0FC6" w:rsidP="00744B24">
      <w:pPr>
        <w:pStyle w:val="BodyText"/>
      </w:pPr>
      <w:r>
        <w:t xml:space="preserve">Should the </w:t>
      </w:r>
      <w:r w:rsidRPr="00155F44">
        <w:t xml:space="preserve">community housing sector play a larger role in social and affordable housing solutions. The budget appears to show any calls have not been </w:t>
      </w:r>
      <w:r w:rsidR="00393592" w:rsidRPr="00155F44">
        <w:t>heeded</w:t>
      </w:r>
      <w:r w:rsidR="00393592">
        <w:t>; what is ACTCOSS’s response.</w:t>
      </w:r>
    </w:p>
    <w:p w14:paraId="4CFFE622" w14:textId="77777777" w:rsidR="007C0A09" w:rsidRDefault="007C0A09" w:rsidP="00744B24">
      <w:pPr>
        <w:pStyle w:val="Heading5"/>
      </w:pPr>
    </w:p>
    <w:p w14:paraId="2EA597A1" w14:textId="5B5ACC52" w:rsidR="007C0A09" w:rsidRPr="007C0A09" w:rsidRDefault="007C0A09" w:rsidP="007C0A09">
      <w:pPr>
        <w:pStyle w:val="BodyText"/>
        <w:rPr>
          <w:rStyle w:val="Heading5Char"/>
        </w:rPr>
      </w:pPr>
      <w:r w:rsidRPr="007C0A09">
        <w:rPr>
          <w:rStyle w:val="Heading5Char"/>
        </w:rPr>
        <w:t>HCCA</w:t>
      </w:r>
      <w:r w:rsidRPr="007C0A09">
        <w:rPr>
          <w:rStyle w:val="Heading5Char"/>
          <w:vertAlign w:val="superscript"/>
        </w:rPr>
        <w:footnoteReference w:id="7"/>
      </w:r>
    </w:p>
    <w:p w14:paraId="79C3BCEC" w14:textId="16C214D3" w:rsidR="00155F44" w:rsidRPr="00193B72" w:rsidRDefault="00155F44" w:rsidP="00155F44">
      <w:pPr>
        <w:pStyle w:val="BodyText"/>
      </w:pPr>
      <w:r w:rsidRPr="00193B72">
        <w:t>Not</w:t>
      </w:r>
      <w:r w:rsidR="00D572F9" w:rsidRPr="00193B72">
        <w:t xml:space="preserve">ing </w:t>
      </w:r>
      <w:r w:rsidRPr="00193B72">
        <w:t>there has been significant investment in palliative care services in th</w:t>
      </w:r>
      <w:r w:rsidR="00D572F9" w:rsidRPr="00193B72">
        <w:t>e</w:t>
      </w:r>
      <w:r w:rsidRPr="00193B72">
        <w:t xml:space="preserve"> budget</w:t>
      </w:r>
      <w:r w:rsidR="00D572F9" w:rsidRPr="00193B72">
        <w:t xml:space="preserve">; what </w:t>
      </w:r>
      <w:r w:rsidRPr="00193B72">
        <w:t>specific outcomes</w:t>
      </w:r>
      <w:r w:rsidR="00D572F9" w:rsidRPr="00193B72">
        <w:t xml:space="preserve"> should result from the </w:t>
      </w:r>
      <w:r w:rsidRPr="00193B72">
        <w:t xml:space="preserve">new funding. </w:t>
      </w:r>
    </w:p>
    <w:p w14:paraId="2B51D101" w14:textId="52172406" w:rsidR="00D572F9" w:rsidRPr="00193B72" w:rsidRDefault="00D572F9" w:rsidP="00D572F9">
      <w:pPr>
        <w:pStyle w:val="BodyText"/>
      </w:pPr>
      <w:r w:rsidRPr="00193B72">
        <w:t xml:space="preserve">In relation to palliative care funding, is that recurrent funding, which is not an increase in bed </w:t>
      </w:r>
      <w:proofErr w:type="gramStart"/>
      <w:r w:rsidRPr="00193B72">
        <w:t>numbers .</w:t>
      </w:r>
      <w:proofErr w:type="gramEnd"/>
      <w:r w:rsidRPr="00193B72">
        <w:t xml:space="preserve"> If an increase has been </w:t>
      </w:r>
      <w:proofErr w:type="gramStart"/>
      <w:r w:rsidRPr="00193B72">
        <w:t>achieved ,</w:t>
      </w:r>
      <w:proofErr w:type="gramEnd"/>
      <w:r w:rsidRPr="00193B72">
        <w:t xml:space="preserve"> is it correct funding will for outyears.</w:t>
      </w:r>
    </w:p>
    <w:p w14:paraId="3BD8BB41" w14:textId="264C4920" w:rsidR="009B03AF" w:rsidRPr="00193B72" w:rsidRDefault="009B03AF" w:rsidP="009B03AF">
      <w:pPr>
        <w:pStyle w:val="BodyText"/>
      </w:pPr>
      <w:r w:rsidRPr="00193B72">
        <w:t>In relation to the submission raising mental health access and pathways; contacts suggest that current carers of people in need</w:t>
      </w:r>
      <w:r w:rsidR="006C38AB" w:rsidRPr="00193B72">
        <w:t xml:space="preserve"> are concerned</w:t>
      </w:r>
      <w:r w:rsidRPr="00193B72">
        <w:t xml:space="preserve">.  What is sought via the current pathways and their </w:t>
      </w:r>
      <w:proofErr w:type="gramStart"/>
      <w:r w:rsidRPr="00193B72">
        <w:t>navigation.</w:t>
      </w:r>
      <w:proofErr w:type="gramEnd"/>
    </w:p>
    <w:p w14:paraId="5CCDD1B2" w14:textId="37A24E64" w:rsidR="00D572F9" w:rsidRPr="00193B72" w:rsidRDefault="006C38AB" w:rsidP="00D572F9">
      <w:pPr>
        <w:pStyle w:val="BodyText"/>
      </w:pPr>
      <w:r w:rsidRPr="00193B72">
        <w:t xml:space="preserve">HCCA notes funding in the budget for a patient navigation system requires implementation </w:t>
      </w:r>
      <w:proofErr w:type="gramStart"/>
      <w:r w:rsidRPr="00193B72">
        <w:t>of  a</w:t>
      </w:r>
      <w:proofErr w:type="gramEnd"/>
      <w:r w:rsidRPr="00193B72">
        <w:t xml:space="preserve"> model of patient navigation.  What should that system look like?</w:t>
      </w:r>
    </w:p>
    <w:p w14:paraId="40B93DF7" w14:textId="66674813" w:rsidR="006C38AB" w:rsidRPr="00193B72" w:rsidRDefault="006C38AB" w:rsidP="00D572F9">
      <w:pPr>
        <w:pStyle w:val="BodyText"/>
      </w:pPr>
      <w:r w:rsidRPr="00193B72">
        <w:t xml:space="preserve">A current approach to healthcare funding in the ACT is like an envelope approach—a six per cent a year increase over the budget life and, within that envelope, everything </w:t>
      </w:r>
      <w:proofErr w:type="gramStart"/>
      <w:r w:rsidRPr="00193B72">
        <w:t>has to</w:t>
      </w:r>
      <w:proofErr w:type="gramEnd"/>
      <w:r w:rsidRPr="00193B72">
        <w:t xml:space="preserve"> be funded. HCCA submission calls for an overall increase in the share of the budget that goes to ACT Health. Is there a more reasonable approach?</w:t>
      </w:r>
    </w:p>
    <w:p w14:paraId="5F3099FA" w14:textId="2EFE43C0" w:rsidR="006C38AB" w:rsidRPr="00193B72" w:rsidRDefault="006C38AB" w:rsidP="006C38AB">
      <w:pPr>
        <w:pStyle w:val="BodyText"/>
      </w:pPr>
      <w:r w:rsidRPr="00193B72">
        <w:t xml:space="preserve">Would you support the government doing planning work for the whole of health care so that a community can be involved in questions of future staffing of our health </w:t>
      </w:r>
      <w:proofErr w:type="gramStart"/>
      <w:r w:rsidRPr="00193B72">
        <w:t>system.</w:t>
      </w:r>
      <w:proofErr w:type="gramEnd"/>
    </w:p>
    <w:p w14:paraId="1B8415E6" w14:textId="383ECDB6" w:rsidR="006C38AB" w:rsidRPr="00193B72" w:rsidRDefault="00B659C7" w:rsidP="00D572F9">
      <w:pPr>
        <w:pStyle w:val="BodyText"/>
      </w:pPr>
      <w:r w:rsidRPr="00193B72">
        <w:t>The government has embraced nursing ratios in recent times. What effect do ratios have on the care that patients receive?</w:t>
      </w:r>
    </w:p>
    <w:p w14:paraId="7CCBE601" w14:textId="637FA36E" w:rsidR="00D572F9" w:rsidRPr="00193B72" w:rsidRDefault="00B659C7" w:rsidP="00D572F9">
      <w:pPr>
        <w:pStyle w:val="BodyText"/>
      </w:pPr>
      <w:r w:rsidRPr="00193B72">
        <w:t xml:space="preserve">It may be one approach </w:t>
      </w:r>
      <w:proofErr w:type="gramStart"/>
      <w:r w:rsidRPr="00193B72">
        <w:t>to  fund</w:t>
      </w:r>
      <w:proofErr w:type="gramEnd"/>
      <w:r w:rsidRPr="00193B72">
        <w:t xml:space="preserve"> new nursing and midwifery positions in a budget; but filling positions is posing </w:t>
      </w:r>
      <w:r w:rsidR="00077D16" w:rsidRPr="00193B72">
        <w:t>difficulties</w:t>
      </w:r>
      <w:r w:rsidRPr="00193B72">
        <w:t xml:space="preserve">, </w:t>
      </w:r>
      <w:r w:rsidR="00077D16" w:rsidRPr="00193B72">
        <w:t>what</w:t>
      </w:r>
      <w:r w:rsidRPr="00193B72">
        <w:t xml:space="preserve"> are some of the challenges regarding recruiting qualified professionals to fill those roles?</w:t>
      </w:r>
    </w:p>
    <w:p w14:paraId="78B92615" w14:textId="34C93337" w:rsidR="00B659C7" w:rsidRPr="00193B72" w:rsidRDefault="00B659C7" w:rsidP="00B659C7">
      <w:pPr>
        <w:pStyle w:val="BodyText"/>
      </w:pPr>
      <w:r w:rsidRPr="00193B72">
        <w:t xml:space="preserve">The Human Rights Act makes it </w:t>
      </w:r>
      <w:proofErr w:type="gramStart"/>
      <w:r w:rsidRPr="00193B72">
        <w:t>clear  people</w:t>
      </w:r>
      <w:proofErr w:type="gramEnd"/>
      <w:r w:rsidRPr="00193B72">
        <w:t xml:space="preserve"> must not be subjected to medical treatment against their will. The decision that primary school teachers need to be vaccinated whilst the evidence for case load in young children is not particularly strong raises questions. How does HCCA stand up for people who want to make a choice—despite the fact, of course, that we need high levels of vaccine, and that this is a very small group of people.</w:t>
      </w:r>
    </w:p>
    <w:p w14:paraId="0E52A9A7" w14:textId="1FBB86D8" w:rsidR="00E95F6F" w:rsidRPr="00193B72" w:rsidRDefault="00E95F6F" w:rsidP="00E95F6F">
      <w:pPr>
        <w:pStyle w:val="BodyText"/>
      </w:pPr>
      <w:r w:rsidRPr="00193B72">
        <w:t xml:space="preserve">There is now a question about evenings and weekend cancer services rapid testing. The </w:t>
      </w:r>
      <w:proofErr w:type="gramStart"/>
      <w:r w:rsidRPr="00193B72">
        <w:t>Coroner</w:t>
      </w:r>
      <w:proofErr w:type="gramEnd"/>
      <w:r w:rsidRPr="00193B72">
        <w:t xml:space="preserve"> is being funded but we have not seen this particular request funded. What is the need in that area?</w:t>
      </w:r>
    </w:p>
    <w:p w14:paraId="2ACC32AE" w14:textId="14433699" w:rsidR="00744B24" w:rsidRPr="00744B24" w:rsidRDefault="00744B24" w:rsidP="00193B72">
      <w:pPr>
        <w:pStyle w:val="BodyText"/>
        <w:numPr>
          <w:ilvl w:val="0"/>
          <w:numId w:val="0"/>
        </w:numPr>
        <w:ind w:left="567"/>
      </w:pPr>
    </w:p>
    <w:p w14:paraId="52D53EBD" w14:textId="6724F137" w:rsidR="00F25118" w:rsidRPr="007C0A09" w:rsidRDefault="00612185" w:rsidP="007C0A09">
      <w:pPr>
        <w:pStyle w:val="BodyText"/>
        <w:rPr>
          <w:rStyle w:val="Heading5Char"/>
        </w:rPr>
      </w:pPr>
      <w:r w:rsidRPr="007C0A09">
        <w:rPr>
          <w:rStyle w:val="Heading5Char"/>
        </w:rPr>
        <w:t>SHaFP</w:t>
      </w:r>
      <w:r w:rsidR="00BE7878" w:rsidRPr="007C0A09">
        <w:rPr>
          <w:rStyle w:val="Heading5Char"/>
          <w:vertAlign w:val="superscript"/>
        </w:rPr>
        <w:footnoteReference w:id="8"/>
      </w:r>
      <w:r w:rsidR="00017666">
        <w:rPr>
          <w:rStyle w:val="Heading5Char"/>
        </w:rPr>
        <w:t xml:space="preserve"> </w:t>
      </w:r>
      <w:r w:rsidR="00017666">
        <w:t>–</w:t>
      </w:r>
    </w:p>
    <w:p w14:paraId="30B59D9E" w14:textId="46B1FE81" w:rsidR="00193B72" w:rsidRPr="007142DD" w:rsidRDefault="006B3CAC" w:rsidP="00193B72">
      <w:pPr>
        <w:pStyle w:val="BodyText"/>
      </w:pPr>
      <w:r w:rsidRPr="007142DD">
        <w:t xml:space="preserve"> </w:t>
      </w:r>
      <w:r w:rsidR="00BE7878" w:rsidRPr="007142DD">
        <w:t>F</w:t>
      </w:r>
      <w:r w:rsidRPr="007142DD">
        <w:t xml:space="preserve">unding for disability and sexual health is restored from </w:t>
      </w:r>
      <w:r w:rsidR="00BE7878" w:rsidRPr="007142DD">
        <w:t>NDIS</w:t>
      </w:r>
      <w:r w:rsidRPr="007142DD">
        <w:t xml:space="preserve">. </w:t>
      </w:r>
      <w:r w:rsidR="00BE7878" w:rsidRPr="007142DD">
        <w:t>W</w:t>
      </w:r>
      <w:r w:rsidRPr="007142DD">
        <w:t xml:space="preserve">hat has changed in this field over </w:t>
      </w:r>
      <w:proofErr w:type="gramStart"/>
      <w:r w:rsidRPr="007142DD">
        <w:t>the  five</w:t>
      </w:r>
      <w:proofErr w:type="gramEnd"/>
      <w:r w:rsidRPr="007142DD">
        <w:t xml:space="preserve"> years since the program was defunded and what workforce development needs to occur</w:t>
      </w:r>
      <w:r w:rsidR="00BE7878" w:rsidRPr="007142DD">
        <w:t>.</w:t>
      </w:r>
    </w:p>
    <w:p w14:paraId="5A62680B" w14:textId="7C65341C" w:rsidR="006B3CAC" w:rsidRPr="007142DD" w:rsidRDefault="00BE7878" w:rsidP="006B3CAC">
      <w:pPr>
        <w:pStyle w:val="BodyText"/>
      </w:pPr>
      <w:r w:rsidRPr="007142DD">
        <w:t xml:space="preserve">There is a </w:t>
      </w:r>
      <w:r w:rsidR="006B3CAC" w:rsidRPr="007142DD">
        <w:t>lack of a reproductive and sexual health policy. Rather than having a narrow STI-BBV focus,</w:t>
      </w:r>
      <w:r w:rsidRPr="007142DD">
        <w:t xml:space="preserve"> the suggestion is for </w:t>
      </w:r>
      <w:r w:rsidR="006B3CAC" w:rsidRPr="007142DD">
        <w:t xml:space="preserve">a broader policy. </w:t>
      </w:r>
      <w:r w:rsidRPr="007142DD">
        <w:t>What are t</w:t>
      </w:r>
      <w:r w:rsidR="006B3CAC" w:rsidRPr="007142DD">
        <w:t>he benefits of having such a broad policy?</w:t>
      </w:r>
    </w:p>
    <w:p w14:paraId="3BC8A28D" w14:textId="391D3519" w:rsidR="00267BDA" w:rsidRPr="007142DD" w:rsidRDefault="00BE7878" w:rsidP="00267BDA">
      <w:pPr>
        <w:pStyle w:val="BodyText"/>
      </w:pPr>
      <w:r w:rsidRPr="007142DD">
        <w:t>Can more information be provided on</w:t>
      </w:r>
      <w:r w:rsidR="008E10C8" w:rsidRPr="007142DD">
        <w:t xml:space="preserve"> t</w:t>
      </w:r>
      <w:r w:rsidR="00267BDA" w:rsidRPr="007142DD">
        <w:t xml:space="preserve">he long wait times for gynaecological treatments. </w:t>
      </w:r>
    </w:p>
    <w:p w14:paraId="37649444" w14:textId="49305FDB" w:rsidR="00267BDA" w:rsidRPr="007142DD" w:rsidRDefault="00D45BF7" w:rsidP="00267BDA">
      <w:pPr>
        <w:pStyle w:val="BodyText"/>
      </w:pPr>
      <w:r w:rsidRPr="007142DD">
        <w:t xml:space="preserve">If </w:t>
      </w:r>
      <w:r w:rsidR="00267BDA" w:rsidRPr="007142DD">
        <w:t xml:space="preserve">investment in reproductive and sexual services has not kept pace with the growing ACT population, and one that is </w:t>
      </w:r>
      <w:r w:rsidRPr="007142DD">
        <w:t xml:space="preserve">now </w:t>
      </w:r>
      <w:r w:rsidR="00267BDA" w:rsidRPr="007142DD">
        <w:t xml:space="preserve">more geographically dispersed. </w:t>
      </w:r>
      <w:r w:rsidRPr="007142DD">
        <w:t xml:space="preserve">That raises </w:t>
      </w:r>
      <w:r w:rsidR="00267BDA" w:rsidRPr="007142DD">
        <w:t>two questions. Could you articulate how great that discrepancy is when it comes to funding</w:t>
      </w:r>
      <w:r w:rsidRPr="007142DD">
        <w:t>, and how funding might be better</w:t>
      </w:r>
      <w:r w:rsidR="00267BDA" w:rsidRPr="007142DD">
        <w:t xml:space="preserve">? </w:t>
      </w:r>
    </w:p>
    <w:p w14:paraId="257300BF" w14:textId="667E02F5" w:rsidR="00267BDA" w:rsidRPr="007142DD" w:rsidRDefault="00267BDA" w:rsidP="00267BDA">
      <w:pPr>
        <w:pStyle w:val="BodyText"/>
      </w:pPr>
      <w:r w:rsidRPr="007142DD">
        <w:t xml:space="preserve">I want to get SHFPACT’s position on rapid HIV testing, and whether it would be a valuable addition to free health care in the ACT. </w:t>
      </w:r>
    </w:p>
    <w:p w14:paraId="1DB76B6F" w14:textId="33295391" w:rsidR="00744B24" w:rsidRDefault="0035434B" w:rsidP="00744B24">
      <w:pPr>
        <w:pStyle w:val="Heading3"/>
      </w:pPr>
      <w:bookmarkStart w:id="45" w:name="_Hlk87536517"/>
      <w:bookmarkStart w:id="46" w:name="_Toc87607410"/>
      <w:bookmarkEnd w:id="43"/>
      <w:r>
        <w:t xml:space="preserve">Responses to </w:t>
      </w:r>
      <w:r w:rsidR="00744B24">
        <w:t xml:space="preserve">Issues raised </w:t>
      </w:r>
      <w:r>
        <w:t>by</w:t>
      </w:r>
      <w:r w:rsidR="00744B24">
        <w:t xml:space="preserve"> the Committee</w:t>
      </w:r>
      <w:bookmarkEnd w:id="46"/>
    </w:p>
    <w:p w14:paraId="20A15073" w14:textId="4ADCF049" w:rsidR="00744B24" w:rsidRDefault="00BE7878" w:rsidP="00744B24">
      <w:pPr>
        <w:pStyle w:val="BodyText"/>
      </w:pPr>
      <w:r>
        <w:t xml:space="preserve">Responses provided by witnesses to the matters raised by the </w:t>
      </w:r>
      <w:r w:rsidR="007142DD">
        <w:t>Committee are</w:t>
      </w:r>
      <w:r>
        <w:t xml:space="preserve"> </w:t>
      </w:r>
      <w:r w:rsidR="007142DD">
        <w:t>summarised</w:t>
      </w:r>
      <w:r>
        <w:t xml:space="preserve"> below and are </w:t>
      </w:r>
      <w:r w:rsidR="00744B24">
        <w:t>Issues raised with the Committee by during the hearing were:</w:t>
      </w:r>
    </w:p>
    <w:p w14:paraId="67981E6C" w14:textId="77777777" w:rsidR="00744B24" w:rsidRDefault="00744B24" w:rsidP="00744B24">
      <w:pPr>
        <w:pStyle w:val="Heading5"/>
      </w:pPr>
      <w:r>
        <w:t xml:space="preserve">ACTCOSS – </w:t>
      </w:r>
    </w:p>
    <w:p w14:paraId="266B189B" w14:textId="3EC9C055" w:rsidR="00D45BF7" w:rsidRPr="00370C8C" w:rsidRDefault="00370C8C" w:rsidP="002B424A">
      <w:pPr>
        <w:pStyle w:val="BodyText"/>
      </w:pPr>
      <w:r>
        <w:t>I</w:t>
      </w:r>
      <w:r w:rsidR="00D45BF7" w:rsidRPr="00370C8C">
        <w:t xml:space="preserve">mpacts of climate change are disproportionately impacting people on low incomes. People on low incomes tend to live in very poorly insulated housing. They are not able to leave Canberra, for example, during periods of poor air quality. There are higher rates of chronic disease, so they are often more impacted by some of the changes to our climate and weather. </w:t>
      </w:r>
    </w:p>
    <w:p w14:paraId="735E4943" w14:textId="77777777" w:rsidR="002B424A" w:rsidRDefault="002B424A" w:rsidP="00584047">
      <w:pPr>
        <w:pStyle w:val="BodyText"/>
      </w:pPr>
      <w:r>
        <w:t>T</w:t>
      </w:r>
      <w:r w:rsidR="00D45BF7">
        <w:t>he move towards a zero-carbon economy must be done in a way that does not leave Canberrans on low incomes</w:t>
      </w:r>
      <w:r>
        <w:t xml:space="preserve"> behind.</w:t>
      </w:r>
    </w:p>
    <w:p w14:paraId="648A03C8" w14:textId="7F77D3F9" w:rsidR="00584047" w:rsidRDefault="00584047" w:rsidP="00584047">
      <w:pPr>
        <w:pStyle w:val="BodyText"/>
      </w:pPr>
      <w:r>
        <w:t xml:space="preserve">In relation to </w:t>
      </w:r>
      <w:r w:rsidR="002B424A">
        <w:t xml:space="preserve">disabilities strategy, a strategy is required which </w:t>
      </w:r>
      <w:r>
        <w:t xml:space="preserve">wraps all of that together and improves the workforce readiness, the cultural adaptions and changes that people need—and to start to see people with disabilities employed </w:t>
      </w:r>
      <w:r w:rsidR="00106AFD">
        <w:t>i</w:t>
      </w:r>
      <w:r>
        <w:t>n the health system</w:t>
      </w:r>
      <w:r w:rsidR="00106AFD">
        <w:t xml:space="preserve"> to embed </w:t>
      </w:r>
      <w:r>
        <w:t xml:space="preserve">change. </w:t>
      </w:r>
      <w:r w:rsidR="00106AFD">
        <w:t xml:space="preserve">Scoping work in </w:t>
      </w:r>
      <w:r>
        <w:t>government and a disability action plan within the health department</w:t>
      </w:r>
      <w:r w:rsidR="00106AFD">
        <w:t xml:space="preserve"> is important but contact </w:t>
      </w:r>
      <w:r>
        <w:t>work, particularly as COVID is</w:t>
      </w:r>
      <w:r w:rsidR="00106AFD">
        <w:t xml:space="preserve"> </w:t>
      </w:r>
      <w:r>
        <w:t>likely to bring many more people into contact with the health system.</w:t>
      </w:r>
    </w:p>
    <w:p w14:paraId="1B611860" w14:textId="202AF119" w:rsidR="00584047" w:rsidRDefault="002B424A" w:rsidP="00584047">
      <w:pPr>
        <w:pStyle w:val="BodyText"/>
      </w:pPr>
      <w:r>
        <w:t>Th</w:t>
      </w:r>
      <w:r w:rsidR="00584047">
        <w:t xml:space="preserve">e announcement of an increase to the safer </w:t>
      </w:r>
      <w:r w:rsidR="007142DD">
        <w:t>family’s</w:t>
      </w:r>
      <w:r w:rsidR="00584047">
        <w:t xml:space="preserve"> levy</w:t>
      </w:r>
      <w:r>
        <w:t xml:space="preserve"> is </w:t>
      </w:r>
      <w:r w:rsidR="007142DD">
        <w:t>welcome</w:t>
      </w:r>
      <w:r w:rsidR="002E179F">
        <w:t xml:space="preserve"> </w:t>
      </w:r>
      <w:r w:rsidR="007142DD">
        <w:t>if</w:t>
      </w:r>
      <w:r w:rsidR="002E179F">
        <w:t xml:space="preserve"> </w:t>
      </w:r>
      <w:proofErr w:type="gramStart"/>
      <w:r>
        <w:t xml:space="preserve">any </w:t>
      </w:r>
      <w:r w:rsidR="00584047">
        <w:t xml:space="preserve"> increase</w:t>
      </w:r>
      <w:proofErr w:type="gramEnd"/>
      <w:r w:rsidR="00584047">
        <w:t xml:space="preserve"> will lead to revenues </w:t>
      </w:r>
      <w:r w:rsidR="002E179F">
        <w:t xml:space="preserve">ging </w:t>
      </w:r>
      <w:r w:rsidR="00584047">
        <w:t xml:space="preserve">directly to frontline services. </w:t>
      </w:r>
      <w:r>
        <w:t xml:space="preserve"> In addition, </w:t>
      </w:r>
      <w:r w:rsidR="00584047">
        <w:t>additional money for organisations like DVCS</w:t>
      </w:r>
      <w:r>
        <w:t xml:space="preserve"> provides </w:t>
      </w:r>
      <w:r w:rsidR="00584047">
        <w:t xml:space="preserve">additional funding to the Women’s Legal Centre. </w:t>
      </w:r>
      <w:r w:rsidR="002E179F">
        <w:t xml:space="preserve">A </w:t>
      </w:r>
      <w:r w:rsidR="00584047">
        <w:t>concern</w:t>
      </w:r>
      <w:r>
        <w:t xml:space="preserve"> is </w:t>
      </w:r>
      <w:r w:rsidR="00584047">
        <w:t xml:space="preserve">that that money will </w:t>
      </w:r>
      <w:proofErr w:type="gramStart"/>
      <w:r w:rsidR="002E179F">
        <w:t xml:space="preserve">reduce </w:t>
      </w:r>
      <w:r w:rsidR="00584047">
        <w:t xml:space="preserve"> after</w:t>
      </w:r>
      <w:proofErr w:type="gramEnd"/>
      <w:r w:rsidR="00584047">
        <w:t xml:space="preserve"> the first year or the second year</w:t>
      </w:r>
      <w:r w:rsidR="002E179F">
        <w:t xml:space="preserve"> of the program; there is a necessity for</w:t>
      </w:r>
      <w:r w:rsidR="00C9472F">
        <w:t xml:space="preserve"> </w:t>
      </w:r>
      <w:r w:rsidR="00584047">
        <w:t xml:space="preserve">ongoing, sustained funding for frontline family violence services. </w:t>
      </w:r>
    </w:p>
    <w:p w14:paraId="2032FAF5" w14:textId="62142D62" w:rsidR="00584047" w:rsidRDefault="002E179F" w:rsidP="002B424A">
      <w:pPr>
        <w:pStyle w:val="BodyText"/>
      </w:pPr>
      <w:r>
        <w:t>S</w:t>
      </w:r>
      <w:r w:rsidR="00584047">
        <w:t xml:space="preserve">ome parts of the budget </w:t>
      </w:r>
      <w:r>
        <w:t xml:space="preserve">do </w:t>
      </w:r>
      <w:r w:rsidR="00584047">
        <w:t xml:space="preserve">provide some opportunities for community housing—for example, the research work going into build-to-rent models and the release of future land supply. budget does not provide a clear pathway as to how the ACT government will achieve the additional 400 public houses and 600 affordable rentals. </w:t>
      </w:r>
    </w:p>
    <w:p w14:paraId="06622612" w14:textId="4B76B227" w:rsidR="00584047" w:rsidRPr="00744B24" w:rsidRDefault="00584047" w:rsidP="00584047">
      <w:pPr>
        <w:pStyle w:val="BodyText"/>
      </w:pPr>
      <w:r>
        <w:t>Land is obviously very expensive in the ACT and a very important source of revenue. I think there is a strong belief in public housing within the ACT government</w:t>
      </w:r>
      <w:r w:rsidR="002E179F">
        <w:t>;</w:t>
      </w:r>
      <w:r>
        <w:t xml:space="preserve"> public housing is important, but it does not need to be an either/or. </w:t>
      </w:r>
      <w:r w:rsidR="002E179F">
        <w:t xml:space="preserve">There can be </w:t>
      </w:r>
      <w:r>
        <w:t xml:space="preserve">more public housing, which is targeted at a very particular community, but </w:t>
      </w:r>
      <w:r w:rsidR="002E179F">
        <w:t xml:space="preserve">must include </w:t>
      </w:r>
      <w:r>
        <w:t>more community housing</w:t>
      </w:r>
      <w:r w:rsidR="002E179F">
        <w:t xml:space="preserve"> as</w:t>
      </w:r>
      <w:r>
        <w:t xml:space="preserve"> build-to-rent.</w:t>
      </w:r>
    </w:p>
    <w:p w14:paraId="4C8A066D" w14:textId="77777777" w:rsidR="00744B24" w:rsidRDefault="00744B24" w:rsidP="00744B24">
      <w:pPr>
        <w:pStyle w:val="BodyText"/>
      </w:pPr>
      <w:r w:rsidRPr="00744B24">
        <w:rPr>
          <w:rStyle w:val="Heading5Char"/>
        </w:rPr>
        <w:t xml:space="preserve">HCCA </w:t>
      </w:r>
      <w:r>
        <w:t xml:space="preserve">– </w:t>
      </w:r>
    </w:p>
    <w:p w14:paraId="66255438" w14:textId="02C2BC01" w:rsidR="00744B24" w:rsidRDefault="002E179F" w:rsidP="00744B24">
      <w:pPr>
        <w:pStyle w:val="BodyText"/>
      </w:pPr>
      <w:r>
        <w:t xml:space="preserve">One preference in palliative care is for </w:t>
      </w:r>
      <w:r w:rsidR="009B17C0">
        <w:t xml:space="preserve">a dedicated inpatient ward at Canberra Hospital where you can have the family go and support people at end of life rather than dealing with quite a traumatic transfer in the </w:t>
      </w:r>
      <w:r>
        <w:t xml:space="preserve">final </w:t>
      </w:r>
      <w:r w:rsidR="009B17C0">
        <w:t>days. While home-based palliative care funding is good news—it is good to see the recurrent funding for the five extra beds through the Clare Holland House expansio</w:t>
      </w:r>
      <w:r>
        <w:t xml:space="preserve">n; and </w:t>
      </w:r>
      <w:r w:rsidR="009B17C0">
        <w:t>there is still a need for palliative care at Canberra Hospital.</w:t>
      </w:r>
    </w:p>
    <w:p w14:paraId="39FD5C8A" w14:textId="6FE60A18" w:rsidR="009B17C0" w:rsidRDefault="00C9472F" w:rsidP="002E179F">
      <w:pPr>
        <w:pStyle w:val="BodyText"/>
      </w:pPr>
      <w:r>
        <w:t xml:space="preserve">Another preference and recommendation </w:t>
      </w:r>
      <w:proofErr w:type="gramStart"/>
      <w:r>
        <w:t>is</w:t>
      </w:r>
      <w:proofErr w:type="gramEnd"/>
      <w:r>
        <w:t xml:space="preserve"> for </w:t>
      </w:r>
      <w:r w:rsidR="009B17C0">
        <w:t xml:space="preserve">an emergency response to ongoing mental health care. </w:t>
      </w:r>
      <w:r>
        <w:t>L</w:t>
      </w:r>
      <w:r w:rsidR="009B17C0">
        <w:t xml:space="preserve">iving with or caring for someone with mental illness understands how challenging that can be and how you need different points of care at different points of time. </w:t>
      </w:r>
      <w:r>
        <w:t xml:space="preserve"> A </w:t>
      </w:r>
      <w:r w:rsidR="009B17C0">
        <w:t>stepped model</w:t>
      </w:r>
      <w:r>
        <w:t xml:space="preserve"> is being encouraged for </w:t>
      </w:r>
      <w:r w:rsidR="009B17C0">
        <w:t>government to continue in th</w:t>
      </w:r>
      <w:r>
        <w:t>is</w:t>
      </w:r>
      <w:r w:rsidR="009B17C0">
        <w:t xml:space="preserve"> commitment. Community</w:t>
      </w:r>
      <w:r w:rsidR="009B17C0">
        <w:noBreakHyphen/>
        <w:t xml:space="preserve">based mental health services provide a </w:t>
      </w:r>
      <w:r>
        <w:t xml:space="preserve">very </w:t>
      </w:r>
      <w:r w:rsidR="009B17C0">
        <w:t xml:space="preserve">significant role </w:t>
      </w:r>
      <w:r>
        <w:t xml:space="preserve">for </w:t>
      </w:r>
      <w:r w:rsidR="009B17C0">
        <w:t>support</w:t>
      </w:r>
      <w:r>
        <w:t>.</w:t>
      </w:r>
    </w:p>
    <w:p w14:paraId="77C4E500" w14:textId="1BA5623F" w:rsidR="009B17C0" w:rsidRDefault="002B454B" w:rsidP="00744B24">
      <w:pPr>
        <w:pStyle w:val="BodyText"/>
      </w:pPr>
      <w:r>
        <w:t xml:space="preserve">A solution for support of </w:t>
      </w:r>
      <w:r w:rsidR="009B17C0">
        <w:t xml:space="preserve">education of other children; they may have housing issues or financial supports that they need. </w:t>
      </w:r>
      <w:r>
        <w:t>R</w:t>
      </w:r>
      <w:r w:rsidR="009B17C0">
        <w:t>ecognising the family as a whole unit</w:t>
      </w:r>
      <w:r>
        <w:t xml:space="preserve"> and </w:t>
      </w:r>
      <w:r w:rsidR="009B17C0">
        <w:t>providing them with services and connecti</w:t>
      </w:r>
      <w:r>
        <w:t xml:space="preserve">ons to </w:t>
      </w:r>
      <w:r w:rsidR="009B17C0">
        <w:t xml:space="preserve">social workers, paediatric nurses, who understand clinical conditions </w:t>
      </w:r>
      <w:r>
        <w:t>etc. Is essential to recognition of families.</w:t>
      </w:r>
    </w:p>
    <w:p w14:paraId="6A51B0D6" w14:textId="274465D4" w:rsidR="00C8613E" w:rsidRDefault="002B454B" w:rsidP="00C8613E">
      <w:pPr>
        <w:pStyle w:val="BodyText"/>
      </w:pPr>
      <w:r>
        <w:t xml:space="preserve">The digital system will </w:t>
      </w:r>
      <w:r w:rsidR="00C8613E">
        <w:t xml:space="preserve">be an incremental, phased approach to moving from historical contract-based procurement to a really engaging, creative and innovative model of commissioning services for community need. </w:t>
      </w:r>
    </w:p>
    <w:p w14:paraId="718E5A24" w14:textId="37B9808B" w:rsidR="00C8613E" w:rsidRDefault="002B454B" w:rsidP="00C8613E">
      <w:pPr>
        <w:pStyle w:val="BodyText"/>
      </w:pPr>
      <w:r>
        <w:t>I</w:t>
      </w:r>
      <w:r w:rsidR="00C8613E">
        <w:t xml:space="preserve">t is very encouraging that not only are we going to see a significant increase in funding for the health system, but also it is about the funding for </w:t>
      </w:r>
      <w:r w:rsidR="00017666">
        <w:t>infrastructure. —</w:t>
      </w:r>
      <w:r w:rsidR="00C8613E">
        <w:t>we have ageing infrastructure that needs to be addressed—workforce for new services and increased intensive care beds, NICU beds and mental health beds</w:t>
      </w:r>
      <w:r>
        <w:t xml:space="preserve"> is essential</w:t>
      </w:r>
      <w:r w:rsidR="00C8613E">
        <w:t>.</w:t>
      </w:r>
    </w:p>
    <w:p w14:paraId="411CD344" w14:textId="77777777" w:rsidR="00744B24" w:rsidRPr="00017666" w:rsidRDefault="00744B24" w:rsidP="00017666">
      <w:pPr>
        <w:pStyle w:val="BodyText"/>
        <w:rPr>
          <w:rStyle w:val="Heading5Char"/>
        </w:rPr>
      </w:pPr>
      <w:r w:rsidRPr="00744B24">
        <w:rPr>
          <w:rStyle w:val="Heading5Char"/>
        </w:rPr>
        <w:t xml:space="preserve">SHaFP </w:t>
      </w:r>
      <w:r w:rsidRPr="00017666">
        <w:rPr>
          <w:rStyle w:val="Heading5Char"/>
        </w:rPr>
        <w:t xml:space="preserve">– </w:t>
      </w:r>
    </w:p>
    <w:p w14:paraId="18125C28" w14:textId="166210BF" w:rsidR="00103304" w:rsidRDefault="00103304" w:rsidP="00830B9C">
      <w:pPr>
        <w:pStyle w:val="BodyText"/>
      </w:pPr>
      <w:r>
        <w:t xml:space="preserve">in the new environment of the NDIS, which has very tight margins in terms of funding to support professional development, access to a free training service for the sector disappeared, at a time when a proliferation of different services </w:t>
      </w:r>
      <w:proofErr w:type="gramStart"/>
      <w:r w:rsidR="00830B9C">
        <w:t>were</w:t>
      </w:r>
      <w:proofErr w:type="gramEnd"/>
      <w:r w:rsidR="00830B9C">
        <w:t xml:space="preserve"> attempting </w:t>
      </w:r>
      <w:r>
        <w:t xml:space="preserve">to respond with new models. </w:t>
      </w:r>
      <w:r w:rsidR="00017666">
        <w:t>So, the</w:t>
      </w:r>
      <w:r w:rsidR="00830B9C">
        <w:t xml:space="preserve"> ongoing </w:t>
      </w:r>
      <w:r>
        <w:t xml:space="preserve">advocacy of ministers, other </w:t>
      </w:r>
      <w:r w:rsidR="007142DD">
        <w:t>MLAs,</w:t>
      </w:r>
      <w:r>
        <w:t xml:space="preserve"> and members of our community in this area, to see funding restored</w:t>
      </w:r>
      <w:r w:rsidR="00830B9C">
        <w:t xml:space="preserve"> is </w:t>
      </w:r>
      <w:r w:rsidR="007142DD">
        <w:t>welcome.</w:t>
      </w:r>
      <w:r>
        <w:t xml:space="preserve"> </w:t>
      </w:r>
    </w:p>
    <w:p w14:paraId="51B66C16" w14:textId="4C3291BC" w:rsidR="00103304" w:rsidRDefault="00103304" w:rsidP="00830B9C">
      <w:pPr>
        <w:pStyle w:val="BodyText"/>
      </w:pPr>
      <w:r>
        <w:t>A focus of return to services in</w:t>
      </w:r>
      <w:r w:rsidR="00830B9C">
        <w:t xml:space="preserve"> the workforce is to undertake </w:t>
      </w:r>
      <w:r>
        <w:t>needs assessment around what the workforce needs are to design a combination of training and other workforce development activities that will skill people at the front line in disability services and in aged-care services</w:t>
      </w:r>
      <w:r w:rsidR="00830B9C">
        <w:t>.</w:t>
      </w:r>
    </w:p>
    <w:p w14:paraId="280EA8AF" w14:textId="77777777" w:rsidR="00830B9C" w:rsidRDefault="00830B9C" w:rsidP="00103304">
      <w:pPr>
        <w:pStyle w:val="BodyText"/>
      </w:pPr>
      <w:r>
        <w:t xml:space="preserve">A possible </w:t>
      </w:r>
      <w:r w:rsidR="00103304">
        <w:t>missed opportunit</w:t>
      </w:r>
      <w:r>
        <w:t xml:space="preserve">y was to </w:t>
      </w:r>
      <w:r w:rsidR="00103304">
        <w:t xml:space="preserve">seed a relationship between sexual health issues like STIs and blood-borne viruses, </w:t>
      </w:r>
      <w:r>
        <w:t xml:space="preserve">and the problem next door of </w:t>
      </w:r>
      <w:r w:rsidR="00103304">
        <w:t>unplanned pregnancy and decisions about choice and control in relationships</w:t>
      </w:r>
      <w:r>
        <w:t>.</w:t>
      </w:r>
    </w:p>
    <w:p w14:paraId="2C4EADFF" w14:textId="7E62CE1B" w:rsidR="00103304" w:rsidRDefault="00830B9C" w:rsidP="00103304">
      <w:pPr>
        <w:pStyle w:val="BodyText"/>
      </w:pPr>
      <w:r>
        <w:t xml:space="preserve">There are </w:t>
      </w:r>
      <w:r w:rsidR="00103304">
        <w:t xml:space="preserve">long waiting lists for the gynaecological outpatient clinic, for services that could be provided outside that setting and therefore are taking up space on the waiting list from the services that only that service can provide in our system. </w:t>
      </w:r>
      <w:r>
        <w:t xml:space="preserve"> </w:t>
      </w:r>
      <w:r w:rsidR="00103304">
        <w:t>These are the kinds of questions we would like to see answered through the commissioning process happening to health and community service</w:t>
      </w:r>
      <w:r>
        <w:t xml:space="preserve">s. </w:t>
      </w:r>
      <w:r w:rsidR="00103304">
        <w:t xml:space="preserve"> It is about asking ourselves as a community: what is the range of services that we need? How much do we need, given our population size and particular health profile? Where are the possible and the best places to </w:t>
      </w:r>
      <w:r w:rsidR="007142DD">
        <w:t>provide</w:t>
      </w:r>
      <w:r w:rsidR="00103304">
        <w:t xml:space="preserve"> that care so that consumers in our community get the best access in the </w:t>
      </w:r>
      <w:proofErr w:type="gramStart"/>
      <w:r w:rsidR="00103304">
        <w:t>most timely</w:t>
      </w:r>
      <w:proofErr w:type="gramEnd"/>
      <w:r w:rsidR="00103304">
        <w:t xml:space="preserve"> way? </w:t>
      </w:r>
    </w:p>
    <w:p w14:paraId="636B66CD" w14:textId="3C0EA5A6" w:rsidR="00744B24" w:rsidRDefault="00103304" w:rsidP="00103304">
      <w:pPr>
        <w:pStyle w:val="BodyText"/>
      </w:pPr>
      <w:r>
        <w:t>There is an opportunity to look more broadly</w:t>
      </w:r>
      <w:r w:rsidR="00830B9C">
        <w:t xml:space="preserve"> </w:t>
      </w:r>
      <w:r>
        <w:t>and see how these things are integrated and related</w:t>
      </w:r>
      <w:r w:rsidR="00830B9C">
        <w:t xml:space="preserve">. So, </w:t>
      </w:r>
      <w:r w:rsidR="007142DD">
        <w:t>reproductive,</w:t>
      </w:r>
      <w:r>
        <w:t xml:space="preserve"> and sexual health rights are usually a good bellwether of how well the rest of our system is working. Because they come with a lot of </w:t>
      </w:r>
      <w:proofErr w:type="gramStart"/>
      <w:r>
        <w:t>stigma</w:t>
      </w:r>
      <w:proofErr w:type="gramEnd"/>
      <w:r>
        <w:t>, because they often come with a lot of sense of shame or embarrassment, if we are doing those things well, lots about our system is functioning well.</w:t>
      </w:r>
    </w:p>
    <w:p w14:paraId="2E3128F7" w14:textId="576C9E20" w:rsidR="00D96E32" w:rsidRDefault="00D96E32" w:rsidP="00103304">
      <w:pPr>
        <w:pStyle w:val="BodyText"/>
      </w:pPr>
      <w:r>
        <w:t>The impact for health consumers is that often people are quite stressed about having a result that requires follow-up, but they are not necessarily getting time with a clinician to either reassure them</w:t>
      </w:r>
      <w:r w:rsidR="00A765C2">
        <w:t>.</w:t>
      </w:r>
    </w:p>
    <w:p w14:paraId="5487D195" w14:textId="3760A9D3" w:rsidR="00A765C2" w:rsidRDefault="00830B9C" w:rsidP="00830B9C">
      <w:pPr>
        <w:pStyle w:val="BodyText"/>
      </w:pPr>
      <w:r>
        <w:t>I</w:t>
      </w:r>
      <w:r w:rsidR="00A765C2">
        <w:t xml:space="preserve">nfrastructure </w:t>
      </w:r>
      <w:r>
        <w:t xml:space="preserve">could be better to </w:t>
      </w:r>
      <w:r w:rsidR="00A765C2">
        <w:t xml:space="preserve">make it easier for a range of health service providers to collaborate and work from similar locations that already exist. </w:t>
      </w:r>
      <w:r>
        <w:t>T</w:t>
      </w:r>
      <w:r w:rsidR="00A765C2">
        <w:t xml:space="preserve">hinking about territory-wide services like ours, and </w:t>
      </w:r>
      <w:proofErr w:type="gramStart"/>
      <w:r w:rsidR="00A765C2">
        <w:t>a number of</w:t>
      </w:r>
      <w:proofErr w:type="gramEnd"/>
      <w:r w:rsidR="00A765C2">
        <w:t xml:space="preserve"> other community-based health service providers, having a home location makes sense in terms of scale and concentration of services. </w:t>
      </w:r>
    </w:p>
    <w:p w14:paraId="4880DCD1" w14:textId="1EADADEC" w:rsidR="00C868F1" w:rsidRPr="00744B24" w:rsidRDefault="00830B9C" w:rsidP="00C868F1">
      <w:pPr>
        <w:pStyle w:val="BodyText"/>
      </w:pPr>
      <w:bookmarkStart w:id="47" w:name="_Hlk87536554"/>
      <w:bookmarkStart w:id="48" w:name="_Hlk87536532"/>
      <w:bookmarkEnd w:id="45"/>
      <w:r>
        <w:t xml:space="preserve">There is no benefit in </w:t>
      </w:r>
      <w:r w:rsidR="00A765C2">
        <w:t xml:space="preserve">displacing or disrupting health care for the convenience of some people </w:t>
      </w:r>
      <w:r w:rsidR="00C868F1">
        <w:t xml:space="preserve">The quantity of unmet need is significant in the answer to that question. Until unmet need is identified rapid testing has an </w:t>
      </w:r>
      <w:r w:rsidR="00017666">
        <w:t>obvious place</w:t>
      </w:r>
      <w:r w:rsidR="00C868F1">
        <w:t xml:space="preserve"> in terms of HIV testing.</w:t>
      </w:r>
    </w:p>
    <w:p w14:paraId="76E5E8CB" w14:textId="430DE841" w:rsidR="00A765C2" w:rsidRDefault="00A765C2" w:rsidP="00830B9C">
      <w:pPr>
        <w:pStyle w:val="BodyText"/>
      </w:pPr>
      <w:r>
        <w:t xml:space="preserve">if it still leaves needs unmet. While it might be convenient for someone to access, say, cervical screening from a walk-in centre on the way home from work, if that person is already getting </w:t>
      </w:r>
      <w:r w:rsidR="00A36BFC">
        <w:t xml:space="preserve">regular screening through their GP or some other point of service connection, there may </w:t>
      </w:r>
      <w:proofErr w:type="gramStart"/>
      <w:r w:rsidR="00A36BFC">
        <w:t>not  be</w:t>
      </w:r>
      <w:proofErr w:type="gramEnd"/>
      <w:r w:rsidR="00A36BFC">
        <w:t xml:space="preserve"> a need in moving where they get a service to be more convenient; it may be better </w:t>
      </w:r>
      <w:r w:rsidR="00C868F1">
        <w:t xml:space="preserve">to </w:t>
      </w:r>
      <w:r>
        <w:t>address the under-screened population</w:t>
      </w:r>
    </w:p>
    <w:p w14:paraId="1B32447E" w14:textId="275A10E1" w:rsidR="002B424A" w:rsidRDefault="00830B9C" w:rsidP="00830B9C">
      <w:pPr>
        <w:pStyle w:val="BodyText"/>
      </w:pPr>
      <w:r>
        <w:t xml:space="preserve"> A test is </w:t>
      </w:r>
      <w:r w:rsidR="002B424A">
        <w:t xml:space="preserve">what is the unmet need? How can we robustly test the unmet need? If we are talking about some dozens of people who might not access comprehensive testing and be at high risk of HIV then the system as it is just </w:t>
      </w:r>
      <w:proofErr w:type="gramStart"/>
      <w:r w:rsidR="002B424A">
        <w:t>has to</w:t>
      </w:r>
      <w:proofErr w:type="gramEnd"/>
      <w:r w:rsidR="002B424A">
        <w:t xml:space="preserve"> do better to serve them. If we are talking about 500 or 1,000 people who are at high risk of HIV not accessing and unwilling to access comprehensive testing through some of the existing avenues, a whole program </w:t>
      </w:r>
      <w:r>
        <w:t>may be required</w:t>
      </w:r>
      <w:r w:rsidR="002B424A">
        <w:t xml:space="preserve">. </w:t>
      </w:r>
    </w:p>
    <w:p w14:paraId="5BFE5E9F" w14:textId="77777777" w:rsidR="00C868F1" w:rsidRDefault="00F25118" w:rsidP="00C868F1">
      <w:pPr>
        <w:pStyle w:val="Heading4"/>
      </w:pPr>
      <w:r w:rsidRPr="00612185">
        <w:t>I</w:t>
      </w:r>
      <w:r w:rsidR="00612185">
        <w:t>ssues</w:t>
      </w:r>
      <w:r w:rsidR="00612185" w:rsidRPr="00612185">
        <w:t xml:space="preserve"> for Committee Comment</w:t>
      </w:r>
    </w:p>
    <w:p w14:paraId="0381E1B4" w14:textId="3B0E8B4E" w:rsidR="00B0578C" w:rsidRDefault="00F25118" w:rsidP="00B0578C">
      <w:pPr>
        <w:pStyle w:val="BodyText"/>
      </w:pPr>
      <w:r>
        <w:t>Key Issue</w:t>
      </w:r>
      <w:r w:rsidR="00B0578C">
        <w:t>s raise</w:t>
      </w:r>
      <w:r w:rsidR="00FE5AED">
        <w:t xml:space="preserve">d for Committee consideration were provided to the Committee </w:t>
      </w:r>
      <w:r w:rsidR="00B0578C">
        <w:t>in the specialist areas of concer</w:t>
      </w:r>
      <w:r w:rsidR="00FE5AED">
        <w:t>n</w:t>
      </w:r>
      <w:r w:rsidR="00B0578C">
        <w:t xml:space="preserve"> </w:t>
      </w:r>
      <w:r w:rsidR="00FE5AED">
        <w:t>to</w:t>
      </w:r>
      <w:r w:rsidR="00B0578C">
        <w:t xml:space="preserve"> witnesses.  Broadly, the Committee has focussed on current </w:t>
      </w:r>
      <w:r w:rsidR="00FE5AED">
        <w:t>services</w:t>
      </w:r>
      <w:r w:rsidR="00B0578C">
        <w:t xml:space="preserve"> and support, and on identified areas of </w:t>
      </w:r>
      <w:r w:rsidR="00FE5AED">
        <w:t>short</w:t>
      </w:r>
      <w:r w:rsidR="00B0578C">
        <w:t xml:space="preserve"> funding, no funding or limited funding in this and outyears from the budget.</w:t>
      </w:r>
    </w:p>
    <w:p w14:paraId="0021981C" w14:textId="2F1D8BB7" w:rsidR="00F25118" w:rsidRDefault="00B0578C" w:rsidP="00F25118">
      <w:pPr>
        <w:pStyle w:val="BodyText"/>
      </w:pPr>
      <w:r>
        <w:t xml:space="preserve">The Committee gained </w:t>
      </w:r>
      <w:r w:rsidR="00FE5AED">
        <w:t>valuable</w:t>
      </w:r>
      <w:r>
        <w:t xml:space="preserve"> focus form </w:t>
      </w:r>
      <w:r w:rsidR="00FE5AED">
        <w:t>Community Day</w:t>
      </w:r>
      <w:r>
        <w:t xml:space="preserve"> </w:t>
      </w:r>
      <w:r w:rsidR="00FE5AED">
        <w:t>witnesses and</w:t>
      </w:r>
      <w:r>
        <w:t xml:space="preserve"> </w:t>
      </w:r>
      <w:r w:rsidR="00FE5AED">
        <w:t>had</w:t>
      </w:r>
      <w:r>
        <w:t xml:space="preserve"> several recommendations to make as a result.</w:t>
      </w:r>
    </w:p>
    <w:p w14:paraId="23D52AFD" w14:textId="77777777" w:rsidR="00F25118" w:rsidRDefault="00F25118" w:rsidP="00F25118">
      <w:pPr>
        <w:pStyle w:val="RecommendationHeading"/>
        <w:keepNext/>
      </w:pPr>
      <w:bookmarkStart w:id="49" w:name="_Hlk87536580"/>
      <w:bookmarkStart w:id="50" w:name="_Toc87607629"/>
      <w:bookmarkEnd w:id="47"/>
      <w:r>
        <w:t>Recommendation 1</w:t>
      </w:r>
      <w:bookmarkEnd w:id="50"/>
    </w:p>
    <w:p w14:paraId="383DB979" w14:textId="2DC6C20C" w:rsidR="00B0578C" w:rsidRPr="00B0578C" w:rsidRDefault="00B0578C" w:rsidP="00B0578C">
      <w:pPr>
        <w:pStyle w:val="RecommendationText"/>
        <w:rPr>
          <w:szCs w:val="22"/>
        </w:rPr>
      </w:pPr>
      <w:bookmarkStart w:id="51" w:name="_Toc87607630"/>
      <w:r>
        <w:t xml:space="preserve">The Committee recommends that ACT Government </w:t>
      </w:r>
      <w:r w:rsidR="00DD042C">
        <w:t xml:space="preserve">increase </w:t>
      </w:r>
      <w:r w:rsidRPr="00B0578C">
        <w:t xml:space="preserve">funding for frontline domestic violence and rape crisis services from the current </w:t>
      </w:r>
      <w:r>
        <w:t xml:space="preserve">year </w:t>
      </w:r>
      <w:r w:rsidRPr="00B0578C">
        <w:t>provision</w:t>
      </w:r>
      <w:r>
        <w:t xml:space="preserve"> to meet </w:t>
      </w:r>
      <w:r w:rsidR="00DD042C">
        <w:t xml:space="preserve">a </w:t>
      </w:r>
      <w:r>
        <w:t xml:space="preserve">continuing identification of need and </w:t>
      </w:r>
      <w:r w:rsidR="00DD042C">
        <w:t xml:space="preserve">an </w:t>
      </w:r>
      <w:r>
        <w:t>increasing number of cases</w:t>
      </w:r>
      <w:r w:rsidR="00DD042C">
        <w:t>.</w:t>
      </w:r>
      <w:bookmarkEnd w:id="51"/>
    </w:p>
    <w:p w14:paraId="33013285" w14:textId="19D7F99E" w:rsidR="00B0578C" w:rsidRDefault="00B0578C" w:rsidP="00B0578C">
      <w:pPr>
        <w:pStyle w:val="RecommendationHeading"/>
        <w:rPr>
          <w:rFonts w:eastAsiaTheme="minorHAnsi"/>
        </w:rPr>
      </w:pPr>
      <w:bookmarkStart w:id="52" w:name="_Toc87607631"/>
      <w:r>
        <w:rPr>
          <w:rFonts w:eastAsiaTheme="minorHAnsi"/>
        </w:rPr>
        <w:t>Recommendation 2</w:t>
      </w:r>
      <w:bookmarkEnd w:id="52"/>
    </w:p>
    <w:p w14:paraId="5751C43F" w14:textId="7B698CC4" w:rsidR="00B0578C" w:rsidRDefault="00B0578C" w:rsidP="00AF3E26">
      <w:pPr>
        <w:pStyle w:val="RecommendationText"/>
      </w:pPr>
      <w:r>
        <w:t xml:space="preserve"> </w:t>
      </w:r>
      <w:bookmarkStart w:id="53" w:name="_Toc87607632"/>
      <w:r>
        <w:t>The Committee recommends th</w:t>
      </w:r>
      <w:r w:rsidR="00D628D4">
        <w:t>a</w:t>
      </w:r>
      <w:r>
        <w:t>t</w:t>
      </w:r>
      <w:r w:rsidR="00DD042C">
        <w:t xml:space="preserve"> the ACT Government</w:t>
      </w:r>
      <w:r w:rsidR="00AB384A">
        <w:t xml:space="preserve"> investigate </w:t>
      </w:r>
      <w:r w:rsidR="00DD042C">
        <w:t xml:space="preserve">the </w:t>
      </w:r>
      <w:r>
        <w:t xml:space="preserve">co-location of sexual health services with walk-in </w:t>
      </w:r>
      <w:r w:rsidR="00DD042C">
        <w:t xml:space="preserve">health </w:t>
      </w:r>
      <w:r>
        <w:t>centres</w:t>
      </w:r>
      <w:r w:rsidR="00DD042C">
        <w:t>.</w:t>
      </w:r>
      <w:bookmarkEnd w:id="53"/>
    </w:p>
    <w:p w14:paraId="2508DD81" w14:textId="77777777" w:rsidR="00E32AA1" w:rsidRDefault="00E32AA1" w:rsidP="001834F8">
      <w:pPr>
        <w:pStyle w:val="RecommendationHeading"/>
      </w:pPr>
    </w:p>
    <w:p w14:paraId="40E8ADBF" w14:textId="2268AEDB" w:rsidR="00AB384A" w:rsidRDefault="00AB384A" w:rsidP="001834F8">
      <w:pPr>
        <w:pStyle w:val="RecommendationHeading"/>
      </w:pPr>
      <w:bookmarkStart w:id="54" w:name="_Toc87607633"/>
      <w:r>
        <w:t>Reco</w:t>
      </w:r>
      <w:r w:rsidR="001834F8">
        <w:t>mmendation 3</w:t>
      </w:r>
      <w:bookmarkEnd w:id="54"/>
    </w:p>
    <w:p w14:paraId="7F164A22" w14:textId="4D6CC4D4" w:rsidR="00370C8C" w:rsidRDefault="00370C8C" w:rsidP="00370C8C">
      <w:pPr>
        <w:pStyle w:val="RecommendationText"/>
      </w:pPr>
      <w:bookmarkStart w:id="55" w:name="_Toc87607634"/>
      <w:r>
        <w:t xml:space="preserve">The Committee recommends that </w:t>
      </w:r>
      <w:r w:rsidR="00E32AA1">
        <w:t xml:space="preserve">the ACT Government release a timeline for </w:t>
      </w:r>
      <w:r>
        <w:t>the additional 400 public houses and 600 affordable rentals</w:t>
      </w:r>
      <w:r w:rsidR="00641A7C">
        <w:t xml:space="preserve"> provided for in</w:t>
      </w:r>
      <w:r w:rsidR="00E32AA1">
        <w:t xml:space="preserve"> the Parliamentary and Government Agreement for the 10</w:t>
      </w:r>
      <w:r w:rsidR="00E32AA1" w:rsidRPr="00E32AA1">
        <w:rPr>
          <w:vertAlign w:val="superscript"/>
        </w:rPr>
        <w:t>th</w:t>
      </w:r>
      <w:r w:rsidR="00E32AA1">
        <w:t xml:space="preserve"> Assembly</w:t>
      </w:r>
      <w:r w:rsidR="00641A7C">
        <w:t>.</w:t>
      </w:r>
      <w:bookmarkEnd w:id="55"/>
      <w:r>
        <w:t xml:space="preserve"> </w:t>
      </w:r>
    </w:p>
    <w:p w14:paraId="2E5355F7" w14:textId="16A0DDFE" w:rsidR="001834F8" w:rsidRDefault="00641A7C" w:rsidP="00641A7C">
      <w:pPr>
        <w:pStyle w:val="RecommendationHeading"/>
      </w:pPr>
      <w:bookmarkStart w:id="56" w:name="_Toc87607635"/>
      <w:r>
        <w:t xml:space="preserve">Recommendation </w:t>
      </w:r>
      <w:r w:rsidR="00E32AA1">
        <w:t>4</w:t>
      </w:r>
      <w:bookmarkEnd w:id="56"/>
    </w:p>
    <w:p w14:paraId="263EB164" w14:textId="6FAC6C10" w:rsidR="00707208" w:rsidRDefault="00D628D4" w:rsidP="00D628D4">
      <w:pPr>
        <w:pStyle w:val="RecommendationText"/>
      </w:pPr>
      <w:bookmarkStart w:id="57" w:name="_Toc87607636"/>
      <w:r>
        <w:t>The Committee recommends</w:t>
      </w:r>
      <w:r w:rsidR="00E32AA1">
        <w:t xml:space="preserve"> </w:t>
      </w:r>
      <w:r>
        <w:t xml:space="preserve">that a dedicated inpatient ward at Canberra Hospital </w:t>
      </w:r>
      <w:r w:rsidR="006A6A2B">
        <w:t xml:space="preserve">be provided </w:t>
      </w:r>
      <w:r w:rsidR="00707208">
        <w:t xml:space="preserve">to enable family support </w:t>
      </w:r>
      <w:r>
        <w:t xml:space="preserve">for patients at </w:t>
      </w:r>
      <w:r w:rsidR="00707208">
        <w:t xml:space="preserve">the </w:t>
      </w:r>
      <w:r>
        <w:t>end of life.</w:t>
      </w:r>
      <w:bookmarkEnd w:id="57"/>
      <w:r>
        <w:t xml:space="preserve">  </w:t>
      </w:r>
    </w:p>
    <w:p w14:paraId="3554FE4B" w14:textId="77777777" w:rsidR="00707208" w:rsidRDefault="00707208" w:rsidP="00707208">
      <w:pPr>
        <w:pStyle w:val="RecommendationHeading"/>
      </w:pPr>
      <w:bookmarkStart w:id="58" w:name="_Hlk87525395"/>
      <w:bookmarkStart w:id="59" w:name="_Toc87607637"/>
      <w:r>
        <w:t>Recommendation 5</w:t>
      </w:r>
      <w:bookmarkEnd w:id="59"/>
    </w:p>
    <w:p w14:paraId="64684C6E" w14:textId="7454B61B" w:rsidR="00641A7C" w:rsidRDefault="00D628D4" w:rsidP="00707208">
      <w:pPr>
        <w:pStyle w:val="RecommendationText"/>
      </w:pPr>
      <w:bookmarkStart w:id="60" w:name="_Toc87607638"/>
      <w:r>
        <w:t xml:space="preserve">The Committee recommends that </w:t>
      </w:r>
      <w:r w:rsidR="00707208">
        <w:t>the ACT Government t</w:t>
      </w:r>
      <w:r>
        <w:t>hrough the Clare Holland House expansion</w:t>
      </w:r>
      <w:r w:rsidR="00707208">
        <w:t>,</w:t>
      </w:r>
      <w:r>
        <w:t xml:space="preserve"> </w:t>
      </w:r>
      <w:r w:rsidR="00707208">
        <w:t>ensure</w:t>
      </w:r>
      <w:r w:rsidR="006A6A2B">
        <w:t xml:space="preserve"> that </w:t>
      </w:r>
      <w:r>
        <w:t xml:space="preserve">palliative care </w:t>
      </w:r>
      <w:r w:rsidR="00707208">
        <w:t xml:space="preserve">in any dedicated inpatient facility at the </w:t>
      </w:r>
      <w:r>
        <w:t>Canberra Hospita</w:t>
      </w:r>
      <w:r w:rsidR="00707208">
        <w:t>l have at least five beds.</w:t>
      </w:r>
      <w:bookmarkEnd w:id="49"/>
      <w:bookmarkEnd w:id="60"/>
    </w:p>
    <w:p w14:paraId="101491A6" w14:textId="794A5827" w:rsidR="00FE5AED" w:rsidRDefault="00FE5AED">
      <w:pPr>
        <w:spacing w:before="0" w:after="160" w:line="259" w:lineRule="auto"/>
        <w:rPr>
          <w:rFonts w:ascii="Arial Narrow" w:hAnsi="Arial Narrow" w:cs="Arial"/>
          <w:iCs/>
          <w:smallCaps/>
          <w:spacing w:val="20"/>
          <w:sz w:val="36"/>
          <w:szCs w:val="34"/>
        </w:rPr>
      </w:pPr>
      <w:bookmarkStart w:id="61" w:name="_Toc502671588"/>
      <w:bookmarkStart w:id="62" w:name="_Toc502671766"/>
      <w:bookmarkStart w:id="63" w:name="_Toc502671872"/>
      <w:bookmarkStart w:id="64" w:name="_Toc502672804"/>
      <w:bookmarkEnd w:id="58"/>
      <w:r>
        <w:br w:type="page"/>
      </w:r>
    </w:p>
    <w:p w14:paraId="58DC1122" w14:textId="7288D644" w:rsidR="00F25118" w:rsidRDefault="00DD7AA8" w:rsidP="00DE7950">
      <w:pPr>
        <w:pStyle w:val="Heading2"/>
        <w:numPr>
          <w:ilvl w:val="0"/>
          <w:numId w:val="13"/>
        </w:numPr>
        <w:tabs>
          <w:tab w:val="num" w:pos="680"/>
        </w:tabs>
        <w:ind w:left="567" w:hanging="567"/>
      </w:pPr>
      <w:bookmarkStart w:id="65" w:name="_Toc87607411"/>
      <w:bookmarkEnd w:id="48"/>
      <w:r w:rsidRPr="00D51DA5">
        <w:t>Mental Health and Justice Health Hearing – 20 October 2021</w:t>
      </w:r>
      <w:bookmarkEnd w:id="65"/>
    </w:p>
    <w:p w14:paraId="5D9C342A" w14:textId="4F1704CA" w:rsidR="00DD7AA8" w:rsidRDefault="00DD7AA8" w:rsidP="00DD7AA8">
      <w:pPr>
        <w:pStyle w:val="BodyText"/>
      </w:pPr>
      <w:r>
        <w:t xml:space="preserve">On 20 October 2021, the Committee conducted hearings with the </w:t>
      </w:r>
      <w:r w:rsidR="00FE5AED">
        <w:t>M</w:t>
      </w:r>
      <w:r>
        <w:t xml:space="preserve">inister Mental Health and for Justice Health, Emma Davidson </w:t>
      </w:r>
      <w:r w:rsidR="007142DD">
        <w:t>MLA,</w:t>
      </w:r>
      <w:r>
        <w:t xml:space="preserve"> and Directorate officials </w:t>
      </w:r>
    </w:p>
    <w:p w14:paraId="4C8A0F77" w14:textId="0D3F0CB6" w:rsidR="00DD7AA8" w:rsidRDefault="00DD7AA8" w:rsidP="00DD7AA8">
      <w:pPr>
        <w:pStyle w:val="BodyText"/>
      </w:pPr>
      <w:r>
        <w:t xml:space="preserve">Budget Outputs considered by the Committee at this </w:t>
      </w:r>
      <w:proofErr w:type="gramStart"/>
      <w:r>
        <w:t>hearing  were</w:t>
      </w:r>
      <w:proofErr w:type="gramEnd"/>
      <w:r>
        <w:t>:</w:t>
      </w:r>
    </w:p>
    <w:p w14:paraId="45471F92" w14:textId="63F59CC2" w:rsidR="00DD7AA8" w:rsidRPr="00447C4C" w:rsidRDefault="00DD7AA8" w:rsidP="00F336AA">
      <w:pPr>
        <w:pStyle w:val="ListBullet"/>
        <w:numPr>
          <w:ilvl w:val="0"/>
          <w:numId w:val="17"/>
        </w:numPr>
        <w:rPr>
          <w:rFonts w:eastAsia="Verdana"/>
        </w:rPr>
      </w:pPr>
      <w:r w:rsidRPr="00447C4C">
        <w:rPr>
          <w:rFonts w:eastAsia="Verdana"/>
        </w:rPr>
        <w:t>Output 1.3: Mentally Healthy Communities</w:t>
      </w:r>
    </w:p>
    <w:p w14:paraId="5492ED3E" w14:textId="608BBA68" w:rsidR="00DD7AA8" w:rsidRDefault="00DD7AA8" w:rsidP="00F336AA">
      <w:pPr>
        <w:pStyle w:val="ListBullet"/>
        <w:numPr>
          <w:ilvl w:val="0"/>
          <w:numId w:val="17"/>
        </w:numPr>
        <w:rPr>
          <w:rFonts w:eastAsia="Verdana"/>
          <w:lang w:eastAsia="zh-TW"/>
        </w:rPr>
      </w:pPr>
      <w:r w:rsidRPr="00447C4C">
        <w:rPr>
          <w:rFonts w:eastAsia="Verdana"/>
          <w:lang w:eastAsia="zh-TW"/>
        </w:rPr>
        <w:t>Output 1.2 Mental Health, Justice Health, Alcohol and Drug Services</w:t>
      </w:r>
    </w:p>
    <w:p w14:paraId="6B7B1241" w14:textId="7944B908" w:rsidR="00D51DA5" w:rsidRDefault="00D51DA5" w:rsidP="00D51DA5">
      <w:pPr>
        <w:pStyle w:val="BodyText"/>
        <w:rPr>
          <w:rFonts w:eastAsia="Verdana"/>
          <w:lang w:eastAsia="zh-TW"/>
        </w:rPr>
      </w:pPr>
      <w:r>
        <w:rPr>
          <w:rFonts w:eastAsia="Verdana"/>
          <w:lang w:eastAsia="zh-TW"/>
        </w:rPr>
        <w:t>The Hansard for the hearing is at:</w:t>
      </w:r>
      <w:r w:rsidRPr="00D51DA5">
        <w:t xml:space="preserve"> </w:t>
      </w:r>
      <w:hyperlink r:id="rId22" w:history="1">
        <w:r w:rsidRPr="009B2474">
          <w:rPr>
            <w:rStyle w:val="Hyperlink"/>
            <w:rFonts w:eastAsia="Verdana"/>
            <w:lang w:eastAsia="zh-TW"/>
          </w:rPr>
          <w:t>https://www.hansard.act.gov.au/hansard/2021/comms/hcw06.pdf</w:t>
        </w:r>
      </w:hyperlink>
    </w:p>
    <w:p w14:paraId="08A477EA" w14:textId="103E79BE" w:rsidR="00F25118" w:rsidRDefault="003973E9" w:rsidP="003973E9">
      <w:pPr>
        <w:pStyle w:val="Heading3"/>
      </w:pPr>
      <w:bookmarkStart w:id="66" w:name="_Toc87607412"/>
      <w:r>
        <w:t>Matters Raised by the Committee</w:t>
      </w:r>
      <w:r w:rsidR="00021209">
        <w:rPr>
          <w:rStyle w:val="FootnoteReference"/>
        </w:rPr>
        <w:footnoteReference w:id="9"/>
      </w:r>
      <w:bookmarkEnd w:id="66"/>
      <w:r>
        <w:t xml:space="preserve"> </w:t>
      </w:r>
    </w:p>
    <w:p w14:paraId="0AB5B19F" w14:textId="1D54D0D4" w:rsidR="00021209" w:rsidRPr="004517B1" w:rsidRDefault="004517B1" w:rsidP="00021209">
      <w:pPr>
        <w:pStyle w:val="BodyText"/>
      </w:pPr>
      <w:r>
        <w:t xml:space="preserve">What is the </w:t>
      </w:r>
      <w:r w:rsidR="00021209" w:rsidRPr="004517B1">
        <w:t xml:space="preserve">context around the life of an alcohol and other drugs nurse at the </w:t>
      </w:r>
      <w:proofErr w:type="gramStart"/>
      <w:r w:rsidR="00021209" w:rsidRPr="004517B1">
        <w:t>AMC.</w:t>
      </w:r>
      <w:proofErr w:type="gramEnd"/>
      <w:r w:rsidR="00021209" w:rsidRPr="004517B1">
        <w:t xml:space="preserve"> What does their day look like </w:t>
      </w:r>
      <w:proofErr w:type="gramStart"/>
      <w:r w:rsidR="00021209" w:rsidRPr="004517B1">
        <w:t>at the moment</w:t>
      </w:r>
      <w:proofErr w:type="gramEnd"/>
      <w:r w:rsidR="00021209" w:rsidRPr="004517B1">
        <w:t>? What would an AOD nurse at the Alexander Maconochie Centre be responsible for?</w:t>
      </w:r>
    </w:p>
    <w:p w14:paraId="299B8312" w14:textId="3665D371" w:rsidR="00021209" w:rsidRPr="004517B1" w:rsidRDefault="00DF6CB2" w:rsidP="00021209">
      <w:pPr>
        <w:pStyle w:val="BodyText"/>
      </w:pPr>
      <w:r>
        <w:t>H</w:t>
      </w:r>
      <w:r w:rsidR="00021209" w:rsidRPr="004517B1">
        <w:t>ow many people come into AMC with a tobacco addiction, and what work those alcohol and other drugs nurses do to introduce them to smoking cessation programs.</w:t>
      </w:r>
    </w:p>
    <w:p w14:paraId="6A0727F2" w14:textId="54026F10" w:rsidR="00021209" w:rsidRPr="004517B1" w:rsidRDefault="00021209" w:rsidP="00021209">
      <w:pPr>
        <w:pStyle w:val="BodyText"/>
      </w:pPr>
      <w:r w:rsidRPr="004517B1">
        <w:t xml:space="preserve"> </w:t>
      </w:r>
      <w:r w:rsidR="00DF6CB2">
        <w:t xml:space="preserve">What is being </w:t>
      </w:r>
      <w:r w:rsidR="00506860">
        <w:t>done</w:t>
      </w:r>
      <w:r w:rsidR="00DF6CB2">
        <w:t xml:space="preserve"> to address </w:t>
      </w:r>
      <w:r w:rsidRPr="004517B1">
        <w:t xml:space="preserve">problems with the outdated facilities at the Hume Health Centre, as well as the prison medical centre? </w:t>
      </w:r>
      <w:r w:rsidR="00DF6CB2">
        <w:t>I</w:t>
      </w:r>
      <w:r w:rsidRPr="004517B1">
        <w:t xml:space="preserve">ssues </w:t>
      </w:r>
      <w:r w:rsidR="00DF6CB2">
        <w:t xml:space="preserve">include </w:t>
      </w:r>
      <w:r w:rsidRPr="004517B1">
        <w:t>no separation between detainees and staff while they check in and while they wait, space shortages between two medical practitioners using the one medical appointment space, and administration staff being housed in a very small administration facility section.</w:t>
      </w:r>
    </w:p>
    <w:p w14:paraId="740F2AEC" w14:textId="2E360F3C" w:rsidR="003C00EC" w:rsidRPr="004517B1" w:rsidRDefault="003C00EC" w:rsidP="003C00EC">
      <w:pPr>
        <w:pStyle w:val="BodyText"/>
      </w:pPr>
      <w:r w:rsidRPr="004517B1">
        <w:t xml:space="preserve"> </w:t>
      </w:r>
      <w:r w:rsidR="00DF6CB2">
        <w:t>T</w:t>
      </w:r>
      <w:r w:rsidRPr="004517B1">
        <w:t>here is at least $5 million being funded to the prison for improvements in infrastructure and wellbeing over the next two years. Is any of this money going to the expansion of the justice health premises there?</w:t>
      </w:r>
    </w:p>
    <w:p w14:paraId="07F13C5F" w14:textId="07889F77" w:rsidR="00B53F12" w:rsidRPr="004517B1" w:rsidRDefault="00B53F12" w:rsidP="00B53F12">
      <w:pPr>
        <w:pStyle w:val="BodyText"/>
      </w:pPr>
      <w:r w:rsidRPr="004517B1">
        <w:t>MindMap, was released yesterday. Could inform the committee as to the purpose of MindMap.</w:t>
      </w:r>
    </w:p>
    <w:p w14:paraId="5452C422" w14:textId="735A8A4D" w:rsidR="00FE5AED" w:rsidRPr="004517B1" w:rsidRDefault="00B53F12" w:rsidP="00FE5AED">
      <w:pPr>
        <w:pStyle w:val="BodyText"/>
      </w:pPr>
      <w:r w:rsidRPr="004517B1">
        <w:t xml:space="preserve"> Is there a risk that, when a young person uses this website and they see right in front of them quite long wait times to access these services, that might act as a deterrent to them </w:t>
      </w:r>
      <w:proofErr w:type="gramStart"/>
      <w:r w:rsidRPr="004517B1">
        <w:t>actually trying</w:t>
      </w:r>
      <w:proofErr w:type="gramEnd"/>
      <w:r w:rsidRPr="004517B1">
        <w:t xml:space="preserve"> to follow that path?</w:t>
      </w:r>
    </w:p>
    <w:p w14:paraId="7378B0D1" w14:textId="7A3F02AB" w:rsidR="00B53F12" w:rsidRPr="004517B1" w:rsidRDefault="00B53F12" w:rsidP="00FE5AED">
      <w:pPr>
        <w:pStyle w:val="BodyText"/>
      </w:pPr>
      <w:r w:rsidRPr="004517B1">
        <w:t>You mentioned that some of the youth navigators were clinical and some not. I was wondering if you could maybe differentiate what role they would have.</w:t>
      </w:r>
    </w:p>
    <w:p w14:paraId="208E5CA7" w14:textId="2F553F06" w:rsidR="00A1115A" w:rsidRPr="004517B1" w:rsidRDefault="00A1115A" w:rsidP="00A1115A">
      <w:pPr>
        <w:pStyle w:val="BodyText"/>
      </w:pPr>
      <w:r w:rsidRPr="004517B1">
        <w:t xml:space="preserve"> </w:t>
      </w:r>
      <w:r w:rsidR="00DF6CB2">
        <w:t xml:space="preserve">In MindMap </w:t>
      </w:r>
      <w:r w:rsidRPr="004517B1">
        <w:t>there are different age brackets that people can identify with. Does the website change in any way if someone wants to identify as, let us say, a six-year-old or a 24-year-old? Does the website present in the same way or is it just the results at the back end that you would see would change based on the age?</w:t>
      </w:r>
    </w:p>
    <w:p w14:paraId="50B3D6DF" w14:textId="2A51F7EA" w:rsidR="00B53F12" w:rsidRPr="004517B1" w:rsidRDefault="00A1115A" w:rsidP="00FE5AED">
      <w:pPr>
        <w:pStyle w:val="BodyText"/>
      </w:pPr>
      <w:r w:rsidRPr="004517B1">
        <w:t xml:space="preserve">How does MindMap interact with other services that already exist? I know that the </w:t>
      </w:r>
      <w:r w:rsidR="00DF6CB2">
        <w:t>C</w:t>
      </w:r>
      <w:r w:rsidRPr="004517B1">
        <w:t>ommonwealth have</w:t>
      </w:r>
      <w:r w:rsidR="00DF6CB2">
        <w:t xml:space="preserve"> He</w:t>
      </w:r>
      <w:r w:rsidRPr="004517B1">
        <w:t xml:space="preserve">adtoHelp and then there is also a hotline service that exists through ACT Health </w:t>
      </w:r>
      <w:proofErr w:type="gramStart"/>
      <w:r w:rsidRPr="004517B1">
        <w:t>at the moment</w:t>
      </w:r>
      <w:proofErr w:type="gramEnd"/>
      <w:r w:rsidRPr="004517B1">
        <w:t>.</w:t>
      </w:r>
    </w:p>
    <w:p w14:paraId="03CA764C" w14:textId="150DFF11" w:rsidR="0032488E" w:rsidRPr="004517B1" w:rsidRDefault="0032488E" w:rsidP="00FE5AED">
      <w:pPr>
        <w:pStyle w:val="BodyText"/>
      </w:pPr>
      <w:r w:rsidRPr="004517B1">
        <w:t xml:space="preserve">Are all the services </w:t>
      </w:r>
      <w:r w:rsidR="00DF6CB2">
        <w:t xml:space="preserve">a user </w:t>
      </w:r>
      <w:r w:rsidRPr="004517B1">
        <w:t>would be directed to through that Access Mental Health phone line replicated through MindMap.</w:t>
      </w:r>
    </w:p>
    <w:p w14:paraId="4581E7A7" w14:textId="74F10AFB" w:rsidR="0032488E" w:rsidRPr="004517B1" w:rsidRDefault="00DF6CB2" w:rsidP="0032488E">
      <w:pPr>
        <w:pStyle w:val="BodyText"/>
      </w:pPr>
      <w:r>
        <w:t>W</w:t>
      </w:r>
      <w:r w:rsidR="0032488E" w:rsidRPr="004517B1">
        <w:t xml:space="preserve">hat </w:t>
      </w:r>
      <w:r>
        <w:t xml:space="preserve">is </w:t>
      </w:r>
      <w:r w:rsidR="0032488E" w:rsidRPr="004517B1">
        <w:t xml:space="preserve">the strategy to make sure that every young Canberran, knows about MindMap and knows how they can access </w:t>
      </w:r>
      <w:proofErr w:type="gramStart"/>
      <w:r w:rsidR="0032488E" w:rsidRPr="004517B1">
        <w:t>it.</w:t>
      </w:r>
      <w:proofErr w:type="gramEnd"/>
    </w:p>
    <w:p w14:paraId="688B5D29" w14:textId="025CE506" w:rsidR="0032488E" w:rsidRPr="004517B1" w:rsidRDefault="00DF6CB2" w:rsidP="00FE5AED">
      <w:pPr>
        <w:pStyle w:val="BodyText"/>
      </w:pPr>
      <w:r>
        <w:t xml:space="preserve">The </w:t>
      </w:r>
      <w:r w:rsidR="0032488E" w:rsidRPr="004517B1">
        <w:t xml:space="preserve">press release says that MindMap was co-designed by the ACT government, Marymead, the Australian National University, the ACT Youth </w:t>
      </w:r>
      <w:proofErr w:type="gramStart"/>
      <w:r w:rsidR="0032488E" w:rsidRPr="004517B1">
        <w:t>Coalition</w:t>
      </w:r>
      <w:proofErr w:type="gramEnd"/>
      <w:r w:rsidR="0032488E" w:rsidRPr="004517B1">
        <w:t xml:space="preserve"> and the ACT Youth Advisory Committee. Were clinicians involved in the design</w:t>
      </w:r>
    </w:p>
    <w:p w14:paraId="6D742DD9" w14:textId="7F09E7DD" w:rsidR="0032488E" w:rsidRPr="004517B1" w:rsidRDefault="0032488E" w:rsidP="0032488E">
      <w:pPr>
        <w:pStyle w:val="BodyText"/>
      </w:pPr>
      <w:r w:rsidRPr="004517B1">
        <w:t xml:space="preserve"> The proportion of mental health related emergency department presentations</w:t>
      </w:r>
      <w:proofErr w:type="gramStart"/>
      <w:r w:rsidRPr="004517B1">
        <w:t>, ,</w:t>
      </w:r>
      <w:proofErr w:type="gramEnd"/>
      <w:r w:rsidRPr="004517B1">
        <w:t xml:space="preserve"> being seen on time is fewer and fewer every year. The last reported data is that 38.4 per cent of mental health presentations to EDC were on time.</w:t>
      </w:r>
      <w:r w:rsidR="00DF6CB2">
        <w:t xml:space="preserve"> </w:t>
      </w:r>
      <w:r w:rsidRPr="004517B1">
        <w:t xml:space="preserve">How does the concerning level of mental health </w:t>
      </w:r>
      <w:r w:rsidR="00506860" w:rsidRPr="004517B1">
        <w:t>admissions</w:t>
      </w:r>
      <w:r w:rsidRPr="004517B1">
        <w:t xml:space="preserve"> what legislation do you, as the Minister for Mental Health, administer? </w:t>
      </w:r>
    </w:p>
    <w:p w14:paraId="19B68955" w14:textId="4F879F9A" w:rsidR="004D552A" w:rsidRPr="004517B1" w:rsidRDefault="00DF6CB2" w:rsidP="004D552A">
      <w:pPr>
        <w:pStyle w:val="BodyText"/>
      </w:pPr>
      <w:r>
        <w:t xml:space="preserve">How does the </w:t>
      </w:r>
      <w:r w:rsidR="004D552A" w:rsidRPr="004517B1">
        <w:t xml:space="preserve">relationship between justice health and the corrections service </w:t>
      </w:r>
      <w:r>
        <w:t xml:space="preserve">work </w:t>
      </w:r>
      <w:r w:rsidR="004D552A" w:rsidRPr="004517B1">
        <w:t xml:space="preserve">in terms of the need for the corrections service to help justice health achieve its objectives and improve detainees’ </w:t>
      </w:r>
      <w:r w:rsidR="00506860" w:rsidRPr="004517B1">
        <w:t>health Have</w:t>
      </w:r>
      <w:r w:rsidR="004D552A" w:rsidRPr="004517B1">
        <w:t xml:space="preserve"> there been instances where a detainee has not been able to access a health service due to corrections not having enough staff?</w:t>
      </w:r>
    </w:p>
    <w:p w14:paraId="7715A987" w14:textId="1CBE3A39" w:rsidR="004D552A" w:rsidRPr="004517B1" w:rsidRDefault="00DF6CB2" w:rsidP="004D552A">
      <w:pPr>
        <w:pStyle w:val="BodyText"/>
      </w:pPr>
      <w:r>
        <w:t>S</w:t>
      </w:r>
      <w:r w:rsidR="004D552A" w:rsidRPr="004517B1">
        <w:t>trategic indicator</w:t>
      </w:r>
      <w:r>
        <w:t>s</w:t>
      </w:r>
      <w:r w:rsidR="004D552A" w:rsidRPr="004517B1">
        <w:t xml:space="preserve"> </w:t>
      </w:r>
      <w:proofErr w:type="gramStart"/>
      <w:r w:rsidR="004D552A" w:rsidRPr="004517B1">
        <w:t>say</w:t>
      </w:r>
      <w:r>
        <w:t xml:space="preserve"> </w:t>
      </w:r>
      <w:r w:rsidR="004D552A" w:rsidRPr="004517B1">
        <w:t xml:space="preserve"> justice</w:t>
      </w:r>
      <w:proofErr w:type="gramEnd"/>
      <w:r w:rsidR="004D552A" w:rsidRPr="004517B1">
        <w:t xml:space="preserve"> health service community contacts have been discontinued. Can you explain why this is and how you measure the accessibility of health services to people in the prison?</w:t>
      </w:r>
    </w:p>
    <w:p w14:paraId="1F2BC897" w14:textId="218AC444" w:rsidR="004D552A" w:rsidRPr="004517B1" w:rsidRDefault="004D552A" w:rsidP="00AF3E26">
      <w:pPr>
        <w:pStyle w:val="BodyText"/>
      </w:pPr>
      <w:r w:rsidRPr="004517B1">
        <w:t xml:space="preserve"> </w:t>
      </w:r>
      <w:r w:rsidR="00722954">
        <w:t xml:space="preserve">In relation to </w:t>
      </w:r>
      <w:r w:rsidRPr="004517B1">
        <w:t>Safe Haven Cafes</w:t>
      </w:r>
      <w:r w:rsidR="00722954">
        <w:t xml:space="preserve">, </w:t>
      </w:r>
      <w:r w:rsidRPr="004517B1">
        <w:t xml:space="preserve">I note that they were flagged </w:t>
      </w:r>
      <w:r w:rsidR="00506860">
        <w:t>earlier</w:t>
      </w:r>
      <w:r w:rsidR="00722954">
        <w:t xml:space="preserve">.  Can you </w:t>
      </w:r>
      <w:r w:rsidRPr="004517B1">
        <w:t xml:space="preserve">provide an update to the committee on how the program is </w:t>
      </w:r>
      <w:proofErr w:type="gramStart"/>
      <w:r w:rsidRPr="004517B1">
        <w:t>progressing.</w:t>
      </w:r>
      <w:proofErr w:type="gramEnd"/>
      <w:r w:rsidRPr="004517B1">
        <w:t xml:space="preserve"> Is the Canberra Hospital </w:t>
      </w:r>
      <w:proofErr w:type="gramStart"/>
      <w:r w:rsidRPr="004517B1">
        <w:t>site  still</w:t>
      </w:r>
      <w:proofErr w:type="gramEnd"/>
      <w:r w:rsidRPr="004517B1">
        <w:t xml:space="preserve"> an option</w:t>
      </w:r>
    </w:p>
    <w:p w14:paraId="0EA763EB" w14:textId="6632FAF3" w:rsidR="004F2272" w:rsidRPr="004517B1" w:rsidRDefault="004F2272" w:rsidP="004F2272">
      <w:pPr>
        <w:pStyle w:val="BodyText"/>
      </w:pPr>
      <w:r w:rsidRPr="004517B1">
        <w:t xml:space="preserve">What is the justice health position on a needle exchange program in the AMC? </w:t>
      </w:r>
    </w:p>
    <w:p w14:paraId="174FD306" w14:textId="3AEF7E70" w:rsidR="004D552A" w:rsidRPr="004517B1" w:rsidRDefault="004F2272" w:rsidP="00FE5AED">
      <w:pPr>
        <w:pStyle w:val="BodyText"/>
      </w:pPr>
      <w:r w:rsidRPr="004517B1">
        <w:t xml:space="preserve"> during Lockdown, was </w:t>
      </w:r>
      <w:r w:rsidR="00722954">
        <w:t xml:space="preserve">there </w:t>
      </w:r>
      <w:r w:rsidRPr="004517B1">
        <w:t>a death at the secure mental health unit, Dhulwa? what is the general process for investigation into causes, and reasons</w:t>
      </w:r>
      <w:r w:rsidR="00722954">
        <w:t xml:space="preserve"> of such </w:t>
      </w:r>
      <w:proofErr w:type="gramStart"/>
      <w:r w:rsidR="00722954">
        <w:t xml:space="preserve">occurrences </w:t>
      </w:r>
      <w:r w:rsidRPr="004517B1">
        <w:t>,</w:t>
      </w:r>
      <w:proofErr w:type="gramEnd"/>
      <w:r w:rsidRPr="004517B1">
        <w:t xml:space="preserve"> and what is the policy practice? </w:t>
      </w:r>
    </w:p>
    <w:p w14:paraId="4ACB2EE4" w14:textId="5F057731" w:rsidR="004F2272" w:rsidRPr="004517B1" w:rsidRDefault="00AE1FC8" w:rsidP="004F2272">
      <w:pPr>
        <w:pStyle w:val="BodyText"/>
      </w:pPr>
      <w:r>
        <w:t>D</w:t>
      </w:r>
      <w:r w:rsidR="004F2272" w:rsidRPr="004517B1">
        <w:t>oes the government have a strategy for how it will promote services that the government is running and that the government is funding in the community sector for Canberrans who may not think, in the first instance, that they are suffering from a mental health ailment and may need to connect with services for the first time?</w:t>
      </w:r>
    </w:p>
    <w:p w14:paraId="3857351B" w14:textId="3777D95F" w:rsidR="006732AC" w:rsidRPr="004517B1" w:rsidRDefault="00506860" w:rsidP="004F2272">
      <w:pPr>
        <w:pStyle w:val="BodyText"/>
      </w:pPr>
      <w:bookmarkStart w:id="67" w:name="_Hlk87275970"/>
      <w:r>
        <w:t>H</w:t>
      </w:r>
      <w:r w:rsidR="006732AC" w:rsidRPr="004517B1">
        <w:t>ow much funding the justice health service received for this financial year, 2021-22. Has that differed between last year’s budget and the projected funding for this financial year?</w:t>
      </w:r>
      <w:bookmarkEnd w:id="67"/>
    </w:p>
    <w:p w14:paraId="23289317" w14:textId="0BDAE523" w:rsidR="00CB6FA4" w:rsidRPr="004517B1" w:rsidRDefault="006732AC" w:rsidP="004F2272">
      <w:pPr>
        <w:pStyle w:val="BodyText"/>
      </w:pPr>
      <w:r w:rsidRPr="004517B1">
        <w:t xml:space="preserve">Are conversations going on about the number of places being offered in Canberra at universities with the universities themselves? I know that with some of our mental health workforce we rely on graduates here. Do those conversations include discussion of whether there are sufficient clinical placements for people, and how we can assist with </w:t>
      </w:r>
      <w:proofErr w:type="gramStart"/>
      <w:r w:rsidRPr="004517B1">
        <w:t>that.</w:t>
      </w:r>
      <w:proofErr w:type="gramEnd"/>
      <w:r w:rsidRPr="004517B1">
        <w:t xml:space="preserve"> </w:t>
      </w:r>
    </w:p>
    <w:p w14:paraId="547DE523" w14:textId="3FDBDAF0" w:rsidR="00CB6FA4" w:rsidRPr="004517B1" w:rsidRDefault="00BD5274" w:rsidP="00CB6FA4">
      <w:pPr>
        <w:pStyle w:val="BodyText"/>
      </w:pPr>
      <w:r>
        <w:t>There are two positions: o</w:t>
      </w:r>
      <w:r w:rsidR="00CB6FA4" w:rsidRPr="004517B1">
        <w:t>ne is the mental health coordinator and the other is the Chief Psychiatrist. Can you explain the difference between those roles and who has overarching responsibility for feeding back improvements that are needed to the system?</w:t>
      </w:r>
    </w:p>
    <w:p w14:paraId="4EAD9196" w14:textId="3F632FAB" w:rsidR="00CB6FA4" w:rsidRPr="004517B1" w:rsidRDefault="00CB6FA4" w:rsidP="00CB6FA4">
      <w:pPr>
        <w:pStyle w:val="BodyText"/>
      </w:pPr>
      <w:r w:rsidRPr="004517B1">
        <w:t xml:space="preserve">If there are carers, consumers or family of people who have either suffered and passed away or are currently suffering, and there is a belief that the system is not working, who do they go to? Is there an official complaints </w:t>
      </w:r>
      <w:proofErr w:type="gramStart"/>
      <w:r w:rsidRPr="004517B1">
        <w:t>process</w:t>
      </w:r>
      <w:r w:rsidR="008B2761">
        <w:t>.</w:t>
      </w:r>
      <w:proofErr w:type="gramEnd"/>
    </w:p>
    <w:p w14:paraId="00B6B5D7" w14:textId="3AC22387" w:rsidR="00CB6FA4" w:rsidRPr="004517B1" w:rsidRDefault="00CB6FA4" w:rsidP="00CB6FA4">
      <w:pPr>
        <w:pStyle w:val="BodyText"/>
      </w:pPr>
      <w:r w:rsidRPr="004517B1">
        <w:t>Winnunga Nimmityjah Aboriginal Health and Community Services at the AMC</w:t>
      </w:r>
      <w:r w:rsidR="00BD5274">
        <w:t xml:space="preserve"> has an important role</w:t>
      </w:r>
      <w:r w:rsidRPr="004517B1">
        <w:t xml:space="preserve">.  </w:t>
      </w:r>
      <w:r w:rsidR="00BD5274">
        <w:t>T</w:t>
      </w:r>
      <w:r w:rsidRPr="004517B1">
        <w:t xml:space="preserve">he budget </w:t>
      </w:r>
      <w:r w:rsidR="00BD5274">
        <w:t xml:space="preserve">has </w:t>
      </w:r>
      <w:r w:rsidRPr="004517B1">
        <w:t xml:space="preserve">a funding allocation of $2,314,000 for the 2021-22 year, but nothing budgeted for the forward years. </w:t>
      </w:r>
      <w:r w:rsidR="00BD5274">
        <w:t xml:space="preserve">Is </w:t>
      </w:r>
      <w:r w:rsidRPr="004517B1">
        <w:t xml:space="preserve">that </w:t>
      </w:r>
      <w:r w:rsidR="00506860" w:rsidRPr="004517B1">
        <w:t>being</w:t>
      </w:r>
      <w:r w:rsidRPr="004517B1">
        <w:t xml:space="preserve"> additional COVID-related funding in this </w:t>
      </w:r>
      <w:proofErr w:type="gramStart"/>
      <w:r w:rsidRPr="004517B1">
        <w:t>particular budget</w:t>
      </w:r>
      <w:proofErr w:type="gramEnd"/>
      <w:r w:rsidRPr="004517B1">
        <w:t xml:space="preserve">. </w:t>
      </w:r>
    </w:p>
    <w:p w14:paraId="17A66771" w14:textId="79220765" w:rsidR="00CB6FA4" w:rsidRPr="006F382E" w:rsidRDefault="00BD5274" w:rsidP="00CB6FA4">
      <w:pPr>
        <w:pStyle w:val="BodyText"/>
      </w:pPr>
      <w:r w:rsidRPr="006F382E">
        <w:t xml:space="preserve">In relation to </w:t>
      </w:r>
      <w:r w:rsidR="00CB6FA4" w:rsidRPr="006F382E">
        <w:t xml:space="preserve">additional funding going to Winnunga. Part of that additional funding is enabling Winnunga to see more detainees that come through, or that are referred to them. How long does it take for a detainee, after completing paperwork, to begin the service? </w:t>
      </w:r>
    </w:p>
    <w:p w14:paraId="20D170D8" w14:textId="48A0DA85" w:rsidR="00CB6FA4" w:rsidRPr="004517B1" w:rsidRDefault="00CB6FA4" w:rsidP="00CB6FA4">
      <w:pPr>
        <w:pStyle w:val="BodyText"/>
      </w:pPr>
      <w:r w:rsidRPr="004517B1">
        <w:t xml:space="preserve"> What is the plan with the easing of </w:t>
      </w:r>
      <w:r w:rsidR="00860D45">
        <w:t xml:space="preserve">Lockdown </w:t>
      </w:r>
      <w:r w:rsidRPr="004517B1">
        <w:t>restrictions this time and returning to allowing visitors to the mental health facilities that we have?</w:t>
      </w:r>
    </w:p>
    <w:p w14:paraId="44DBD4DA" w14:textId="44C1D1CC" w:rsidR="003973E9" w:rsidRDefault="00FE5AED" w:rsidP="003973E9">
      <w:pPr>
        <w:pStyle w:val="Heading3"/>
      </w:pPr>
      <w:bookmarkStart w:id="68" w:name="_Toc87607413"/>
      <w:r>
        <w:t xml:space="preserve">Responses </w:t>
      </w:r>
      <w:r w:rsidR="003973E9">
        <w:t>to the Committee from the Min</w:t>
      </w:r>
      <w:r w:rsidR="00377254">
        <w:t>i</w:t>
      </w:r>
      <w:r w:rsidR="003973E9">
        <w:t>ster and Officials</w:t>
      </w:r>
      <w:bookmarkEnd w:id="68"/>
      <w:r w:rsidR="003973E9">
        <w:t xml:space="preserve"> </w:t>
      </w:r>
    </w:p>
    <w:p w14:paraId="5A9A5068" w14:textId="4974D737" w:rsidR="00CB6FA4" w:rsidRDefault="00CB6FA4" w:rsidP="00CB6FA4">
      <w:pPr>
        <w:pStyle w:val="BodyText"/>
      </w:pPr>
      <w:r w:rsidRPr="008E6312">
        <w:rPr>
          <w:b/>
          <w:bCs/>
          <w:i/>
          <w:iCs/>
        </w:rPr>
        <w:t>AMC</w:t>
      </w:r>
      <w:r>
        <w:t xml:space="preserve"> - On an average day, they would see current detainees who require their services, whether that be for medication rounding, or dosing for methadone or Buvidal. They take on any new inductions, as part of their assessments of </w:t>
      </w:r>
      <w:proofErr w:type="gramStart"/>
      <w:r>
        <w:t>whether or not</w:t>
      </w:r>
      <w:proofErr w:type="gramEnd"/>
      <w:r>
        <w:t xml:space="preserve"> they require their services, as well as any new referrals. They assess and triage those </w:t>
      </w:r>
      <w:r w:rsidR="00506860">
        <w:t>referrals,</w:t>
      </w:r>
      <w:r>
        <w:t xml:space="preserve"> and, on average, they receive about two additional referrals each week. There is no current waitlist to be seen by the ADS team. They work in conjunction to provide that care in a holistic way, as I mentioned, with the rest of the MDT</w:t>
      </w:r>
    </w:p>
    <w:p w14:paraId="30055772" w14:textId="6B3705B8" w:rsidR="008E6312" w:rsidRDefault="00FE1BFC" w:rsidP="008E6312">
      <w:pPr>
        <w:pStyle w:val="BodyText"/>
      </w:pPr>
      <w:r>
        <w:t xml:space="preserve">There is a </w:t>
      </w:r>
      <w:r w:rsidR="008E6312">
        <w:t xml:space="preserve">completed pilot Quit program in partnership with Corrective Services. We had 15 participants go through that program—11 males and four females. That program occurred over a 12-week time frame, assisting those participants to cease </w:t>
      </w:r>
      <w:r w:rsidR="00506860">
        <w:t>smoking. There</w:t>
      </w:r>
      <w:r>
        <w:t xml:space="preserve"> is </w:t>
      </w:r>
      <w:r w:rsidR="008E6312">
        <w:t xml:space="preserve">some work underway </w:t>
      </w:r>
      <w:proofErr w:type="gramStart"/>
      <w:r w:rsidR="008E6312">
        <w:t>at the moment</w:t>
      </w:r>
      <w:proofErr w:type="gramEnd"/>
      <w:r w:rsidR="008E6312">
        <w:t xml:space="preserve"> with those participants to evaluate the effectiveness of the program and any feedback that they might have to help guide future work in that area.</w:t>
      </w:r>
    </w:p>
    <w:p w14:paraId="149EEC29" w14:textId="24A93B3C" w:rsidR="008E6312" w:rsidRDefault="008E6312" w:rsidP="008E6312">
      <w:pPr>
        <w:pStyle w:val="BodyText"/>
      </w:pPr>
      <w:r w:rsidRPr="008E6312">
        <w:rPr>
          <w:b/>
          <w:bCs/>
          <w:i/>
          <w:iCs/>
        </w:rPr>
        <w:t>Hume Centre</w:t>
      </w:r>
      <w:r>
        <w:rPr>
          <w:b/>
          <w:bCs/>
          <w:i/>
          <w:iCs/>
        </w:rPr>
        <w:t xml:space="preserve"> - </w:t>
      </w:r>
      <w:r>
        <w:t xml:space="preserve">The team work collaboratively with corrections </w:t>
      </w:r>
      <w:r w:rsidR="00FE1BFC">
        <w:t xml:space="preserve">for </w:t>
      </w:r>
      <w:r>
        <w:t>the effective use of those spaces, based on the demands of the detainees and their healthcare needs. There has been a lot of work this year with both the justice health team and corrections to identify any risks around space. They have completed appropriate risk assessments and identified for each location what mitigations may need to be supplied or provided to ensure that there can be safe delivery of care in those environments.</w:t>
      </w:r>
    </w:p>
    <w:p w14:paraId="014FD957" w14:textId="1417B992" w:rsidR="008E6312" w:rsidRDefault="008E6312" w:rsidP="008E6312">
      <w:pPr>
        <w:pStyle w:val="BodyText"/>
      </w:pPr>
      <w:r w:rsidRPr="008E6312">
        <w:rPr>
          <w:b/>
          <w:bCs/>
          <w:i/>
          <w:iCs/>
        </w:rPr>
        <w:t>Mindmap</w:t>
      </w:r>
      <w:r>
        <w:t xml:space="preserve"> – Mindmap was commissioned with Marymead, who are the successful procurement operator.  It has two functions. One is to give children and young people the ability to look for services that they think they need </w:t>
      </w:r>
      <w:proofErr w:type="gramStart"/>
      <w:r>
        <w:t>and also</w:t>
      </w:r>
      <w:proofErr w:type="gramEnd"/>
      <w:r>
        <w:t xml:space="preserve"> for parents and carers to see the number of services available. When the children and young persons review </w:t>
      </w:r>
      <w:r w:rsidR="00FE1BFC">
        <w:t xml:space="preserve">was </w:t>
      </w:r>
      <w:proofErr w:type="gramStart"/>
      <w:r w:rsidR="00FE1BFC">
        <w:t>done</w:t>
      </w:r>
      <w:proofErr w:type="gramEnd"/>
      <w:r w:rsidR="00FE1BFC">
        <w:t xml:space="preserve"> </w:t>
      </w:r>
      <w:r>
        <w:t xml:space="preserve">we found that there were over 176 services in the ACT for various service needs for children and young </w:t>
      </w:r>
      <w:r w:rsidR="00506860">
        <w:t>people,</w:t>
      </w:r>
      <w:r>
        <w:t xml:space="preserve"> but people were not aware of them. The second part of MindMap is that, as the </w:t>
      </w:r>
      <w:r w:rsidR="00506860">
        <w:t>M</w:t>
      </w:r>
      <w:r>
        <w:t xml:space="preserve">inister said, there are navigators. These are both non-clinical and clinical navigators to help the young person, if they so wish, to support them whilst they find a particular service. </w:t>
      </w:r>
    </w:p>
    <w:p w14:paraId="572F38C0" w14:textId="26812D4E" w:rsidR="008E6312" w:rsidRDefault="008E6312" w:rsidP="008E6312">
      <w:pPr>
        <w:pStyle w:val="BodyText"/>
      </w:pPr>
      <w:r>
        <w:t xml:space="preserve">There are </w:t>
      </w:r>
      <w:proofErr w:type="gramStart"/>
      <w:r>
        <w:t>actually a</w:t>
      </w:r>
      <w:proofErr w:type="gramEnd"/>
      <w:r>
        <w:t xml:space="preserve"> lot of digital mental health strategies as </w:t>
      </w:r>
      <w:r w:rsidR="00506860">
        <w:t>well, that</w:t>
      </w:r>
      <w:r>
        <w:t xml:space="preserve"> people are unaware of. So eMental Health, RACGP, is the overarching digital platform from the commonwealth and there are many individual apps and websites for young people. The ones </w:t>
      </w:r>
      <w:r w:rsidR="00FE1BFC">
        <w:t>recommended a</w:t>
      </w:r>
      <w:r>
        <w:t xml:space="preserve">re things like ReachOut and Emerging Minds, which is one </w:t>
      </w:r>
      <w:r w:rsidR="00FE1BFC">
        <w:t xml:space="preserve">a </w:t>
      </w:r>
      <w:r w:rsidR="00506860">
        <w:t>locally based website</w:t>
      </w:r>
      <w:r>
        <w:t>.  Many young people have said that perhaps in the first instance they do not want to speak to anybody. They always have an option to speak to a clinical navigator or a non-clinical navigator. But many young people have said, “No, we want to actually learn more about what we are going through, actually define it, and define it for our friends as well.”</w:t>
      </w:r>
    </w:p>
    <w:p w14:paraId="3A37C36B" w14:textId="77777777" w:rsidR="008E6312" w:rsidRDefault="008E6312" w:rsidP="008E6312">
      <w:pPr>
        <w:pStyle w:val="BodyText"/>
      </w:pPr>
      <w:r>
        <w:t xml:space="preserve">The young people were very clear that they </w:t>
      </w:r>
      <w:proofErr w:type="gramStart"/>
      <w:r>
        <w:t>actually wanted</w:t>
      </w:r>
      <w:proofErr w:type="gramEnd"/>
      <w:r>
        <w:t xml:space="preserve"> it a little like internet shopping. You put in your various things: you are 12 and you have anxiety and depression. What is most likely to be best for you? It was a bit like internet shopping. “I want a pair of shoes, women’s size 6, red.” It was very much a similar concept. They did not want to have no way of navigating the system.</w:t>
      </w:r>
    </w:p>
    <w:p w14:paraId="0366774C" w14:textId="021D1A6B" w:rsidR="00954D3A" w:rsidRDefault="00954D3A" w:rsidP="00954D3A">
      <w:pPr>
        <w:pStyle w:val="BodyText"/>
      </w:pPr>
      <w:r>
        <w:t xml:space="preserve">Young people wanted options for the best point of entry. They can already go to websites like ReachOut or Emerging Minds, but </w:t>
      </w:r>
      <w:proofErr w:type="gramStart"/>
      <w:r>
        <w:t>actually what</w:t>
      </w:r>
      <w:proofErr w:type="gramEnd"/>
      <w:r>
        <w:t xml:space="preserve"> they wanted was what was available in the ACT in terms of services. The </w:t>
      </w:r>
      <w:r w:rsidR="00FE1BFC">
        <w:t>C</w:t>
      </w:r>
      <w:r>
        <w:t xml:space="preserve">ommonwealth are looking very closely at MindMap because they are wanting to do a HeadtoHelp for young people as well. It has been a confusing area. The option there with MindMap is go to MindMap and </w:t>
      </w:r>
      <w:proofErr w:type="gramStart"/>
      <w:r>
        <w:t>actually see</w:t>
      </w:r>
      <w:proofErr w:type="gramEnd"/>
      <w:r>
        <w:t xml:space="preserve"> what is available for you in the ACT.</w:t>
      </w:r>
    </w:p>
    <w:p w14:paraId="74C0EF50" w14:textId="10F685F5" w:rsidR="00954D3A" w:rsidRDefault="00954D3A" w:rsidP="00954D3A">
      <w:pPr>
        <w:pStyle w:val="BodyText"/>
      </w:pPr>
      <w:r>
        <w:t xml:space="preserve">It is multi-strategy. We have the children and young </w:t>
      </w:r>
      <w:r w:rsidR="00506860">
        <w:t>person’s</w:t>
      </w:r>
      <w:r>
        <w:t xml:space="preserve"> community of practice very heavily involved. We have also a media campaign going out to promote MindMap. We have had the education department closely involved and they are sending out details of MindMap to children and to parents. It is multi-strategy. Marymead have also included some very innovative things. The Canberra Rocks that people are going to find has MindMap on it.</w:t>
      </w:r>
    </w:p>
    <w:p w14:paraId="02F4EA29" w14:textId="74DD135D" w:rsidR="00954D3A" w:rsidRDefault="00954D3A" w:rsidP="00954D3A">
      <w:pPr>
        <w:pStyle w:val="BodyText"/>
      </w:pPr>
      <w:r>
        <w:t>Clinicians are part of community of practice, and the community of practice was part of this as well</w:t>
      </w:r>
    </w:p>
    <w:p w14:paraId="78C2215A" w14:textId="5509E588" w:rsidR="00954D3A" w:rsidRDefault="00954D3A" w:rsidP="00954D3A">
      <w:pPr>
        <w:pStyle w:val="BodyText"/>
      </w:pPr>
      <w:r w:rsidRPr="00954D3A">
        <w:rPr>
          <w:b/>
          <w:bCs/>
          <w:i/>
          <w:iCs/>
        </w:rPr>
        <w:t>Mental Health Presentations</w:t>
      </w:r>
      <w:r>
        <w:t xml:space="preserve"> - sustained increase in demand</w:t>
      </w:r>
      <w:r w:rsidR="00FE1BFC">
        <w:t xml:space="preserve"> has </w:t>
      </w:r>
      <w:r w:rsidR="00506860">
        <w:t>been</w:t>
      </w:r>
      <w:r w:rsidR="00FE1BFC">
        <w:t xml:space="preserve"> </w:t>
      </w:r>
      <w:r w:rsidR="00506860">
        <w:t xml:space="preserve">in </w:t>
      </w:r>
      <w:proofErr w:type="gramStart"/>
      <w:r w:rsidR="00506860">
        <w:t>evidence</w:t>
      </w:r>
      <w:r w:rsidR="00FE1BFC">
        <w:t xml:space="preserve"> </w:t>
      </w:r>
      <w:r>
        <w:t xml:space="preserve"> over</w:t>
      </w:r>
      <w:proofErr w:type="gramEnd"/>
      <w:r>
        <w:t xml:space="preserve"> a long period. </w:t>
      </w:r>
      <w:r w:rsidR="00FE1BFC">
        <w:t>T</w:t>
      </w:r>
      <w:r>
        <w:t xml:space="preserve">hroughout COVID we have seen a reduction or plateau in emergency presentations, and that has been the same for our mental health acute inpatient demand as well. </w:t>
      </w:r>
    </w:p>
    <w:p w14:paraId="24BCF5C5" w14:textId="3D6FF442" w:rsidR="00954D3A" w:rsidRDefault="00FE1BFC" w:rsidP="00954D3A">
      <w:pPr>
        <w:pStyle w:val="BodyText"/>
      </w:pPr>
      <w:r>
        <w:t>O</w:t>
      </w:r>
      <w:r w:rsidR="00954D3A">
        <w:t xml:space="preserve">ver the more recent period is quite a reduction in our very long waits in the emergency department. However, there is still an ongoing increase in occupancy and our inpatient units, an increase in bed days year on year. An average length of stay has increased, which </w:t>
      </w:r>
      <w:proofErr w:type="gramStart"/>
      <w:r w:rsidR="00954D3A">
        <w:t>actually is</w:t>
      </w:r>
      <w:proofErr w:type="gramEnd"/>
      <w:r w:rsidR="00954D3A">
        <w:t xml:space="preserve"> a good thing in this environment</w:t>
      </w:r>
      <w:r w:rsidR="0089353E">
        <w:t>. H</w:t>
      </w:r>
      <w:r w:rsidR="00954D3A">
        <w:t xml:space="preserve">istorically, the pressure has been so significant on inpatient units that we have seen </w:t>
      </w:r>
      <w:proofErr w:type="gramStart"/>
      <w:r w:rsidR="00954D3A">
        <w:t>actually a</w:t>
      </w:r>
      <w:proofErr w:type="gramEnd"/>
      <w:r w:rsidR="00954D3A">
        <w:t xml:space="preserve"> reduction in length of stay—not to an unsafe rate, because we have not seen that change in terms of the re-presentation rate. We have not seen any deterioration in that number.</w:t>
      </w:r>
    </w:p>
    <w:p w14:paraId="395C1431" w14:textId="7D611157" w:rsidR="00954D3A" w:rsidRDefault="0089353E" w:rsidP="00954D3A">
      <w:pPr>
        <w:pStyle w:val="BodyText"/>
      </w:pPr>
      <w:r>
        <w:t>M</w:t>
      </w:r>
      <w:r w:rsidR="00954D3A">
        <w:t>ore needs to be done to drive performance within the system, but I caution against thinking about it as an emergency department problem; it is not. It is a system-wide effort that is required to support patient flow</w:t>
      </w:r>
      <w:r>
        <w:t xml:space="preserve">. </w:t>
      </w:r>
      <w:r w:rsidR="00954D3A">
        <w:t xml:space="preserve"> </w:t>
      </w:r>
      <w:r>
        <w:t>E</w:t>
      </w:r>
      <w:r w:rsidR="00954D3A">
        <w:t>mergen</w:t>
      </w:r>
      <w:r>
        <w:t>cy</w:t>
      </w:r>
      <w:r w:rsidR="00954D3A">
        <w:t xml:space="preserve"> patients presenting</w:t>
      </w:r>
      <w:r>
        <w:t xml:space="preserve"> have responses which are </w:t>
      </w:r>
      <w:r w:rsidR="00954D3A">
        <w:t>.</w:t>
      </w:r>
      <w:r>
        <w:t>1</w:t>
      </w:r>
      <w:r w:rsidR="00954D3A">
        <w:t xml:space="preserve">00 per cent of them are seen within a clinically recommended time frame. </w:t>
      </w:r>
      <w:r>
        <w:t>m</w:t>
      </w:r>
      <w:r w:rsidR="00954D3A">
        <w:t>ov</w:t>
      </w:r>
      <w:r>
        <w:t>ing</w:t>
      </w:r>
      <w:r w:rsidR="00954D3A">
        <w:t xml:space="preserve"> through to lower acuity categories of patients presenting, work </w:t>
      </w:r>
      <w:r>
        <w:t xml:space="preserve">is required </w:t>
      </w:r>
      <w:r w:rsidR="00954D3A">
        <w:t>to bring up those numbers</w:t>
      </w:r>
    </w:p>
    <w:p w14:paraId="0D1AEFB6" w14:textId="1A51E455" w:rsidR="00954D3A" w:rsidRDefault="00954D3A" w:rsidP="00954D3A">
      <w:pPr>
        <w:pStyle w:val="BodyText"/>
      </w:pPr>
      <w:r w:rsidRPr="00954D3A">
        <w:rPr>
          <w:b/>
          <w:bCs/>
          <w:i/>
          <w:iCs/>
        </w:rPr>
        <w:t>Justice Health and Corrections</w:t>
      </w:r>
      <w:r>
        <w:t xml:space="preserve"> </w:t>
      </w:r>
      <w:r w:rsidR="00E31074">
        <w:t>–</w:t>
      </w:r>
      <w:r>
        <w:t xml:space="preserve"> </w:t>
      </w:r>
      <w:proofErr w:type="gramStart"/>
      <w:r w:rsidR="00E31074">
        <w:t xml:space="preserve">The </w:t>
      </w:r>
      <w:r>
        <w:t xml:space="preserve"> justice</w:t>
      </w:r>
      <w:proofErr w:type="gramEnd"/>
      <w:r>
        <w:t xml:space="preserve"> health team have clinical and corporate governance structures, and corrections have their own governance structures. The teams also have a shared meeting where they come together to discuss key issues from either party and ensure that both parties are aware of the consequences for their respective services as a result. Any of those issues are then escalated through our MHJHADS clinical governance committee—the Mental Health, Justice Health and Alcohol and Drug Services governance committee—from a health perspective. That has multidisciplinary representation in terms of all our operational and clinical directors as well.  From there, we can appropriately escalate to the relevant forum and advocate as needed. Equally, those resolutions can go back down the team and </w:t>
      </w:r>
      <w:r w:rsidR="00506860">
        <w:t>feedback</w:t>
      </w:r>
      <w:r>
        <w:t xml:space="preserve"> what we are doing at organisational levels to support in that frame. </w:t>
      </w:r>
    </w:p>
    <w:p w14:paraId="62A845C5" w14:textId="77777777" w:rsidR="00F336AA" w:rsidRDefault="00F336AA" w:rsidP="00F336AA">
      <w:pPr>
        <w:pStyle w:val="BodyText"/>
      </w:pPr>
      <w:r>
        <w:t>In the AMC environment the team continued to record any occasions of service, and we will continue to do that, ongoing. They also record any referrals to the team, based on triage categories, and they monitor that closely and will continue to do that. From a mental health perspective in that environment, anyone who needs urgent follow-up receives it immediately, or within two hours, and those targets are certainly met.</w:t>
      </w:r>
    </w:p>
    <w:p w14:paraId="71C39F44" w14:textId="77777777" w:rsidR="00F336AA" w:rsidRDefault="00F336AA" w:rsidP="00F336AA">
      <w:pPr>
        <w:pStyle w:val="BodyText"/>
        <w:numPr>
          <w:ilvl w:val="0"/>
          <w:numId w:val="0"/>
        </w:numPr>
        <w:ind w:left="720"/>
      </w:pPr>
      <w:r>
        <w:t xml:space="preserve">Some of the other key targets we are retaining in these metrics are things like physical health assessments in AMC within 24 hours. </w:t>
      </w:r>
      <w:proofErr w:type="gramStart"/>
      <w:r>
        <w:t>At the moment</w:t>
      </w:r>
      <w:proofErr w:type="gramEnd"/>
      <w:r>
        <w:t xml:space="preserve">, we achieve 100 per cent of that target. That is </w:t>
      </w:r>
      <w:proofErr w:type="gramStart"/>
      <w:r>
        <w:t>really important</w:t>
      </w:r>
      <w:proofErr w:type="gramEnd"/>
      <w:r>
        <w:t xml:space="preserve"> when we look at the whole person and their whole physical and mental health care. </w:t>
      </w:r>
    </w:p>
    <w:p w14:paraId="13592303" w14:textId="30B5875B" w:rsidR="00F336AA" w:rsidRDefault="00F336AA" w:rsidP="00AC7621">
      <w:pPr>
        <w:pStyle w:val="BodyText"/>
      </w:pPr>
      <w:proofErr w:type="gramStart"/>
      <w:r w:rsidRPr="00F336AA">
        <w:rPr>
          <w:b/>
          <w:bCs/>
          <w:i/>
          <w:iCs/>
        </w:rPr>
        <w:t>Safe Haven</w:t>
      </w:r>
      <w:proofErr w:type="gramEnd"/>
      <w:r w:rsidRPr="00F336AA">
        <w:rPr>
          <w:b/>
          <w:bCs/>
          <w:i/>
          <w:iCs/>
        </w:rPr>
        <w:t xml:space="preserve"> Café</w:t>
      </w:r>
      <w:r>
        <w:t xml:space="preserve"> - The initial plan was to pilot two Safe Haven Cafes, but the master planning process for the Canberra Hospital expansion is being progressed, and consideration for a hospital-based Safe Haven Cafe will progress as part of that plan.</w:t>
      </w:r>
      <w:r w:rsidRPr="00F336AA">
        <w:t xml:space="preserve"> </w:t>
      </w:r>
      <w:r>
        <w:t xml:space="preserve"> In terms of the location at Belconnen, we have a very engaged governance committee with local service providers and people with lived experience. The decision was made to base it in the Belconnen region. It has the advantage of the growing population in Belconnen, access to the Gungahlin areas, relative proximity to the inner north and city areas, being close to the community health centre there, and being supported by </w:t>
      </w:r>
      <w:proofErr w:type="gramStart"/>
      <w:r>
        <w:t>all of</w:t>
      </w:r>
      <w:proofErr w:type="gramEnd"/>
      <w:r>
        <w:t xml:space="preserve"> the stakeholders through the governance considerations. </w:t>
      </w:r>
    </w:p>
    <w:p w14:paraId="76F582DF" w14:textId="24D838DD" w:rsidR="00F336AA" w:rsidRDefault="00AC7621" w:rsidP="00F336AA">
      <w:pPr>
        <w:pStyle w:val="BodyText"/>
      </w:pPr>
      <w:r>
        <w:t>Location of a Safe Haven Cafe on the hospital site is being considered and will be advanced in the Canberra Hospital expansion project. We are currently working with Canberra Health Services and Major Projects Canberra to bed down exactly where that will be. We are looking at somewhere that is close to the emergency department, not too far away from the emergency department.</w:t>
      </w:r>
    </w:p>
    <w:p w14:paraId="3B5357BB" w14:textId="31BA9B35" w:rsidR="00685B28" w:rsidRDefault="00685B28" w:rsidP="00685B28">
      <w:pPr>
        <w:pStyle w:val="BodyText"/>
      </w:pPr>
      <w:r w:rsidRPr="00685B28">
        <w:rPr>
          <w:b/>
          <w:bCs/>
          <w:i/>
          <w:iCs/>
        </w:rPr>
        <w:t>Dhulwa death</w:t>
      </w:r>
      <w:r>
        <w:t xml:space="preserve"> - this was the first death of a consumer in the Dhulwa mental health service. To reiterate what </w:t>
      </w:r>
      <w:r w:rsidR="00E31074">
        <w:t xml:space="preserve">was </w:t>
      </w:r>
      <w:r>
        <w:t xml:space="preserve">said in terms of referral through to the CRC and to the morbidity and mortality committee, that happens as a matter of course.  One thing to note in this situation is that the person was detained under the Mental Health Act, so there would be a process review that would involve the office of the Chief Psychiatrist. We would look to work very collaboratively with them. The other thing I want to mention, in order to bring completeness to the discussion, is that a significant part </w:t>
      </w:r>
      <w:proofErr w:type="gramStart"/>
      <w:r>
        <w:t>of  work</w:t>
      </w:r>
      <w:proofErr w:type="gramEnd"/>
      <w:r>
        <w:t xml:space="preserve"> was to ensure that support was offered to the family of the deceased person and to the staff involved, both staff who worked on the unit at the time and knew the client there, and staff who had worked with this particular </w:t>
      </w:r>
      <w:r w:rsidR="00E31074">
        <w:t>person.</w:t>
      </w:r>
    </w:p>
    <w:p w14:paraId="1A5939E1" w14:textId="12C303D4" w:rsidR="00685B28" w:rsidRDefault="00685B28" w:rsidP="00685B28">
      <w:pPr>
        <w:pStyle w:val="BodyText"/>
      </w:pPr>
      <w:r w:rsidRPr="00685B28">
        <w:rPr>
          <w:b/>
          <w:bCs/>
          <w:i/>
          <w:iCs/>
        </w:rPr>
        <w:t>Access to support for first-time mental health issues</w:t>
      </w:r>
      <w:r>
        <w:t xml:space="preserve"> - In terms of a broader mental health focus for people that may not identify that they do require some help, part of that is around mental health promotion per se and joining with the commonwealth in “It’s okay not to be okay” type promotions. </w:t>
      </w:r>
      <w:r w:rsidR="00E31074">
        <w:t xml:space="preserve">There are also </w:t>
      </w:r>
      <w:r>
        <w:t>different ways of accessing people. Not everybody will access social media. Not everybody will look at television advertisements. What we have done with MIEACT—and we did this during the first lockdown—is to produce a pack around anxiety and around depression and self</w:t>
      </w:r>
      <w:r>
        <w:noBreakHyphen/>
        <w:t>care. We used part of our communications allocation in the last mental health support package.</w:t>
      </w:r>
    </w:p>
    <w:p w14:paraId="1B116879" w14:textId="6C9E7D97" w:rsidR="004517B1" w:rsidRDefault="00C25CEB" w:rsidP="004517B1">
      <w:pPr>
        <w:pStyle w:val="BodyText"/>
        <w:numPr>
          <w:ilvl w:val="0"/>
          <w:numId w:val="0"/>
        </w:numPr>
        <w:ind w:left="720" w:hanging="360"/>
      </w:pPr>
      <w:r w:rsidRPr="00C25CEB">
        <w:rPr>
          <w:b/>
          <w:bCs/>
          <w:i/>
          <w:iCs/>
        </w:rPr>
        <w:t>Chief Psychiatrist and The Coordinator-</w:t>
      </w:r>
      <w:proofErr w:type="gramStart"/>
      <w:r w:rsidRPr="00C25CEB">
        <w:rPr>
          <w:b/>
          <w:bCs/>
          <w:i/>
          <w:iCs/>
        </w:rPr>
        <w:t>General</w:t>
      </w:r>
      <w:r>
        <w:t xml:space="preserve">  -</w:t>
      </w:r>
      <w:proofErr w:type="gramEnd"/>
      <w:r>
        <w:t xml:space="preserve"> for the Office for Mental Health  and Wellbeing has a lead role in looking at system architecture, improvements in the system, and looking at the whole of system. That means </w:t>
      </w:r>
      <w:proofErr w:type="gramStart"/>
      <w:r>
        <w:t>actually ensuring</w:t>
      </w:r>
      <w:proofErr w:type="gramEnd"/>
      <w:r>
        <w:t xml:space="preserve"> that there is a mental health wellbeing lens across government. This has been helped enormously by the ACT government adopting a wellbeing framework.</w:t>
      </w:r>
      <w:r w:rsidR="004517B1">
        <w:t xml:space="preserve"> Particularly, </w:t>
      </w:r>
      <w:r w:rsidR="00E31074">
        <w:t>a</w:t>
      </w:r>
      <w:r w:rsidR="004517B1">
        <w:t xml:space="preserve"> first work plan looked at mentally healthy community and workplaces, and suicide prevention as a multi-strategy process; then supporting people through their mental health journey, and that is supporting people and their carers. That may be family and carers separately.</w:t>
      </w:r>
    </w:p>
    <w:p w14:paraId="5B1F5E87" w14:textId="22A8892E" w:rsidR="004517B1" w:rsidRDefault="00C25CEB" w:rsidP="004517B1">
      <w:pPr>
        <w:pStyle w:val="BodyText"/>
      </w:pPr>
      <w:r>
        <w:t xml:space="preserve"> </w:t>
      </w:r>
      <w:r w:rsidR="004517B1" w:rsidRPr="004517B1">
        <w:rPr>
          <w:b/>
          <w:bCs/>
          <w:i/>
          <w:iCs/>
        </w:rPr>
        <w:t>Winnunga</w:t>
      </w:r>
      <w:r w:rsidR="004517B1">
        <w:t xml:space="preserve"> - With respect to the additional funding that is being provided to Winnunga, for example, the additional funding that was provided in the mental health package was to enable more mental wellbeing checks to happen with people who are in the AMC during lockdown—understanding that tensions might </w:t>
      </w:r>
      <w:r w:rsidR="00506860">
        <w:t>increase,</w:t>
      </w:r>
      <w:r w:rsidR="004517B1">
        <w:t xml:space="preserve"> and people might be struggling a little bit more than they would otherwise. From January 2019 to 27 September 2021, 90 clients have had their health transferred to Winnunga. As the minister has advised, that is a continuum as well. People often change their mind in terms of where they want to receive their service. Our primary health service team will re-ask the question later in someone’s </w:t>
      </w:r>
      <w:r w:rsidR="00506860">
        <w:t>journey if</w:t>
      </w:r>
      <w:r w:rsidR="004517B1">
        <w:t xml:space="preserve"> they would like to be transferred </w:t>
      </w:r>
      <w:proofErr w:type="gramStart"/>
      <w:r w:rsidR="004517B1">
        <w:t>at a later date</w:t>
      </w:r>
      <w:proofErr w:type="gramEnd"/>
      <w:r w:rsidR="004517B1">
        <w:t xml:space="preserve">. </w:t>
      </w:r>
    </w:p>
    <w:p w14:paraId="36A49117" w14:textId="77777777" w:rsidR="004517B1" w:rsidRDefault="004517B1" w:rsidP="004517B1">
      <w:pPr>
        <w:pStyle w:val="BodyText"/>
      </w:pPr>
      <w:r>
        <w:t xml:space="preserve">Currently, 21 clients are being received by Winnunga. That is either a combination of Winnunga owning the care or sometimes there is a shared care model between Winnunga and justice health, depending on the type of health services Winnunga </w:t>
      </w:r>
      <w:proofErr w:type="gramStart"/>
      <w:r>
        <w:t>are able to</w:t>
      </w:r>
      <w:proofErr w:type="gramEnd"/>
      <w:r>
        <w:t xml:space="preserve"> provide, and the acute services that are available at AMC as well.</w:t>
      </w:r>
    </w:p>
    <w:p w14:paraId="004F9550" w14:textId="23D5862F" w:rsidR="000D6B0B" w:rsidRDefault="000D6B0B" w:rsidP="000D6B0B">
      <w:pPr>
        <w:pStyle w:val="RecommendationHeading"/>
        <w:keepNext/>
      </w:pPr>
      <w:bookmarkStart w:id="69" w:name="_Toc87607639"/>
      <w:r>
        <w:t xml:space="preserve">Recommendation </w:t>
      </w:r>
      <w:r w:rsidR="00476792">
        <w:t>6</w:t>
      </w:r>
      <w:bookmarkEnd w:id="69"/>
    </w:p>
    <w:p w14:paraId="081FDD75" w14:textId="1016DD79" w:rsidR="000D6B0B" w:rsidRDefault="000D6B0B" w:rsidP="000D6B0B">
      <w:pPr>
        <w:pStyle w:val="RecommendationText"/>
      </w:pPr>
      <w:bookmarkStart w:id="70" w:name="_Toc87607640"/>
      <w:r>
        <w:t>The Committee recommends that the ACT Government</w:t>
      </w:r>
      <w:r w:rsidR="00323E53">
        <w:t xml:space="preserve"> publish a plan on how it will expand the facilities at the Hume Medical Centre.</w:t>
      </w:r>
      <w:bookmarkEnd w:id="70"/>
    </w:p>
    <w:p w14:paraId="029E26BC" w14:textId="257FBEF3" w:rsidR="00323E53" w:rsidRDefault="00323E53" w:rsidP="008C2DC9">
      <w:pPr>
        <w:pStyle w:val="RecommendationHeading"/>
      </w:pPr>
      <w:bookmarkStart w:id="71" w:name="_Toc87607641"/>
      <w:r>
        <w:t>Recomme</w:t>
      </w:r>
      <w:r w:rsidR="008C2DC9">
        <w:t>nd</w:t>
      </w:r>
      <w:r>
        <w:t>ation</w:t>
      </w:r>
      <w:r w:rsidR="009D2547">
        <w:t xml:space="preserve"> </w:t>
      </w:r>
      <w:r w:rsidR="00476792">
        <w:t>7</w:t>
      </w:r>
      <w:bookmarkEnd w:id="71"/>
    </w:p>
    <w:p w14:paraId="1D73C87D" w14:textId="38E03D06" w:rsidR="00323E53" w:rsidRPr="00323E53" w:rsidRDefault="00323E53" w:rsidP="008C2DC9">
      <w:pPr>
        <w:pStyle w:val="RecommendationText"/>
      </w:pPr>
      <w:bookmarkStart w:id="72" w:name="_Toc87607642"/>
      <w:r>
        <w:t xml:space="preserve">The Committee recommends that the ACT Government </w:t>
      </w:r>
      <w:r w:rsidR="001D4145">
        <w:t xml:space="preserve">continue to investigate </w:t>
      </w:r>
      <w:r w:rsidR="008C2DC9">
        <w:t xml:space="preserve">a needle exchange program </w:t>
      </w:r>
      <w:r w:rsidR="001D4145">
        <w:t>for</w:t>
      </w:r>
      <w:r w:rsidR="008C2DC9">
        <w:t xml:space="preserve"> the AMC.</w:t>
      </w:r>
      <w:bookmarkEnd w:id="72"/>
    </w:p>
    <w:p w14:paraId="61B25BF1" w14:textId="00644F9A" w:rsidR="000D6B0B" w:rsidRDefault="00C018F4" w:rsidP="00476792">
      <w:pPr>
        <w:pStyle w:val="RecommendationHeading"/>
      </w:pPr>
      <w:bookmarkStart w:id="73" w:name="_Toc87607643"/>
      <w:r>
        <w:t>Recommendation</w:t>
      </w:r>
      <w:r w:rsidR="00476792">
        <w:t xml:space="preserve"> 8</w:t>
      </w:r>
      <w:bookmarkEnd w:id="73"/>
    </w:p>
    <w:p w14:paraId="1DE7DED9" w14:textId="38BBC40B" w:rsidR="00C018F4" w:rsidRDefault="00C018F4" w:rsidP="00476792">
      <w:pPr>
        <w:pStyle w:val="RecommendationText"/>
      </w:pPr>
      <w:bookmarkStart w:id="74" w:name="_Toc87607644"/>
      <w:r>
        <w:t xml:space="preserve">The Committee recommends </w:t>
      </w:r>
      <w:r w:rsidR="00476792">
        <w:t>that</w:t>
      </w:r>
      <w:r>
        <w:t xml:space="preserve"> the ACT Government publicly release the role descriptions of the ACT Chief </w:t>
      </w:r>
      <w:r w:rsidR="00476792">
        <w:t>Psychiatrist</w:t>
      </w:r>
      <w:r>
        <w:t xml:space="preserve"> and the Coordinator-General of the Office of Mental Health and Wellbeing.</w:t>
      </w:r>
      <w:bookmarkEnd w:id="74"/>
    </w:p>
    <w:p w14:paraId="2FDA56D1" w14:textId="333D7792" w:rsidR="00C018F4" w:rsidRDefault="00C018F4" w:rsidP="00476792">
      <w:pPr>
        <w:pStyle w:val="RecommendationHeading"/>
      </w:pPr>
      <w:bookmarkStart w:id="75" w:name="_Hlk87525499"/>
      <w:bookmarkStart w:id="76" w:name="_Toc87607645"/>
      <w:r>
        <w:t>Recomme</w:t>
      </w:r>
      <w:r w:rsidR="00476792">
        <w:t>nd</w:t>
      </w:r>
      <w:r>
        <w:t>ation</w:t>
      </w:r>
      <w:r w:rsidR="00476792">
        <w:t xml:space="preserve"> </w:t>
      </w:r>
      <w:r w:rsidR="004825E5">
        <w:t>9</w:t>
      </w:r>
      <w:bookmarkEnd w:id="76"/>
    </w:p>
    <w:p w14:paraId="7175C275" w14:textId="7B130A1F" w:rsidR="00C018F4" w:rsidRDefault="00C018F4" w:rsidP="00476792">
      <w:pPr>
        <w:pStyle w:val="RecommendationText"/>
      </w:pPr>
      <w:bookmarkStart w:id="77" w:name="_Toc87607646"/>
      <w:r>
        <w:t>The Committee recommends that the ACT Government investigate the implementation of a</w:t>
      </w:r>
      <w:r w:rsidR="000A64FE">
        <w:t xml:space="preserve">n updated and improved system to handle and process complaints </w:t>
      </w:r>
      <w:r w:rsidR="006A6A2B">
        <w:t xml:space="preserve">about mental health issues </w:t>
      </w:r>
      <w:r w:rsidR="000A64FE">
        <w:t>and to review the current processes applied in this matter.</w:t>
      </w:r>
      <w:bookmarkEnd w:id="77"/>
    </w:p>
    <w:bookmarkEnd w:id="75"/>
    <w:p w14:paraId="54825D3B" w14:textId="056C02AF" w:rsidR="00377254" w:rsidRDefault="00377254">
      <w:pPr>
        <w:spacing w:before="0" w:after="160" w:line="259" w:lineRule="auto"/>
      </w:pPr>
      <w:r>
        <w:br w:type="page"/>
      </w:r>
    </w:p>
    <w:p w14:paraId="1BAF99CA" w14:textId="7A73B1C1" w:rsidR="00F25118" w:rsidRDefault="00AD4086" w:rsidP="00DE7950">
      <w:pPr>
        <w:pStyle w:val="Heading2"/>
        <w:numPr>
          <w:ilvl w:val="0"/>
          <w:numId w:val="13"/>
        </w:numPr>
        <w:tabs>
          <w:tab w:val="num" w:pos="680"/>
        </w:tabs>
        <w:ind w:left="567" w:hanging="567"/>
      </w:pPr>
      <w:bookmarkStart w:id="78" w:name="_Toc87607414"/>
      <w:bookmarkEnd w:id="41"/>
      <w:r>
        <w:t>C</w:t>
      </w:r>
      <w:r w:rsidR="005C182A">
        <w:t>ommunity Services</w:t>
      </w:r>
      <w:r w:rsidR="003059B9">
        <w:t>;</w:t>
      </w:r>
      <w:r w:rsidR="005C182A">
        <w:t xml:space="preserve"> Homelessness</w:t>
      </w:r>
      <w:r w:rsidR="003059B9">
        <w:t xml:space="preserve"> and </w:t>
      </w:r>
      <w:r w:rsidR="005C182A">
        <w:t xml:space="preserve">Health </w:t>
      </w:r>
      <w:r w:rsidR="00377254">
        <w:t>Hearing</w:t>
      </w:r>
      <w:r w:rsidR="003059B9">
        <w:t>s</w:t>
      </w:r>
      <w:r w:rsidR="00377254">
        <w:t xml:space="preserve"> – 21 October 2021</w:t>
      </w:r>
      <w:bookmarkEnd w:id="78"/>
    </w:p>
    <w:p w14:paraId="72AB85DA" w14:textId="329D67EE" w:rsidR="002F20E2" w:rsidRDefault="00377254" w:rsidP="00F433DA">
      <w:pPr>
        <w:pStyle w:val="BodyText"/>
      </w:pPr>
      <w:r>
        <w:t xml:space="preserve">On 21 October 2021, the Committee conducted hearings with three </w:t>
      </w:r>
      <w:r w:rsidR="006A3AE5">
        <w:t>Ministers</w:t>
      </w:r>
      <w:r>
        <w:t xml:space="preserve"> on three separate areas of the budget estimates </w:t>
      </w:r>
      <w:r w:rsidR="002F20E2">
        <w:t>which come within the Committee’s responsibility.</w:t>
      </w:r>
    </w:p>
    <w:p w14:paraId="44CD3439" w14:textId="71A8A821" w:rsidR="002F20E2" w:rsidRDefault="002F20E2" w:rsidP="00377254">
      <w:pPr>
        <w:pStyle w:val="BodyText"/>
      </w:pPr>
      <w:r>
        <w:t xml:space="preserve">The Areas of inquiry and the </w:t>
      </w:r>
      <w:r w:rsidR="006A3AE5">
        <w:t>Ministers</w:t>
      </w:r>
      <w:r>
        <w:t xml:space="preserve"> who assisted the Committee were:</w:t>
      </w:r>
    </w:p>
    <w:p w14:paraId="15A584D8" w14:textId="4F729869" w:rsidR="002F20E2" w:rsidRPr="002F20E2" w:rsidRDefault="000927C9" w:rsidP="00F433DA">
      <w:pPr>
        <w:pStyle w:val="BodyText"/>
        <w:numPr>
          <w:ilvl w:val="0"/>
          <w:numId w:val="19"/>
        </w:numPr>
      </w:pPr>
      <w:r>
        <w:t xml:space="preserve">Session 1 – </w:t>
      </w:r>
      <w:r w:rsidR="006A3AE5">
        <w:t>Minister</w:t>
      </w:r>
      <w:r w:rsidR="002F20E2">
        <w:t xml:space="preserve"> Emma </w:t>
      </w:r>
      <w:r w:rsidR="006A3AE5">
        <w:t>Davidson</w:t>
      </w:r>
      <w:r w:rsidR="002F20E2">
        <w:t xml:space="preserve"> MLA – as Minister for </w:t>
      </w:r>
      <w:r w:rsidR="002F20E2" w:rsidRPr="002F20E2">
        <w:rPr>
          <w:rFonts w:cs="Arial"/>
          <w:szCs w:val="22"/>
        </w:rPr>
        <w:t>Seniors, Veterans, Families and Community Services</w:t>
      </w:r>
    </w:p>
    <w:p w14:paraId="6AEB12C2" w14:textId="286E39B5" w:rsidR="00E67082" w:rsidRPr="00E67082" w:rsidRDefault="000927C9" w:rsidP="00F433DA">
      <w:pPr>
        <w:pStyle w:val="BodyText"/>
        <w:numPr>
          <w:ilvl w:val="0"/>
          <w:numId w:val="19"/>
        </w:numPr>
      </w:pPr>
      <w:r w:rsidRPr="00E67082">
        <w:t xml:space="preserve">Session 2 - </w:t>
      </w:r>
      <w:r w:rsidR="002F20E2" w:rsidRPr="00E67082">
        <w:t>Mi</w:t>
      </w:r>
      <w:r w:rsidR="006A3AE5" w:rsidRPr="00E67082">
        <w:t>nister</w:t>
      </w:r>
      <w:r w:rsidR="002F20E2" w:rsidRPr="00E67082">
        <w:t xml:space="preserve"> Rebecca </w:t>
      </w:r>
      <w:r w:rsidR="006A3AE5" w:rsidRPr="00E67082">
        <w:t>Vassarotti</w:t>
      </w:r>
      <w:r w:rsidR="002F20E2" w:rsidRPr="00E67082">
        <w:t xml:space="preserve"> MLA – as </w:t>
      </w:r>
      <w:r w:rsidR="002F20E2" w:rsidRPr="00E67082">
        <w:rPr>
          <w:rFonts w:asciiTheme="minorHAnsi" w:hAnsiTheme="minorHAnsi" w:cstheme="minorHAnsi"/>
        </w:rPr>
        <w:t xml:space="preserve">Minister </w:t>
      </w:r>
      <w:proofErr w:type="gramStart"/>
      <w:r w:rsidR="002F20E2" w:rsidRPr="00E67082">
        <w:rPr>
          <w:rFonts w:asciiTheme="minorHAnsi" w:hAnsiTheme="minorHAnsi" w:cstheme="minorHAnsi"/>
        </w:rPr>
        <w:t>for</w:t>
      </w:r>
      <w:r w:rsidR="0078696C" w:rsidRPr="00E67082">
        <w:rPr>
          <w:rFonts w:asciiTheme="minorHAnsi" w:hAnsiTheme="minorHAnsi" w:cstheme="minorHAnsi"/>
        </w:rPr>
        <w:t xml:space="preserve"> </w:t>
      </w:r>
      <w:r w:rsidR="00E67082" w:rsidRPr="00E67082">
        <w:rPr>
          <w:rStyle w:val="Strong"/>
          <w:rFonts w:asciiTheme="minorHAnsi" w:hAnsiTheme="minorHAnsi" w:cstheme="minorHAnsi"/>
          <w:b w:val="0"/>
          <w:bCs w:val="0"/>
          <w:spacing w:val="-4"/>
          <w:szCs w:val="22"/>
        </w:rPr>
        <w:t xml:space="preserve"> Homelessness</w:t>
      </w:r>
      <w:proofErr w:type="gramEnd"/>
      <w:r w:rsidR="00E67082" w:rsidRPr="00E67082">
        <w:rPr>
          <w:rStyle w:val="Strong"/>
          <w:rFonts w:asciiTheme="minorHAnsi" w:hAnsiTheme="minorHAnsi" w:cstheme="minorHAnsi"/>
          <w:b w:val="0"/>
          <w:bCs w:val="0"/>
          <w:spacing w:val="-4"/>
          <w:szCs w:val="22"/>
        </w:rPr>
        <w:t xml:space="preserve"> and Housing Services;</w:t>
      </w:r>
      <w:r w:rsidR="00E67082" w:rsidRPr="00E67082">
        <w:rPr>
          <w:rStyle w:val="Strong"/>
          <w:rFonts w:ascii="Roboto Condensed" w:hAnsi="Roboto Condensed"/>
          <w:b w:val="0"/>
          <w:bCs w:val="0"/>
          <w:color w:val="009949"/>
          <w:spacing w:val="-4"/>
          <w:szCs w:val="22"/>
        </w:rPr>
        <w:t>.</w:t>
      </w:r>
    </w:p>
    <w:p w14:paraId="2EBB7B74" w14:textId="6A995B25" w:rsidR="002F20E2" w:rsidRDefault="000927C9" w:rsidP="00F433DA">
      <w:pPr>
        <w:pStyle w:val="BodyText"/>
        <w:numPr>
          <w:ilvl w:val="0"/>
          <w:numId w:val="19"/>
        </w:numPr>
      </w:pPr>
      <w:r>
        <w:t xml:space="preserve">Session 3 - </w:t>
      </w:r>
      <w:r w:rsidR="006A3AE5">
        <w:t>Minister</w:t>
      </w:r>
      <w:r w:rsidR="002F20E2">
        <w:t xml:space="preserve"> Rachel Stephen-Smith MLA – as Min</w:t>
      </w:r>
      <w:r>
        <w:t>i</w:t>
      </w:r>
      <w:r w:rsidR="002F20E2">
        <w:t>ster for Health</w:t>
      </w:r>
    </w:p>
    <w:p w14:paraId="5CD2B4E3" w14:textId="62270634" w:rsidR="0078696C" w:rsidRDefault="0078696C" w:rsidP="00377254">
      <w:pPr>
        <w:pStyle w:val="BodyText"/>
      </w:pPr>
      <w:r>
        <w:t xml:space="preserve">The Hansard for the hearing is at </w:t>
      </w:r>
      <w:hyperlink r:id="rId23" w:history="1">
        <w:r w:rsidR="0053571E" w:rsidRPr="009B2474">
          <w:rPr>
            <w:rStyle w:val="Hyperlink"/>
          </w:rPr>
          <w:t>https://www.hansard.act.gov.au/hansard/2021/comms/hcw07.pdf</w:t>
        </w:r>
      </w:hyperlink>
    </w:p>
    <w:p w14:paraId="552700CA" w14:textId="6EE4B895" w:rsidR="002F20E2" w:rsidRDefault="002F20E2" w:rsidP="002F20E2">
      <w:pPr>
        <w:pStyle w:val="Heading3"/>
      </w:pPr>
      <w:bookmarkStart w:id="79" w:name="_Toc87607415"/>
      <w:r>
        <w:t>Matters Raised by the Committee with Minister Davidson</w:t>
      </w:r>
      <w:r w:rsidR="00735212">
        <w:rPr>
          <w:rStyle w:val="FootnoteReference"/>
        </w:rPr>
        <w:footnoteReference w:id="10"/>
      </w:r>
      <w:bookmarkEnd w:id="79"/>
      <w:r>
        <w:t xml:space="preserve"> </w:t>
      </w:r>
    </w:p>
    <w:p w14:paraId="577554C1" w14:textId="383BF2F7" w:rsidR="00735212" w:rsidRPr="00735212" w:rsidRDefault="00735212" w:rsidP="00735212">
      <w:pPr>
        <w:pStyle w:val="Heading5"/>
      </w:pPr>
      <w:r>
        <w:t>Outputs</w:t>
      </w:r>
    </w:p>
    <w:p w14:paraId="7A2DFD99" w14:textId="2BFF1675" w:rsidR="000927C9" w:rsidRPr="0045362D" w:rsidRDefault="0045362D" w:rsidP="000927C9">
      <w:pPr>
        <w:pStyle w:val="BodyText"/>
      </w:pPr>
      <w:r>
        <w:t>T</w:t>
      </w:r>
      <w:r w:rsidR="00F433DA" w:rsidRPr="0045362D">
        <w:t>he government’s proposed reform work on the age of criminal responsibility</w:t>
      </w:r>
      <w:r>
        <w:t xml:space="preserve"> raises </w:t>
      </w:r>
      <w:proofErr w:type="gramStart"/>
      <w:r>
        <w:t xml:space="preserve">some </w:t>
      </w:r>
      <w:r w:rsidR="00F433DA" w:rsidRPr="0045362D">
        <w:t xml:space="preserve"> obvious</w:t>
      </w:r>
      <w:proofErr w:type="gramEnd"/>
      <w:r w:rsidR="00F433DA" w:rsidRPr="0045362D">
        <w:t xml:space="preserve"> question</w:t>
      </w:r>
      <w:r>
        <w:t xml:space="preserve">s including: </w:t>
      </w:r>
      <w:r w:rsidR="00F433DA" w:rsidRPr="0045362D">
        <w:t>if we raise the age of criminal responsibility, what happens to Bimberi? What is the government’s long</w:t>
      </w:r>
      <w:r w:rsidR="00F433DA" w:rsidRPr="0045362D">
        <w:noBreakHyphen/>
        <w:t>term vision for Bimberi should we raise the age of criminal responsibility?</w:t>
      </w:r>
    </w:p>
    <w:p w14:paraId="2C3BAA48" w14:textId="5DFABB43" w:rsidR="00F433DA" w:rsidRPr="0045362D" w:rsidRDefault="0045362D" w:rsidP="00F433DA">
      <w:pPr>
        <w:pStyle w:val="BodyText"/>
      </w:pPr>
      <w:r>
        <w:t>W</w:t>
      </w:r>
      <w:r w:rsidR="00F433DA" w:rsidRPr="0045362D">
        <w:t xml:space="preserve">hat </w:t>
      </w:r>
      <w:r>
        <w:t xml:space="preserve">is being done </w:t>
      </w:r>
      <w:r w:rsidR="00F433DA" w:rsidRPr="0045362D">
        <w:t>to stop young people entering Bimberi in the first place, particularly around the government’s justice reinvestment investment.</w:t>
      </w:r>
    </w:p>
    <w:p w14:paraId="07C1ADF8" w14:textId="58C23A4C" w:rsidR="00F433DA" w:rsidRPr="0045362D" w:rsidRDefault="00F433DA" w:rsidP="000927C9">
      <w:pPr>
        <w:pStyle w:val="BodyText"/>
      </w:pPr>
      <w:r w:rsidRPr="0045362D">
        <w:t xml:space="preserve">Has the government planned any specific intervention programs for that 10- to 13-year-old cohort </w:t>
      </w:r>
      <w:r w:rsidR="0045362D">
        <w:t xml:space="preserve">beyond </w:t>
      </w:r>
      <w:r w:rsidRPr="0045362D">
        <w:t>raising the age of criminal responsibility, to keep them out of Bimberi</w:t>
      </w:r>
    </w:p>
    <w:p w14:paraId="6B492CF0" w14:textId="53DFEB77" w:rsidR="00F433DA" w:rsidRPr="0045362D" w:rsidRDefault="00F433DA" w:rsidP="00F433DA">
      <w:pPr>
        <w:pStyle w:val="BodyText"/>
      </w:pPr>
      <w:r w:rsidRPr="0045362D">
        <w:t xml:space="preserve">Is there funding within the current budget that is going towards the reform of the system </w:t>
      </w:r>
      <w:r w:rsidR="0045362D">
        <w:t xml:space="preserve">to respond to an </w:t>
      </w:r>
      <w:r w:rsidRPr="0045362D">
        <w:t>increase in the age of criminal responsibility?</w:t>
      </w:r>
    </w:p>
    <w:p w14:paraId="60BE73F0" w14:textId="77240340" w:rsidR="00112015" w:rsidRPr="0045362D" w:rsidRDefault="00F433DA" w:rsidP="00112015">
      <w:pPr>
        <w:pStyle w:val="BodyText"/>
      </w:pPr>
      <w:r w:rsidRPr="0045362D">
        <w:t xml:space="preserve">Will OzHarvest receive any funding from the community support package reported to </w:t>
      </w:r>
      <w:r w:rsidR="0045362D">
        <w:t xml:space="preserve">be for </w:t>
      </w:r>
      <w:r w:rsidRPr="0045362D">
        <w:t>support community organisations to provide a range of crisis and emergency supports?</w:t>
      </w:r>
      <w:r w:rsidR="00112015" w:rsidRPr="0045362D">
        <w:t xml:space="preserve"> OzHarvest has requested an extra van and delivery driver. Is extra funding to be provided for OzHarvest?</w:t>
      </w:r>
    </w:p>
    <w:p w14:paraId="56730B89" w14:textId="586F4EA4" w:rsidR="00F433DA" w:rsidRPr="0045362D" w:rsidRDefault="0045362D" w:rsidP="00F433DA">
      <w:pPr>
        <w:pStyle w:val="BodyText"/>
      </w:pPr>
      <w:r>
        <w:t>D</w:t>
      </w:r>
      <w:r w:rsidR="00F433DA" w:rsidRPr="0045362D">
        <w:t>etail of expenditure, it is $240,000 in this budget, then 78,000, 78,000 and 79,000</w:t>
      </w:r>
      <w:r>
        <w:t xml:space="preserve"> for community services</w:t>
      </w:r>
      <w:r w:rsidR="00F433DA" w:rsidRPr="0045362D">
        <w:t xml:space="preserve"> Does that mean the 240,000 is to develop the database and the strategy?</w:t>
      </w:r>
    </w:p>
    <w:p w14:paraId="7052285E" w14:textId="52D05BB0" w:rsidR="00F433DA" w:rsidRPr="0045362D" w:rsidRDefault="0045362D" w:rsidP="00F433DA">
      <w:pPr>
        <w:pStyle w:val="BodyText"/>
      </w:pPr>
      <w:r>
        <w:t>H</w:t>
      </w:r>
      <w:r w:rsidR="00F433DA" w:rsidRPr="0045362D">
        <w:t xml:space="preserve">ow </w:t>
      </w:r>
      <w:r>
        <w:t xml:space="preserve">does the </w:t>
      </w:r>
      <w:r w:rsidR="00F433DA" w:rsidRPr="0045362D">
        <w:t xml:space="preserve">budget deliver on the government’s social recovery plan for the </w:t>
      </w:r>
      <w:proofErr w:type="gramStart"/>
      <w:r w:rsidR="00F433DA" w:rsidRPr="0045362D">
        <w:t>city.</w:t>
      </w:r>
      <w:proofErr w:type="gramEnd"/>
    </w:p>
    <w:p w14:paraId="03B07BF2" w14:textId="76860617" w:rsidR="00F433DA" w:rsidRPr="0045362D" w:rsidRDefault="00F433DA" w:rsidP="00F433DA">
      <w:pPr>
        <w:pStyle w:val="BodyText"/>
      </w:pPr>
      <w:r w:rsidRPr="0045362D">
        <w:t xml:space="preserve">The Healthy Centre Review of Bimberi Youth Justice Centre 2020 makes 27 recommendations to improve the centre’s operation. </w:t>
      </w:r>
      <w:r w:rsidR="0045362D">
        <w:t>H</w:t>
      </w:r>
      <w:r w:rsidRPr="0045362D">
        <w:t>ow much money in this budget has been earmarked for implementing these 27 recommendations?</w:t>
      </w:r>
    </w:p>
    <w:p w14:paraId="20A2D46D" w14:textId="43D6267C" w:rsidR="00F433DA" w:rsidRPr="0045362D" w:rsidRDefault="00F433DA" w:rsidP="00F433DA">
      <w:pPr>
        <w:pStyle w:val="BodyText"/>
      </w:pPr>
      <w:r w:rsidRPr="0045362D">
        <w:t>One of the recommendations was for individual therapeutic support for detainees or young people when they are locked up in their cells</w:t>
      </w:r>
      <w:r w:rsidR="0045362D">
        <w:t xml:space="preserve"> at Bimberi</w:t>
      </w:r>
      <w:r w:rsidRPr="0045362D">
        <w:t>. What support have they been given</w:t>
      </w:r>
      <w:r w:rsidR="0045362D">
        <w:t>?</w:t>
      </w:r>
    </w:p>
    <w:p w14:paraId="3890610F" w14:textId="54C0239E" w:rsidR="00377254" w:rsidRDefault="00377254" w:rsidP="00377254">
      <w:pPr>
        <w:pStyle w:val="Heading3"/>
      </w:pPr>
      <w:bookmarkStart w:id="80" w:name="_Toc87607416"/>
      <w:r>
        <w:t xml:space="preserve">Advice </w:t>
      </w:r>
      <w:r w:rsidR="002F20E2">
        <w:t xml:space="preserve">provided </w:t>
      </w:r>
      <w:r>
        <w:t xml:space="preserve">to the Committee </w:t>
      </w:r>
      <w:r w:rsidR="002F20E2">
        <w:t xml:space="preserve">by </w:t>
      </w:r>
      <w:r>
        <w:t xml:space="preserve">Minister </w:t>
      </w:r>
      <w:r w:rsidR="002F20E2">
        <w:t xml:space="preserve">Davidson </w:t>
      </w:r>
      <w:r>
        <w:t>and Officials</w:t>
      </w:r>
      <w:bookmarkEnd w:id="80"/>
      <w:r>
        <w:t xml:space="preserve"> </w:t>
      </w:r>
    </w:p>
    <w:p w14:paraId="1EED185D" w14:textId="21C4C601" w:rsidR="00112015" w:rsidRDefault="00112015" w:rsidP="00112015">
      <w:pPr>
        <w:pStyle w:val="BodyText"/>
      </w:pPr>
      <w:r w:rsidRPr="00112015">
        <w:rPr>
          <w:b/>
          <w:bCs/>
          <w:i/>
          <w:iCs/>
        </w:rPr>
        <w:t>Bimberi</w:t>
      </w:r>
      <w:r>
        <w:t xml:space="preserve"> - </w:t>
      </w:r>
      <w:proofErr w:type="gramStart"/>
      <w:r>
        <w:t>the majority of</w:t>
      </w:r>
      <w:proofErr w:type="gramEnd"/>
      <w:r>
        <w:t xml:space="preserve"> young people that are sentenced or are admitted to Bimberi are between the ages of 15 and 17, so the service would continue. </w:t>
      </w:r>
      <w:r w:rsidR="00B76172">
        <w:t>So, f</w:t>
      </w:r>
      <w:r>
        <w:t>or example, the education program run by the Education Directorate would continue.</w:t>
      </w:r>
    </w:p>
    <w:p w14:paraId="2E88FFC8" w14:textId="0954BE86" w:rsidR="00112015" w:rsidRDefault="00112015" w:rsidP="00112015">
      <w:pPr>
        <w:pStyle w:val="BodyText"/>
      </w:pPr>
      <w:r>
        <w:t xml:space="preserve">All these programs will be still available to young people within the centre, even </w:t>
      </w:r>
      <w:proofErr w:type="gramStart"/>
      <w:r w:rsidR="00B76172">
        <w:t xml:space="preserve">if </w:t>
      </w:r>
      <w:r>
        <w:t xml:space="preserve"> </w:t>
      </w:r>
      <w:r w:rsidR="00B76172">
        <w:t>the</w:t>
      </w:r>
      <w:proofErr w:type="gramEnd"/>
      <w:r w:rsidR="00B76172">
        <w:t xml:space="preserve"> </w:t>
      </w:r>
      <w:r>
        <w:t>age</w:t>
      </w:r>
      <w:r w:rsidR="00B76172">
        <w:t xml:space="preserve"> is increased</w:t>
      </w:r>
      <w:r>
        <w:t xml:space="preserve">. Once </w:t>
      </w:r>
      <w:r w:rsidR="00B76172">
        <w:t>the age is in</w:t>
      </w:r>
      <w:r>
        <w:t>crease</w:t>
      </w:r>
      <w:r w:rsidR="00B76172">
        <w:t>d</w:t>
      </w:r>
      <w:r>
        <w:t>, a different cohort of young people</w:t>
      </w:r>
      <w:r w:rsidR="00B76172">
        <w:t xml:space="preserve"> will be apparent</w:t>
      </w:r>
      <w:r>
        <w:t xml:space="preserve">, but all programs will still be available to the young people. Winnunga, Gugan and Relationships Australia </w:t>
      </w:r>
      <w:r w:rsidR="00B76172">
        <w:t xml:space="preserve">will also </w:t>
      </w:r>
      <w:r>
        <w:t xml:space="preserve">come and provide programs to the young people. </w:t>
      </w:r>
    </w:p>
    <w:p w14:paraId="484A5EB4" w14:textId="381C2B1E" w:rsidR="00112015" w:rsidRDefault="00112015" w:rsidP="00112015">
      <w:pPr>
        <w:pStyle w:val="BodyText"/>
      </w:pPr>
      <w:r>
        <w:t xml:space="preserve">: </w:t>
      </w:r>
      <w:r w:rsidR="00B76172">
        <w:t>F</w:t>
      </w:r>
      <w:r>
        <w:t xml:space="preserve">unctional family therapy youth justice program is </w:t>
      </w:r>
      <w:r w:rsidR="00506860">
        <w:t>evidence</w:t>
      </w:r>
      <w:r>
        <w:noBreakHyphen/>
        <w:t xml:space="preserve">based program that is being delivered </w:t>
      </w:r>
      <w:r w:rsidR="00506860">
        <w:t>that target</w:t>
      </w:r>
      <w:r>
        <w:t xml:space="preserve"> young people between the ages of 12 and 17. It is an intensive in-home service that works with young people, their </w:t>
      </w:r>
      <w:proofErr w:type="gramStart"/>
      <w:r>
        <w:t>families</w:t>
      </w:r>
      <w:proofErr w:type="gramEnd"/>
      <w:r>
        <w:t xml:space="preserve"> and their extended family network.</w:t>
      </w:r>
      <w:r w:rsidRPr="00112015">
        <w:t xml:space="preserve"> </w:t>
      </w:r>
      <w:r>
        <w:t xml:space="preserve">It works in three phases. There is an engagement phase; a treatment phase; and a generalisation and exit phase. It is an evidence-based program. It is used across Australia </w:t>
      </w:r>
      <w:proofErr w:type="gramStart"/>
      <w:r>
        <w:t>and also</w:t>
      </w:r>
      <w:proofErr w:type="gramEnd"/>
      <w:r>
        <w:t xml:space="preserve"> internationally. It works on relationships and what is not working well with those relationships that might be creating circumstances where young people offend.</w:t>
      </w:r>
    </w:p>
    <w:p w14:paraId="7B5599D5" w14:textId="2D9E6151" w:rsidR="00112015" w:rsidRDefault="00112015" w:rsidP="00112015">
      <w:pPr>
        <w:pStyle w:val="BodyText"/>
      </w:pPr>
      <w:r>
        <w:t>This is a complex piece of work</w:t>
      </w:r>
      <w:r w:rsidR="00B76172">
        <w:t xml:space="preserve"> When deciding on </w:t>
      </w:r>
      <w:r>
        <w:t xml:space="preserve">raising the minimum age, you are thinking about not just the young people but the environment and the families that they are attached to in terms of how changes </w:t>
      </w:r>
      <w:r w:rsidR="00B76172">
        <w:t xml:space="preserve">are to be made </w:t>
      </w:r>
      <w:r>
        <w:t>to the service system.</w:t>
      </w:r>
    </w:p>
    <w:p w14:paraId="1DFB677C" w14:textId="77777777" w:rsidR="00112015" w:rsidRDefault="00112015" w:rsidP="00112015">
      <w:pPr>
        <w:pStyle w:val="BodyText"/>
        <w:numPr>
          <w:ilvl w:val="0"/>
          <w:numId w:val="0"/>
        </w:numPr>
        <w:ind w:left="720"/>
      </w:pPr>
    </w:p>
    <w:p w14:paraId="72106575" w14:textId="733A0795" w:rsidR="00112015" w:rsidRDefault="00112015" w:rsidP="00112015">
      <w:pPr>
        <w:pStyle w:val="BodyText"/>
      </w:pPr>
      <w:r w:rsidRPr="00112015">
        <w:rPr>
          <w:rStyle w:val="BodyTextChar"/>
        </w:rPr>
        <w:t xml:space="preserve">It works in three phases. There is an engagement phase; a treatment phase; and a generalisation and exit phase. It is an evidence-based program. It is used across Australia </w:t>
      </w:r>
      <w:proofErr w:type="gramStart"/>
      <w:r w:rsidRPr="00112015">
        <w:rPr>
          <w:rStyle w:val="BodyTextChar"/>
        </w:rPr>
        <w:t>and also</w:t>
      </w:r>
      <w:proofErr w:type="gramEnd"/>
      <w:r w:rsidRPr="00112015">
        <w:rPr>
          <w:rStyle w:val="BodyTextChar"/>
        </w:rPr>
        <w:t xml:space="preserve"> internationally. It works on relationships and what is not working well with those relationships that might be creating circumstances</w:t>
      </w:r>
      <w:r>
        <w:t xml:space="preserve"> where young people offend.</w:t>
      </w:r>
      <w:r w:rsidRPr="00112015">
        <w:t xml:space="preserve"> </w:t>
      </w:r>
      <w:r>
        <w:t xml:space="preserve"> </w:t>
      </w:r>
      <w:r w:rsidR="00B30681">
        <w:t>T</w:t>
      </w:r>
      <w:r>
        <w:t xml:space="preserve">his </w:t>
      </w:r>
      <w:r w:rsidR="00B30681">
        <w:t xml:space="preserve">is to </w:t>
      </w:r>
      <w:proofErr w:type="gramStart"/>
      <w:r w:rsidR="00B30681">
        <w:t xml:space="preserve">be </w:t>
      </w:r>
      <w:r>
        <w:t xml:space="preserve"> a</w:t>
      </w:r>
      <w:proofErr w:type="gramEnd"/>
      <w:r>
        <w:t xml:space="preserve"> long-term change to the way our community responds to and supports these children and their families and the communities in which they live. </w:t>
      </w:r>
      <w:r w:rsidR="00B30681">
        <w:t xml:space="preserve"> T</w:t>
      </w:r>
      <w:r>
        <w:t xml:space="preserve">here is probably a six-month horizon with some work, and </w:t>
      </w:r>
      <w:proofErr w:type="gramStart"/>
      <w:r>
        <w:t>definitely an</w:t>
      </w:r>
      <w:proofErr w:type="gramEnd"/>
      <w:r>
        <w:t xml:space="preserve"> 18-month horizon for a deeper piece of policy work and system reform. </w:t>
      </w:r>
      <w:r w:rsidR="00B30681">
        <w:t xml:space="preserve"> T</w:t>
      </w:r>
      <w:r>
        <w:t>he next tranche of work after that, which will require, a whole range of our community sector partners and our directorates to be working together</w:t>
      </w:r>
      <w:r w:rsidR="00B30681">
        <w:t>.</w:t>
      </w:r>
    </w:p>
    <w:p w14:paraId="028A302E" w14:textId="681DCCA2" w:rsidR="00112015" w:rsidRDefault="00112015" w:rsidP="00112015">
      <w:pPr>
        <w:pStyle w:val="BodyText"/>
      </w:pPr>
      <w:r>
        <w:t xml:space="preserve">If </w:t>
      </w:r>
      <w:r w:rsidR="00B30681">
        <w:t xml:space="preserve">this </w:t>
      </w:r>
      <w:r w:rsidR="00506860">
        <w:t>is</w:t>
      </w:r>
      <w:r w:rsidR="00B30681">
        <w:t xml:space="preserve"> to be </w:t>
      </w:r>
      <w:r>
        <w:t>successful for the purpose of making sure that 10- to 13</w:t>
      </w:r>
      <w:r>
        <w:noBreakHyphen/>
        <w:t>year</w:t>
      </w:r>
      <w:r>
        <w:noBreakHyphen/>
        <w:t xml:space="preserve">olds are not engaging in those kinds of harmful behaviours, that is going to involve intervening and providing support to those young people and their families from a much earlier age. That will flow on to having good impacts for people over the age of 14 as well. We </w:t>
      </w:r>
      <w:r w:rsidR="00B30681">
        <w:t xml:space="preserve">expect to </w:t>
      </w:r>
      <w:r>
        <w:t xml:space="preserve">see those good improvements over time. </w:t>
      </w:r>
      <w:r w:rsidR="00B30681">
        <w:t xml:space="preserve">It will be </w:t>
      </w:r>
      <w:r>
        <w:t xml:space="preserve">a </w:t>
      </w:r>
      <w:r w:rsidR="00506860">
        <w:t>well-integrated</w:t>
      </w:r>
      <w:r>
        <w:t xml:space="preserve"> system.</w:t>
      </w:r>
    </w:p>
    <w:p w14:paraId="4F5F6A2B" w14:textId="00D0D79C" w:rsidR="0023626A" w:rsidRDefault="00112015" w:rsidP="0023626A">
      <w:pPr>
        <w:pStyle w:val="BodyText"/>
      </w:pPr>
      <w:r w:rsidRPr="0023626A">
        <w:rPr>
          <w:b/>
          <w:bCs/>
          <w:i/>
          <w:iCs/>
        </w:rPr>
        <w:t>OzHarvest</w:t>
      </w:r>
      <w:r>
        <w:t xml:space="preserve"> - </w:t>
      </w:r>
      <w:r w:rsidR="0023626A">
        <w:t xml:space="preserve">It is important, in looking at where we sit in terms of food support, to recognise that food is only one part of the puzzle that we need to support families. Often it is a great way of opening the door to provide significant wraparound services. </w:t>
      </w:r>
      <w:r w:rsidR="00B30681">
        <w:t>T</w:t>
      </w:r>
      <w:r w:rsidR="0023626A">
        <w:t>he extraordinary work of some of our community service partners</w:t>
      </w:r>
      <w:r w:rsidR="00B30681">
        <w:t xml:space="preserve"> </w:t>
      </w:r>
      <w:proofErr w:type="gramStart"/>
      <w:r w:rsidR="00B30681">
        <w:t xml:space="preserve">includes </w:t>
      </w:r>
      <w:r w:rsidR="0023626A">
        <w:t xml:space="preserve"> stepping</w:t>
      </w:r>
      <w:proofErr w:type="gramEnd"/>
      <w:r w:rsidR="0023626A">
        <w:t xml:space="preserve"> in with food and also with a broad range of social supports. </w:t>
      </w:r>
      <w:r w:rsidR="00B30681">
        <w:t xml:space="preserve">This includes </w:t>
      </w:r>
      <w:r w:rsidR="0023626A">
        <w:t>supports from first commenc</w:t>
      </w:r>
      <w:r w:rsidR="00B30681">
        <w:t>ing</w:t>
      </w:r>
      <w:r w:rsidR="0023626A">
        <w:t xml:space="preserve"> the broader food support package</w:t>
      </w:r>
      <w:r w:rsidR="00B30681">
        <w:t xml:space="preserve"> from </w:t>
      </w:r>
      <w:r w:rsidR="0023626A">
        <w:t>when COVID first</w:t>
      </w:r>
      <w:r w:rsidR="00B30681">
        <w:t xml:space="preserve"> appeared</w:t>
      </w:r>
      <w:r w:rsidR="0023626A">
        <w:t>; they have maintained those relationships and supports through the ebbs and flows of what has been a really difficult time.</w:t>
      </w:r>
    </w:p>
    <w:p w14:paraId="0D5E6E0F" w14:textId="145C20A0" w:rsidR="0023626A" w:rsidRDefault="00B30681" w:rsidP="0023626A">
      <w:pPr>
        <w:pStyle w:val="BodyText"/>
      </w:pPr>
      <w:r>
        <w:t>O</w:t>
      </w:r>
      <w:r w:rsidR="0023626A">
        <w:t xml:space="preserve">ngoing funding in the forward years for </w:t>
      </w:r>
      <w:r>
        <w:t>[community services]</w:t>
      </w:r>
      <w:r w:rsidR="003C6F08">
        <w:t xml:space="preserve"> </w:t>
      </w:r>
      <w:r w:rsidR="0023626A">
        <w:t>database development and support will support the gathering of that group in the more formal structure—the support for that plus the development of a larger food strategy</w:t>
      </w:r>
      <w:r>
        <w:t xml:space="preserve"> to </w:t>
      </w:r>
      <w:r w:rsidR="0023626A">
        <w:t xml:space="preserve">be used over that four-year period. That is taking into consideration that we need to look at lots of factors, not just the pandemic. There is a lot of research recently </w:t>
      </w:r>
      <w:r>
        <w:t xml:space="preserve">published </w:t>
      </w:r>
      <w:r w:rsidR="0023626A">
        <w:t>around what our environmental landscape is going to look like, from a global warming perspective, in terms of fire and flood, and the impact of that on our community as well. Our food and material aid response needs to form part of that also.</w:t>
      </w:r>
    </w:p>
    <w:p w14:paraId="614C6012" w14:textId="5DAB6D97" w:rsidR="0023626A" w:rsidRDefault="0023626A" w:rsidP="0023626A">
      <w:pPr>
        <w:pStyle w:val="BodyText"/>
      </w:pPr>
      <w:r>
        <w:t xml:space="preserve">I would anticipate that. VolunteeringACT are one of our lead agencies in that space. They have a platform </w:t>
      </w:r>
      <w:proofErr w:type="gramStart"/>
      <w:r>
        <w:t xml:space="preserve">at the </w:t>
      </w:r>
      <w:r w:rsidR="00506860">
        <w:t>moment</w:t>
      </w:r>
      <w:proofErr w:type="gramEnd"/>
      <w:r w:rsidR="00506860">
        <w:t>,</w:t>
      </w:r>
      <w:r>
        <w:t xml:space="preserve"> and they have the database that we will be migrating from. We take the advice of that community organisation, amongst the other ones, about where it would best sit.</w:t>
      </w:r>
    </w:p>
    <w:p w14:paraId="21BA296D" w14:textId="5BBD56A0" w:rsidR="0023626A" w:rsidRDefault="0023626A" w:rsidP="0023626A">
      <w:pPr>
        <w:pStyle w:val="BodyText"/>
      </w:pPr>
      <w:r w:rsidRPr="0023626A">
        <w:rPr>
          <w:b/>
          <w:bCs/>
          <w:i/>
          <w:iCs/>
        </w:rPr>
        <w:t>Social Recovery</w:t>
      </w:r>
      <w:r>
        <w:t xml:space="preserve"> - In the social recovery space, </w:t>
      </w:r>
      <w:r w:rsidRPr="0060669D">
        <w:t>it is about some</w:t>
      </w:r>
      <w:r>
        <w:t xml:space="preserve"> of the core functions as prescribed under the emergency management framework. Social recovery in that domain is one of the four pillars of recovery. </w:t>
      </w:r>
      <w:r w:rsidR="00DE0ABF">
        <w:t>I</w:t>
      </w:r>
      <w:r>
        <w:t>t is one of the most critical components of that pillar of emergency recovery framework, because the reality is that if we do not have people who are safe and comfortable, they cannot participate in the broader economic fabric of the community. Social recovery is a critical piece of that puzzle, and it sits under the emergency management framework.  In terms of the work now, we are talking to our community partners, many of whom have been stretched over the COVID response, to ensure</w:t>
      </w:r>
      <w:r w:rsidR="00DE0ABF">
        <w:t xml:space="preserve"> it is </w:t>
      </w:r>
      <w:r>
        <w:t>ready to stand up in a bushfire or flood—or smoke or hail—</w:t>
      </w:r>
      <w:r w:rsidR="00DE0ABF">
        <w:t xml:space="preserve">as mentioned </w:t>
      </w:r>
      <w:r>
        <w:t>last time we met.</w:t>
      </w:r>
    </w:p>
    <w:p w14:paraId="4A393038" w14:textId="218A2D96" w:rsidR="0023626A" w:rsidRDefault="0023626A" w:rsidP="0023626A">
      <w:pPr>
        <w:pStyle w:val="BodyText"/>
      </w:pPr>
      <w:r w:rsidRPr="0023626A">
        <w:rPr>
          <w:b/>
          <w:bCs/>
          <w:i/>
          <w:iCs/>
        </w:rPr>
        <w:t>Healthy Centre Review of Bimberi – Recomm</w:t>
      </w:r>
      <w:r w:rsidR="002238CE">
        <w:rPr>
          <w:b/>
          <w:bCs/>
          <w:i/>
          <w:iCs/>
        </w:rPr>
        <w:t>e</w:t>
      </w:r>
      <w:r w:rsidRPr="0023626A">
        <w:rPr>
          <w:b/>
          <w:bCs/>
          <w:i/>
          <w:iCs/>
        </w:rPr>
        <w:t>ndations</w:t>
      </w:r>
      <w:r>
        <w:t xml:space="preserve"> - Many of the issues that were identified through the healthy centre review were progressing through other reviews and reforms that we had identified for Bimberi. </w:t>
      </w:r>
      <w:r w:rsidR="00611AF8">
        <w:t xml:space="preserve">  I</w:t>
      </w:r>
      <w:r>
        <w:t xml:space="preserve"> think all the recommendations</w:t>
      </w:r>
      <w:r w:rsidR="00506860">
        <w:t xml:space="preserve"> </w:t>
      </w:r>
      <w:proofErr w:type="gramStart"/>
      <w:r>
        <w:t>are able to</w:t>
      </w:r>
      <w:proofErr w:type="gramEnd"/>
      <w:r>
        <w:t xml:space="preserve"> be progressed with existing resources.</w:t>
      </w:r>
    </w:p>
    <w:p w14:paraId="68AC4EDD" w14:textId="0094D02B" w:rsidR="0023626A" w:rsidRDefault="0023626A" w:rsidP="0023626A">
      <w:pPr>
        <w:pStyle w:val="BodyText"/>
      </w:pPr>
      <w:r>
        <w:t xml:space="preserve">In the previous budget, we were provided with some </w:t>
      </w:r>
      <w:r w:rsidR="00506860">
        <w:t>funding,</w:t>
      </w:r>
      <w:r>
        <w:t xml:space="preserve"> and we were able to employ our intelligence officer and our work health safety officer, our training officer, and consolidate our principal practitioner out at Bimberi and some money for some capital works improvements in the service. The addition in this budget of two additional control room officers will assist in how the campus is managed on a day</w:t>
      </w:r>
      <w:r>
        <w:noBreakHyphen/>
        <w:t>to</w:t>
      </w:r>
      <w:r>
        <w:noBreakHyphen/>
        <w:t>day basis. That additional capacity and the capability there are really welcomed because that will assist in supporting staff and young peopl</w:t>
      </w:r>
      <w:r w:rsidR="00611AF8">
        <w:t>e.</w:t>
      </w:r>
    </w:p>
    <w:p w14:paraId="2E6DB83A" w14:textId="1EB53DBF" w:rsidR="009D2547" w:rsidRDefault="009D2547" w:rsidP="009D2547">
      <w:pPr>
        <w:pStyle w:val="RecommendationHeading"/>
      </w:pPr>
      <w:bookmarkStart w:id="81" w:name="_Hlk87525585"/>
      <w:bookmarkStart w:id="82" w:name="_Toc87607647"/>
      <w:r>
        <w:t>Recommendation 10</w:t>
      </w:r>
      <w:bookmarkEnd w:id="82"/>
    </w:p>
    <w:p w14:paraId="637A7A76" w14:textId="7D60C82D" w:rsidR="009D2547" w:rsidRDefault="009D2547" w:rsidP="009D2547">
      <w:pPr>
        <w:pStyle w:val="RecommendationText"/>
      </w:pPr>
      <w:bookmarkStart w:id="83" w:name="_Toc87607648"/>
      <w:r>
        <w:t xml:space="preserve">The Committee recommends that </w:t>
      </w:r>
      <w:r w:rsidR="006A6A2B">
        <w:t xml:space="preserve">grants from </w:t>
      </w:r>
      <w:r>
        <w:t xml:space="preserve">the </w:t>
      </w:r>
      <w:r w:rsidR="00BF2693">
        <w:t xml:space="preserve">ACT </w:t>
      </w:r>
      <w:r>
        <w:t xml:space="preserve">Government Community Support Package be </w:t>
      </w:r>
      <w:r w:rsidR="00BF2693">
        <w:t xml:space="preserve">better promoted </w:t>
      </w:r>
      <w:r>
        <w:t>to community partners</w:t>
      </w:r>
      <w:r w:rsidR="00BF2693">
        <w:t xml:space="preserve"> eligible for </w:t>
      </w:r>
      <w:r>
        <w:t>funding support.</w:t>
      </w:r>
      <w:bookmarkEnd w:id="83"/>
    </w:p>
    <w:p w14:paraId="73F1D657" w14:textId="0D86A75A" w:rsidR="000D6B0B" w:rsidRDefault="000D6B0B" w:rsidP="000D6B0B">
      <w:pPr>
        <w:pStyle w:val="RecommendationHeading"/>
        <w:keepNext/>
      </w:pPr>
      <w:bookmarkStart w:id="84" w:name="_Toc87607649"/>
      <w:bookmarkEnd w:id="81"/>
      <w:r>
        <w:t xml:space="preserve">Recommendation </w:t>
      </w:r>
      <w:r w:rsidR="009D2547">
        <w:t>11</w:t>
      </w:r>
      <w:bookmarkEnd w:id="84"/>
    </w:p>
    <w:p w14:paraId="1FB8C616" w14:textId="6F9B7187" w:rsidR="000D6B0B" w:rsidRDefault="000D6B0B" w:rsidP="000D6B0B">
      <w:pPr>
        <w:pStyle w:val="RecommendationText"/>
      </w:pPr>
      <w:bookmarkStart w:id="85" w:name="_Toc87607650"/>
      <w:r>
        <w:t>The Committee recommends that the ACT Government</w:t>
      </w:r>
      <w:r w:rsidR="002E4D2E">
        <w:t xml:space="preserve"> provide updates to the Legislative Assembly on </w:t>
      </w:r>
      <w:r w:rsidR="00323E53">
        <w:t>development of a Disability Health Strategy</w:t>
      </w:r>
      <w:r w:rsidR="006A6A2B">
        <w:t xml:space="preserve"> by the end of 2022.</w:t>
      </w:r>
      <w:bookmarkEnd w:id="85"/>
    </w:p>
    <w:p w14:paraId="11916B9F" w14:textId="0E4719CC" w:rsidR="00323E53" w:rsidRDefault="00323E53" w:rsidP="009D2547">
      <w:pPr>
        <w:pStyle w:val="RecommendationHeading"/>
      </w:pPr>
      <w:bookmarkStart w:id="86" w:name="_Toc87607651"/>
      <w:r>
        <w:t>Recommendation</w:t>
      </w:r>
      <w:r w:rsidR="009D2547">
        <w:t xml:space="preserve"> 12</w:t>
      </w:r>
      <w:bookmarkEnd w:id="86"/>
    </w:p>
    <w:p w14:paraId="060C102C" w14:textId="0DFEEDF6" w:rsidR="00810E67" w:rsidRDefault="00810E67" w:rsidP="009D2547">
      <w:pPr>
        <w:pStyle w:val="RecommendationText"/>
      </w:pPr>
      <w:bookmarkStart w:id="87" w:name="_Toc87607652"/>
      <w:r>
        <w:t xml:space="preserve">The Committee recommends that detainees at Bimberi Youth Justice Centre continue to have access to </w:t>
      </w:r>
      <w:r w:rsidR="006A6A2B">
        <w:t xml:space="preserve">AV links for </w:t>
      </w:r>
      <w:r>
        <w:t>family visit</w:t>
      </w:r>
      <w:r w:rsidR="006A6A2B">
        <w:t>s</w:t>
      </w:r>
      <w:r w:rsidR="001C0D1E">
        <w:t>.</w:t>
      </w:r>
      <w:bookmarkEnd w:id="87"/>
    </w:p>
    <w:p w14:paraId="3C5DDAA0" w14:textId="6B9EFAE7" w:rsidR="00810E67" w:rsidRDefault="00810E67" w:rsidP="009D2547">
      <w:pPr>
        <w:pStyle w:val="RecommendationHeading"/>
      </w:pPr>
      <w:bookmarkStart w:id="88" w:name="_Toc87607653"/>
      <w:r>
        <w:t>Recommendation</w:t>
      </w:r>
      <w:r w:rsidR="009D2547">
        <w:t>13</w:t>
      </w:r>
      <w:bookmarkEnd w:id="88"/>
    </w:p>
    <w:p w14:paraId="3DC08C38" w14:textId="728015BB" w:rsidR="00810E67" w:rsidRDefault="00810E67" w:rsidP="009D2547">
      <w:pPr>
        <w:pStyle w:val="RecommendationText"/>
      </w:pPr>
      <w:bookmarkStart w:id="89" w:name="_Toc87607654"/>
      <w:r>
        <w:t xml:space="preserve">The Committee recommends to the ACT Government </w:t>
      </w:r>
      <w:proofErr w:type="gramStart"/>
      <w:r>
        <w:t>that young detainees</w:t>
      </w:r>
      <w:proofErr w:type="gramEnd"/>
      <w:r>
        <w:t xml:space="preserve"> at Bimberi Youth Justice Centre </w:t>
      </w:r>
      <w:r w:rsidR="009D2547">
        <w:t>receive additional therapeutic supports, including mental health supports and counselling, whenever they are locked down for any reason.</w:t>
      </w:r>
      <w:bookmarkEnd w:id="89"/>
    </w:p>
    <w:p w14:paraId="2F4EFFF1" w14:textId="77777777" w:rsidR="00810E67" w:rsidRPr="00323E53" w:rsidRDefault="00810E67" w:rsidP="00323E53">
      <w:pPr>
        <w:pStyle w:val="BodyText"/>
      </w:pPr>
    </w:p>
    <w:p w14:paraId="299393B7" w14:textId="5A442F6D" w:rsidR="002F20E2" w:rsidRDefault="002F20E2" w:rsidP="002F20E2">
      <w:pPr>
        <w:pStyle w:val="Heading3"/>
      </w:pPr>
      <w:bookmarkStart w:id="90" w:name="_Toc87607417"/>
      <w:r>
        <w:t>Matters Raised by the Committee with Minister Vassarotti</w:t>
      </w:r>
      <w:r w:rsidR="00735212">
        <w:rPr>
          <w:rStyle w:val="FootnoteReference"/>
        </w:rPr>
        <w:footnoteReference w:id="11"/>
      </w:r>
      <w:bookmarkEnd w:id="90"/>
      <w:r>
        <w:t xml:space="preserve"> </w:t>
      </w:r>
    </w:p>
    <w:p w14:paraId="2C0C0B38" w14:textId="411930CF" w:rsidR="00735212" w:rsidRPr="00735212" w:rsidRDefault="00735212" w:rsidP="00735212">
      <w:pPr>
        <w:pStyle w:val="Heading5"/>
      </w:pPr>
      <w:r>
        <w:t>Outputs</w:t>
      </w:r>
    </w:p>
    <w:p w14:paraId="2BF31F25" w14:textId="354BA791" w:rsidR="002238CE" w:rsidRPr="0045362D" w:rsidRDefault="002238CE" w:rsidP="002238CE">
      <w:pPr>
        <w:pStyle w:val="BodyText"/>
      </w:pPr>
      <w:r w:rsidRPr="0045362D">
        <w:t>$8.6 million has been dedicated to specialist homelessness services in this budget, and I understand that is the first real increase in many years. What circumstances have brought about the need for this investment and how are you hoping that this investment will change the experiences of people experiencing, or at risk of experiencing, homelessness?</w:t>
      </w:r>
    </w:p>
    <w:p w14:paraId="5FF2DBD4" w14:textId="052C11E3" w:rsidR="002238CE" w:rsidRPr="0045362D" w:rsidRDefault="002238CE" w:rsidP="002238CE">
      <w:pPr>
        <w:pStyle w:val="BodyText"/>
      </w:pPr>
      <w:r w:rsidRPr="0045362D">
        <w:t>what are some of the specific activities a professional working in the specialist homelessness sector does to support people living with homelessness, and how will this funding increase their capacity to do those activities?</w:t>
      </w:r>
    </w:p>
    <w:p w14:paraId="460373CF" w14:textId="436B2A6D" w:rsidR="002238CE" w:rsidRPr="0045362D" w:rsidRDefault="002238CE" w:rsidP="002238CE">
      <w:pPr>
        <w:pStyle w:val="BodyText"/>
      </w:pPr>
      <w:r w:rsidRPr="0045362D">
        <w:t>In the accountability indicators, it mentions that the client service visits for Housing ACT properties was almost 2,000 fewer than the targeted 11,000 for 2020-21</w:t>
      </w:r>
      <w:proofErr w:type="gramStart"/>
      <w:r w:rsidRPr="0045362D">
        <w:t>. .</w:t>
      </w:r>
      <w:proofErr w:type="gramEnd"/>
    </w:p>
    <w:p w14:paraId="1C422413" w14:textId="77777777" w:rsidR="002238CE" w:rsidRPr="0045362D" w:rsidRDefault="002238CE" w:rsidP="002238CE">
      <w:pPr>
        <w:pStyle w:val="BodyText"/>
      </w:pPr>
      <w:r w:rsidRPr="0045362D">
        <w:t>why are client services visits less than one per household per year?</w:t>
      </w:r>
    </w:p>
    <w:p w14:paraId="306E9FA1" w14:textId="7F2393A8" w:rsidR="002238CE" w:rsidRPr="0045362D" w:rsidRDefault="002238CE" w:rsidP="002238CE">
      <w:pPr>
        <w:pStyle w:val="BodyText"/>
      </w:pPr>
      <w:r w:rsidRPr="0045362D">
        <w:t xml:space="preserve">looking at the satisfaction with the provision of public housing, the 2021 target is 76 per cent. The interim outcome 2021-22 is 63 per cent, with a target of 76 per cent. </w:t>
      </w:r>
      <w:r w:rsidR="00E670EE">
        <w:t>W</w:t>
      </w:r>
      <w:r w:rsidRPr="0045362D">
        <w:t>hat is the government doing through this budget to improve satisfaction with public housing in the ACT?</w:t>
      </w:r>
    </w:p>
    <w:p w14:paraId="331CA820" w14:textId="07D09533" w:rsidR="002238CE" w:rsidRPr="0045362D" w:rsidRDefault="00E670EE" w:rsidP="002238CE">
      <w:pPr>
        <w:pStyle w:val="BodyText"/>
      </w:pPr>
      <w:r>
        <w:t>H</w:t>
      </w:r>
      <w:r w:rsidR="002238CE" w:rsidRPr="0045362D">
        <w:t xml:space="preserve">ow many applications were received and allocated to that greatest-need category for placement in 90 days in 2020-21? </w:t>
      </w:r>
      <w:r>
        <w:t>H</w:t>
      </w:r>
      <w:r w:rsidR="002238CE" w:rsidRPr="0045362D">
        <w:t xml:space="preserve">ow many are expected in the following financial year? </w:t>
      </w:r>
    </w:p>
    <w:p w14:paraId="31548D0F" w14:textId="5C96A963" w:rsidR="002238CE" w:rsidRPr="0045362D" w:rsidRDefault="002238CE" w:rsidP="002238CE">
      <w:pPr>
        <w:pStyle w:val="BodyText"/>
      </w:pPr>
      <w:proofErr w:type="gramStart"/>
      <w:r w:rsidRPr="0045362D">
        <w:t>.What</w:t>
      </w:r>
      <w:proofErr w:type="gramEnd"/>
      <w:r w:rsidRPr="0045362D">
        <w:t xml:space="preserve"> is the expected change in waiting days, given the state of the private rental market, and the forecast decrease of social housing stock? </w:t>
      </w:r>
    </w:p>
    <w:p w14:paraId="7888C96F" w14:textId="4F2423DD" w:rsidR="002238CE" w:rsidRPr="0045362D" w:rsidRDefault="00D14282" w:rsidP="002238CE">
      <w:pPr>
        <w:pStyle w:val="BodyText"/>
      </w:pPr>
      <w:r>
        <w:t xml:space="preserve">What is the </w:t>
      </w:r>
      <w:r w:rsidR="002238CE" w:rsidRPr="0045362D">
        <w:t xml:space="preserve">process around detainees at the AMC and how they are released into social community housing, particularly as they come up for </w:t>
      </w:r>
      <w:proofErr w:type="gramStart"/>
      <w:r w:rsidR="002238CE" w:rsidRPr="0045362D">
        <w:t>parole</w:t>
      </w:r>
      <w:r>
        <w:t>.</w:t>
      </w:r>
      <w:proofErr w:type="gramEnd"/>
      <w:r>
        <w:t xml:space="preserve">  </w:t>
      </w:r>
      <w:proofErr w:type="gramStart"/>
      <w:r>
        <w:t xml:space="preserve">To </w:t>
      </w:r>
      <w:r w:rsidR="002238CE" w:rsidRPr="0045362D">
        <w:t xml:space="preserve"> have</w:t>
      </w:r>
      <w:proofErr w:type="gramEnd"/>
      <w:r w:rsidR="002238CE" w:rsidRPr="0045362D">
        <w:t xml:space="preserve"> safe housing is a decision</w:t>
      </w:r>
      <w:r w:rsidR="002238CE" w:rsidRPr="0045362D">
        <w:noBreakHyphen/>
        <w:t xml:space="preserve">making factor for a parole board. So how does Housing ACT work with that? </w:t>
      </w:r>
    </w:p>
    <w:p w14:paraId="40ED2827" w14:textId="6B61149F" w:rsidR="002238CE" w:rsidRPr="0045362D" w:rsidRDefault="00D14282" w:rsidP="002238CE">
      <w:pPr>
        <w:pStyle w:val="BodyText"/>
      </w:pPr>
      <w:r>
        <w:t xml:space="preserve">How does a person </w:t>
      </w:r>
      <w:r w:rsidR="002238CE" w:rsidRPr="0045362D">
        <w:t>who was not a tenant when they went into AMC but would need public housing when they are due to come out</w:t>
      </w:r>
      <w:r>
        <w:t xml:space="preserve"> proceed</w:t>
      </w:r>
      <w:r w:rsidR="002238CE" w:rsidRPr="0045362D">
        <w:t xml:space="preserve">? How would they engage the system in a timely manner so they would be eligible for parole and have a safe home to go to? </w:t>
      </w:r>
    </w:p>
    <w:p w14:paraId="0522B972" w14:textId="1CB8D2DD" w:rsidR="00062A22" w:rsidRPr="0045362D" w:rsidRDefault="00D14282" w:rsidP="00062A22">
      <w:pPr>
        <w:pStyle w:val="BodyText"/>
      </w:pPr>
      <w:r>
        <w:t>E</w:t>
      </w:r>
      <w:r w:rsidR="00062A22" w:rsidRPr="0045362D">
        <w:t>mergency COVID accommodation during the lockdown</w:t>
      </w:r>
      <w:r>
        <w:t xml:space="preserve"> has led to </w:t>
      </w:r>
      <w:proofErr w:type="gramStart"/>
      <w:r>
        <w:t xml:space="preserve">a </w:t>
      </w:r>
      <w:r w:rsidR="00062A22" w:rsidRPr="0045362D">
        <w:t xml:space="preserve"> response</w:t>
      </w:r>
      <w:proofErr w:type="gramEnd"/>
      <w:r w:rsidR="00062A22" w:rsidRPr="0045362D">
        <w:t xml:space="preserve"> </w:t>
      </w:r>
      <w:r>
        <w:t xml:space="preserve">that has </w:t>
      </w:r>
      <w:r w:rsidR="00062A22" w:rsidRPr="0045362D">
        <w:t xml:space="preserve">been to temporarily house rough sleepers in hotels. Are you able to confirm that? What is the plan for these people when that emergency COVID accommodation in hotels runs out? </w:t>
      </w:r>
    </w:p>
    <w:p w14:paraId="62E34B78" w14:textId="0BC74932" w:rsidR="00062A22" w:rsidRPr="0045362D" w:rsidRDefault="00D14282" w:rsidP="00062A22">
      <w:pPr>
        <w:pStyle w:val="BodyText"/>
      </w:pPr>
      <w:r>
        <w:t>W</w:t>
      </w:r>
      <w:r w:rsidR="00062A22" w:rsidRPr="0045362D">
        <w:t xml:space="preserve">hy is that percentage of those that are homeless or at risk who engage these services from the start to achieving independent living just 63 per cent? </w:t>
      </w:r>
    </w:p>
    <w:p w14:paraId="20310576" w14:textId="7BA59E44" w:rsidR="00062A22" w:rsidRPr="0045362D" w:rsidRDefault="00ED69BB" w:rsidP="00062A22">
      <w:pPr>
        <w:pStyle w:val="BodyText"/>
      </w:pPr>
      <w:r>
        <w:t>E</w:t>
      </w:r>
      <w:r w:rsidR="00062A22" w:rsidRPr="0045362D">
        <w:t xml:space="preserve">nhancing digital service delivery channels </w:t>
      </w:r>
      <w:r>
        <w:t xml:space="preserve">is aimed at ensuring </w:t>
      </w:r>
      <w:r w:rsidR="00062A22" w:rsidRPr="0045362D">
        <w:t xml:space="preserve">public housing tenants and other members of the community </w:t>
      </w:r>
      <w:proofErr w:type="gramStart"/>
      <w:r w:rsidR="00062A22" w:rsidRPr="0045362D">
        <w:t>are able to</w:t>
      </w:r>
      <w:proofErr w:type="gramEnd"/>
      <w:r w:rsidR="00062A22" w:rsidRPr="0045362D">
        <w:t xml:space="preserve"> access housing homelessness services. </w:t>
      </w:r>
      <w:r>
        <w:t xml:space="preserve"> W</w:t>
      </w:r>
      <w:r w:rsidR="00062A22" w:rsidRPr="0045362D">
        <w:t xml:space="preserve">hat work is underway? </w:t>
      </w:r>
      <w:r>
        <w:t xml:space="preserve"> </w:t>
      </w:r>
      <w:r w:rsidR="00062A22" w:rsidRPr="0045362D">
        <w:t>What is still required to get these services connected and online</w:t>
      </w:r>
    </w:p>
    <w:p w14:paraId="16F70776" w14:textId="3CED4828" w:rsidR="00E771A4" w:rsidRDefault="00E771A4" w:rsidP="00E771A4">
      <w:pPr>
        <w:pStyle w:val="Heading3"/>
      </w:pPr>
      <w:bookmarkStart w:id="91" w:name="_Toc87607418"/>
      <w:r>
        <w:t>Advice provided to the Committee by Minister Vassarotti and Officials</w:t>
      </w:r>
      <w:bookmarkEnd w:id="91"/>
      <w:r>
        <w:t xml:space="preserve"> </w:t>
      </w:r>
    </w:p>
    <w:p w14:paraId="47E671EE" w14:textId="736DF98D" w:rsidR="00C66182" w:rsidRDefault="00C66182" w:rsidP="00C66182">
      <w:pPr>
        <w:pStyle w:val="BodyText"/>
      </w:pPr>
      <w:r w:rsidRPr="00C66182">
        <w:rPr>
          <w:b/>
          <w:bCs/>
          <w:i/>
          <w:iCs/>
        </w:rPr>
        <w:t>Homelessness</w:t>
      </w:r>
      <w:r w:rsidR="00A04816">
        <w:rPr>
          <w:b/>
          <w:bCs/>
          <w:i/>
          <w:iCs/>
        </w:rPr>
        <w:t xml:space="preserve"> responses</w:t>
      </w:r>
      <w:r w:rsidRPr="00C66182">
        <w:rPr>
          <w:b/>
          <w:bCs/>
          <w:i/>
          <w:iCs/>
        </w:rPr>
        <w:t xml:space="preserve"> </w:t>
      </w:r>
      <w:r>
        <w:t xml:space="preserve">- The homelessness services sector has had significant demand on its services for </w:t>
      </w:r>
      <w:proofErr w:type="gramStart"/>
      <w:r>
        <w:t>a number of</w:t>
      </w:r>
      <w:proofErr w:type="gramEnd"/>
      <w:r>
        <w:t xml:space="preserve"> years because of the increasing complexity of people’s lives. We have come off a period where we have seen significant trauma and impacts through disasters such as the bushfire season of 2019-20 and the smoke. Obviously, the pandemic has also provided some </w:t>
      </w:r>
      <w:proofErr w:type="gramStart"/>
      <w:r>
        <w:t>really significant</w:t>
      </w:r>
      <w:proofErr w:type="gramEnd"/>
      <w:r>
        <w:t xml:space="preserve"> stressors for people. We know that through the pandemic there have been significant increases in family stress and in domestic violence. The shutting of the borders means that people have had a lot fewer options in terms of their accommodation, and we are in a context where we do see very high rentals in the private market.</w:t>
      </w:r>
    </w:p>
    <w:p w14:paraId="50C9E33F" w14:textId="3145AA8C" w:rsidR="00C66182" w:rsidRDefault="00C66182" w:rsidP="00C66182">
      <w:pPr>
        <w:pStyle w:val="BodyText"/>
      </w:pPr>
      <w:r>
        <w:t>This injection of funding means that we will be able to provide to all specialist homelessness funding an increase of 12.7 per cent to their base funding, which means that when we take away the CPI—recognising the general annual increase in costs—we will see about a 10 per cent rise in their resources. We know that that will be used for things such as supporting additional staffing and being able to increase their capacity in terms of their IT and insurances and those kinds of things</w:t>
      </w:r>
    </w:p>
    <w:p w14:paraId="3F6E029F" w14:textId="4F041413" w:rsidR="001D7463" w:rsidRDefault="001D7463" w:rsidP="001D7463">
      <w:pPr>
        <w:pStyle w:val="BodyText"/>
      </w:pPr>
      <w:r>
        <w:t xml:space="preserve">There is </w:t>
      </w:r>
      <w:r w:rsidRPr="00943564">
        <w:rPr>
          <w:i/>
          <w:iCs/>
        </w:rPr>
        <w:t>Street to Home</w:t>
      </w:r>
      <w:r>
        <w:t xml:space="preserve"> program. They are working with people who are sleeping </w:t>
      </w:r>
      <w:proofErr w:type="gramStart"/>
      <w:r>
        <w:t>rough—going</w:t>
      </w:r>
      <w:proofErr w:type="gramEnd"/>
      <w:r>
        <w:t xml:space="preserve"> up to them and having a bit of a chat in terms of their circumstances. The workers are working with them on what we can do in terms of providing them with connection to emergency accommodation. Obviously, we have emergency and crisis accommodation. That includes a range of services. You might have heard of our refuges such as Beryl Women’s refuge, Doris’s </w:t>
      </w:r>
      <w:proofErr w:type="gramStart"/>
      <w:r>
        <w:t>refuge</w:t>
      </w:r>
      <w:proofErr w:type="gramEnd"/>
      <w:r>
        <w:t xml:space="preserve"> or Toora. We have MacKillop House, which is one of the new services that I spoke about, which is providing emergency accommodation to women without children and women with children.</w:t>
      </w:r>
    </w:p>
    <w:p w14:paraId="69752D80" w14:textId="1521028A" w:rsidR="008D67F9" w:rsidRDefault="008D67F9" w:rsidP="008D67F9">
      <w:pPr>
        <w:pStyle w:val="BodyText"/>
      </w:pPr>
      <w:r w:rsidRPr="008D67F9">
        <w:rPr>
          <w:b/>
          <w:bCs/>
          <w:i/>
          <w:iCs/>
        </w:rPr>
        <w:t>Client Service Visits</w:t>
      </w:r>
      <w:r>
        <w:t xml:space="preserve"> - The home visits that we were able to do, rather than client service visits, were to check on people who we were concerned about or where there was significant community disruption in play. </w:t>
      </w:r>
      <w:r w:rsidR="00196AF0">
        <w:t>T</w:t>
      </w:r>
      <w:r>
        <w:t>here were very limited visits and on approval from senior directors.</w:t>
      </w:r>
    </w:p>
    <w:p w14:paraId="1DD7A239" w14:textId="53B1C073" w:rsidR="008D67F9" w:rsidRDefault="008D67F9" w:rsidP="008D67F9">
      <w:pPr>
        <w:pStyle w:val="BodyText"/>
      </w:pPr>
      <w:r>
        <w:t xml:space="preserve">From October we were out on the field in force and prioritised </w:t>
      </w:r>
      <w:proofErr w:type="gramStart"/>
      <w:r>
        <w:t>particular houses</w:t>
      </w:r>
      <w:proofErr w:type="gramEnd"/>
      <w:r>
        <w:t xml:space="preserve"> that we had not been to for a </w:t>
      </w:r>
      <w:r w:rsidR="00506860">
        <w:t>while or</w:t>
      </w:r>
      <w:r>
        <w:t xml:space="preserve"> had not </w:t>
      </w:r>
      <w:r w:rsidR="00196AF0">
        <w:t xml:space="preserve">been </w:t>
      </w:r>
      <w:r>
        <w:t>seen yet because they were new tenancies. Our aim was to get as close to a kind pro-rata amount of client services for the year, which we achieved.</w:t>
      </w:r>
    </w:p>
    <w:p w14:paraId="1D845942" w14:textId="193F645E" w:rsidR="007D0858" w:rsidRDefault="00BA5770" w:rsidP="00AF3E26">
      <w:pPr>
        <w:pStyle w:val="BodyText"/>
      </w:pPr>
      <w:r>
        <w:t>P</w:t>
      </w:r>
      <w:r w:rsidR="007D0858">
        <w:t xml:space="preserve">aramount during lockdown was protecting the safety of both staff and clients. Like many services delivered across the community, different operational modes </w:t>
      </w:r>
      <w:r w:rsidR="003C6F08">
        <w:t>a</w:t>
      </w:r>
      <w:r w:rsidR="007D0858">
        <w:t>re employed to make sure that safety of everybody affected was pres</w:t>
      </w:r>
      <w:r w:rsidR="00224CDD">
        <w:t>e</w:t>
      </w:r>
      <w:r w:rsidR="007D0858">
        <w:t>rved.</w:t>
      </w:r>
    </w:p>
    <w:p w14:paraId="58AC96C6" w14:textId="0A017F22" w:rsidR="00C66182" w:rsidRDefault="00BA5770" w:rsidP="00C66182">
      <w:pPr>
        <w:pStyle w:val="BodyText"/>
      </w:pPr>
      <w:r>
        <w:t>C</w:t>
      </w:r>
      <w:r w:rsidR="00224CDD">
        <w:t>lient service visits are one type of interaction. It is a particular interaction which is looking at the property once a year and checking how things are going for the client. There are other interactions that we have throughout the year, particularly for more vulnerable clients</w:t>
      </w:r>
      <w:r>
        <w:t>.</w:t>
      </w:r>
    </w:p>
    <w:p w14:paraId="005FA706" w14:textId="5E1BE41F" w:rsidR="00224CDD" w:rsidRDefault="00224CDD" w:rsidP="00224CDD">
      <w:pPr>
        <w:pStyle w:val="BodyText"/>
      </w:pPr>
      <w:r w:rsidRPr="00224CDD">
        <w:rPr>
          <w:b/>
          <w:bCs/>
          <w:i/>
          <w:iCs/>
        </w:rPr>
        <w:t>Quality Assurance for Housing</w:t>
      </w:r>
      <w:r>
        <w:t xml:space="preserve"> – </w:t>
      </w:r>
      <w:r w:rsidR="00BA5770">
        <w:t>Government is e</w:t>
      </w:r>
      <w:r>
        <w:t xml:space="preserve">xamining ways </w:t>
      </w:r>
      <w:proofErr w:type="gramStart"/>
      <w:r>
        <w:t>to  improve</w:t>
      </w:r>
      <w:proofErr w:type="gramEnd"/>
      <w:r>
        <w:t xml:space="preserve"> the way government engage on responsible maintenance. </w:t>
      </w:r>
      <w:r w:rsidR="00BA5770">
        <w:t>P</w:t>
      </w:r>
      <w:r>
        <w:t xml:space="preserve">revious work that we have done looked at choice based letting and providing some digital capability around there as well. Some activities </w:t>
      </w:r>
      <w:proofErr w:type="gramStart"/>
      <w:r>
        <w:t>are  focused</w:t>
      </w:r>
      <w:proofErr w:type="gramEnd"/>
      <w:r>
        <w:t xml:space="preserve"> around our model social landlord framework. And that focuses on empowering our clients and being at the centre of those decisions that are being made and providing consistency of decision making</w:t>
      </w:r>
      <w:r w:rsidR="00BA5770">
        <w:t>.</w:t>
      </w:r>
      <w:r>
        <w:t xml:space="preserve"> </w:t>
      </w:r>
      <w:r w:rsidR="00BA5770">
        <w:t>T</w:t>
      </w:r>
      <w:r>
        <w:t>hose elements—and providing a very key focus on them, to give the right outcomes for clients—will allow those activities to occur within there, as well.</w:t>
      </w:r>
    </w:p>
    <w:p w14:paraId="2F657B01" w14:textId="150B39D8" w:rsidR="00785526" w:rsidRDefault="00BA5770" w:rsidP="00785526">
      <w:pPr>
        <w:pStyle w:val="BodyText"/>
      </w:pPr>
      <w:r>
        <w:t>T</w:t>
      </w:r>
      <w:r w:rsidR="00785526">
        <w:t xml:space="preserve">here is a range of work </w:t>
      </w:r>
      <w:r w:rsidR="00506860">
        <w:t>in</w:t>
      </w:r>
      <w:r w:rsidR="00785526">
        <w:t xml:space="preserve"> relation to that. </w:t>
      </w:r>
      <w:r>
        <w:t>T</w:t>
      </w:r>
      <w:r w:rsidR="00785526">
        <w:t xml:space="preserve">he budget announcement does speak to that. In the February budget </w:t>
      </w:r>
      <w:r>
        <w:t xml:space="preserve">it was </w:t>
      </w:r>
      <w:r w:rsidR="00785526">
        <w:t>announce</w:t>
      </w:r>
      <w:r>
        <w:t>d</w:t>
      </w:r>
      <w:r w:rsidR="00785526">
        <w:t xml:space="preserve"> that we would have ongoing funding for a range of new services that have been important and useful through th</w:t>
      </w:r>
      <w:r w:rsidR="00C53990">
        <w:t xml:space="preserve">e </w:t>
      </w:r>
      <w:r w:rsidR="00785526">
        <w:t xml:space="preserve">latest lockdown. </w:t>
      </w:r>
      <w:r w:rsidR="00C53990">
        <w:t>A</w:t>
      </w:r>
      <w:r w:rsidR="00785526">
        <w:t xml:space="preserve">dditional funding provided to OneLink to provide emergency accommodation for people that were unable to stay safely at home. </w:t>
      </w:r>
      <w:r>
        <w:t xml:space="preserve">There has been a </w:t>
      </w:r>
      <w:r w:rsidR="00785526">
        <w:t xml:space="preserve">significant increase in use of those funds over the lockdown period. We know that some of those tools are working. </w:t>
      </w:r>
    </w:p>
    <w:p w14:paraId="709739DD" w14:textId="03ED3FB1" w:rsidR="00224CDD" w:rsidRDefault="000C6AB4" w:rsidP="00224CDD">
      <w:pPr>
        <w:pStyle w:val="BodyText"/>
      </w:pPr>
      <w:r w:rsidRPr="000C6AB4">
        <w:rPr>
          <w:b/>
          <w:bCs/>
          <w:i/>
          <w:iCs/>
        </w:rPr>
        <w:t>AMC detainees and access to housing</w:t>
      </w:r>
      <w:r>
        <w:t xml:space="preserve"> - Specifically, tenants who do not have any remaining family or residents in the house that they were in, because that tenancy would just continue otherwise. For tenants who have a period of incarceration of six months or longer, we have begun, in the last year, to have two intensive practitioners working with staff and incarcerated tenants within AMC to try and engage them—firstly, to see if they are able to give up their tenancy so we can get it back into circulation </w:t>
      </w:r>
      <w:proofErr w:type="gramStart"/>
      <w:r>
        <w:t>and also</w:t>
      </w:r>
      <w:proofErr w:type="gramEnd"/>
      <w:r>
        <w:t xml:space="preserve"> to maintain the asset</w:t>
      </w:r>
    </w:p>
    <w:p w14:paraId="43B69798" w14:textId="0FB50CFE" w:rsidR="00224CDD" w:rsidRDefault="000C6AB4" w:rsidP="00C66182">
      <w:pPr>
        <w:pStyle w:val="BodyText"/>
      </w:pPr>
      <w:r w:rsidRPr="000C6AB4">
        <w:rPr>
          <w:b/>
          <w:bCs/>
          <w:i/>
          <w:iCs/>
        </w:rPr>
        <w:t>Covid Accom</w:t>
      </w:r>
      <w:r w:rsidR="003E68AB">
        <w:rPr>
          <w:b/>
          <w:bCs/>
          <w:i/>
          <w:iCs/>
        </w:rPr>
        <w:t>m</w:t>
      </w:r>
      <w:r w:rsidRPr="000C6AB4">
        <w:rPr>
          <w:b/>
          <w:bCs/>
          <w:i/>
          <w:iCs/>
        </w:rPr>
        <w:t xml:space="preserve">odation since </w:t>
      </w:r>
      <w:r>
        <w:rPr>
          <w:b/>
          <w:bCs/>
          <w:i/>
          <w:iCs/>
        </w:rPr>
        <w:t>Augu</w:t>
      </w:r>
      <w:r w:rsidR="003E68AB">
        <w:rPr>
          <w:b/>
          <w:bCs/>
          <w:i/>
          <w:iCs/>
        </w:rPr>
        <w:t>s</w:t>
      </w:r>
      <w:r>
        <w:rPr>
          <w:b/>
          <w:bCs/>
          <w:i/>
          <w:iCs/>
        </w:rPr>
        <w:t xml:space="preserve">t 2021 </w:t>
      </w:r>
      <w:r w:rsidRPr="000C6AB4">
        <w:rPr>
          <w:b/>
          <w:bCs/>
          <w:i/>
          <w:iCs/>
        </w:rPr>
        <w:t>Lockdown</w:t>
      </w:r>
      <w:r>
        <w:t xml:space="preserve"> - Since 16 August, OneLink has accommodated more than 180 individuals and households. So that is a significant demand, and it is expected during a pandemic. That accommodation was what OneLink was </w:t>
      </w:r>
      <w:proofErr w:type="gramStart"/>
      <w:r>
        <w:t>actually funded</w:t>
      </w:r>
      <w:proofErr w:type="gramEnd"/>
      <w:r>
        <w:t xml:space="preserve"> for. So, whilst there is a challenge in terms of exit points, that accommodation fund, which was funded last year, was certainly timely </w:t>
      </w:r>
      <w:r w:rsidR="003E68AB">
        <w:t>in th</w:t>
      </w:r>
      <w:r>
        <w:t>is lockdown.</w:t>
      </w:r>
    </w:p>
    <w:p w14:paraId="5FD6B6A4" w14:textId="593D748B" w:rsidR="000C6AB4" w:rsidRDefault="000C6AB4" w:rsidP="00C66182">
      <w:pPr>
        <w:pStyle w:val="BodyText"/>
      </w:pPr>
      <w:r>
        <w:t>Th</w:t>
      </w:r>
      <w:r w:rsidR="00A17F8A">
        <w:t>e</w:t>
      </w:r>
      <w:r>
        <w:t xml:space="preserve"> Rough Sleeper Working Group consists of the Early Morning Centre, Street to Home, St Vinnie de Paul, CatholicCare with Axial, and, of course, OneLink. They have a very good idea because they have been meeting together and ensuring that they are wrapping around all the clients. They are not just providing a service at the Early Morning </w:t>
      </w:r>
      <w:r w:rsidR="00506860">
        <w:t>Centre but</w:t>
      </w:r>
      <w:r>
        <w:t xml:space="preserve"> have a line of sight as to who else is </w:t>
      </w:r>
      <w:proofErr w:type="gramStart"/>
      <w:r>
        <w:t>actually reaching</w:t>
      </w:r>
      <w:proofErr w:type="gramEnd"/>
      <w:r>
        <w:t xml:space="preserve"> out.</w:t>
      </w:r>
    </w:p>
    <w:p w14:paraId="528E384A" w14:textId="7018BCEE" w:rsidR="000C6AB4" w:rsidRDefault="000C6AB4" w:rsidP="000C6AB4">
      <w:pPr>
        <w:pStyle w:val="BodyText"/>
      </w:pPr>
      <w:r w:rsidRPr="000C6AB4">
        <w:rPr>
          <w:b/>
          <w:bCs/>
          <w:i/>
          <w:iCs/>
        </w:rPr>
        <w:t>Homeless engagement of services</w:t>
      </w:r>
      <w:r>
        <w:t xml:space="preserve"> - complexities that relate to homelessness the housing component is one part. </w:t>
      </w:r>
      <w:r w:rsidR="00A17F8A">
        <w:t>T</w:t>
      </w:r>
      <w:r>
        <w:t xml:space="preserve">he reason we really engage with these specialist providers is to provide the alternative support arrangements that need to be in place. </w:t>
      </w:r>
      <w:r w:rsidR="00A17F8A">
        <w:t>S</w:t>
      </w:r>
      <w:r>
        <w:t>ignificant mental health issues—particularly when we look at rough sleepers—and alcohol and drug dependencies, and other aspects that relate to it</w:t>
      </w:r>
      <w:r w:rsidR="00A17F8A">
        <w:t xml:space="preserve"> are important</w:t>
      </w:r>
      <w:r>
        <w:t xml:space="preserve">. The number is </w:t>
      </w:r>
      <w:proofErr w:type="gramStart"/>
      <w:r>
        <w:t>really there</w:t>
      </w:r>
      <w:proofErr w:type="gramEnd"/>
      <w:r>
        <w:t xml:space="preserve"> to identify what the complexity is and where whole-of-government responses are needed to provide greater support to those that are looking to achieve that independent aspect. The community housing providers play a significant role there, but we do play a role to bring those other supports in. </w:t>
      </w:r>
    </w:p>
    <w:p w14:paraId="1E614516" w14:textId="7D0EB4E4" w:rsidR="000C6AB4" w:rsidRDefault="000C6AB4" w:rsidP="000C6AB4">
      <w:pPr>
        <w:pStyle w:val="BodyText"/>
      </w:pPr>
      <w:r w:rsidRPr="003E4A51">
        <w:rPr>
          <w:b/>
          <w:bCs/>
          <w:i/>
          <w:iCs/>
        </w:rPr>
        <w:t>Digital services to the homeless</w:t>
      </w:r>
      <w:r>
        <w:t xml:space="preserve"> - Part of the work with the business improvement is also ensuring that our back-end processes have been streamlined and that we are able to be very predictive and consistent in how we respond to our clients. Part of the early work —</w:t>
      </w:r>
      <w:proofErr w:type="gramStart"/>
      <w:r>
        <w:t>and  mentioned</w:t>
      </w:r>
      <w:proofErr w:type="gramEnd"/>
      <w:r>
        <w:t xml:space="preserve"> previously—is choice-based letting. That has been a digital service that allowed clients to look at housing, get photos, get more information, and get an identification of those houses. They can view it before they </w:t>
      </w:r>
      <w:proofErr w:type="gramStart"/>
      <w:r>
        <w:t>actually go</w:t>
      </w:r>
      <w:proofErr w:type="gramEnd"/>
      <w:r>
        <w:t xml:space="preserve"> there, as well. So, again, it is looking at providing early information. We had great success from that. </w:t>
      </w:r>
    </w:p>
    <w:p w14:paraId="6400212A" w14:textId="54EDB9AE" w:rsidR="003E4A51" w:rsidRDefault="00A17F8A" w:rsidP="003E4A51">
      <w:pPr>
        <w:pStyle w:val="BodyText"/>
      </w:pPr>
      <w:r>
        <w:t>We are c</w:t>
      </w:r>
      <w:r w:rsidR="003E4A51">
        <w:t xml:space="preserve">onscious as to the limitations and barriers for service. Many of our cohort do not have mobile phones, as an example, and they are very concerned about engaging with government online. </w:t>
      </w:r>
      <w:r w:rsidR="00506860">
        <w:t>So,</w:t>
      </w:r>
      <w:r w:rsidR="003E4A51">
        <w:t xml:space="preserve"> we ensure that our services can be done in a digital way or by any other mechanism, such as email, phone calls, or in person through our central access point. </w:t>
      </w:r>
    </w:p>
    <w:p w14:paraId="68A4A5FA" w14:textId="2FA6C1A4" w:rsidR="000D6B0B" w:rsidRDefault="000D6B0B" w:rsidP="000D6B0B">
      <w:pPr>
        <w:pStyle w:val="Heading3"/>
      </w:pPr>
      <w:bookmarkStart w:id="92" w:name="_Toc87607419"/>
      <w:r>
        <w:t>Committee Comment</w:t>
      </w:r>
      <w:bookmarkEnd w:id="92"/>
    </w:p>
    <w:p w14:paraId="0F805E36" w14:textId="77777777" w:rsidR="000D6B0B" w:rsidRDefault="000D6B0B" w:rsidP="000D6B0B">
      <w:pPr>
        <w:pStyle w:val="BodyText"/>
      </w:pPr>
      <w:r>
        <w:t>Committee Comment set out.</w:t>
      </w:r>
    </w:p>
    <w:p w14:paraId="4AAAF0CB" w14:textId="6C0EC24B" w:rsidR="000D6B0B" w:rsidRDefault="000D6B0B" w:rsidP="000D6B0B">
      <w:pPr>
        <w:pStyle w:val="RecommendationHeading"/>
        <w:keepNext/>
      </w:pPr>
      <w:bookmarkStart w:id="93" w:name="_Toc87607655"/>
      <w:r>
        <w:t>Recommendation 1</w:t>
      </w:r>
      <w:r w:rsidR="009D2547">
        <w:t>4</w:t>
      </w:r>
      <w:bookmarkEnd w:id="93"/>
    </w:p>
    <w:p w14:paraId="1AE477E9" w14:textId="0D0A71BA" w:rsidR="000D6B0B" w:rsidRDefault="000D6B0B" w:rsidP="000D6B0B">
      <w:pPr>
        <w:pStyle w:val="RecommendationText"/>
      </w:pPr>
      <w:bookmarkStart w:id="94" w:name="_Toc87607656"/>
      <w:r>
        <w:t>The Committee recommends that the ACT Government</w:t>
      </w:r>
      <w:r w:rsidR="008C2DC9">
        <w:t xml:space="preserve"> ensure that</w:t>
      </w:r>
      <w:r w:rsidR="00F92C6A">
        <w:t xml:space="preserve"> </w:t>
      </w:r>
      <w:r w:rsidR="008C2DC9">
        <w:t>AMC detainees are not disadvantaged during parole hearings through providing a guarantee of housing either through Justice Housing or Housing ACT.</w:t>
      </w:r>
      <w:bookmarkEnd w:id="94"/>
    </w:p>
    <w:p w14:paraId="65224391" w14:textId="77777777" w:rsidR="00F85181" w:rsidRDefault="00F85181" w:rsidP="00E771A4">
      <w:pPr>
        <w:pStyle w:val="Heading3"/>
      </w:pPr>
    </w:p>
    <w:p w14:paraId="22A5E80F" w14:textId="41654559" w:rsidR="00E771A4" w:rsidRDefault="00E771A4" w:rsidP="00E771A4">
      <w:pPr>
        <w:pStyle w:val="Heading3"/>
      </w:pPr>
      <w:bookmarkStart w:id="95" w:name="_Toc87607420"/>
      <w:r>
        <w:t xml:space="preserve">Matters Raised by the Committee with Minister Stephen-Smith </w:t>
      </w:r>
      <w:r w:rsidR="00735212">
        <w:rPr>
          <w:rStyle w:val="FootnoteReference"/>
        </w:rPr>
        <w:footnoteReference w:id="12"/>
      </w:r>
      <w:bookmarkEnd w:id="95"/>
    </w:p>
    <w:p w14:paraId="58E1272E" w14:textId="729883B3" w:rsidR="00F20CAF" w:rsidRDefault="00F20CAF" w:rsidP="00F20CAF">
      <w:pPr>
        <w:pStyle w:val="Heading5"/>
      </w:pPr>
      <w:r>
        <w:t>Outputs</w:t>
      </w:r>
      <w:r w:rsidR="00822982">
        <w:t xml:space="preserve"> considered</w:t>
      </w:r>
      <w:r>
        <w:t xml:space="preserve"> – </w:t>
      </w:r>
    </w:p>
    <w:p w14:paraId="3D024148" w14:textId="6F85CA42" w:rsidR="00F20CAF" w:rsidRPr="0045362D" w:rsidRDefault="00F20CAF" w:rsidP="00F20CAF">
      <w:pPr>
        <w:pStyle w:val="BodyText"/>
      </w:pPr>
      <w:r w:rsidRPr="0045362D">
        <w:t xml:space="preserve">In the budget </w:t>
      </w:r>
      <w:r w:rsidR="00A17F8A">
        <w:t xml:space="preserve">it notes </w:t>
      </w:r>
      <w:r w:rsidRPr="0045362D">
        <w:t>you are funding acute streaming within the emergency department. Can you explain to me what this is likely to look like and how it is going to differ from normal triaging?</w:t>
      </w:r>
    </w:p>
    <w:p w14:paraId="275CD8C4" w14:textId="371F5423" w:rsidR="00F20CAF" w:rsidRPr="0045362D" w:rsidRDefault="00A17F8A" w:rsidP="00F20CAF">
      <w:pPr>
        <w:pStyle w:val="BodyText"/>
      </w:pPr>
      <w:r>
        <w:t xml:space="preserve">Can you </w:t>
      </w:r>
      <w:r w:rsidR="00F20CAF" w:rsidRPr="0045362D">
        <w:t xml:space="preserve">provide an overview of the significant increases in health funding made in this </w:t>
      </w:r>
      <w:proofErr w:type="gramStart"/>
      <w:r w:rsidR="00F20CAF" w:rsidRPr="0045362D">
        <w:t>budget.</w:t>
      </w:r>
      <w:proofErr w:type="gramEnd"/>
    </w:p>
    <w:p w14:paraId="57D7C508" w14:textId="093F7FCF" w:rsidR="00F20CAF" w:rsidRPr="0045362D" w:rsidRDefault="00F20CAF" w:rsidP="00F20CAF">
      <w:pPr>
        <w:pStyle w:val="BodyText"/>
      </w:pPr>
      <w:r w:rsidRPr="0045362D">
        <w:t xml:space="preserve">All state and territory health ministers, both Labor and Liberal, have written to the </w:t>
      </w:r>
      <w:r w:rsidR="00A17F8A">
        <w:t>C</w:t>
      </w:r>
      <w:r w:rsidRPr="0045362D">
        <w:t xml:space="preserve">ommonwealth government regarding the health funding that has been provided to the states and territories. </w:t>
      </w:r>
      <w:r w:rsidR="00A17F8A">
        <w:t xml:space="preserve">Can </w:t>
      </w:r>
      <w:r w:rsidRPr="0045362D">
        <w:t xml:space="preserve">you explain to the committee why that letter was written and what the implications are for states and </w:t>
      </w:r>
      <w:proofErr w:type="gramStart"/>
      <w:r w:rsidRPr="0045362D">
        <w:t>territories.</w:t>
      </w:r>
      <w:proofErr w:type="gramEnd"/>
    </w:p>
    <w:p w14:paraId="0BAEB0EE" w14:textId="1AB1DD59" w:rsidR="00F20CAF" w:rsidRPr="0045362D" w:rsidRDefault="0016223D" w:rsidP="00F20CAF">
      <w:pPr>
        <w:pStyle w:val="BodyText"/>
      </w:pPr>
      <w:r>
        <w:t xml:space="preserve">Why </w:t>
      </w:r>
      <w:r w:rsidR="00506860">
        <w:t>were</w:t>
      </w:r>
      <w:r>
        <w:t xml:space="preserve"> s</w:t>
      </w:r>
      <w:r w:rsidR="00F20CAF" w:rsidRPr="0045362D">
        <w:t>trategic and financial review recommendations made back in 2006 that the ACT adopt a 6.2 per cent funding envelope for health services</w:t>
      </w:r>
    </w:p>
    <w:p w14:paraId="5E95F7B9" w14:textId="77777777" w:rsidR="00F20CAF" w:rsidRPr="0045362D" w:rsidRDefault="00F20CAF" w:rsidP="00F20CAF">
      <w:pPr>
        <w:pStyle w:val="BodyText"/>
      </w:pPr>
      <w:r w:rsidRPr="0045362D">
        <w:t xml:space="preserve">I understand that this budget invests in ongoing essential infrastructure at the Calvary Public Hospital in Bruce, totalling about $20 million over three years. Is the facility at Bruce owned by the ACT government, and what are the arrangements under which Calvary is funded, particularly when it comes to these infrastructure upgrades of buildings? </w:t>
      </w:r>
    </w:p>
    <w:p w14:paraId="2FF4AEDF" w14:textId="102B3C86" w:rsidR="00F20CAF" w:rsidRPr="0045362D" w:rsidRDefault="00F20CAF" w:rsidP="00F20CAF">
      <w:pPr>
        <w:pStyle w:val="BodyText"/>
      </w:pPr>
      <w:r w:rsidRPr="0045362D">
        <w:t>Was your commitment in January this year a commitment to reach 70 per cent on the four-hour target or 70 per cent on all ED presentations being seen within clinically recommended time frames</w:t>
      </w:r>
    </w:p>
    <w:p w14:paraId="1836BF06" w14:textId="02003A86" w:rsidR="00F20CAF" w:rsidRPr="0045362D" w:rsidRDefault="0016223D" w:rsidP="00F20CAF">
      <w:pPr>
        <w:pStyle w:val="BodyText"/>
      </w:pPr>
      <w:r>
        <w:t xml:space="preserve">Noting the </w:t>
      </w:r>
      <w:r w:rsidR="00177A74">
        <w:t>i</w:t>
      </w:r>
      <w:r w:rsidR="00822982" w:rsidRPr="0045362D">
        <w:t>mprovement to nursing ratios in our hospital</w:t>
      </w:r>
      <w:r>
        <w:t>; w</w:t>
      </w:r>
      <w:r w:rsidR="00822982" w:rsidRPr="0045362D">
        <w:t>hy is this an important reform and how will it be delivered?</w:t>
      </w:r>
    </w:p>
    <w:p w14:paraId="41E081E5" w14:textId="10104B6F" w:rsidR="00822982" w:rsidRPr="0045362D" w:rsidRDefault="00177A74" w:rsidP="00822982">
      <w:pPr>
        <w:pStyle w:val="BodyText"/>
      </w:pPr>
      <w:r>
        <w:t>C</w:t>
      </w:r>
      <w:r w:rsidR="00822982" w:rsidRPr="0045362D">
        <w:t xml:space="preserve">larify how much of the $973 million of funding proposed to be provided to the ACT local health hospital network will be provided to Calvary in 2021-22? </w:t>
      </w:r>
    </w:p>
    <w:p w14:paraId="4D3769C2" w14:textId="0914D14F" w:rsidR="00822982" w:rsidRPr="0045362D" w:rsidRDefault="00177A74" w:rsidP="00822982">
      <w:pPr>
        <w:pStyle w:val="BodyText"/>
      </w:pPr>
      <w:r>
        <w:t>T</w:t>
      </w:r>
      <w:r w:rsidR="00822982" w:rsidRPr="0045362D">
        <w:t xml:space="preserve">he Health Care Consumers Association on the budget where they called on the Health Directorate to establish a health sustainability team to examine the impacts of climate change on health and health care. This is particularly relevant for people in Brindabella, who were victims of the bushfires, and the smoke that came from that. What is the government’s position on the interrelationship between climate change and health care, and the establishment of such a body? </w:t>
      </w:r>
    </w:p>
    <w:p w14:paraId="48D9BD18" w14:textId="253CF71B" w:rsidR="00822982" w:rsidRPr="0045362D" w:rsidRDefault="00177A74" w:rsidP="00822982">
      <w:pPr>
        <w:pStyle w:val="BodyText"/>
      </w:pPr>
      <w:r>
        <w:t xml:space="preserve">Government </w:t>
      </w:r>
      <w:r w:rsidR="00822982" w:rsidRPr="0045362D">
        <w:t>promised a nurse</w:t>
      </w:r>
      <w:r w:rsidR="00822982" w:rsidRPr="0045362D">
        <w:noBreakHyphen/>
        <w:t>led walk-in centre for Coombs. When will that be delivered?</w:t>
      </w:r>
    </w:p>
    <w:p w14:paraId="702F2357" w14:textId="5ADB51F1" w:rsidR="00822982" w:rsidRPr="0045362D" w:rsidRDefault="00177A74" w:rsidP="00822982">
      <w:pPr>
        <w:pStyle w:val="BodyText"/>
      </w:pPr>
      <w:r>
        <w:t xml:space="preserve">Can you </w:t>
      </w:r>
      <w:r w:rsidR="00822982" w:rsidRPr="0045362D">
        <w:t>provide an update on the planning for the south Tuggeranong walk-in centre?</w:t>
      </w:r>
    </w:p>
    <w:p w14:paraId="4BF645CC" w14:textId="24043D1E" w:rsidR="00822982" w:rsidRPr="0045362D" w:rsidRDefault="00177A74" w:rsidP="00F20CAF">
      <w:pPr>
        <w:pStyle w:val="BodyText"/>
      </w:pPr>
      <w:r>
        <w:t xml:space="preserve">There are </w:t>
      </w:r>
      <w:r w:rsidR="00822982" w:rsidRPr="0045362D">
        <w:t>currently three different vaccine mandates either in place or in the pipeline, those being hospital staff, disability workers and aged-care community-based workers, and primary school teachers and those who support them in after-school care. Can you please take the committee through the exact process for the determination of the decision on making these mandates?</w:t>
      </w:r>
    </w:p>
    <w:p w14:paraId="128F550B" w14:textId="57A7D24E" w:rsidR="00822982" w:rsidRPr="0045362D" w:rsidRDefault="00822982" w:rsidP="00F20CAF">
      <w:pPr>
        <w:pStyle w:val="BodyText"/>
      </w:pPr>
      <w:r w:rsidRPr="0045362D">
        <w:t xml:space="preserve">I have had correspondence from local </w:t>
      </w:r>
      <w:r w:rsidR="00185553" w:rsidRPr="0045362D">
        <w:t>LGBTIQA+</w:t>
      </w:r>
      <w:r w:rsidRPr="0045362D">
        <w:t xml:space="preserve"> organisations that have raised serious concerns with me about the veracity of the methodology and the outcomes proposed in the </w:t>
      </w:r>
      <w:r w:rsidR="00185553" w:rsidRPr="0045362D">
        <w:t>LGBTIQA+</w:t>
      </w:r>
      <w:r w:rsidRPr="0045362D">
        <w:t xml:space="preserve"> health scoping study. I understand that this budget funds the implementation plan of that scoping study, but if the study itself is being questioned by some of the key stakeholders, how will you ensure that the implementation plan is rigorous and has community buy-in and support?</w:t>
      </w:r>
    </w:p>
    <w:p w14:paraId="054548F9" w14:textId="7F7294F4" w:rsidR="006E7738" w:rsidRPr="0045362D" w:rsidRDefault="006E7738" w:rsidP="00F20CAF">
      <w:pPr>
        <w:pStyle w:val="BodyText"/>
      </w:pPr>
      <w:r w:rsidRPr="0045362D">
        <w:t xml:space="preserve">Will there be some assurances that those consultants will have specialist expertise around </w:t>
      </w:r>
      <w:r w:rsidR="00185553" w:rsidRPr="0045362D">
        <w:t>LGBTIQA+</w:t>
      </w:r>
      <w:r w:rsidRPr="0045362D">
        <w:t xml:space="preserve"> health?</w:t>
      </w:r>
    </w:p>
    <w:p w14:paraId="0AB8EF12" w14:textId="26C5E8EC" w:rsidR="006E7738" w:rsidRPr="0045362D" w:rsidRDefault="008C0D99" w:rsidP="00F20CAF">
      <w:pPr>
        <w:pStyle w:val="BodyText"/>
      </w:pPr>
      <w:r>
        <w:t>H</w:t>
      </w:r>
      <w:r w:rsidR="006E7738" w:rsidRPr="0045362D">
        <w:t>as the ACT commissioned or received any modelling along the lines of the Doherty modelling relating to COVID in the ACT?</w:t>
      </w:r>
    </w:p>
    <w:p w14:paraId="1941A1D3" w14:textId="7AB92148" w:rsidR="006E7738" w:rsidRPr="0045362D" w:rsidRDefault="008C0D99" w:rsidP="00F20CAF">
      <w:pPr>
        <w:pStyle w:val="BodyText"/>
      </w:pPr>
      <w:r>
        <w:t>It is noted</w:t>
      </w:r>
      <w:r w:rsidR="006E7738" w:rsidRPr="0045362D">
        <w:t xml:space="preserve"> the pill testing pilot has been funded for six months in this budget. </w:t>
      </w:r>
      <w:r w:rsidR="00506860">
        <w:t>S</w:t>
      </w:r>
      <w:r w:rsidR="00506860" w:rsidRPr="0045362D">
        <w:t>pecifically,</w:t>
      </w:r>
      <w:r w:rsidR="006E7738" w:rsidRPr="0045362D">
        <w:t xml:space="preserve"> what </w:t>
      </w:r>
      <w:r>
        <w:t xml:space="preserve">is it </w:t>
      </w:r>
      <w:r w:rsidR="006E7738" w:rsidRPr="0045362D">
        <w:t xml:space="preserve">the government would need to see </w:t>
      </w:r>
      <w:proofErr w:type="gramStart"/>
      <w:r w:rsidR="006E7738" w:rsidRPr="0045362D">
        <w:t>as a result of</w:t>
      </w:r>
      <w:proofErr w:type="gramEnd"/>
      <w:r w:rsidR="006E7738" w:rsidRPr="0045362D">
        <w:t xml:space="preserve"> that trial in order to ensure continuity of the program into the forward years</w:t>
      </w:r>
      <w:r w:rsidR="000F260D" w:rsidRPr="0045362D">
        <w:t>.</w:t>
      </w:r>
    </w:p>
    <w:p w14:paraId="5B728FF5" w14:textId="4E281D1E" w:rsidR="000F260D" w:rsidRPr="0045362D" w:rsidRDefault="00506860" w:rsidP="00F20CAF">
      <w:pPr>
        <w:pStyle w:val="BodyText"/>
      </w:pPr>
      <w:r w:rsidRPr="0045362D">
        <w:t>i</w:t>
      </w:r>
      <w:r>
        <w:t>n</w:t>
      </w:r>
      <w:r w:rsidR="000F260D" w:rsidRPr="0045362D">
        <w:t xml:space="preserve"> relation to the $50 million allocated to be spent on introducing new nurses over the next four years, what portion of that is for wards and beds, and will it </w:t>
      </w:r>
      <w:proofErr w:type="gramStart"/>
      <w:r w:rsidR="000F260D" w:rsidRPr="0045362D">
        <w:t>actually achieve</w:t>
      </w:r>
      <w:proofErr w:type="gramEnd"/>
      <w:r w:rsidR="000F260D" w:rsidRPr="0045362D">
        <w:t xml:space="preserve"> the appropriate </w:t>
      </w:r>
      <w:bookmarkStart w:id="96" w:name="_Hlk86238572"/>
      <w:r w:rsidR="000F260D" w:rsidRPr="0045362D">
        <w:t>staff-patient ratio</w:t>
      </w:r>
      <w:bookmarkEnd w:id="96"/>
      <w:r w:rsidR="000F260D" w:rsidRPr="0045362D">
        <w:t>?</w:t>
      </w:r>
    </w:p>
    <w:p w14:paraId="3D45B01F" w14:textId="0795766B" w:rsidR="00F82691" w:rsidRPr="0045362D" w:rsidRDefault="008C0D99" w:rsidP="00F20CAF">
      <w:pPr>
        <w:pStyle w:val="BodyText"/>
      </w:pPr>
      <w:r>
        <w:t xml:space="preserve">Can you </w:t>
      </w:r>
      <w:r w:rsidR="00F82691" w:rsidRPr="0045362D">
        <w:t xml:space="preserve">inform the committee about the new model of patient navigation that you are seeking to </w:t>
      </w:r>
      <w:proofErr w:type="gramStart"/>
      <w:r w:rsidR="00F82691" w:rsidRPr="0045362D">
        <w:t>implement</w:t>
      </w:r>
      <w:r w:rsidR="00D97643">
        <w:t>.</w:t>
      </w:r>
      <w:proofErr w:type="gramEnd"/>
    </w:p>
    <w:p w14:paraId="5542438C" w14:textId="063F161F" w:rsidR="000F260D" w:rsidRPr="0045362D" w:rsidRDefault="000F260D" w:rsidP="000F260D">
      <w:pPr>
        <w:pStyle w:val="BodyText"/>
      </w:pPr>
      <w:r w:rsidRPr="0045362D">
        <w:t xml:space="preserve"> How much money has been allocated in this budget for quit smoking programs?</w:t>
      </w:r>
    </w:p>
    <w:p w14:paraId="6DC84297" w14:textId="18C9C67C" w:rsidR="000F260D" w:rsidRPr="0045362D" w:rsidRDefault="008C0D99" w:rsidP="000F260D">
      <w:pPr>
        <w:pStyle w:val="BodyText"/>
      </w:pPr>
      <w:r>
        <w:t xml:space="preserve">Can you explain </w:t>
      </w:r>
      <w:r w:rsidR="000F260D" w:rsidRPr="0045362D">
        <w:t xml:space="preserve">how the duration that a COVID-19 patient stays in ICU in hospital has evolved over the duration of the pandemic, as treatments, no doubt, have improved? </w:t>
      </w:r>
      <w:proofErr w:type="gramStart"/>
      <w:r w:rsidR="000F260D" w:rsidRPr="0045362D">
        <w:t>have to</w:t>
      </w:r>
      <w:proofErr w:type="gramEnd"/>
      <w:r w:rsidR="000F260D" w:rsidRPr="0045362D">
        <w:t xml:space="preserve"> learn to manage the risk of COVID</w:t>
      </w:r>
      <w:r w:rsidR="000F260D" w:rsidRPr="0045362D">
        <w:noBreakHyphen/>
        <w:t xml:space="preserve">19? And at what point will that </w:t>
      </w:r>
      <w:proofErr w:type="gramStart"/>
      <w:r w:rsidR="000F260D" w:rsidRPr="0045362D">
        <w:t>actually start</w:t>
      </w:r>
      <w:proofErr w:type="gramEnd"/>
      <w:r w:rsidR="000F260D" w:rsidRPr="0045362D">
        <w:t xml:space="preserve"> to really come into effect? </w:t>
      </w:r>
    </w:p>
    <w:p w14:paraId="0C6B702E" w14:textId="3549E733" w:rsidR="000F260D" w:rsidRPr="0045362D" w:rsidRDefault="008C0D99" w:rsidP="000F260D">
      <w:pPr>
        <w:pStyle w:val="BodyText"/>
      </w:pPr>
      <w:r>
        <w:t xml:space="preserve">Can the Committee have an </w:t>
      </w:r>
      <w:r w:rsidR="000F260D" w:rsidRPr="0045362D">
        <w:t xml:space="preserve">update on the development of the next ACT drug strategy action plan What is the actual work that needs to be undertaken? Is there formal consultation with stakeholders? Is there community consultation? What is the process that we will be going </w:t>
      </w:r>
      <w:proofErr w:type="gramStart"/>
      <w:r w:rsidR="000F260D" w:rsidRPr="0045362D">
        <w:t>through?.</w:t>
      </w:r>
      <w:proofErr w:type="gramEnd"/>
      <w:r w:rsidR="000F260D" w:rsidRPr="0045362D">
        <w:t xml:space="preserve"> </w:t>
      </w:r>
    </w:p>
    <w:p w14:paraId="35567F2A" w14:textId="51E04681" w:rsidR="00AB4F65" w:rsidRPr="0045362D" w:rsidRDefault="008C0D99" w:rsidP="00AB4F65">
      <w:pPr>
        <w:pStyle w:val="BodyText"/>
      </w:pPr>
      <w:r>
        <w:t xml:space="preserve">Can the Committee </w:t>
      </w:r>
      <w:r w:rsidR="00AB4F65" w:rsidRPr="0045362D">
        <w:t xml:space="preserve">understand how the funding allocation for the Watson health precinct redevelopment has been modelled and whether the $803,000 that has been allocated will be enough for the design and redevelopment of three </w:t>
      </w:r>
      <w:proofErr w:type="gramStart"/>
      <w:r w:rsidR="00AB4F65" w:rsidRPr="0045362D">
        <w:t>facilities;</w:t>
      </w:r>
      <w:proofErr w:type="gramEnd"/>
      <w:r w:rsidR="00AB4F65" w:rsidRPr="0045362D">
        <w:t xml:space="preserve"> Ted Noffs, Catholic Care and the brand new Aboriginal and Torres Strait Islander residential rehab centre.</w:t>
      </w:r>
      <w:r>
        <w:t xml:space="preserve"> Are involved.</w:t>
      </w:r>
    </w:p>
    <w:p w14:paraId="36AF9BE2" w14:textId="31FE258A" w:rsidR="000F260D" w:rsidRPr="0045362D" w:rsidRDefault="008C0D99" w:rsidP="000F260D">
      <w:pPr>
        <w:pStyle w:val="BodyText"/>
      </w:pPr>
      <w:r>
        <w:t>What c</w:t>
      </w:r>
      <w:r w:rsidR="003E06C8" w:rsidRPr="0045362D">
        <w:t>onsultation is happening with both Winnunga and the two organisations currently on the site, Ted Noffs and Catholic Care? Not just on the redevelopment of that site but any risks or opportunities that might present in the future redevelopment of those three facilities being co-located in such a way?</w:t>
      </w:r>
    </w:p>
    <w:p w14:paraId="0AFF8198" w14:textId="776A2896" w:rsidR="003E06C8" w:rsidRPr="0045362D" w:rsidRDefault="008C0D99" w:rsidP="003E06C8">
      <w:pPr>
        <w:pStyle w:val="BodyText"/>
      </w:pPr>
      <w:r>
        <w:t xml:space="preserve">What </w:t>
      </w:r>
      <w:r w:rsidR="003E06C8" w:rsidRPr="0045362D">
        <w:t xml:space="preserve">information </w:t>
      </w:r>
      <w:r>
        <w:t xml:space="preserve">do you have </w:t>
      </w:r>
      <w:r w:rsidR="003E06C8" w:rsidRPr="0045362D">
        <w:t xml:space="preserve">on how you are using devices known as medihoods? </w:t>
      </w:r>
    </w:p>
    <w:p w14:paraId="66254AD5" w14:textId="1871616B" w:rsidR="00A0436E" w:rsidRPr="0045362D" w:rsidRDefault="008C0D99" w:rsidP="00A0436E">
      <w:pPr>
        <w:pStyle w:val="BodyText"/>
      </w:pPr>
      <w:r>
        <w:t xml:space="preserve">How are </w:t>
      </w:r>
      <w:r w:rsidR="00A0436E" w:rsidRPr="0045362D">
        <w:t xml:space="preserve">walk-in centre presentations </w:t>
      </w:r>
      <w:r>
        <w:t xml:space="preserve">progressing </w:t>
      </w:r>
      <w:r w:rsidR="00A0436E" w:rsidRPr="0045362D">
        <w:t xml:space="preserve">and </w:t>
      </w:r>
      <w:proofErr w:type="gramStart"/>
      <w:r w:rsidR="00A0436E" w:rsidRPr="0045362D">
        <w:t>whether or not</w:t>
      </w:r>
      <w:proofErr w:type="gramEnd"/>
      <w:r w:rsidR="00A0436E" w:rsidRPr="0045362D">
        <w:t xml:space="preserve"> we are meeting our targets?</w:t>
      </w:r>
    </w:p>
    <w:p w14:paraId="4EDBD87B" w14:textId="52066F4D" w:rsidR="003E06C8" w:rsidRPr="0045362D" w:rsidRDefault="008C0D99" w:rsidP="003E06C8">
      <w:pPr>
        <w:pStyle w:val="BodyText"/>
      </w:pPr>
      <w:r>
        <w:t xml:space="preserve">Can the Committee have </w:t>
      </w:r>
      <w:r w:rsidR="00506860">
        <w:t>an</w:t>
      </w:r>
      <w:r>
        <w:t xml:space="preserve"> </w:t>
      </w:r>
      <w:r w:rsidR="003E06C8" w:rsidRPr="0045362D">
        <w:t xml:space="preserve">update on the culture review recommendations? How many have been implemented and how many do you expect to have completed by the end of this calendar year? </w:t>
      </w:r>
    </w:p>
    <w:p w14:paraId="51C45E71" w14:textId="08BBBA2A" w:rsidR="00E771A4" w:rsidRDefault="006F538B" w:rsidP="00E771A4">
      <w:pPr>
        <w:pStyle w:val="Heading3"/>
      </w:pPr>
      <w:bookmarkStart w:id="97" w:name="_Toc87607421"/>
      <w:r>
        <w:t xml:space="preserve">Responses </w:t>
      </w:r>
      <w:r w:rsidR="00E771A4">
        <w:t>to the Committee by Minister Stephen-Smith and Officials</w:t>
      </w:r>
      <w:bookmarkEnd w:id="97"/>
      <w:r w:rsidR="00E771A4">
        <w:t xml:space="preserve"> </w:t>
      </w:r>
    </w:p>
    <w:p w14:paraId="4F3DC779" w14:textId="42E43C00" w:rsidR="006F538B" w:rsidRDefault="006F538B" w:rsidP="006F538B">
      <w:pPr>
        <w:pStyle w:val="BodyText"/>
      </w:pPr>
      <w:r w:rsidRPr="006F538B">
        <w:rPr>
          <w:b/>
          <w:bCs/>
          <w:i/>
          <w:iCs/>
        </w:rPr>
        <w:t>Acute case streaming</w:t>
      </w:r>
      <w:r>
        <w:t xml:space="preserve"> - There are </w:t>
      </w:r>
      <w:proofErr w:type="gramStart"/>
      <w:r>
        <w:t>a number of</w:t>
      </w:r>
      <w:proofErr w:type="gramEnd"/>
      <w:r>
        <w:t xml:space="preserve"> aspects to the budget initiative. Really, what we are attempting to do—and there has been a lot of design work that has been in flight for a while, being led by our Clinical Director and the two deputy directors in the department—is redefine the role of the emergency department as the emerging front door to the broader health service and attempt to stream, in a much more efficient way, patients coming into the service.</w:t>
      </w:r>
    </w:p>
    <w:p w14:paraId="7EB26FAF" w14:textId="519F742B" w:rsidR="006F538B" w:rsidRDefault="006F538B" w:rsidP="006F538B">
      <w:pPr>
        <w:pStyle w:val="BodyText"/>
      </w:pPr>
      <w:r>
        <w:t xml:space="preserve">A simple explanation is: if the patient presents, there are a series of diagnostic workup decisions that can be made and all of them can be made in the emergency department. Some of them can be made quite rapidly in the emergency department with our experienced emergency consultants and they can determine that yes, a patient will need to be admitted; they need acute-level care; and </w:t>
      </w:r>
      <w:r w:rsidR="00506860">
        <w:t>so,</w:t>
      </w:r>
      <w:r>
        <w:t xml:space="preserve"> they will be admitted. Then it becomes a decision: do the following-on diagnostic decisions </w:t>
      </w:r>
      <w:proofErr w:type="gramStart"/>
      <w:r>
        <w:t>actually get</w:t>
      </w:r>
      <w:proofErr w:type="gramEnd"/>
      <w:r>
        <w:t xml:space="preserve"> made within the department or is it more efficient to actually move those patients into our facility where some of that work can be done?</w:t>
      </w:r>
    </w:p>
    <w:p w14:paraId="7EABB0E1" w14:textId="757C04C5" w:rsidR="006F538B" w:rsidRDefault="006F538B" w:rsidP="006F538B">
      <w:pPr>
        <w:pStyle w:val="BodyText"/>
      </w:pPr>
      <w:r w:rsidRPr="006F538B">
        <w:rPr>
          <w:b/>
          <w:bCs/>
          <w:i/>
          <w:iCs/>
        </w:rPr>
        <w:t>Current year funding – increase</w:t>
      </w:r>
      <w:r>
        <w:t xml:space="preserve"> – there was a rise to more than $2.1 billion in 2021-22. That represents an increase of almost $130 million or 6½ per cent on the 2020-21 outcome. Recurrent funding for new initiatives is almost $180 million, and $690 million over four years… A couple of things have led to this increase in funding. We have compared the last four years to the coming four years. There is a $1½ billion </w:t>
      </w:r>
      <w:proofErr w:type="gramStart"/>
      <w:r>
        <w:t>difference</w:t>
      </w:r>
      <w:proofErr w:type="gramEnd"/>
      <w:r>
        <w:t xml:space="preserve"> between those two four</w:t>
      </w:r>
      <w:r>
        <w:noBreakHyphen/>
        <w:t xml:space="preserve">year periods. This is a re-examination of the health funding envelope for the entire portfolio of health, including mental health, and having a look at the indexation arrangements for funding under what is described as the health funding envelope or the new health funding model, and then of course funding some </w:t>
      </w:r>
      <w:proofErr w:type="gramStart"/>
      <w:r>
        <w:t>really significant</w:t>
      </w:r>
      <w:proofErr w:type="gramEnd"/>
      <w:r>
        <w:t xml:space="preserve"> election commitments that ACT Labor and the Greens took to the election</w:t>
      </w:r>
    </w:p>
    <w:p w14:paraId="6124BFD8" w14:textId="622D877F" w:rsidR="00341ABE" w:rsidRDefault="00341ABE" w:rsidP="00341ABE">
      <w:pPr>
        <w:pStyle w:val="BodyText"/>
      </w:pPr>
      <w:r w:rsidRPr="00341ABE">
        <w:rPr>
          <w:b/>
          <w:bCs/>
          <w:i/>
          <w:iCs/>
        </w:rPr>
        <w:t>Commonwealth</w:t>
      </w:r>
      <w:r>
        <w:rPr>
          <w:b/>
          <w:bCs/>
          <w:i/>
          <w:iCs/>
        </w:rPr>
        <w:t xml:space="preserve">- </w:t>
      </w:r>
      <w:r w:rsidRPr="00341ABE">
        <w:rPr>
          <w:b/>
          <w:bCs/>
          <w:i/>
          <w:iCs/>
        </w:rPr>
        <w:t>state funding</w:t>
      </w:r>
      <w:r>
        <w:t xml:space="preserve"> - There are multiple things that are driving some of these cost pressures </w:t>
      </w:r>
      <w:r w:rsidR="00085705">
        <w:t xml:space="preserve">and </w:t>
      </w:r>
      <w:r>
        <w:t xml:space="preserve">we think that the commonwealth has a role in addressing. One of those is to help us reduce the number of long-stay patients who are waiting for an NDIS package or an aged care bed or place. Clearly that is a commonwealth responsibility. Both NDIS, in terms of policy and accountability and rollout, is a commonwealth responsibility, and aged care is fully a commonwealth responsibility. </w:t>
      </w:r>
    </w:p>
    <w:p w14:paraId="33ADAA03" w14:textId="77777777" w:rsidR="00341ABE" w:rsidRDefault="00341ABE" w:rsidP="00341ABE">
      <w:pPr>
        <w:pStyle w:val="BodyText"/>
      </w:pPr>
      <w:r w:rsidRPr="00341ABE">
        <w:rPr>
          <w:b/>
          <w:bCs/>
          <w:i/>
          <w:iCs/>
        </w:rPr>
        <w:t>6.2 per cent funding envelope</w:t>
      </w:r>
      <w:r>
        <w:t xml:space="preserve"> - Over more recent years, that funding envelope indexation rate was set at 4.15 per cent to try to address some of the inefficiency in the system, to try to encourage more efficiency, and in recognition of the </w:t>
      </w:r>
      <w:proofErr w:type="gramStart"/>
      <w:r>
        <w:t>really rapid</w:t>
      </w:r>
      <w:proofErr w:type="gramEnd"/>
      <w:r>
        <w:t xml:space="preserve"> growth in some previous years that simply could not be sustained at that level in an ongoing way when revenue was not growing at anything like that rate. That 4.15 per cent was also a challenge for the health system, particularly given the demand pressures that I just talked about earlier.</w:t>
      </w:r>
    </w:p>
    <w:p w14:paraId="28CC497A" w14:textId="41666F9A" w:rsidR="00341ABE" w:rsidRDefault="00341ABE" w:rsidP="00341ABE">
      <w:pPr>
        <w:pStyle w:val="BodyText"/>
      </w:pPr>
      <w:r>
        <w:t xml:space="preserve">The model </w:t>
      </w:r>
      <w:r w:rsidR="00085705">
        <w:t xml:space="preserve">is </w:t>
      </w:r>
      <w:r>
        <w:t xml:space="preserve">very detailed work between the ACT Health Directorate and Treasury, with the support of Canberra Health Services to really understand the nuts and bolts, is essentially, for future years, a funding indexation level of around 5.1 per cent. To be clear, there is a single envelope but the make-up of it </w:t>
      </w:r>
      <w:proofErr w:type="gramStart"/>
      <w:r>
        <w:t>took into account</w:t>
      </w:r>
      <w:proofErr w:type="gramEnd"/>
      <w:r>
        <w:t xml:space="preserve"> the increased demand for frontline health services and so set an indexation level of around 5.4 per cent for those sorts of frontline service elements. To do that we have considered the things that fit within the definition of the local hospital network.</w:t>
      </w:r>
    </w:p>
    <w:p w14:paraId="062C2AAF" w14:textId="238CA6BA" w:rsidR="00341ABE" w:rsidRDefault="00341ABE" w:rsidP="00341ABE">
      <w:pPr>
        <w:pStyle w:val="BodyText"/>
      </w:pPr>
      <w:r w:rsidRPr="00341ABE">
        <w:rPr>
          <w:b/>
          <w:bCs/>
          <w:i/>
          <w:iCs/>
        </w:rPr>
        <w:t>Calvary hospital expenditure</w:t>
      </w:r>
      <w:r>
        <w:t xml:space="preserve"> - The car park at Calvary hospital is </w:t>
      </w:r>
      <w:proofErr w:type="gramStart"/>
      <w:r>
        <w:t>actually owned</w:t>
      </w:r>
      <w:proofErr w:type="gramEnd"/>
      <w:r>
        <w:t xml:space="preserve"> by the ACT government and we will be making some further upgrades to that car park throughout this year and next. There are also some sterilising upgrades that will be made, and they are </w:t>
      </w:r>
      <w:proofErr w:type="gramStart"/>
      <w:r>
        <w:t>actually spread</w:t>
      </w:r>
      <w:proofErr w:type="gramEnd"/>
      <w:r>
        <w:t xml:space="preserve"> across LHS, and we will be actually facilitating that through CHS to upgrade the sterilisation activities. An ICT component is also held within there.</w:t>
      </w:r>
    </w:p>
    <w:p w14:paraId="0BAAB965" w14:textId="77777777" w:rsidR="00341ABE" w:rsidRDefault="00341ABE" w:rsidP="00341ABE">
      <w:pPr>
        <w:pStyle w:val="BodyText"/>
      </w:pPr>
      <w:r>
        <w:t>It depends on where we are doing the activities, but predominantly any capital funding paid to a building, even Winnunga, is funded through a territorial grant for their facilities.</w:t>
      </w:r>
    </w:p>
    <w:p w14:paraId="027F6172" w14:textId="78DA7087" w:rsidR="0087261F" w:rsidRDefault="0087261F" w:rsidP="0087261F">
      <w:pPr>
        <w:pStyle w:val="BodyText"/>
      </w:pPr>
      <w:r w:rsidRPr="0087261F">
        <w:rPr>
          <w:b/>
          <w:bCs/>
          <w:i/>
          <w:iCs/>
        </w:rPr>
        <w:t>Improvement in Nursing Ratios</w:t>
      </w:r>
      <w:r>
        <w:t xml:space="preserve"> </w:t>
      </w:r>
      <w:proofErr w:type="gramStart"/>
      <w:r>
        <w:t>-  I</w:t>
      </w:r>
      <w:proofErr w:type="gramEnd"/>
      <w:r>
        <w:t xml:space="preserve"> think it is important to clarify that we are talking about general wards, not some of our highly specialised wards, which are yet to determine the accurate ratios. On the work that our team have been doing at CHS, in conjunction with the Chief Nurse we are looking at needing to increase our FTE by around about 50—we are still clarifying the exact numbers—noting that it will be fluid, because our patient numbers are dynamic as well. We have strategies in place already to start to gradually increase our recruitment levels so that we are ready to go when the ratios become live.   the nurses and midwives will be across Calvary as well as CHS. The budget measure funds up to 90 additional nurses across the two public health facilities and a small implementation team that will </w:t>
      </w:r>
      <w:proofErr w:type="gramStart"/>
      <w:r>
        <w:t>actually oversee</w:t>
      </w:r>
      <w:proofErr w:type="gramEnd"/>
      <w:r>
        <w:t xml:space="preserve"> the introduction of the ratios and monitor how it is going. </w:t>
      </w:r>
    </w:p>
    <w:p w14:paraId="0E578179" w14:textId="055CDC93" w:rsidR="0087261F" w:rsidRDefault="00085705" w:rsidP="0087261F">
      <w:pPr>
        <w:pStyle w:val="BodyText"/>
      </w:pPr>
      <w:r>
        <w:t>T</w:t>
      </w:r>
      <w:r w:rsidR="0087261F">
        <w:t xml:space="preserve">he public health area of the directorate has a very strong focus on the broad health of the community. Unfortunately, it would be fair to say that the Chief Health Officer has been very focused on COVID for the last 18 months. In a more general sense, she would lead a lot of our public health that is looking at exactly those impacts. The health protection services monitor air quality and look at things like thunderstorm asthma and follow through on the impact of the smoke from the bushfire season </w:t>
      </w:r>
    </w:p>
    <w:p w14:paraId="244D8498" w14:textId="78604117" w:rsidR="0087261F" w:rsidRDefault="0087261F" w:rsidP="0087261F">
      <w:pPr>
        <w:pStyle w:val="BodyText"/>
      </w:pPr>
      <w:r w:rsidRPr="0087261F">
        <w:rPr>
          <w:b/>
          <w:bCs/>
          <w:i/>
          <w:iCs/>
        </w:rPr>
        <w:t>Health and Climate Change</w:t>
      </w:r>
      <w:r>
        <w:t xml:space="preserve"> - As the minister said, we are also doing a lot of work on how we can better integrate care for people with chronic conditions. In doing that, we will be working with Capital Health Network so that what we do links in with what the </w:t>
      </w:r>
      <w:r w:rsidR="00085705">
        <w:t>C</w:t>
      </w:r>
      <w:r>
        <w:t xml:space="preserve">ommonwealth does. The most common complaint is that the </w:t>
      </w:r>
      <w:r w:rsidR="00085705">
        <w:t>C</w:t>
      </w:r>
      <w:r>
        <w:t xml:space="preserve">ommonwealth and the state are not working together and that, for the person, it is a very fragmented system of support. </w:t>
      </w:r>
    </w:p>
    <w:p w14:paraId="38A92939" w14:textId="32E7A82D" w:rsidR="0087261F" w:rsidRDefault="0087261F" w:rsidP="0087261F">
      <w:pPr>
        <w:pStyle w:val="BodyText"/>
      </w:pPr>
      <w:r w:rsidRPr="0087261F">
        <w:rPr>
          <w:b/>
          <w:bCs/>
          <w:i/>
          <w:iCs/>
        </w:rPr>
        <w:t>Nurse-led Walk-in Cent</w:t>
      </w:r>
      <w:r>
        <w:rPr>
          <w:b/>
          <w:bCs/>
          <w:i/>
          <w:iCs/>
        </w:rPr>
        <w:t>re f</w:t>
      </w:r>
      <w:r w:rsidRPr="0087261F">
        <w:rPr>
          <w:b/>
          <w:bCs/>
          <w:i/>
          <w:iCs/>
        </w:rPr>
        <w:t>or Coombs</w:t>
      </w:r>
      <w:r>
        <w:t xml:space="preserve"> - Health Directorate has worked closely with the administrator and stayed in touch with the administrator through that process. We were very pleased when the administrator was able to announce, on 21 September, that Palm Healthcare would be taking over the clinic in Coombs. The directorate has been working in negotiations with Palm around whether they would be willing to partner with us in the same way that the National Health Co-op was going to, to establish the walk-in health centre in Coombs. </w:t>
      </w:r>
    </w:p>
    <w:p w14:paraId="3A106741" w14:textId="1FADF63C" w:rsidR="007A63C1" w:rsidRDefault="007A63C1" w:rsidP="007A63C1">
      <w:pPr>
        <w:pStyle w:val="BodyText"/>
      </w:pPr>
      <w:r w:rsidRPr="007A63C1">
        <w:rPr>
          <w:b/>
          <w:bCs/>
          <w:i/>
          <w:iCs/>
        </w:rPr>
        <w:t>Vaccine mandate</w:t>
      </w:r>
      <w:r>
        <w:t xml:space="preserve"> - you through the considerations that I take, and that the Health Directorate takes, alongside some of the discussions that chief health officers are involved in at the Australian Health Protection Principal Committee. Overall, mandatory public health directions are a challenging decision to make. We do take a lot of considerations on board. COVID has </w:t>
      </w:r>
      <w:proofErr w:type="gramStart"/>
      <w:r>
        <w:t>definitely posed</w:t>
      </w:r>
      <w:proofErr w:type="gramEnd"/>
      <w:r>
        <w:t xml:space="preserve"> for us difficulty and a scale of a problem that we have never seen before. </w:t>
      </w:r>
    </w:p>
    <w:p w14:paraId="56FCA115" w14:textId="77777777" w:rsidR="007A63C1" w:rsidRDefault="007A63C1" w:rsidP="00756AA2">
      <w:pPr>
        <w:pStyle w:val="BodyText"/>
        <w:numPr>
          <w:ilvl w:val="0"/>
          <w:numId w:val="0"/>
        </w:numPr>
        <w:ind w:left="720"/>
      </w:pPr>
      <w:r>
        <w:t>Certainly, whenever we are thinking about this, I think about the objective or the intention of what we are trying to achieve. Overarching that has been to protect the lives and health of the Canberra community. The aim of that has been to limit the spread and the impact on individuals. Every decision that we make needs to align with that, and acknowledge the risk</w:t>
      </w:r>
      <w:r w:rsidRPr="00142AC2">
        <w:t>—</w:t>
      </w:r>
    </w:p>
    <w:p w14:paraId="6291DA91" w14:textId="2901D493" w:rsidR="0087261F" w:rsidRDefault="00756AA2" w:rsidP="0087261F">
      <w:pPr>
        <w:pStyle w:val="BodyText"/>
      </w:pPr>
      <w:r>
        <w:t xml:space="preserve">The issue with our education settings is that under-12-year-olds are the one cohort that we cannot give vaccines to </w:t>
      </w:r>
      <w:proofErr w:type="gramStart"/>
      <w:r>
        <w:t>at the moment</w:t>
      </w:r>
      <w:proofErr w:type="gramEnd"/>
      <w:r>
        <w:t xml:space="preserve">. As we know, the incidence or the prevalence of severe disease in children is expected to be less, and that is what we have certainly seen internationally and in other areas of Australia. If enough kids get transmission of the sickness, we will see sickness.   limit it to the settings where under 12s were. You will notice that I did not include those high school settings, only those settings with the under 12s. We have seen quite a few outbreaks in our early childhood centres. Victoria </w:t>
      </w:r>
      <w:proofErr w:type="gramStart"/>
      <w:r>
        <w:t>at the moment</w:t>
      </w:r>
      <w:proofErr w:type="gramEnd"/>
      <w:r>
        <w:t xml:space="preserve"> </w:t>
      </w:r>
      <w:r w:rsidR="00506860">
        <w:t>is</w:t>
      </w:r>
      <w:r>
        <w:t xml:space="preserve"> still seeing outbreaks in their vulnerable under-12 groups. This is only a short-term, temporary measure</w:t>
      </w:r>
    </w:p>
    <w:p w14:paraId="33181757" w14:textId="6185E0DD" w:rsidR="00756AA2" w:rsidRDefault="00185553" w:rsidP="00756AA2">
      <w:pPr>
        <w:pStyle w:val="BodyText"/>
      </w:pPr>
      <w:r>
        <w:rPr>
          <w:b/>
          <w:bCs/>
          <w:i/>
          <w:iCs/>
        </w:rPr>
        <w:t>LGBTIQA+</w:t>
      </w:r>
      <w:r w:rsidR="00756AA2" w:rsidRPr="00756AA2">
        <w:rPr>
          <w:b/>
          <w:bCs/>
          <w:i/>
          <w:iCs/>
        </w:rPr>
        <w:t xml:space="preserve"> health scoping study</w:t>
      </w:r>
      <w:r w:rsidR="00756AA2">
        <w:t xml:space="preserve"> - scoping study drew significantly on previous work that had been done in the territory, both by government and by stakeholders, on </w:t>
      </w:r>
      <w:r>
        <w:t>LGBTIQA+</w:t>
      </w:r>
      <w:r w:rsidR="00756AA2">
        <w:t xml:space="preserve">-related health issues. It included that literature view. It included consultation with stakeholders. That consultation was necessarily limited because it occurred during the earlier stages of the </w:t>
      </w:r>
      <w:r w:rsidR="00506860">
        <w:t>pandemic,</w:t>
      </w:r>
      <w:r w:rsidR="00756AA2">
        <w:t xml:space="preserve"> and it was very difficult to get people in a room in the way that we had wanted to. But there was consultation with stakeholders. I cannot quite remember what it was called; there was a steering group of sorts, comprising stakeholders. </w:t>
      </w:r>
    </w:p>
    <w:p w14:paraId="6C31D440" w14:textId="77777777" w:rsidR="00756AA2" w:rsidRDefault="00756AA2" w:rsidP="00756AA2">
      <w:pPr>
        <w:pStyle w:val="BodyText"/>
      </w:pPr>
      <w:r>
        <w:t xml:space="preserve">The report was worked up with that steering group. I think the steering group had a couple of opportunities to review and provide input into that report. As the minister said, the report is near final </w:t>
      </w:r>
      <w:proofErr w:type="gramStart"/>
      <w:r>
        <w:t>at the moment</w:t>
      </w:r>
      <w:proofErr w:type="gramEnd"/>
      <w:r>
        <w:t xml:space="preserve">. directorate will be going through a procurement process shortly to engage consultants to develop the implementation plan </w:t>
      </w:r>
      <w:proofErr w:type="gramStart"/>
      <w:r>
        <w:t>and also</w:t>
      </w:r>
      <w:proofErr w:type="gramEnd"/>
      <w:r>
        <w:t xml:space="preserve"> to work, as was mentioned in the budget, with stakeholders to co-design the gender clinic. And the third part is to start to drive forward some of the recommendations from the scoping study. </w:t>
      </w:r>
    </w:p>
    <w:p w14:paraId="23AE02F8" w14:textId="48D3E79E" w:rsidR="00756AA2" w:rsidRDefault="00756AA2" w:rsidP="00756AA2">
      <w:pPr>
        <w:pStyle w:val="BodyText"/>
      </w:pPr>
      <w:r w:rsidRPr="00756AA2">
        <w:rPr>
          <w:b/>
          <w:bCs/>
          <w:i/>
          <w:iCs/>
        </w:rPr>
        <w:t>Doherty modelling in th</w:t>
      </w:r>
      <w:r w:rsidR="00F82691">
        <w:rPr>
          <w:b/>
          <w:bCs/>
          <w:i/>
          <w:iCs/>
        </w:rPr>
        <w:t>e</w:t>
      </w:r>
      <w:r w:rsidRPr="00756AA2">
        <w:rPr>
          <w:b/>
          <w:bCs/>
          <w:i/>
          <w:iCs/>
        </w:rPr>
        <w:t xml:space="preserve"> ACT</w:t>
      </w:r>
      <w:r>
        <w:t xml:space="preserve"> - What is known as CHECC has led some work around both trying to replicate the Doherty modelling as much as we can but also having another look at the national and international evidence and experience to see how much we can understand what we expect to happen in terms of ACT and surrounding </w:t>
      </w:r>
      <w:r w:rsidRPr="00D902BF">
        <w:t>New South Wales</w:t>
      </w:r>
      <w:r>
        <w:t xml:space="preserve"> cases and then the impact on our hospital system. I might give Mr Peffer the floor to talk about some of the assumptions that have been made in that and some of the outcomes. </w:t>
      </w:r>
    </w:p>
    <w:p w14:paraId="2F3D578B" w14:textId="1345DA84" w:rsidR="00756AA2" w:rsidRDefault="00756AA2" w:rsidP="00756AA2">
      <w:pPr>
        <w:pStyle w:val="BodyText"/>
      </w:pPr>
      <w:r>
        <w:t xml:space="preserve">One thing I will say—and we do caveat the use of models—is that they are just mathematical representations of a series of inputs and assumptions. </w:t>
      </w:r>
      <w:r w:rsidR="00506860">
        <w:t>So,</w:t>
      </w:r>
      <w:r>
        <w:t xml:space="preserve"> they will run until the model completes its assumptions around who will get the virus and how that will be transmitted and at what rate. It is always important to then benchmark that back to what is the real-life experience that is occurring around the country and around the world to try and guide some of your planning activities.</w:t>
      </w:r>
    </w:p>
    <w:p w14:paraId="00C24BEA" w14:textId="38E70548" w:rsidR="00085705" w:rsidRDefault="00085705" w:rsidP="00756AA2">
      <w:pPr>
        <w:pStyle w:val="BodyText"/>
      </w:pPr>
      <w:r>
        <w:t xml:space="preserve">Canberra Health Services, through the Clinical Health Emergency Control Centre, has led the work on doing a couple of different types of modelling for us. You might be aware that Doherty has done some jurisdictional modelling. But for the ACT that did not necessarily </w:t>
      </w:r>
      <w:proofErr w:type="gramStart"/>
      <w:r>
        <w:t>take into account</w:t>
      </w:r>
      <w:proofErr w:type="gramEnd"/>
      <w:r>
        <w:t xml:space="preserve"> the impact of regional </w:t>
      </w:r>
      <w:r w:rsidRPr="00D902BF">
        <w:t>New South Wales</w:t>
      </w:r>
      <w:r>
        <w:t xml:space="preserve"> and the fact that we have a tertiary referral hospital. Also, there are some constraints around the Doherty modelling in that it only looked at 70 per cent and 80 per cent vaccination rates and we are clearly heading for a much higher vaccination rate than that, for people 12 and over</w:t>
      </w:r>
    </w:p>
    <w:p w14:paraId="2C01B632" w14:textId="04698619" w:rsidR="00756AA2" w:rsidRDefault="00756AA2" w:rsidP="00756AA2">
      <w:pPr>
        <w:pStyle w:val="BodyText"/>
      </w:pPr>
      <w:r w:rsidRPr="00F82691">
        <w:rPr>
          <w:b/>
          <w:bCs/>
          <w:i/>
          <w:iCs/>
        </w:rPr>
        <w:t>Pill-testing pilot</w:t>
      </w:r>
      <w:r>
        <w:t xml:space="preserve"> - the funding that has been allocated in the budget will support a six-month pilot program in a central testing site, a fixed site, in the entertainment precinct. But the site itself is yet to be identified. So that six-month period will allow the pilot to operate for long enough for us to be able to get some reasonable data about uptake and impact. We have also funded separately, through the research innovation fund grants program, a researcher at ANU to undertake some work alongside that to develop an evaluation model of care</w:t>
      </w:r>
    </w:p>
    <w:p w14:paraId="699A4E56" w14:textId="39C507C8" w:rsidR="00F82691" w:rsidRDefault="00F82691" w:rsidP="00F82691">
      <w:pPr>
        <w:pStyle w:val="BodyText"/>
      </w:pPr>
      <w:r>
        <w:t xml:space="preserve">Measuring success comes down to It is a process where people are actively engaged when they come into the service. We have seen it with the pill testing policy at festivals, where we are engaging with people coming in and getting them to understand the actual drug that has been identified, what are the downsides of it and what are the implications for them if they consume those drugs. </w:t>
      </w:r>
      <w:r w:rsidR="00506860">
        <w:t>So,</w:t>
      </w:r>
      <w:r>
        <w:t xml:space="preserve"> there is very much a learning opportunity. But it is also about how many people are seeking access to this service and what are the outcomes we are proposing that we are </w:t>
      </w:r>
      <w:proofErr w:type="gramStart"/>
      <w:r>
        <w:t>actually seeing</w:t>
      </w:r>
      <w:proofErr w:type="gramEnd"/>
      <w:r>
        <w:t xml:space="preserve">. It is about saving lives and it is about reducing the harm. </w:t>
      </w:r>
    </w:p>
    <w:p w14:paraId="5F4A1D8F" w14:textId="1ED3F749" w:rsidR="00F82691" w:rsidRDefault="00F82691" w:rsidP="00756AA2">
      <w:pPr>
        <w:pStyle w:val="BodyText"/>
      </w:pPr>
      <w:r w:rsidRPr="00F82691">
        <w:rPr>
          <w:b/>
          <w:bCs/>
          <w:i/>
          <w:iCs/>
        </w:rPr>
        <w:t>Nursing numbers for 21-22</w:t>
      </w:r>
      <w:r>
        <w:t xml:space="preserve"> - The funding that is unallocated out of that growth sits in what is called the health central provision. And it is somewhere in the budget papers—I just do not have the right page in front of me—that </w:t>
      </w:r>
      <w:proofErr w:type="gramStart"/>
      <w:r>
        <w:t>actually specifies</w:t>
      </w:r>
      <w:proofErr w:type="gramEnd"/>
      <w:r>
        <w:t xml:space="preserve"> what the health central provision is. Each year the health minister and the mental health minister bring forward budget bids that are then offset against the funding that Treasury has already set aside for growth in the health system over future years.</w:t>
      </w:r>
    </w:p>
    <w:p w14:paraId="2769F7F9" w14:textId="5F03CEAF" w:rsidR="00F82691" w:rsidRDefault="00F82691" w:rsidP="00F82691">
      <w:pPr>
        <w:pStyle w:val="BodyText"/>
      </w:pPr>
      <w:r>
        <w:rPr>
          <w:b/>
          <w:bCs/>
          <w:i/>
          <w:iCs/>
        </w:rPr>
        <w:t xml:space="preserve">Patient navigation </w:t>
      </w:r>
      <w:r w:rsidRPr="00F82691">
        <w:t>-</w:t>
      </w:r>
      <w:r>
        <w:t xml:space="preserve"> Health Care Consumers Association looked at models in other jurisdictions to determine what we could do to implement a patient navigation service in the ACT. They recommended specifically that it should be a standalone service that is recognised across the health system and that brings together the navigators so that they are working not as individual, isolated units but within a framework and supported. We have not got an exact model for that </w:t>
      </w:r>
      <w:proofErr w:type="gramStart"/>
      <w:r>
        <w:t>at this point in time</w:t>
      </w:r>
      <w:proofErr w:type="gramEnd"/>
      <w:r>
        <w:t xml:space="preserve">, but this funding delivers the opportunity to develop and co-design that model and bring together those teams of navigators to work together, with the very first one being the paediatric liaison and navigation service. </w:t>
      </w:r>
    </w:p>
    <w:p w14:paraId="1B43CC81" w14:textId="77777777" w:rsidR="00551C27" w:rsidRDefault="00551C27" w:rsidP="00551C27">
      <w:pPr>
        <w:pStyle w:val="BodyText"/>
      </w:pPr>
      <w:r w:rsidRPr="00551C27">
        <w:rPr>
          <w:b/>
          <w:bCs/>
          <w:i/>
          <w:iCs/>
        </w:rPr>
        <w:t xml:space="preserve">Drug Strategy Action Plan </w:t>
      </w:r>
      <w:r>
        <w:t xml:space="preserve">- The next drug strategy action plan is starting to be pulled together now. We anticipate that over the next six to eight months we will have a new final draft for government to consider. As you would appreciate, there is quite a lot going on in the drug and alcohol space </w:t>
      </w:r>
      <w:proofErr w:type="gramStart"/>
      <w:r>
        <w:t>at the moment</w:t>
      </w:r>
      <w:proofErr w:type="gramEnd"/>
      <w:r>
        <w:t xml:space="preserve">, and we are trying to understand all those issues. </w:t>
      </w:r>
    </w:p>
    <w:p w14:paraId="537DE9C7" w14:textId="77777777" w:rsidR="00CD4E17" w:rsidRDefault="00551C27" w:rsidP="00551C27">
      <w:pPr>
        <w:pStyle w:val="BodyText"/>
      </w:pPr>
      <w:r>
        <w:t xml:space="preserve">We are also looking at an evaluation of the current plan that is in place and making sure that we have done all the things that we indicated that we could. It has obviously had an impact on some of the deliverables. Certainly, some of the work that we have done, like the joint funding for Capital Health Network and the John James Foundation to set up a mobile primary health clinic, has been important. </w:t>
      </w:r>
    </w:p>
    <w:p w14:paraId="34847D71" w14:textId="09B155D6" w:rsidR="00551C27" w:rsidRDefault="00551C27" w:rsidP="00551C27">
      <w:pPr>
        <w:pStyle w:val="BodyText"/>
      </w:pPr>
      <w:r>
        <w:t xml:space="preserve">The work we did on the feasibility study for the medically supervised injecting study has been important, as well as the work that we are doing with Aboriginal and Torres Strait Islanders in the resi rehab space, working with Winnunga around models of care. There is </w:t>
      </w:r>
      <w:proofErr w:type="gramStart"/>
      <w:r>
        <w:t>actually quite</w:t>
      </w:r>
      <w:proofErr w:type="gramEnd"/>
      <w:r>
        <w:t xml:space="preserve"> a bit happening in the background. The fixed pill-testing site and looking at what we do more broadly about reducing harm within the community is some of the work that will inform the next drug strategy action plan</w:t>
      </w:r>
      <w:r w:rsidR="00CD4E17">
        <w:t>.</w:t>
      </w:r>
    </w:p>
    <w:p w14:paraId="1273E571" w14:textId="693AC19F" w:rsidR="00CD4E17" w:rsidRDefault="00CD4E17" w:rsidP="00CD4E17">
      <w:pPr>
        <w:pStyle w:val="BodyText"/>
      </w:pPr>
      <w:r>
        <w:t xml:space="preserve">Over the next few </w:t>
      </w:r>
      <w:r w:rsidR="00506860">
        <w:t>months,</w:t>
      </w:r>
      <w:r>
        <w:t xml:space="preserve"> we have the inquiry coming down which will guide some of the work that will inform the next plan itself. We are now in </w:t>
      </w:r>
      <w:r w:rsidR="00506860">
        <w:t>October,</w:t>
      </w:r>
      <w:r>
        <w:t xml:space="preserve"> and I anticipate that over the next six months we will have some further consultation. I know that the sector is very keen and is talking to us on a regular basis about that work. There are the treatment areas as well that are being challenged by the sort of work that we are doing </w:t>
      </w:r>
      <w:proofErr w:type="gramStart"/>
      <w:r>
        <w:t>at the moment</w:t>
      </w:r>
      <w:proofErr w:type="gramEnd"/>
      <w:r>
        <w:t xml:space="preserve">. </w:t>
      </w:r>
    </w:p>
    <w:p w14:paraId="377DB71B" w14:textId="7044B499" w:rsidR="00E2572F" w:rsidRDefault="00E2572F" w:rsidP="00E2572F">
      <w:pPr>
        <w:pStyle w:val="BodyText"/>
      </w:pPr>
      <w:r w:rsidRPr="00E2572F">
        <w:rPr>
          <w:b/>
          <w:bCs/>
          <w:i/>
          <w:iCs/>
        </w:rPr>
        <w:t>Watson Health Precinct</w:t>
      </w:r>
      <w:r>
        <w:t xml:space="preserve"> - $200,000 out of the COVID stimulus to do some work on the Watson precinct and some master planning. We thought the block in Watson was a </w:t>
      </w:r>
      <w:proofErr w:type="gramStart"/>
      <w:r>
        <w:t>really lovely</w:t>
      </w:r>
      <w:proofErr w:type="gramEnd"/>
      <w:r>
        <w:t xml:space="preserve"> place to deliver health services. It is at the base of Mount Majura. It is a </w:t>
      </w:r>
      <w:proofErr w:type="gramStart"/>
      <w:r>
        <w:t>really lovely</w:t>
      </w:r>
      <w:proofErr w:type="gramEnd"/>
      <w:r>
        <w:t xml:space="preserve"> place for people to go to heal and get the treatment that they need. But the building probably does not communicate the worthiness of the people—that the people who are there are worthy of getting their lives back on track and turning their lives around.  We did the work with the stimulus funding that we had to master plan the site. It is a </w:t>
      </w:r>
      <w:proofErr w:type="gramStart"/>
      <w:r>
        <w:t>really big</w:t>
      </w:r>
      <w:proofErr w:type="gramEnd"/>
      <w:r>
        <w:t xml:space="preserve"> </w:t>
      </w:r>
      <w:r w:rsidR="00506860">
        <w:t>site,</w:t>
      </w:r>
      <w:r>
        <w:t xml:space="preserve"> and it is not utilised very well, so we undertook work to look at what else we could fit on there. We thought it was a </w:t>
      </w:r>
      <w:proofErr w:type="gramStart"/>
      <w:r>
        <w:t>really lovely</w:t>
      </w:r>
      <w:proofErr w:type="gramEnd"/>
      <w:r>
        <w:t xml:space="preserve"> site as well for an Aboriginal and Torres Strait Islander residential rehab facility. Winnunga, when we took them there, also thought it was a </w:t>
      </w:r>
      <w:proofErr w:type="gramStart"/>
      <w:r>
        <w:t>really lovely</w:t>
      </w:r>
      <w:proofErr w:type="gramEnd"/>
      <w:r>
        <w:t xml:space="preserve"> site.</w:t>
      </w:r>
    </w:p>
    <w:p w14:paraId="266B6627" w14:textId="4AEFD345" w:rsidR="00E2572F" w:rsidRDefault="00E2572F" w:rsidP="00E2572F">
      <w:pPr>
        <w:pStyle w:val="BodyText"/>
      </w:pPr>
      <w:r>
        <w:t xml:space="preserve">We are not planning on co-locating the three services. We are planning on subdividing the block and having a separate entrance to the Aboriginal and Torres Strait Islander residential rehab, so they would be like a next-door neighbour. The distance between the services is about 100 metres, so it is a long way away. As we go through the design processes over the coming 12 months, I think Catholic Care </w:t>
      </w:r>
      <w:proofErr w:type="gramStart"/>
      <w:r>
        <w:t>in particular will</w:t>
      </w:r>
      <w:proofErr w:type="gramEnd"/>
      <w:r>
        <w:t xml:space="preserve"> be very reassured about how the site will come together and be developed</w:t>
      </w:r>
    </w:p>
    <w:p w14:paraId="10C897F5" w14:textId="37F38EAC" w:rsidR="00A0436E" w:rsidRDefault="00A0436E" w:rsidP="00A0436E">
      <w:pPr>
        <w:pStyle w:val="BodyText"/>
      </w:pPr>
      <w:r w:rsidRPr="00A0436E">
        <w:rPr>
          <w:b/>
          <w:bCs/>
          <w:i/>
          <w:iCs/>
        </w:rPr>
        <w:t>Medihoods</w:t>
      </w:r>
      <w:r>
        <w:t xml:space="preserve"> - medihood is effectively like a little negative pressure environment that sits on top of the patient’s bed, with the patient in the bed. It has a plastic cover and air is extracted out through a small extraction fan, through a HEPA filter. It provides an environment that reduces the amount of viral load that is dispersed in the </w:t>
      </w:r>
      <w:proofErr w:type="gramStart"/>
      <w:r>
        <w:t>particular room</w:t>
      </w:r>
      <w:proofErr w:type="gramEnd"/>
      <w:r>
        <w:t>…</w:t>
      </w:r>
      <w:r w:rsidRPr="00A0436E">
        <w:t xml:space="preserve"> </w:t>
      </w:r>
      <w:r>
        <w:t>It was an invention that came from a collaboration between a Victorian-based university—I cannot remember the exact one—and clinical professionals in Victoria. I think it is called the McMonty medihood. We have taken receipt of 18 of them at this point.</w:t>
      </w:r>
    </w:p>
    <w:p w14:paraId="5BEE1FC3" w14:textId="74ABFB40" w:rsidR="00A0436E" w:rsidRDefault="00A0436E" w:rsidP="00A0436E">
      <w:pPr>
        <w:pStyle w:val="BodyText"/>
      </w:pPr>
      <w:r w:rsidRPr="00A0436E">
        <w:rPr>
          <w:b/>
          <w:bCs/>
          <w:i/>
          <w:iCs/>
        </w:rPr>
        <w:t>Walk</w:t>
      </w:r>
      <w:r w:rsidR="00134F79">
        <w:rPr>
          <w:b/>
          <w:bCs/>
          <w:i/>
          <w:iCs/>
        </w:rPr>
        <w:t>-</w:t>
      </w:r>
      <w:r w:rsidRPr="00A0436E">
        <w:rPr>
          <w:b/>
          <w:bCs/>
          <w:i/>
          <w:iCs/>
        </w:rPr>
        <w:t>in centre targets</w:t>
      </w:r>
      <w:r>
        <w:t xml:space="preserve"> - through the lockdown, that presentations across the walk-in centres have decreased. They are on their way back up. We have also seen, now that we have managed to return the Weston Creek Community Health Centre to the Weston Creek Walk-in Centre, that those numbers are now starting to come up as well. I can provide you with the exact </w:t>
      </w:r>
      <w:r w:rsidR="00506860">
        <w:t>numbers if</w:t>
      </w:r>
      <w:r>
        <w:t xml:space="preserve"> you would like them. It is probably better that I take that on notice, though, than read out a whole stack of numbers now. </w:t>
      </w:r>
    </w:p>
    <w:p w14:paraId="6C7A1222" w14:textId="536E1B65" w:rsidR="00A0436E" w:rsidRDefault="00085705" w:rsidP="00A0436E">
      <w:pPr>
        <w:pStyle w:val="BodyText"/>
      </w:pPr>
      <w:r>
        <w:t xml:space="preserve">There are a </w:t>
      </w:r>
      <w:r w:rsidR="00A0436E">
        <w:t>range of measures that we look at to evaluate the walk</w:t>
      </w:r>
      <w:r w:rsidR="00A0436E">
        <w:noBreakHyphen/>
        <w:t>in centres, one of which is the number of people that are redirected to emergency departments. That helps tell us that we have got our marketing right so that we have the right people turning up. Obviously, we do not want people turning up to a walk</w:t>
      </w:r>
      <w:r w:rsidR="00A0436E">
        <w:noBreakHyphen/>
        <w:t>in centre if they are critically unwell and should not have gone to the walk-in centre. It is rare that we would need to call an ambulance to redirect somebody from a walk</w:t>
      </w:r>
      <w:r w:rsidR="00A0436E">
        <w:noBreakHyphen/>
        <w:t xml:space="preserve">in centre to the emergency department. We are comfortable that we have got that marketing right. That is one aspect. </w:t>
      </w:r>
    </w:p>
    <w:p w14:paraId="56FCEF10" w14:textId="2D697A52" w:rsidR="00A0436E" w:rsidRDefault="00A0436E" w:rsidP="00A0436E">
      <w:pPr>
        <w:pStyle w:val="BodyText"/>
      </w:pPr>
      <w:r>
        <w:t>We also do consumer satisfaction with the walk-in centres. That is very positive. We look at the trends in presentations and the types of things people are presenting with. What we are noticing over time is that there are starting to be more and more acute presentations to the walk-in centres—things like fractures, for example—as opposed to colds and coughs. It is allowing the walk-in centres to practise more of their full scope, which is very encouraging. The other thing that we can take from that is that they are presentations that would otherwise have had to go to the emergency department if we did not have the walk-in centres available for them.</w:t>
      </w:r>
    </w:p>
    <w:p w14:paraId="1D320B67" w14:textId="2322D856" w:rsidR="00134F79" w:rsidRDefault="00134F79" w:rsidP="00134F79">
      <w:pPr>
        <w:pStyle w:val="BodyText"/>
      </w:pPr>
      <w:r w:rsidRPr="00134F79">
        <w:rPr>
          <w:b/>
          <w:bCs/>
          <w:i/>
          <w:iCs/>
        </w:rPr>
        <w:t>Culture Review Recommendations</w:t>
      </w:r>
      <w:r>
        <w:t xml:space="preserve"> - from the papers </w:t>
      </w:r>
      <w:r w:rsidR="00506860">
        <w:t>from the 29 June meeting</w:t>
      </w:r>
      <w:r>
        <w:t xml:space="preserve"> of the 92 implementation actions across the 20 recommendations, at that time 58 of those actions had been completed, 32 were on track and two were identified as either being delayed or at risk of delay.  Since that time, of course, two more actions have been completed. The remainder continue to be monitored. I am aware, from just recently looking at some papers for the next culture reform oversight group meeting, that we are now looking at delays—from memory, an additional about four or five. We are now looking at six or seven individual actions, not recommendations, out of those 92, that are experiencing some level of delay. </w:t>
      </w:r>
    </w:p>
    <w:p w14:paraId="16AF11B1" w14:textId="6AAE6023" w:rsidR="00134F79" w:rsidRDefault="00134F79" w:rsidP="00134F79">
      <w:pPr>
        <w:pStyle w:val="BodyText"/>
      </w:pPr>
      <w:r>
        <w:t xml:space="preserve">Since that time two more actions have been completed. The remainder continue to be monitored. I am aware, from just recently looking at some papers for the next culture reform oversight group meeting, that we are now looking at delays—from memory, an additional about four or five. We are now looking at six or seven individual actions, not recommendations, out of those 92, that are experiencing some level of delay. </w:t>
      </w:r>
    </w:p>
    <w:p w14:paraId="0904306B" w14:textId="666E729F" w:rsidR="00134F79" w:rsidRDefault="00085705" w:rsidP="00134F79">
      <w:pPr>
        <w:pStyle w:val="BodyText"/>
      </w:pPr>
      <w:r>
        <w:t xml:space="preserve">The </w:t>
      </w:r>
      <w:r w:rsidR="00134F79">
        <w:t xml:space="preserve">response to the COVID </w:t>
      </w:r>
      <w:proofErr w:type="gramStart"/>
      <w:r w:rsidR="00134F79">
        <w:t>19  outbreak</w:t>
      </w:r>
      <w:proofErr w:type="gramEnd"/>
      <w:r w:rsidR="00134F79">
        <w:t xml:space="preserve"> has drawn a lot of staff from roles that might have been specifically related to responding to the culture review into the frontline or administrative support roles, like logistics or resourcing, for what has been a very large response to the COVID-19 outbreak</w:t>
      </w:r>
    </w:p>
    <w:p w14:paraId="0567B61E" w14:textId="19EC1737" w:rsidR="005304B6" w:rsidRDefault="005304B6" w:rsidP="005304B6">
      <w:pPr>
        <w:pStyle w:val="RecommendationHeading"/>
      </w:pPr>
      <w:bookmarkStart w:id="98" w:name="_Hlk87525098"/>
      <w:bookmarkStart w:id="99" w:name="_Toc87607657"/>
      <w:r>
        <w:t>Recommendation 15</w:t>
      </w:r>
      <w:bookmarkEnd w:id="99"/>
    </w:p>
    <w:p w14:paraId="0ACFCE32" w14:textId="3D64D708" w:rsidR="005304B6" w:rsidRDefault="005304B6" w:rsidP="001344B6">
      <w:pPr>
        <w:pStyle w:val="RecommendationText"/>
      </w:pPr>
      <w:bookmarkStart w:id="100" w:name="_Toc87607658"/>
      <w:r>
        <w:t xml:space="preserve">The Committee recommends the ACT Government </w:t>
      </w:r>
      <w:r w:rsidR="001344B6">
        <w:t>develop</w:t>
      </w:r>
      <w:r>
        <w:t xml:space="preserve"> </w:t>
      </w:r>
      <w:r w:rsidR="00CE3D03">
        <w:t xml:space="preserve">a </w:t>
      </w:r>
      <w:r>
        <w:t>health workforce str</w:t>
      </w:r>
      <w:r w:rsidR="001344B6">
        <w:t xml:space="preserve">ategy </w:t>
      </w:r>
      <w:r>
        <w:t>an</w:t>
      </w:r>
      <w:r w:rsidR="00CE3D03">
        <w:t xml:space="preserve">d provide an </w:t>
      </w:r>
      <w:r>
        <w:t xml:space="preserve">update before </w:t>
      </w:r>
      <w:r w:rsidR="001344B6">
        <w:t>the</w:t>
      </w:r>
      <w:r>
        <w:t xml:space="preserve"> end of Financial Year 2021-2022.</w:t>
      </w:r>
      <w:bookmarkEnd w:id="100"/>
    </w:p>
    <w:p w14:paraId="2CD2DD53" w14:textId="4D7D0A98" w:rsidR="001344B6" w:rsidRDefault="001344B6" w:rsidP="001344B6">
      <w:pPr>
        <w:pStyle w:val="RecommendationHeading"/>
      </w:pPr>
      <w:bookmarkStart w:id="101" w:name="_Toc87607659"/>
      <w:r>
        <w:t>Recommendation 16</w:t>
      </w:r>
      <w:bookmarkEnd w:id="101"/>
    </w:p>
    <w:p w14:paraId="2887B4B9" w14:textId="00D68B72" w:rsidR="005304B6" w:rsidRDefault="005304B6" w:rsidP="001344B6">
      <w:pPr>
        <w:pStyle w:val="RecommendationText"/>
      </w:pPr>
      <w:bookmarkStart w:id="102" w:name="_Toc87607660"/>
      <w:r>
        <w:t xml:space="preserve">The Committee recommends that the ACT </w:t>
      </w:r>
      <w:r w:rsidR="001344B6">
        <w:t>Government publicly</w:t>
      </w:r>
      <w:r>
        <w:t xml:space="preserve"> release the human rights compatibility st</w:t>
      </w:r>
      <w:r w:rsidR="001344B6">
        <w:t>atement</w:t>
      </w:r>
      <w:r>
        <w:t xml:space="preserve"> on vaccination requirements for all health </w:t>
      </w:r>
      <w:r w:rsidR="001344B6">
        <w:t>directions</w:t>
      </w:r>
      <w:r>
        <w:t xml:space="preserve"> as recommended by the ACT Human Rights </w:t>
      </w:r>
      <w:r w:rsidR="001344B6">
        <w:t>Commission.</w:t>
      </w:r>
      <w:bookmarkEnd w:id="102"/>
    </w:p>
    <w:p w14:paraId="76DD0D53" w14:textId="0304303C" w:rsidR="00605B61" w:rsidRDefault="00605B61" w:rsidP="00605B61">
      <w:pPr>
        <w:pStyle w:val="RecommendationHeading"/>
        <w:keepNext/>
      </w:pPr>
      <w:bookmarkStart w:id="103" w:name="_Toc87607661"/>
      <w:r>
        <w:t xml:space="preserve">Recommendation </w:t>
      </w:r>
      <w:r w:rsidR="009D2547">
        <w:t>1</w:t>
      </w:r>
      <w:r w:rsidR="004825E5">
        <w:t>7</w:t>
      </w:r>
      <w:bookmarkEnd w:id="103"/>
    </w:p>
    <w:p w14:paraId="19551B92" w14:textId="2780923E" w:rsidR="00605B61" w:rsidRDefault="00605B61" w:rsidP="00605B61">
      <w:pPr>
        <w:pStyle w:val="RecommendationText"/>
      </w:pPr>
      <w:bookmarkStart w:id="104" w:name="_Toc87607662"/>
      <w:r>
        <w:t>The Committee recommends that the ACT Government</w:t>
      </w:r>
      <w:r w:rsidR="008C2DC9">
        <w:t xml:space="preserve"> </w:t>
      </w:r>
      <w:r w:rsidR="006D528E">
        <w:t>investigate</w:t>
      </w:r>
      <w:r w:rsidR="00CE3D03">
        <w:t xml:space="preserve"> and report on </w:t>
      </w:r>
      <w:r w:rsidR="006D528E">
        <w:t xml:space="preserve">the viability </w:t>
      </w:r>
      <w:r w:rsidR="008C2DC9">
        <w:t xml:space="preserve">of </w:t>
      </w:r>
      <w:r w:rsidR="00CE3D03">
        <w:t xml:space="preserve">providing </w:t>
      </w:r>
      <w:r w:rsidR="008C2DC9">
        <w:t>risk-based streaming</w:t>
      </w:r>
      <w:r w:rsidR="006D528E">
        <w:t xml:space="preserve">, </w:t>
      </w:r>
      <w:r w:rsidR="008C2DC9">
        <w:t>such as seniors streaming</w:t>
      </w:r>
      <w:r w:rsidR="006D528E">
        <w:t>, in Emergency Departments.</w:t>
      </w:r>
      <w:bookmarkEnd w:id="104"/>
    </w:p>
    <w:p w14:paraId="7DA64D7B" w14:textId="6EF2B7DF" w:rsidR="008C2DC9" w:rsidRDefault="008C2DC9" w:rsidP="008C2DC9">
      <w:pPr>
        <w:pStyle w:val="RecommendationHeading"/>
      </w:pPr>
      <w:bookmarkStart w:id="105" w:name="_Hlk87525157"/>
      <w:bookmarkStart w:id="106" w:name="_Toc87607663"/>
      <w:bookmarkEnd w:id="98"/>
      <w:r>
        <w:t>Recommendation</w:t>
      </w:r>
      <w:r w:rsidR="009D2547">
        <w:t xml:space="preserve"> </w:t>
      </w:r>
      <w:r w:rsidR="005304B6">
        <w:t>1</w:t>
      </w:r>
      <w:r w:rsidR="004825E5">
        <w:t>8</w:t>
      </w:r>
      <w:bookmarkEnd w:id="106"/>
    </w:p>
    <w:p w14:paraId="021A83EC" w14:textId="7089C16E" w:rsidR="008C2DC9" w:rsidRDefault="008C2DC9" w:rsidP="008C2DC9">
      <w:pPr>
        <w:pStyle w:val="RecommendationText"/>
      </w:pPr>
      <w:bookmarkStart w:id="107" w:name="_Toc87607664"/>
      <w:r>
        <w:t>The Committee recommends that the ACT Government fund a dedicated team of policy experts within ACT Health to address the intersection of cl</w:t>
      </w:r>
      <w:r w:rsidR="00971ED4">
        <w:t>i</w:t>
      </w:r>
      <w:r>
        <w:t>mate change a</w:t>
      </w:r>
      <w:r w:rsidR="00971ED4">
        <w:t>n</w:t>
      </w:r>
      <w:r>
        <w:t>d health.</w:t>
      </w:r>
      <w:bookmarkEnd w:id="107"/>
    </w:p>
    <w:p w14:paraId="1854FBB1" w14:textId="31D787E3" w:rsidR="008C2DC9" w:rsidRDefault="008C2DC9" w:rsidP="00971ED4">
      <w:pPr>
        <w:pStyle w:val="RecommendationHeading"/>
      </w:pPr>
      <w:bookmarkStart w:id="108" w:name="_Hlk87525194"/>
      <w:bookmarkStart w:id="109" w:name="_Toc87607665"/>
      <w:bookmarkEnd w:id="105"/>
      <w:r>
        <w:t>Recommendation</w:t>
      </w:r>
      <w:r w:rsidR="009D2547">
        <w:t xml:space="preserve"> 1</w:t>
      </w:r>
      <w:r w:rsidR="004825E5">
        <w:t>9</w:t>
      </w:r>
      <w:bookmarkEnd w:id="109"/>
    </w:p>
    <w:p w14:paraId="128102F4" w14:textId="5D923158" w:rsidR="008C2DC9" w:rsidRPr="008C2DC9" w:rsidRDefault="008C2DC9" w:rsidP="00971ED4">
      <w:pPr>
        <w:pStyle w:val="RecommendationText"/>
      </w:pPr>
      <w:bookmarkStart w:id="110" w:name="_Toc87607666"/>
      <w:r>
        <w:t>The Committee recommends that the ACT Government should ensure that any external consultants commissioned to implement the recommendations of the LGBTIQA+ scoping study demon</w:t>
      </w:r>
      <w:r w:rsidR="00971ED4">
        <w:t>strate</w:t>
      </w:r>
      <w:r>
        <w:t xml:space="preserve"> connection to the LGBT</w:t>
      </w:r>
      <w:r w:rsidR="00971ED4">
        <w:t>IQA+ community and the service sector that surrounds it.</w:t>
      </w:r>
      <w:bookmarkEnd w:id="110"/>
    </w:p>
    <w:p w14:paraId="541DB447" w14:textId="77777777" w:rsidR="002F20E2" w:rsidRDefault="002F20E2" w:rsidP="00E771A4">
      <w:pPr>
        <w:pStyle w:val="BodyText"/>
        <w:numPr>
          <w:ilvl w:val="0"/>
          <w:numId w:val="0"/>
        </w:numPr>
        <w:ind w:left="567"/>
      </w:pPr>
    </w:p>
    <w:bookmarkEnd w:id="108"/>
    <w:p w14:paraId="720EFDA3" w14:textId="33B327BC" w:rsidR="00FE5AED" w:rsidRDefault="001E12B1" w:rsidP="00DE7950">
      <w:pPr>
        <w:pStyle w:val="Heading2"/>
        <w:numPr>
          <w:ilvl w:val="0"/>
          <w:numId w:val="13"/>
        </w:numPr>
        <w:tabs>
          <w:tab w:val="num" w:pos="680"/>
        </w:tabs>
        <w:ind w:left="567" w:hanging="567"/>
      </w:pPr>
      <w:r>
        <w:t xml:space="preserve"> </w:t>
      </w:r>
      <w:bookmarkStart w:id="111" w:name="_Toc87607422"/>
      <w:r w:rsidR="004E015B">
        <w:t xml:space="preserve">Families </w:t>
      </w:r>
      <w:r>
        <w:t>and Community Services Hearing – 25 October 2021</w:t>
      </w:r>
      <w:bookmarkEnd w:id="111"/>
    </w:p>
    <w:p w14:paraId="7EB2B754" w14:textId="28782F20" w:rsidR="001E12B1" w:rsidRDefault="00FE5AED" w:rsidP="001E12B1">
      <w:pPr>
        <w:pStyle w:val="BodyText"/>
      </w:pPr>
      <w:r>
        <w:t>O</w:t>
      </w:r>
      <w:r w:rsidR="004E015B">
        <w:t>n</w:t>
      </w:r>
      <w:r>
        <w:t xml:space="preserve"> </w:t>
      </w:r>
      <w:r w:rsidR="001E12B1">
        <w:t xml:space="preserve">25 October 2021, the Committee conducted hearings with the </w:t>
      </w:r>
      <w:r w:rsidR="00645DC2">
        <w:t>M</w:t>
      </w:r>
      <w:r w:rsidR="001E12B1">
        <w:t xml:space="preserve">inister for Families and community Services, Minister Rachel </w:t>
      </w:r>
      <w:r w:rsidR="006A3AE5">
        <w:t>Stephen</w:t>
      </w:r>
      <w:r w:rsidR="001E12B1">
        <w:t xml:space="preserve">-Smith </w:t>
      </w:r>
      <w:r w:rsidR="007142DD">
        <w:t>MLA.</w:t>
      </w:r>
    </w:p>
    <w:p w14:paraId="29300E20" w14:textId="0F002CF3" w:rsidR="001E12B1" w:rsidRDefault="001E12B1" w:rsidP="001E12B1">
      <w:pPr>
        <w:pStyle w:val="BodyText"/>
      </w:pPr>
      <w:r>
        <w:t>The Areas of inquiry the respo</w:t>
      </w:r>
      <w:r w:rsidR="007142DD">
        <w:t xml:space="preserve">nsibility of the Minister </w:t>
      </w:r>
      <w:proofErr w:type="gramStart"/>
      <w:r w:rsidR="007142DD">
        <w:t>are</w:t>
      </w:r>
      <w:proofErr w:type="gramEnd"/>
      <w:r>
        <w:t xml:space="preserve"> all </w:t>
      </w:r>
      <w:r w:rsidR="007142DD">
        <w:t xml:space="preserve">within </w:t>
      </w:r>
      <w:r>
        <w:t>in the Community Services portfolio and directorate responsibility and are</w:t>
      </w:r>
      <w:r w:rsidR="000D6B0B">
        <w:t xml:space="preserve"> the following </w:t>
      </w:r>
      <w:r w:rsidR="007142DD">
        <w:t>outputs:</w:t>
      </w:r>
    </w:p>
    <w:p w14:paraId="62BA6F3A" w14:textId="5D9C9D95" w:rsidR="001E12B1" w:rsidRPr="004B5056" w:rsidRDefault="001E12B1" w:rsidP="004B5056">
      <w:pPr>
        <w:pStyle w:val="ListBullet"/>
        <w:numPr>
          <w:ilvl w:val="0"/>
          <w:numId w:val="27"/>
        </w:numPr>
        <w:rPr>
          <w:rFonts w:eastAsia="Verdana"/>
        </w:rPr>
      </w:pPr>
      <w:r w:rsidRPr="004B5056">
        <w:rPr>
          <w:rFonts w:eastAsia="Verdana"/>
        </w:rPr>
        <w:t>Inclusion and Participation</w:t>
      </w:r>
    </w:p>
    <w:p w14:paraId="2549E867" w14:textId="687F0C61" w:rsidR="001E12B1" w:rsidRPr="004B5056" w:rsidRDefault="001E12B1" w:rsidP="004B5056">
      <w:pPr>
        <w:pStyle w:val="ListBullet"/>
        <w:numPr>
          <w:ilvl w:val="0"/>
          <w:numId w:val="27"/>
        </w:numPr>
        <w:rPr>
          <w:rFonts w:eastAsia="Verdana"/>
        </w:rPr>
      </w:pPr>
      <w:r w:rsidRPr="004B5056">
        <w:rPr>
          <w:rFonts w:eastAsia="Verdana"/>
        </w:rPr>
        <w:t>Strategic Policy</w:t>
      </w:r>
    </w:p>
    <w:p w14:paraId="1F657337" w14:textId="6D0AD5DA" w:rsidR="001E12B1" w:rsidRPr="004B5056" w:rsidRDefault="001E12B1" w:rsidP="004B5056">
      <w:pPr>
        <w:pStyle w:val="ListBullet"/>
        <w:numPr>
          <w:ilvl w:val="0"/>
          <w:numId w:val="27"/>
        </w:numPr>
        <w:rPr>
          <w:rFonts w:eastAsia="Verdana"/>
        </w:rPr>
      </w:pPr>
      <w:r w:rsidRPr="004B5056">
        <w:rPr>
          <w:rFonts w:eastAsia="Verdana"/>
        </w:rPr>
        <w:t>Quality, Complaints and Regulation</w:t>
      </w:r>
    </w:p>
    <w:p w14:paraId="0B835950" w14:textId="7B08230C" w:rsidR="00377254" w:rsidRPr="004B5056" w:rsidRDefault="001E12B1" w:rsidP="004B5056">
      <w:pPr>
        <w:pStyle w:val="ListBullet"/>
        <w:numPr>
          <w:ilvl w:val="0"/>
          <w:numId w:val="27"/>
        </w:numPr>
      </w:pPr>
      <w:r w:rsidRPr="004B5056">
        <w:rPr>
          <w:rFonts w:eastAsia="Verdana"/>
        </w:rPr>
        <w:t>2.3 Child and Youth Protection Services</w:t>
      </w:r>
    </w:p>
    <w:p w14:paraId="66283B81" w14:textId="77777777" w:rsidR="00F3233A" w:rsidRDefault="00F3233A" w:rsidP="00F3233A">
      <w:pPr>
        <w:pStyle w:val="BodyText"/>
      </w:pPr>
      <w:r>
        <w:t>The transcript for the hearing is at:</w:t>
      </w:r>
    </w:p>
    <w:p w14:paraId="427976BA" w14:textId="04582DC5" w:rsidR="00F3233A" w:rsidRDefault="0032316B" w:rsidP="00F3233A">
      <w:pPr>
        <w:pStyle w:val="BodyText"/>
        <w:numPr>
          <w:ilvl w:val="0"/>
          <w:numId w:val="0"/>
        </w:numPr>
        <w:ind w:left="567"/>
      </w:pPr>
      <w:hyperlink r:id="rId24" w:history="1">
        <w:r w:rsidR="001B4EFB" w:rsidRPr="00947FAC">
          <w:rPr>
            <w:rStyle w:val="Hyperlink"/>
          </w:rPr>
          <w:t>https://www.hansard.act.gov.au/hansard/2021/comms/hcw08.pdf</w:t>
        </w:r>
      </w:hyperlink>
    </w:p>
    <w:p w14:paraId="576DF2C4" w14:textId="771CE065" w:rsidR="000D6B0B" w:rsidRDefault="000D6B0B" w:rsidP="000D6B0B">
      <w:pPr>
        <w:pStyle w:val="Heading3"/>
      </w:pPr>
      <w:bookmarkStart w:id="112" w:name="_Toc87607423"/>
      <w:r>
        <w:t>Matters Raised by the Committee</w:t>
      </w:r>
      <w:bookmarkEnd w:id="112"/>
      <w:r>
        <w:t xml:space="preserve"> </w:t>
      </w:r>
    </w:p>
    <w:p w14:paraId="7E537E05" w14:textId="7BF9DA93" w:rsidR="00265093" w:rsidRPr="006829D3" w:rsidRDefault="00482982" w:rsidP="00265093">
      <w:pPr>
        <w:pStyle w:val="BodyText"/>
      </w:pPr>
      <w:r w:rsidRPr="006829D3">
        <w:t xml:space="preserve">What is the increase in cost of </w:t>
      </w:r>
      <w:r w:rsidR="00265093" w:rsidRPr="006829D3">
        <w:t>a working with vulnerable people card registration</w:t>
      </w:r>
      <w:r w:rsidRPr="006829D3">
        <w:t xml:space="preserve">, and what was the rationale and explanation </w:t>
      </w:r>
      <w:r w:rsidR="00265093" w:rsidRPr="006829D3">
        <w:t xml:space="preserve">for the </w:t>
      </w:r>
      <w:proofErr w:type="gramStart"/>
      <w:r w:rsidR="00265093" w:rsidRPr="006829D3">
        <w:t>increase</w:t>
      </w:r>
      <w:r w:rsidRPr="006829D3">
        <w:t>.</w:t>
      </w:r>
      <w:proofErr w:type="gramEnd"/>
    </w:p>
    <w:p w14:paraId="48351322" w14:textId="216064A9" w:rsidR="00645DC2" w:rsidRPr="006829D3" w:rsidRDefault="00265093" w:rsidP="00645DC2">
      <w:pPr>
        <w:pStyle w:val="BodyText"/>
      </w:pPr>
      <w:r w:rsidRPr="006829D3">
        <w:t xml:space="preserve">One of the three </w:t>
      </w:r>
      <w:r w:rsidR="00482982" w:rsidRPr="006829D3">
        <w:t xml:space="preserve">stated </w:t>
      </w:r>
      <w:r w:rsidRPr="006829D3">
        <w:t>initiatives for the 2020-21 budget is the delivery of a defined model of external merits revenue. Has th</w:t>
      </w:r>
      <w:r w:rsidR="00482982" w:rsidRPr="006829D3">
        <w:t>e model been completed and</w:t>
      </w:r>
      <w:r w:rsidRPr="006829D3">
        <w:t xml:space="preserve"> been completed and wh</w:t>
      </w:r>
      <w:r w:rsidR="00482982" w:rsidRPr="006829D3">
        <w:t>a</w:t>
      </w:r>
      <w:r w:rsidRPr="006829D3">
        <w:t xml:space="preserve">t is the timing for </w:t>
      </w:r>
      <w:r w:rsidR="00482982" w:rsidRPr="006829D3">
        <w:t xml:space="preserve">its </w:t>
      </w:r>
      <w:r w:rsidRPr="006829D3">
        <w:t>delivery?</w:t>
      </w:r>
    </w:p>
    <w:p w14:paraId="63F7E8BE" w14:textId="456434DF" w:rsidR="00265093" w:rsidRPr="006829D3" w:rsidRDefault="00265093" w:rsidP="007D1959">
      <w:pPr>
        <w:pStyle w:val="BodyText"/>
      </w:pPr>
      <w:r w:rsidRPr="006829D3">
        <w:t xml:space="preserve">What is </w:t>
      </w:r>
      <w:r w:rsidR="00482982" w:rsidRPr="006829D3">
        <w:t xml:space="preserve">a typical </w:t>
      </w:r>
      <w:r w:rsidRPr="006829D3">
        <w:t>time frame for implementing external reviews</w:t>
      </w:r>
      <w:r w:rsidR="00482982" w:rsidRPr="006829D3">
        <w:t xml:space="preserve"> of decisions</w:t>
      </w:r>
      <w:r w:rsidRPr="006829D3">
        <w:t xml:space="preserve"> </w:t>
      </w:r>
      <w:r w:rsidR="00482982" w:rsidRPr="006829D3">
        <w:t>f</w:t>
      </w:r>
      <w:r w:rsidRPr="006829D3">
        <w:t xml:space="preserve">or </w:t>
      </w:r>
      <w:r w:rsidR="007142DD" w:rsidRPr="006829D3">
        <w:t>protection</w:t>
      </w:r>
      <w:r w:rsidR="00482982" w:rsidRPr="006829D3">
        <w:t xml:space="preserve"> of </w:t>
      </w:r>
      <w:r w:rsidRPr="006829D3">
        <w:t xml:space="preserve">children </w:t>
      </w:r>
      <w:r w:rsidR="007142DD" w:rsidRPr="006829D3">
        <w:t>decisions?</w:t>
      </w:r>
    </w:p>
    <w:p w14:paraId="3F633022" w14:textId="03D1D2FB" w:rsidR="007D1959" w:rsidRPr="006829D3" w:rsidRDefault="00482982" w:rsidP="007D1959">
      <w:pPr>
        <w:pStyle w:val="BodyText"/>
      </w:pPr>
      <w:r w:rsidRPr="006829D3">
        <w:t xml:space="preserve">The review of decisions in relation to children protection matters has waited five years and there appears nothing </w:t>
      </w:r>
      <w:r w:rsidR="007D1959" w:rsidRPr="006829D3">
        <w:t>to support people within our community looking for an external review process to challenge decisions made by CYPS. How much is it costing to have t</w:t>
      </w:r>
      <w:r w:rsidRPr="006829D3">
        <w:t>he</w:t>
      </w:r>
      <w:r w:rsidR="007D1959" w:rsidRPr="006829D3">
        <w:t xml:space="preserve"> </w:t>
      </w:r>
      <w:r w:rsidR="007142DD" w:rsidRPr="006829D3">
        <w:t>panel,</w:t>
      </w:r>
      <w:r w:rsidR="007D1959" w:rsidRPr="006829D3">
        <w:t xml:space="preserve"> or the consultant group design a model of how the external merits review will be done? </w:t>
      </w:r>
    </w:p>
    <w:p w14:paraId="189C01E3" w14:textId="621461B7" w:rsidR="00487A4F" w:rsidRPr="006829D3" w:rsidRDefault="00487A4F" w:rsidP="002C6B55">
      <w:pPr>
        <w:pStyle w:val="BodyText"/>
      </w:pPr>
      <w:r w:rsidRPr="006829D3">
        <w:t>what work is underway to develop the next iteration of A Step Up for Our Kids?</w:t>
      </w:r>
      <w:r w:rsidR="00482982" w:rsidRPr="006829D3">
        <w:t xml:space="preserve">  </w:t>
      </w:r>
      <w:r w:rsidRPr="006829D3">
        <w:t xml:space="preserve">This </w:t>
      </w:r>
      <w:r w:rsidR="00482982" w:rsidRPr="006829D3">
        <w:t xml:space="preserve">iteration of the </w:t>
      </w:r>
      <w:r w:rsidRPr="006829D3">
        <w:t xml:space="preserve">strategy is from 2022 to 2032. </w:t>
      </w:r>
      <w:r w:rsidR="00482982" w:rsidRPr="006829D3">
        <w:t>What consultation with the community will occur in that period</w:t>
      </w:r>
      <w:r w:rsidRPr="006829D3">
        <w:t>?</w:t>
      </w:r>
    </w:p>
    <w:p w14:paraId="37E74E65" w14:textId="6C3ADE0D" w:rsidR="00265093" w:rsidRPr="006829D3" w:rsidRDefault="00482982" w:rsidP="00645DC2">
      <w:pPr>
        <w:pStyle w:val="BodyText"/>
      </w:pPr>
      <w:r w:rsidRPr="006829D3">
        <w:t>T</w:t>
      </w:r>
      <w:r w:rsidR="00487A4F" w:rsidRPr="006829D3">
        <w:rPr>
          <w:bCs/>
        </w:rPr>
        <w:t xml:space="preserve">here is a lot of value for government in the existence of </w:t>
      </w:r>
      <w:r w:rsidRPr="006829D3">
        <w:rPr>
          <w:bCs/>
        </w:rPr>
        <w:t>c</w:t>
      </w:r>
      <w:r w:rsidR="00487A4F" w:rsidRPr="006829D3">
        <w:rPr>
          <w:bCs/>
        </w:rPr>
        <w:t xml:space="preserve">ommunity advisory councils for a range of different groups with different, competing challenges that need to be brought to the forefront of government’s attention. </w:t>
      </w:r>
      <w:r w:rsidRPr="006829D3">
        <w:rPr>
          <w:bCs/>
        </w:rPr>
        <w:t xml:space="preserve"> H</w:t>
      </w:r>
      <w:r w:rsidR="00487A4F" w:rsidRPr="006829D3">
        <w:rPr>
          <w:bCs/>
        </w:rPr>
        <w:t>as there been any specific budgeting to better remunerate the people that sit on these bodies</w:t>
      </w:r>
      <w:r w:rsidRPr="006829D3">
        <w:rPr>
          <w:bCs/>
        </w:rPr>
        <w:t>; \</w:t>
      </w:r>
      <w:r w:rsidR="00DF3C86" w:rsidRPr="006829D3">
        <w:t xml:space="preserve"> particularly advisory councils that exist in the children and youth </w:t>
      </w:r>
      <w:r w:rsidR="007142DD" w:rsidRPr="006829D3">
        <w:t>space?</w:t>
      </w:r>
    </w:p>
    <w:p w14:paraId="7A2E5D82" w14:textId="0BE9D6A7" w:rsidR="00DF3C86" w:rsidRPr="006829D3" w:rsidRDefault="00DF3C86" w:rsidP="00DF3C86">
      <w:pPr>
        <w:pStyle w:val="BodyText"/>
      </w:pPr>
      <w:r w:rsidRPr="006829D3">
        <w:t xml:space="preserve">In terms of review, what work </w:t>
      </w:r>
      <w:r w:rsidR="00482982" w:rsidRPr="006829D3">
        <w:t xml:space="preserve">is done to ensure if </w:t>
      </w:r>
      <w:r w:rsidRPr="006829D3">
        <w:t>the stipend or remuneration that we have provided is appropriate</w:t>
      </w:r>
      <w:r w:rsidR="00482982" w:rsidRPr="006829D3">
        <w:t xml:space="preserve"> to those giving their time; particularly </w:t>
      </w:r>
      <w:r w:rsidRPr="006829D3">
        <w:t xml:space="preserve">work done to identify those people who may have expertise but choose not to be a part of these advisory councils? </w:t>
      </w:r>
      <w:r w:rsidR="00482982" w:rsidRPr="006829D3">
        <w:t xml:space="preserve"> What is done to ascertain </w:t>
      </w:r>
      <w:r w:rsidRPr="006829D3">
        <w:t xml:space="preserve">why people </w:t>
      </w:r>
      <w:r w:rsidR="00860004" w:rsidRPr="006829D3">
        <w:t xml:space="preserve">with </w:t>
      </w:r>
      <w:r w:rsidRPr="006829D3">
        <w:t xml:space="preserve">expertise may not share </w:t>
      </w:r>
      <w:r w:rsidR="00482982" w:rsidRPr="006829D3">
        <w:t>it</w:t>
      </w:r>
      <w:r w:rsidRPr="006829D3">
        <w:t>?</w:t>
      </w:r>
    </w:p>
    <w:p w14:paraId="6DAD3F66" w14:textId="61951B01" w:rsidR="00F3233A" w:rsidRPr="006829D3" w:rsidRDefault="00482982" w:rsidP="00F3233A">
      <w:pPr>
        <w:pStyle w:val="BodyText"/>
      </w:pPr>
      <w:r w:rsidRPr="006829D3">
        <w:t xml:space="preserve">There are </w:t>
      </w:r>
      <w:r w:rsidR="00F3233A" w:rsidRPr="006829D3">
        <w:t xml:space="preserve">at least two foster families </w:t>
      </w:r>
      <w:r w:rsidR="00860004" w:rsidRPr="006829D3">
        <w:t xml:space="preserve">who have reportedly </w:t>
      </w:r>
      <w:r w:rsidR="00F3233A" w:rsidRPr="006829D3">
        <w:t xml:space="preserve">either threatened to or have </w:t>
      </w:r>
      <w:r w:rsidR="007142DD" w:rsidRPr="006829D3">
        <w:t>quit:</w:t>
      </w:r>
      <w:r w:rsidR="00F3233A" w:rsidRPr="006829D3">
        <w:t xml:space="preserve"> fostering for the ACT. </w:t>
      </w:r>
      <w:r w:rsidR="00860004" w:rsidRPr="006829D3">
        <w:t>H</w:t>
      </w:r>
      <w:r w:rsidR="00F3233A" w:rsidRPr="006829D3">
        <w:t xml:space="preserve">ow many other families are experiencing this type of </w:t>
      </w:r>
      <w:r w:rsidR="00860004" w:rsidRPr="006829D3">
        <w:t xml:space="preserve">concern and </w:t>
      </w:r>
      <w:r w:rsidR="00F3233A" w:rsidRPr="006829D3">
        <w:t>anguish and are considering leaving the ACT fostering system?</w:t>
      </w:r>
    </w:p>
    <w:p w14:paraId="567DE2DD" w14:textId="2AC5F7B7" w:rsidR="008B007B" w:rsidRPr="006829D3" w:rsidRDefault="00860004" w:rsidP="008B007B">
      <w:pPr>
        <w:pStyle w:val="BodyText"/>
      </w:pPr>
      <w:r w:rsidRPr="006829D3">
        <w:t xml:space="preserve">A concern is online comment that </w:t>
      </w:r>
      <w:r w:rsidR="008B007B" w:rsidRPr="006829D3">
        <w:t xml:space="preserve">experienced foster carers that the current system </w:t>
      </w:r>
      <w:r w:rsidR="00CE2A05" w:rsidRPr="006829D3">
        <w:t>is disre</w:t>
      </w:r>
      <w:r w:rsidR="00084A87" w:rsidRPr="006829D3">
        <w:t>s</w:t>
      </w:r>
      <w:r w:rsidR="00CE2A05" w:rsidRPr="006829D3">
        <w:t>pectful</w:t>
      </w:r>
      <w:r w:rsidR="008B007B" w:rsidRPr="006829D3">
        <w:t xml:space="preserve"> </w:t>
      </w:r>
      <w:r w:rsidR="007142DD" w:rsidRPr="006829D3">
        <w:t>and</w:t>
      </w:r>
      <w:r w:rsidR="008B007B" w:rsidRPr="006829D3">
        <w:t xml:space="preserve"> worse, </w:t>
      </w:r>
      <w:r w:rsidR="00CE2A05" w:rsidRPr="006829D3">
        <w:t xml:space="preserve">has </w:t>
      </w:r>
      <w:r w:rsidR="008B007B" w:rsidRPr="006829D3">
        <w:t>retraumatise</w:t>
      </w:r>
      <w:r w:rsidR="00CE2A05" w:rsidRPr="006829D3">
        <w:t>d</w:t>
      </w:r>
      <w:r w:rsidR="008B007B" w:rsidRPr="006829D3">
        <w:t xml:space="preserve"> children by poorly managing transitions.</w:t>
      </w:r>
    </w:p>
    <w:p w14:paraId="48727730" w14:textId="09278307" w:rsidR="008B007B" w:rsidRPr="006829D3" w:rsidRDefault="007142DD" w:rsidP="008B007B">
      <w:pPr>
        <w:pStyle w:val="BodyText"/>
      </w:pPr>
      <w:r w:rsidRPr="006829D3">
        <w:t>So,</w:t>
      </w:r>
      <w:r w:rsidR="008B007B" w:rsidRPr="006829D3">
        <w:t xml:space="preserve"> it </w:t>
      </w:r>
      <w:r w:rsidR="00CE2A05" w:rsidRPr="006829D3">
        <w:t xml:space="preserve">appears </w:t>
      </w:r>
      <w:r w:rsidR="008B007B" w:rsidRPr="006829D3">
        <w:t xml:space="preserve">they are being disrespected and </w:t>
      </w:r>
      <w:r w:rsidR="00CE2A05" w:rsidRPr="006829D3">
        <w:t xml:space="preserve">children </w:t>
      </w:r>
      <w:r w:rsidR="008B007B" w:rsidRPr="006829D3">
        <w:t>being placed in their care are retraumatised by poorly manag</w:t>
      </w:r>
      <w:r w:rsidR="00CE2A05" w:rsidRPr="006829D3">
        <w:t>ed</w:t>
      </w:r>
      <w:r w:rsidR="008B007B" w:rsidRPr="006829D3">
        <w:t xml:space="preserve"> transitions. How </w:t>
      </w:r>
      <w:r w:rsidR="00CE2A05" w:rsidRPr="006829D3">
        <w:t xml:space="preserve">can you </w:t>
      </w:r>
      <w:r w:rsidR="008B007B" w:rsidRPr="006829D3">
        <w:t xml:space="preserve">fix </w:t>
      </w:r>
      <w:r w:rsidR="00CE2A05" w:rsidRPr="006829D3">
        <w:t>a</w:t>
      </w:r>
      <w:r w:rsidR="008B007B" w:rsidRPr="006829D3">
        <w:t xml:space="preserve"> problem of </w:t>
      </w:r>
      <w:r w:rsidR="00CE2A05" w:rsidRPr="006829D3">
        <w:t>ensuring children</w:t>
      </w:r>
      <w:r w:rsidR="008B007B" w:rsidRPr="006829D3">
        <w:t xml:space="preserve"> transitioning from one foster carer to another are not being retraumatised</w:t>
      </w:r>
      <w:r w:rsidR="00CE2A05" w:rsidRPr="006829D3">
        <w:t xml:space="preserve">, </w:t>
      </w:r>
      <w:r w:rsidR="008B007B" w:rsidRPr="006829D3">
        <w:t>but being rehabilitated?</w:t>
      </w:r>
    </w:p>
    <w:p w14:paraId="66B64793" w14:textId="78615A98" w:rsidR="00F3233A" w:rsidRPr="006829D3" w:rsidRDefault="007809D3" w:rsidP="00F3233A">
      <w:pPr>
        <w:pStyle w:val="BodyText"/>
      </w:pPr>
      <w:r w:rsidRPr="006829D3">
        <w:t xml:space="preserve">How many transitions have happened in the last two years </w:t>
      </w:r>
      <w:r w:rsidR="00CE2A05" w:rsidRPr="006829D3">
        <w:t xml:space="preserve">where </w:t>
      </w:r>
      <w:r w:rsidRPr="006829D3">
        <w:t xml:space="preserve">a slow process of transitioning </w:t>
      </w:r>
      <w:r w:rsidR="00CE2A05" w:rsidRPr="006829D3">
        <w:t xml:space="preserve">takes place to ensure </w:t>
      </w:r>
      <w:r w:rsidRPr="006829D3">
        <w:t>all parties involved understand what the circumstances are and understand the long-term goal rather than just a quick</w:t>
      </w:r>
      <w:r w:rsidR="00CE2A05" w:rsidRPr="006829D3">
        <w:t xml:space="preserve"> and </w:t>
      </w:r>
      <w:r w:rsidRPr="006829D3">
        <w:t xml:space="preserve">abrupt </w:t>
      </w:r>
      <w:r w:rsidR="00CE2A05" w:rsidRPr="006829D3">
        <w:t xml:space="preserve">process </w:t>
      </w:r>
      <w:r w:rsidRPr="006829D3">
        <w:t>overnight or over 24 hours or 48 hours?</w:t>
      </w:r>
    </w:p>
    <w:p w14:paraId="0A6C983C" w14:textId="50E9ACC4" w:rsidR="007809D3" w:rsidRPr="006829D3" w:rsidRDefault="007809D3" w:rsidP="007809D3">
      <w:pPr>
        <w:pStyle w:val="BodyText"/>
      </w:pPr>
      <w:r w:rsidRPr="006829D3">
        <w:t xml:space="preserve">The community services sector </w:t>
      </w:r>
      <w:r w:rsidR="00084A87" w:rsidRPr="006829D3">
        <w:t xml:space="preserve">appears to </w:t>
      </w:r>
      <w:r w:rsidRPr="006829D3">
        <w:t>suffer from job insecurity</w:t>
      </w:r>
      <w:r w:rsidR="00084A87" w:rsidRPr="006829D3">
        <w:t>,</w:t>
      </w:r>
      <w:r w:rsidRPr="006829D3">
        <w:t xml:space="preserve"> as a broad issue</w:t>
      </w:r>
      <w:r w:rsidR="00084A87" w:rsidRPr="006829D3">
        <w:t>;</w:t>
      </w:r>
      <w:r w:rsidRPr="006829D3">
        <w:t xml:space="preserve"> I have seen in recent times in CSD itself a range of positions </w:t>
      </w:r>
      <w:r w:rsidR="00084A87" w:rsidRPr="006829D3">
        <w:t xml:space="preserve">being advertised which </w:t>
      </w:r>
      <w:r w:rsidRPr="006829D3">
        <w:t xml:space="preserve">are temporary. </w:t>
      </w:r>
      <w:r w:rsidR="00084A87" w:rsidRPr="006829D3">
        <w:t xml:space="preserve"> W</w:t>
      </w:r>
      <w:r w:rsidRPr="006829D3">
        <w:t xml:space="preserve">hat </w:t>
      </w:r>
      <w:r w:rsidR="00084A87" w:rsidRPr="006829D3">
        <w:t xml:space="preserve">is </w:t>
      </w:r>
      <w:r w:rsidRPr="006829D3">
        <w:t>CSD doing to reduce job insecurity in its own workforce?</w:t>
      </w:r>
    </w:p>
    <w:p w14:paraId="46BDA5F7" w14:textId="1BC6441B" w:rsidR="007809D3" w:rsidRPr="006829D3" w:rsidRDefault="00084A87" w:rsidP="00F3233A">
      <w:pPr>
        <w:pStyle w:val="BodyText"/>
      </w:pPr>
      <w:r w:rsidRPr="006829D3">
        <w:t xml:space="preserve">So, </w:t>
      </w:r>
      <w:r w:rsidR="007809D3" w:rsidRPr="006829D3">
        <w:t xml:space="preserve">how many positions currently </w:t>
      </w:r>
      <w:r w:rsidR="007142DD" w:rsidRPr="006829D3">
        <w:t>advertised,</w:t>
      </w:r>
      <w:r w:rsidRPr="006829D3">
        <w:t xml:space="preserve"> and, </w:t>
      </w:r>
      <w:r w:rsidR="007809D3" w:rsidRPr="006829D3">
        <w:t xml:space="preserve">of those positions, how many are advertised as permanent, ongoing positions and how many of </w:t>
      </w:r>
      <w:r w:rsidR="007142DD" w:rsidRPr="006829D3">
        <w:t>our</w:t>
      </w:r>
      <w:r w:rsidRPr="006829D3">
        <w:t xml:space="preserve"> c</w:t>
      </w:r>
      <w:r w:rsidR="007809D3" w:rsidRPr="006829D3">
        <w:t>ontract positions.</w:t>
      </w:r>
    </w:p>
    <w:p w14:paraId="2760B433" w14:textId="3089312B" w:rsidR="007809D3" w:rsidRPr="006829D3" w:rsidRDefault="00084A87" w:rsidP="00F3233A">
      <w:pPr>
        <w:pStyle w:val="BodyText"/>
      </w:pPr>
      <w:r w:rsidRPr="006829D3">
        <w:t xml:space="preserve">A </w:t>
      </w:r>
      <w:r w:rsidR="007809D3" w:rsidRPr="006829D3">
        <w:t>budget priority 202</w:t>
      </w:r>
      <w:r w:rsidRPr="006829D3">
        <w:t>1-22</w:t>
      </w:r>
      <w:r w:rsidR="007809D3" w:rsidRPr="006829D3">
        <w:t xml:space="preserve"> is to deliver A Step Up for Our Kids. </w:t>
      </w:r>
      <w:r w:rsidRPr="006829D3">
        <w:t>K</w:t>
      </w:r>
      <w:r w:rsidR="007809D3" w:rsidRPr="006829D3">
        <w:t>inship carers at ACT Together earlier this year</w:t>
      </w:r>
      <w:r w:rsidRPr="006829D3">
        <w:t xml:space="preserve"> </w:t>
      </w:r>
      <w:r w:rsidR="007809D3" w:rsidRPr="006829D3">
        <w:t>raised numerous concerns, including lack of help accessing services.</w:t>
      </w:r>
    </w:p>
    <w:p w14:paraId="37541013" w14:textId="4E43E04A" w:rsidR="002C6B55" w:rsidRDefault="002C6B55" w:rsidP="000D6B0B">
      <w:pPr>
        <w:pStyle w:val="Heading3"/>
      </w:pPr>
    </w:p>
    <w:p w14:paraId="1D004BDB" w14:textId="2F6AC349" w:rsidR="00D51DA5" w:rsidRDefault="00D51DA5" w:rsidP="00D51DA5">
      <w:pPr>
        <w:pStyle w:val="BodyText"/>
        <w:numPr>
          <w:ilvl w:val="0"/>
          <w:numId w:val="0"/>
        </w:numPr>
        <w:ind w:left="720" w:hanging="360"/>
      </w:pPr>
    </w:p>
    <w:p w14:paraId="2DD2A03C" w14:textId="77777777" w:rsidR="00D51DA5" w:rsidRPr="00D51DA5" w:rsidRDefault="00D51DA5" w:rsidP="00D51DA5">
      <w:pPr>
        <w:pStyle w:val="BodyText"/>
        <w:numPr>
          <w:ilvl w:val="0"/>
          <w:numId w:val="0"/>
        </w:numPr>
        <w:ind w:left="720" w:hanging="360"/>
      </w:pPr>
    </w:p>
    <w:p w14:paraId="79F5564B" w14:textId="2ACEBB3E" w:rsidR="006829D3" w:rsidRDefault="00487A4F" w:rsidP="000D6B0B">
      <w:pPr>
        <w:pStyle w:val="Heading3"/>
      </w:pPr>
      <w:bookmarkStart w:id="113" w:name="_Toc87607424"/>
      <w:r>
        <w:t xml:space="preserve">Responses </w:t>
      </w:r>
      <w:r w:rsidR="000D6B0B">
        <w:t>provided by Minister Stephen-Smith and Officials</w:t>
      </w:r>
      <w:bookmarkEnd w:id="113"/>
    </w:p>
    <w:p w14:paraId="5396C25B" w14:textId="16D87207" w:rsidR="00076F2C" w:rsidRPr="00076F2C" w:rsidRDefault="00076F2C" w:rsidP="00076F2C">
      <w:pPr>
        <w:pStyle w:val="Heading5"/>
      </w:pPr>
      <w:r>
        <w:t>Merit review of child protection decisions</w:t>
      </w:r>
    </w:p>
    <w:p w14:paraId="595DB314" w14:textId="43CE4F7A" w:rsidR="006829D3" w:rsidRDefault="00076F2C" w:rsidP="00076F2C">
      <w:pPr>
        <w:pStyle w:val="BodyText"/>
      </w:pPr>
      <w:r>
        <w:t xml:space="preserve">There has been some </w:t>
      </w:r>
      <w:r w:rsidR="006829D3" w:rsidRPr="0099524B">
        <w:t xml:space="preserve">delay for the external merits of child protection decisions, the government did go out and attempt to procure a new provider, a consultant, for this piece of work. Unfortunately, the provider that we selected lost </w:t>
      </w:r>
      <w:proofErr w:type="gramStart"/>
      <w:r w:rsidR="006829D3" w:rsidRPr="0099524B">
        <w:t>a number of</w:t>
      </w:r>
      <w:proofErr w:type="gramEnd"/>
      <w:r w:rsidR="006829D3" w:rsidRPr="0099524B">
        <w:t xml:space="preserve"> </w:t>
      </w:r>
      <w:r w:rsidR="006829D3">
        <w:t xml:space="preserve">the </w:t>
      </w:r>
      <w:r w:rsidR="006829D3" w:rsidRPr="0099524B">
        <w:t>consultants</w:t>
      </w:r>
      <w:r w:rsidR="006829D3">
        <w:t>.</w:t>
      </w:r>
    </w:p>
    <w:p w14:paraId="2E7C4096" w14:textId="6A6BDF42" w:rsidR="006829D3" w:rsidRDefault="006829D3" w:rsidP="00076F2C">
      <w:pPr>
        <w:pStyle w:val="BodyText"/>
      </w:pPr>
      <w:r>
        <w:t xml:space="preserve">It </w:t>
      </w:r>
      <w:r w:rsidRPr="0099524B">
        <w:t xml:space="preserve">was </w:t>
      </w:r>
      <w:r w:rsidR="007142DD" w:rsidRPr="0099524B">
        <w:t>one</w:t>
      </w:r>
      <w:r w:rsidRPr="0099524B">
        <w:t xml:space="preserve"> of the universities who had put up the tender</w:t>
      </w:r>
      <w:r w:rsidR="00076F2C">
        <w:t xml:space="preserve"> for the review</w:t>
      </w:r>
      <w:r w:rsidRPr="0099524B">
        <w:t>, but the people within the university who were going to deliver the piece of work resigned from the university</w:t>
      </w:r>
      <w:r w:rsidR="00076F2C">
        <w:t xml:space="preserve">. </w:t>
      </w:r>
      <w:r w:rsidRPr="0099524B">
        <w:t xml:space="preserve"> However, that did mean that the tender was not able to be followed through. </w:t>
      </w:r>
      <w:r>
        <w:t>W</w:t>
      </w:r>
      <w:r w:rsidRPr="0099524B">
        <w:t>e have re-gone through the process, the procurement process, and we are now expecting a new set of consultants to start work in November</w:t>
      </w:r>
      <w:r w:rsidR="00076F2C">
        <w:t>.</w:t>
      </w:r>
    </w:p>
    <w:p w14:paraId="7C4016D6" w14:textId="725DD767" w:rsidR="00076F2C" w:rsidRPr="0099524B" w:rsidRDefault="00076F2C" w:rsidP="002C6B55">
      <w:pPr>
        <w:pStyle w:val="BodyText"/>
        <w:numPr>
          <w:ilvl w:val="0"/>
          <w:numId w:val="0"/>
        </w:numPr>
        <w:ind w:left="992"/>
      </w:pPr>
      <w:r w:rsidRPr="00076F2C">
        <w:rPr>
          <w:rStyle w:val="Heading5Char"/>
        </w:rPr>
        <w:t>A Step Up for Our Kids</w:t>
      </w:r>
      <w:r w:rsidRPr="0099524B">
        <w:t>.</w:t>
      </w:r>
    </w:p>
    <w:p w14:paraId="262AABC0" w14:textId="5261B612" w:rsidR="00076F2C" w:rsidRDefault="006829D3" w:rsidP="006829D3">
      <w:pPr>
        <w:pStyle w:val="BodyText"/>
      </w:pPr>
      <w:r w:rsidRPr="0099524B">
        <w:t xml:space="preserve">A Step Up for Our Kids. </w:t>
      </w:r>
      <w:r>
        <w:t>T</w:t>
      </w:r>
      <w:r w:rsidRPr="0099524B">
        <w:t>hat strategy has been in place for five</w:t>
      </w:r>
      <w:r>
        <w:t>-</w:t>
      </w:r>
      <w:r w:rsidRPr="0099524B">
        <w:t>plus years now</w:t>
      </w:r>
      <w:r>
        <w:t>. I</w:t>
      </w:r>
      <w:r w:rsidRPr="0099524B">
        <w:t xml:space="preserve">n </w:t>
      </w:r>
      <w:r>
        <w:t>d</w:t>
      </w:r>
      <w:r w:rsidRPr="0099524B">
        <w:t xml:space="preserve">eveloping the next </w:t>
      </w:r>
      <w:r w:rsidR="007142DD" w:rsidRPr="0099524B">
        <w:t>strategy,</w:t>
      </w:r>
      <w:r w:rsidRPr="0099524B">
        <w:t xml:space="preserve"> we have taken time to really understand the evidence base to inform the next stage of reform. </w:t>
      </w:r>
      <w:r>
        <w:t>T</w:t>
      </w:r>
      <w:r w:rsidRPr="0099524B">
        <w:t xml:space="preserve">he team </w:t>
      </w:r>
      <w:r w:rsidR="00076F2C">
        <w:t>in CSD Directorate and i</w:t>
      </w:r>
      <w:r w:rsidRPr="0099524B">
        <w:t xml:space="preserve">nternal governance groups, as well </w:t>
      </w:r>
      <w:r>
        <w:t xml:space="preserve">as </w:t>
      </w:r>
      <w:r w:rsidRPr="0099524B">
        <w:t>with key partners across the ACT government</w:t>
      </w:r>
      <w:r w:rsidR="00076F2C">
        <w:t xml:space="preserve"> h</w:t>
      </w:r>
      <w:r w:rsidRPr="0099524B">
        <w:t>a</w:t>
      </w:r>
      <w:r>
        <w:t>s</w:t>
      </w:r>
      <w:r w:rsidRPr="0099524B">
        <w:t xml:space="preserve"> look</w:t>
      </w:r>
      <w:r w:rsidR="00076F2C">
        <w:t>ed</w:t>
      </w:r>
      <w:r w:rsidRPr="0099524B">
        <w:t xml:space="preserve"> at the evidence base. </w:t>
      </w:r>
    </w:p>
    <w:p w14:paraId="3007333A" w14:textId="2266A8F8" w:rsidR="000D6B0B" w:rsidRDefault="00076F2C" w:rsidP="006829D3">
      <w:pPr>
        <w:pStyle w:val="BodyText"/>
      </w:pPr>
      <w:r>
        <w:t>T</w:t>
      </w:r>
      <w:r w:rsidR="006829D3" w:rsidRPr="0099524B">
        <w:t xml:space="preserve">he evidence base comprises three important things. </w:t>
      </w:r>
      <w:r>
        <w:t xml:space="preserve">Based on </w:t>
      </w:r>
      <w:r w:rsidR="006829D3" w:rsidRPr="0099524B">
        <w:t>five</w:t>
      </w:r>
      <w:r w:rsidR="006829D3">
        <w:t>-</w:t>
      </w:r>
      <w:r w:rsidR="006829D3" w:rsidRPr="0099524B">
        <w:t>plus years now of data</w:t>
      </w:r>
      <w:r>
        <w:t xml:space="preserve">, the 2015 </w:t>
      </w:r>
      <w:r w:rsidR="006829D3" w:rsidRPr="0099524B">
        <w:t>strategy in 2015 update progress against the strategy</w:t>
      </w:r>
      <w:r>
        <w:t xml:space="preserve"> </w:t>
      </w:r>
      <w:r w:rsidR="007142DD">
        <w:t>regularly</w:t>
      </w:r>
      <w:r w:rsidR="006829D3" w:rsidRPr="0099524B">
        <w:t>.</w:t>
      </w:r>
    </w:p>
    <w:p w14:paraId="29DF98D6" w14:textId="6A74377B" w:rsidR="003A4223" w:rsidRDefault="00076F2C" w:rsidP="00076F2C">
      <w:pPr>
        <w:pStyle w:val="BodyText"/>
      </w:pPr>
      <w:r>
        <w:t xml:space="preserve">As a </w:t>
      </w:r>
      <w:r w:rsidR="003A4223" w:rsidRPr="0099524B">
        <w:t>first stage, staff who worked within the system</w:t>
      </w:r>
      <w:r>
        <w:t xml:space="preserve"> were consulted as well as </w:t>
      </w:r>
      <w:r w:rsidR="003A4223" w:rsidRPr="0099524B">
        <w:t xml:space="preserve">funded providers, and young people to find out their experience of the system. </w:t>
      </w:r>
      <w:r>
        <w:t xml:space="preserve">The </w:t>
      </w:r>
      <w:r w:rsidR="003A4223" w:rsidRPr="0099524B">
        <w:t>he same set of questions</w:t>
      </w:r>
      <w:r>
        <w:t xml:space="preserve"> were asked including </w:t>
      </w:r>
      <w:r w:rsidR="003A4223" w:rsidRPr="0099524B">
        <w:t>what has gone well under the strategy</w:t>
      </w:r>
      <w:r>
        <w:t xml:space="preserve"> and</w:t>
      </w:r>
      <w:r w:rsidR="003A4223" w:rsidRPr="0099524B">
        <w:t xml:space="preserve"> </w:t>
      </w:r>
      <w:r>
        <w:t>w</w:t>
      </w:r>
      <w:r w:rsidR="003A4223" w:rsidRPr="0099524B">
        <w:t xml:space="preserve">here are the areas that need focus on, and what is your advice going forward? </w:t>
      </w:r>
      <w:r>
        <w:t xml:space="preserve">This </w:t>
      </w:r>
      <w:r w:rsidR="003A4223" w:rsidRPr="0099524B">
        <w:t>first engagement</w:t>
      </w:r>
      <w:r>
        <w:t xml:space="preserve"> was </w:t>
      </w:r>
      <w:r w:rsidR="003A4223" w:rsidRPr="0099524B">
        <w:t>released a</w:t>
      </w:r>
      <w:r>
        <w:t>s a</w:t>
      </w:r>
      <w:r w:rsidR="003A4223" w:rsidRPr="0099524B">
        <w:t xml:space="preserve"> listening report</w:t>
      </w:r>
      <w:r w:rsidR="003A4223">
        <w:t>,</w:t>
      </w:r>
      <w:r w:rsidR="003A4223" w:rsidRPr="0099524B">
        <w:t xml:space="preserve"> which is on the </w:t>
      </w:r>
      <w:r w:rsidR="007142DD" w:rsidRPr="0099524B">
        <w:t>Your Say</w:t>
      </w:r>
      <w:r w:rsidR="003A4223" w:rsidRPr="0099524B">
        <w:t xml:space="preserve"> web platform.</w:t>
      </w:r>
    </w:p>
    <w:p w14:paraId="7BE15910" w14:textId="3554B12C" w:rsidR="003A4223" w:rsidRPr="0099524B" w:rsidRDefault="00076F2C" w:rsidP="00076F2C">
      <w:pPr>
        <w:pStyle w:val="BodyText"/>
      </w:pPr>
      <w:r>
        <w:t xml:space="preserve">As a </w:t>
      </w:r>
      <w:r w:rsidR="003A4223" w:rsidRPr="0099524B">
        <w:t xml:space="preserve">second stage of engagement </w:t>
      </w:r>
      <w:r w:rsidR="007142DD" w:rsidRPr="0099524B">
        <w:t>activities</w:t>
      </w:r>
      <w:r w:rsidR="007142DD">
        <w:t>, the</w:t>
      </w:r>
      <w:r>
        <w:t xml:space="preserve"> issue of </w:t>
      </w:r>
      <w:r w:rsidR="003A4223" w:rsidRPr="0099524B">
        <w:t>intersectionality and looking at diverse communities</w:t>
      </w:r>
      <w:r w:rsidR="003A4223">
        <w:t>, w</w:t>
      </w:r>
      <w:r w:rsidR="003A4223" w:rsidRPr="0099524B">
        <w:t>hat out</w:t>
      </w:r>
      <w:r w:rsidR="003A4223">
        <w:t xml:space="preserve"> </w:t>
      </w:r>
      <w:r w:rsidR="003A4223" w:rsidRPr="0099524B">
        <w:t>of</w:t>
      </w:r>
      <w:r w:rsidR="003A4223">
        <w:t xml:space="preserve"> </w:t>
      </w:r>
      <w:r w:rsidR="003A4223" w:rsidRPr="0099524B">
        <w:t>home care mean</w:t>
      </w:r>
      <w:r w:rsidR="003A4223">
        <w:t>s</w:t>
      </w:r>
      <w:r w:rsidR="003A4223" w:rsidRPr="0099524B">
        <w:t xml:space="preserve"> for people with diverse experiences</w:t>
      </w:r>
      <w:r w:rsidR="003A4223">
        <w:t>,</w:t>
      </w:r>
      <w:r w:rsidR="003A4223" w:rsidRPr="0099524B">
        <w:t xml:space="preserve"> and how </w:t>
      </w:r>
      <w:r>
        <w:t xml:space="preserve">they </w:t>
      </w:r>
      <w:r w:rsidR="003A4223">
        <w:t xml:space="preserve">can </w:t>
      </w:r>
      <w:r w:rsidR="003A4223" w:rsidRPr="0099524B">
        <w:t xml:space="preserve">best </w:t>
      </w:r>
      <w:r>
        <w:t xml:space="preserve">be </w:t>
      </w:r>
      <w:r w:rsidR="003A4223" w:rsidRPr="0099524B">
        <w:t>support</w:t>
      </w:r>
      <w:r>
        <w:t>ed</w:t>
      </w:r>
      <w:r w:rsidR="003A4223" w:rsidRPr="0099524B">
        <w:t xml:space="preserve">. </w:t>
      </w:r>
      <w:r>
        <w:t>This is now complete</w:t>
      </w:r>
      <w:r w:rsidR="00046D52">
        <w:t xml:space="preserve"> and continued during COVID. </w:t>
      </w:r>
      <w:r w:rsidR="003A4223" w:rsidRPr="0099524B">
        <w:t xml:space="preserve"> </w:t>
      </w:r>
      <w:r w:rsidR="003A4223">
        <w:t>T</w:t>
      </w:r>
      <w:r w:rsidR="003A4223" w:rsidRPr="0099524B">
        <w:t>hat stage 2 listening report is now being finalised, and that will also</w:t>
      </w:r>
      <w:r w:rsidR="003A4223">
        <w:t xml:space="preserve"> be</w:t>
      </w:r>
      <w:r w:rsidR="003A4223" w:rsidRPr="0099524B">
        <w:t xml:space="preserve"> uploaded to the </w:t>
      </w:r>
      <w:r w:rsidR="007142DD" w:rsidRPr="0099524B">
        <w:t>Your Say</w:t>
      </w:r>
      <w:r w:rsidR="003A4223" w:rsidRPr="0099524B">
        <w:t xml:space="preserve"> web platform.</w:t>
      </w:r>
    </w:p>
    <w:p w14:paraId="5C5E1C47" w14:textId="77777777" w:rsidR="005E5F3A" w:rsidRDefault="003A4223" w:rsidP="003A4223">
      <w:pPr>
        <w:pStyle w:val="BodyText"/>
      </w:pPr>
      <w:r>
        <w:t>T</w:t>
      </w:r>
      <w:r w:rsidRPr="0099524B">
        <w:t xml:space="preserve">hat </w:t>
      </w:r>
      <w:r w:rsidR="005E5F3A">
        <w:t xml:space="preserve">staged examination </w:t>
      </w:r>
      <w:r w:rsidRPr="0099524B">
        <w:t xml:space="preserve">has been around engaging with key stakeholders. </w:t>
      </w:r>
      <w:r w:rsidR="005E5F3A">
        <w:t xml:space="preserve">That is now being brought </w:t>
      </w:r>
      <w:r w:rsidRPr="0099524B">
        <w:t xml:space="preserve">together and looking at what that evidence </w:t>
      </w:r>
      <w:r w:rsidR="005E5F3A">
        <w:t xml:space="preserve">is </w:t>
      </w:r>
      <w:r w:rsidRPr="0099524B">
        <w:t xml:space="preserve">what that stage of reform needs to comprise. </w:t>
      </w:r>
      <w:r w:rsidR="005E5F3A">
        <w:t xml:space="preserve">There is also a </w:t>
      </w:r>
      <w:r w:rsidRPr="0099524B">
        <w:t>longer horizon</w:t>
      </w:r>
      <w:r>
        <w:t xml:space="preserve"> t</w:t>
      </w:r>
      <w:r w:rsidRPr="0099524B">
        <w:t>hat recognises complex reform</w:t>
      </w:r>
      <w:r>
        <w:t xml:space="preserve">. </w:t>
      </w:r>
    </w:p>
    <w:p w14:paraId="3F0A93BF" w14:textId="1CED5E8E" w:rsidR="003A4223" w:rsidRDefault="003A4223" w:rsidP="003A4223">
      <w:pPr>
        <w:pStyle w:val="BodyText"/>
      </w:pPr>
      <w:r>
        <w:t>Re</w:t>
      </w:r>
      <w:r w:rsidRPr="0099524B">
        <w:t>form in out</w:t>
      </w:r>
      <w:r>
        <w:t xml:space="preserve"> </w:t>
      </w:r>
      <w:r w:rsidRPr="0099524B">
        <w:t>of</w:t>
      </w:r>
      <w:r>
        <w:t xml:space="preserve"> </w:t>
      </w:r>
      <w:r w:rsidRPr="0099524B">
        <w:t>home care and the systems around it and the multiple stakeholders</w:t>
      </w:r>
      <w:r>
        <w:t xml:space="preserve"> </w:t>
      </w:r>
      <w:r w:rsidRPr="0099524B">
        <w:t>does take time.</w:t>
      </w:r>
      <w:r>
        <w:t xml:space="preserve"> G</w:t>
      </w:r>
      <w:r w:rsidRPr="0099524B">
        <w:t xml:space="preserve">oing back to </w:t>
      </w:r>
      <w:r>
        <w:t>our</w:t>
      </w:r>
      <w:r w:rsidRPr="0099524B">
        <w:t xml:space="preserve"> question of what </w:t>
      </w:r>
      <w:r>
        <w:t xml:space="preserve">had </w:t>
      </w:r>
      <w:r w:rsidRPr="0099524B">
        <w:t xml:space="preserve">worked well, </w:t>
      </w:r>
      <w:r w:rsidR="005E5F3A">
        <w:t xml:space="preserve">it was reported that </w:t>
      </w:r>
      <w:r w:rsidRPr="0099524B">
        <w:t xml:space="preserve">the strategy was on point in terms of the reform agenda, and that good things </w:t>
      </w:r>
      <w:r w:rsidR="005E5F3A">
        <w:t>were</w:t>
      </w:r>
      <w:r w:rsidRPr="0099524B">
        <w:t xml:space="preserve"> achieved; notable differences </w:t>
      </w:r>
      <w:r w:rsidR="005E5F3A">
        <w:t xml:space="preserve">occurred </w:t>
      </w:r>
      <w:r w:rsidRPr="0099524B">
        <w:t>in key areas</w:t>
      </w:r>
      <w:r w:rsidR="005E5F3A">
        <w:t>.  I</w:t>
      </w:r>
      <w:r w:rsidRPr="0099524B">
        <w:t xml:space="preserve">t </w:t>
      </w:r>
      <w:r w:rsidR="005E5F3A">
        <w:t>is</w:t>
      </w:r>
      <w:r w:rsidRPr="0099524B">
        <w:t xml:space="preserve"> timely to be progressing the reform agenda now. </w:t>
      </w:r>
    </w:p>
    <w:p w14:paraId="2649D997" w14:textId="7AE153EF" w:rsidR="0093754B" w:rsidRDefault="003E7F83" w:rsidP="003A4223">
      <w:pPr>
        <w:pStyle w:val="BodyText"/>
      </w:pPr>
      <w:r>
        <w:t>I</w:t>
      </w:r>
      <w:r w:rsidR="0093754B" w:rsidRPr="0099524B">
        <w:t>n any one year</w:t>
      </w:r>
      <w:r w:rsidR="0093754B">
        <w:t>,</w:t>
      </w:r>
      <w:r w:rsidR="0093754B" w:rsidRPr="0099524B">
        <w:t xml:space="preserve"> there will be at least one, and often two, jurisdictions around Australia that are undergoing </w:t>
      </w:r>
      <w:r w:rsidR="007142DD" w:rsidRPr="0099524B">
        <w:t>a</w:t>
      </w:r>
      <w:r w:rsidR="0093754B" w:rsidRPr="0099524B">
        <w:t xml:space="preserve"> review of their child protection systems</w:t>
      </w:r>
      <w:r w:rsidR="0093754B">
        <w:t xml:space="preserve">. Also, </w:t>
      </w:r>
      <w:r w:rsidR="0093754B" w:rsidRPr="0099524B">
        <w:t>academic work in this space and experience</w:t>
      </w:r>
      <w:r w:rsidR="0093754B">
        <w:t xml:space="preserve">—the </w:t>
      </w:r>
      <w:r w:rsidR="0093754B" w:rsidRPr="0099524B">
        <w:t xml:space="preserve">evidence base that is developed from </w:t>
      </w:r>
      <w:proofErr w:type="gramStart"/>
      <w:r w:rsidR="0093754B" w:rsidRPr="0099524B">
        <w:t>practice,</w:t>
      </w:r>
      <w:r w:rsidR="0093754B">
        <w:t>—</w:t>
      </w:r>
      <w:proofErr w:type="gramEnd"/>
      <w:r w:rsidR="0093754B">
        <w:t xml:space="preserve">continues </w:t>
      </w:r>
      <w:r w:rsidR="0093754B" w:rsidRPr="0099524B">
        <w:t xml:space="preserve">to evolve. </w:t>
      </w:r>
      <w:r w:rsidR="007142DD" w:rsidRPr="0099524B">
        <w:t>So,</w:t>
      </w:r>
      <w:r w:rsidR="0093754B">
        <w:t xml:space="preserve"> </w:t>
      </w:r>
      <w:r>
        <w:t xml:space="preserve">underpinning </w:t>
      </w:r>
      <w:r w:rsidR="0093754B">
        <w:t>this 10-year strategy</w:t>
      </w:r>
      <w:r w:rsidR="0093754B" w:rsidRPr="0099524B">
        <w:t xml:space="preserve"> </w:t>
      </w:r>
      <w:r>
        <w:t xml:space="preserve">there will </w:t>
      </w:r>
      <w:r w:rsidR="0093754B" w:rsidRPr="0099524B">
        <w:t xml:space="preserve">certainly </w:t>
      </w:r>
      <w:r>
        <w:t xml:space="preserve">be a </w:t>
      </w:r>
      <w:r w:rsidR="0093754B" w:rsidRPr="0099524B">
        <w:t>series of action plans</w:t>
      </w:r>
      <w:r w:rsidR="0093754B">
        <w:t xml:space="preserve"> </w:t>
      </w:r>
      <w:r w:rsidR="0093754B" w:rsidRPr="0099524B">
        <w:t>that will reflect the evolution and the evidence as it goes through</w:t>
      </w:r>
      <w:r w:rsidR="0093754B">
        <w:t>, b</w:t>
      </w:r>
      <w:r w:rsidR="0093754B" w:rsidRPr="0099524B">
        <w:t xml:space="preserve">ut with an overarching set of principles that will not need to be revisited </w:t>
      </w:r>
    </w:p>
    <w:p w14:paraId="37293368" w14:textId="7A326B16" w:rsidR="0093754B" w:rsidRDefault="0093754B" w:rsidP="003A4223">
      <w:pPr>
        <w:pStyle w:val="BodyText"/>
      </w:pPr>
      <w:r w:rsidRPr="0099524B">
        <w:t xml:space="preserve">One of the things that has very clearly occurred over the last five years is a stabilisation in the number of children and young people in care, and </w:t>
      </w:r>
      <w:r>
        <w:t xml:space="preserve">a </w:t>
      </w:r>
      <w:r w:rsidRPr="0099524B">
        <w:t>reduction in the number of children and young people entering care, compared to that previous period</w:t>
      </w:r>
      <w:r>
        <w:t>,</w:t>
      </w:r>
      <w:r w:rsidRPr="0099524B">
        <w:t xml:space="preserve"> where </w:t>
      </w:r>
      <w:r w:rsidR="00D35096">
        <w:t xml:space="preserve">there is </w:t>
      </w:r>
      <w:r w:rsidRPr="0099524B">
        <w:t xml:space="preserve">a rapid increase. </w:t>
      </w:r>
      <w:r w:rsidR="005A183B">
        <w:t xml:space="preserve">There is a </w:t>
      </w:r>
      <w:r w:rsidRPr="0099524B">
        <w:t>more effective intensive supports and wraparound support for families to keep their children safe at home. That is evidenced by the numbers and by the experience of the families.</w:t>
      </w:r>
    </w:p>
    <w:p w14:paraId="502E3853" w14:textId="056DFE68" w:rsidR="005170B8" w:rsidRDefault="005170B8" w:rsidP="003A4223">
      <w:pPr>
        <w:pStyle w:val="BodyText"/>
      </w:pPr>
      <w:r w:rsidRPr="0099524B">
        <w:t>So, stakeholders</w:t>
      </w:r>
      <w:r>
        <w:t>—</w:t>
      </w:r>
      <w:r w:rsidRPr="0099524B">
        <w:t>our non-government partners, our staff, and children and young people</w:t>
      </w:r>
      <w:r>
        <w:t>—</w:t>
      </w:r>
      <w:r w:rsidR="001F7E5B">
        <w:t>are important</w:t>
      </w:r>
      <w:r w:rsidRPr="0099524B">
        <w:t xml:space="preserve">. As </w:t>
      </w:r>
      <w:r w:rsidR="001F7E5B">
        <w:t xml:space="preserve">noted </w:t>
      </w:r>
      <w:r w:rsidRPr="0099524B">
        <w:t>there have been some good things and there have been some things that have not worked so well</w:t>
      </w:r>
      <w:r w:rsidR="001F7E5B">
        <w:t xml:space="preserve">. </w:t>
      </w:r>
      <w:r>
        <w:t xml:space="preserve"> That</w:t>
      </w:r>
      <w:r w:rsidR="001F7E5B">
        <w:t xml:space="preserve"> result </w:t>
      </w:r>
      <w:r w:rsidRPr="0099524B">
        <w:t xml:space="preserve">is reflected in </w:t>
      </w:r>
      <w:r w:rsidR="001F7E5B">
        <w:t>the f</w:t>
      </w:r>
      <w:r w:rsidRPr="0099524B">
        <w:t xml:space="preserve">irst listening report, and it will continue to be reflected in </w:t>
      </w:r>
      <w:r w:rsidR="001F7E5B">
        <w:t>other</w:t>
      </w:r>
      <w:r w:rsidRPr="0099524B">
        <w:t xml:space="preserve"> material.</w:t>
      </w:r>
    </w:p>
    <w:p w14:paraId="1A512DC0" w14:textId="1CF0639E" w:rsidR="007B6461" w:rsidRDefault="007B6461" w:rsidP="007B6461">
      <w:pPr>
        <w:pStyle w:val="Heading5"/>
      </w:pPr>
      <w:r>
        <w:t>Advisory bodies</w:t>
      </w:r>
    </w:p>
    <w:p w14:paraId="51C623F5" w14:textId="156133EA" w:rsidR="005170B8" w:rsidRDefault="005170B8" w:rsidP="003A4223">
      <w:pPr>
        <w:pStyle w:val="BodyText"/>
      </w:pPr>
      <w:r>
        <w:t>The</w:t>
      </w:r>
      <w:r w:rsidRPr="0099524B">
        <w:t xml:space="preserve"> accountability is to </w:t>
      </w:r>
      <w:r w:rsidR="007142DD" w:rsidRPr="0099524B">
        <w:t>consider</w:t>
      </w:r>
      <w:r w:rsidRPr="0099524B">
        <w:t xml:space="preserve"> </w:t>
      </w:r>
      <w:proofErr w:type="gramStart"/>
      <w:r w:rsidRPr="0099524B">
        <w:t>each and every</w:t>
      </w:r>
      <w:proofErr w:type="gramEnd"/>
      <w:r w:rsidRPr="0099524B">
        <w:t xml:space="preserve"> advisory council</w:t>
      </w:r>
      <w:r>
        <w:t>,</w:t>
      </w:r>
      <w:r w:rsidRPr="0099524B">
        <w:t xml:space="preserve"> reform committee or initiative group that</w:t>
      </w:r>
      <w:r>
        <w:t xml:space="preserve"> is</w:t>
      </w:r>
      <w:r w:rsidRPr="0099524B">
        <w:t xml:space="preserve"> being put in</w:t>
      </w:r>
      <w:r>
        <w:t xml:space="preserve"> </w:t>
      </w:r>
      <w:r w:rsidRPr="0099524B">
        <w:t xml:space="preserve">place to support the work that </w:t>
      </w:r>
      <w:r w:rsidR="007B6461">
        <w:t xml:space="preserve">is being undertaken and </w:t>
      </w:r>
      <w:r>
        <w:t xml:space="preserve">to </w:t>
      </w:r>
      <w:r w:rsidRPr="0099524B">
        <w:t>understand the level of involvement</w:t>
      </w:r>
      <w:r>
        <w:t>,</w:t>
      </w:r>
      <w:r w:rsidRPr="0099524B">
        <w:t xml:space="preserve"> input and decision-making to the minister</w:t>
      </w:r>
      <w:r>
        <w:t>,</w:t>
      </w:r>
      <w:r w:rsidRPr="0099524B">
        <w:t xml:space="preserve"> the </w:t>
      </w:r>
      <w:r w:rsidR="007142DD" w:rsidRPr="0099524B">
        <w:t>DG,</w:t>
      </w:r>
      <w:r w:rsidRPr="0099524B">
        <w:t xml:space="preserve"> or other significant stakeholders</w:t>
      </w:r>
      <w:r w:rsidR="00DA2469">
        <w:t xml:space="preserve">.  In </w:t>
      </w:r>
      <w:r w:rsidR="007142DD">
        <w:t>addition,</w:t>
      </w:r>
      <w:r w:rsidR="00DA2469">
        <w:t xml:space="preserve"> it is important </w:t>
      </w:r>
      <w:proofErr w:type="gramStart"/>
      <w:r w:rsidR="00DA2469">
        <w:t xml:space="preserve">to </w:t>
      </w:r>
      <w:r w:rsidRPr="0099524B">
        <w:t xml:space="preserve"> and</w:t>
      </w:r>
      <w:proofErr w:type="gramEnd"/>
      <w:r w:rsidRPr="0099524B">
        <w:t xml:space="preserve"> </w:t>
      </w:r>
      <w:r>
        <w:t xml:space="preserve">to </w:t>
      </w:r>
      <w:r w:rsidR="007142DD" w:rsidRPr="0099524B">
        <w:t>decide</w:t>
      </w:r>
      <w:r w:rsidRPr="0099524B">
        <w:t xml:space="preserve"> based on publicly available information from the Remuneration Tribunal or other </w:t>
      </w:r>
      <w:r>
        <w:t xml:space="preserve">community </w:t>
      </w:r>
      <w:r w:rsidRPr="0099524B">
        <w:t>participation payments so that we can consistently apply th</w:t>
      </w:r>
      <w:r>
        <w:t>at</w:t>
      </w:r>
      <w:r w:rsidRPr="0099524B">
        <w:t xml:space="preserve"> set of rules</w:t>
      </w:r>
      <w:r>
        <w:t xml:space="preserve"> to </w:t>
      </w:r>
      <w:r w:rsidRPr="0099524B">
        <w:t xml:space="preserve">how the terms of reference are established </w:t>
      </w:r>
      <w:r>
        <w:t xml:space="preserve">and what they contain within them </w:t>
      </w:r>
      <w:r w:rsidRPr="0099524B">
        <w:t>for each group</w:t>
      </w:r>
      <w:r w:rsidR="00DA2469">
        <w:t>.</w:t>
      </w:r>
    </w:p>
    <w:p w14:paraId="6878362C" w14:textId="34702FA0" w:rsidR="005231D5" w:rsidRDefault="005231D5" w:rsidP="003A4223">
      <w:pPr>
        <w:pStyle w:val="BodyText"/>
      </w:pPr>
      <w:r w:rsidRPr="0099524B">
        <w:t>I</w:t>
      </w:r>
      <w:r>
        <w:t xml:space="preserve">t </w:t>
      </w:r>
      <w:r w:rsidRPr="0099524B">
        <w:t>is one of those things</w:t>
      </w:r>
      <w:r>
        <w:t xml:space="preserve"> </w:t>
      </w:r>
      <w:r w:rsidRPr="0099524B">
        <w:t xml:space="preserve">constantly </w:t>
      </w:r>
      <w:r w:rsidR="00DA2469">
        <w:t xml:space="preserve">centred on </w:t>
      </w:r>
      <w:r w:rsidRPr="0099524B">
        <w:t>policy</w:t>
      </w:r>
      <w:r>
        <w:t>. Is</w:t>
      </w:r>
      <w:r w:rsidRPr="0099524B">
        <w:t xml:space="preserve"> there equity between different groups? Are we sufficiently remunerating people? </w:t>
      </w:r>
      <w:r>
        <w:t>We</w:t>
      </w:r>
      <w:r w:rsidRPr="0099524B">
        <w:t xml:space="preserve"> ask this question often about people with lived experience, who often come to help us understand that lived experience. </w:t>
      </w:r>
      <w:r w:rsidR="007142DD">
        <w:t>O</w:t>
      </w:r>
      <w:r w:rsidR="007142DD" w:rsidRPr="0099524B">
        <w:t>ften,</w:t>
      </w:r>
      <w:r w:rsidRPr="0099524B">
        <w:t xml:space="preserve"> they are not particularly well</w:t>
      </w:r>
      <w:r>
        <w:t>-</w:t>
      </w:r>
      <w:r w:rsidRPr="0099524B">
        <w:t>remunerated for that</w:t>
      </w:r>
      <w:r>
        <w:t>;</w:t>
      </w:r>
      <w:r w:rsidRPr="0099524B">
        <w:t xml:space="preserve"> yet it is one of the most valuable things </w:t>
      </w:r>
      <w:r w:rsidR="00DA2469">
        <w:t xml:space="preserve">to </w:t>
      </w:r>
      <w:r w:rsidRPr="0099524B">
        <w:t>hear from people</w:t>
      </w:r>
      <w:r w:rsidR="00DA2469">
        <w:t>.</w:t>
      </w:r>
    </w:p>
    <w:p w14:paraId="635C31D5" w14:textId="62F0B296" w:rsidR="00264ABA" w:rsidRDefault="00264ABA" w:rsidP="00264ABA">
      <w:pPr>
        <w:pStyle w:val="Heading5"/>
      </w:pPr>
      <w:r w:rsidRPr="0099524B">
        <w:t>Foster carers and kinship carers</w:t>
      </w:r>
    </w:p>
    <w:p w14:paraId="3AED13FF" w14:textId="77777777" w:rsidR="005231D5" w:rsidRDefault="005231D5" w:rsidP="00264ABA">
      <w:pPr>
        <w:pStyle w:val="BodyText"/>
      </w:pPr>
      <w:r w:rsidRPr="0099524B">
        <w:t xml:space="preserve">Foster carers and kinship carers are the absolute backbone of the </w:t>
      </w:r>
      <w:r>
        <w:t>o</w:t>
      </w:r>
      <w:r w:rsidRPr="0099524B">
        <w:t xml:space="preserve">ut of </w:t>
      </w:r>
      <w:r>
        <w:t>h</w:t>
      </w:r>
      <w:r w:rsidRPr="0099524B">
        <w:t xml:space="preserve">ome </w:t>
      </w:r>
      <w:r>
        <w:t>c</w:t>
      </w:r>
      <w:r w:rsidRPr="0099524B">
        <w:t xml:space="preserve">are system. The system would not function without them. </w:t>
      </w:r>
      <w:r>
        <w:t>U</w:t>
      </w:r>
      <w:r w:rsidRPr="0099524B">
        <w:t xml:space="preserve">nderstanding their experiences is vital. </w:t>
      </w:r>
      <w:r>
        <w:t>T</w:t>
      </w:r>
      <w:r w:rsidRPr="0099524B">
        <w:t xml:space="preserve">here is often legitimate feedback that carers do not believe </w:t>
      </w:r>
      <w:r>
        <w:t xml:space="preserve">that </w:t>
      </w:r>
      <w:r w:rsidRPr="0099524B">
        <w:t xml:space="preserve">they are sufficiently heard and listened to in a way that reflects their expertise </w:t>
      </w:r>
      <w:r>
        <w:t>with</w:t>
      </w:r>
      <w:r w:rsidRPr="0099524B">
        <w:t xml:space="preserve"> the child or children that they care for. </w:t>
      </w:r>
      <w:r>
        <w:t>S</w:t>
      </w:r>
      <w:r w:rsidRPr="0099524B">
        <w:t xml:space="preserve">ometimes </w:t>
      </w:r>
      <w:r>
        <w:t xml:space="preserve">there are </w:t>
      </w:r>
      <w:r w:rsidRPr="0099524B">
        <w:t>issues around expectations and a mismatch of a carer’s expectations with the way that the system works from a legal perspective, or the decisions that are often very difficult that our caseworkers and senior managers need to make about what is going to be in the best interests of a child or young person long</w:t>
      </w:r>
      <w:r>
        <w:t xml:space="preserve"> </w:t>
      </w:r>
      <w:r w:rsidRPr="0099524B">
        <w:t>term which others involved in that child’s life may not think are in their immediate interests.</w:t>
      </w:r>
      <w:r>
        <w:t xml:space="preserve"> It</w:t>
      </w:r>
      <w:r w:rsidRPr="0099524B">
        <w:t xml:space="preserve"> is a very difficult balance.</w:t>
      </w:r>
    </w:p>
    <w:p w14:paraId="070C0DF5" w14:textId="01DAB501" w:rsidR="005231D5" w:rsidRDefault="005231D5" w:rsidP="00264ABA">
      <w:pPr>
        <w:pStyle w:val="BodyText"/>
      </w:pPr>
      <w:r>
        <w:t>S</w:t>
      </w:r>
      <w:r w:rsidRPr="0099524B">
        <w:t>pecifically</w:t>
      </w:r>
      <w:r w:rsidR="00264ABA">
        <w:t xml:space="preserve">, </w:t>
      </w:r>
      <w:r w:rsidR="007142DD">
        <w:t>there</w:t>
      </w:r>
      <w:r w:rsidR="00264ABA">
        <w:t xml:space="preserve"> is a necessity to be </w:t>
      </w:r>
      <w:r w:rsidRPr="0099524B">
        <w:t xml:space="preserve">conscious and aware whenever we hear these things, and we take all that feedback on board. </w:t>
      </w:r>
      <w:r>
        <w:t>One of</w:t>
      </w:r>
      <w:r w:rsidRPr="0099524B">
        <w:t xml:space="preserve"> the things </w:t>
      </w:r>
      <w:proofErr w:type="gramStart"/>
      <w:r w:rsidR="00264ABA">
        <w:t xml:space="preserve">important </w:t>
      </w:r>
      <w:r w:rsidRPr="0099524B">
        <w:t xml:space="preserve"> in</w:t>
      </w:r>
      <w:proofErr w:type="gramEnd"/>
      <w:r w:rsidRPr="0099524B">
        <w:t xml:space="preserve"> the next phase of </w:t>
      </w:r>
      <w:r w:rsidRPr="00264ABA">
        <w:rPr>
          <w:i/>
          <w:iCs/>
        </w:rPr>
        <w:t>A Step Up for Our Kids</w:t>
      </w:r>
      <w:r w:rsidRPr="0099524B">
        <w:t xml:space="preserve"> is to really understand</w:t>
      </w:r>
      <w:r>
        <w:t xml:space="preserve">. </w:t>
      </w:r>
      <w:r w:rsidR="00264ABA">
        <w:t>There is a</w:t>
      </w:r>
      <w:r w:rsidRPr="0099524B">
        <w:t xml:space="preserve"> trauma</w:t>
      </w:r>
      <w:r>
        <w:t>-</w:t>
      </w:r>
      <w:r w:rsidRPr="0099524B">
        <w:t>informed system</w:t>
      </w:r>
      <w:r w:rsidR="00264ABA">
        <w:t xml:space="preserve"> and there is which is an </w:t>
      </w:r>
      <w:r w:rsidRPr="0099524B">
        <w:t xml:space="preserve">expression </w:t>
      </w:r>
      <w:r w:rsidRPr="00C33BB4">
        <w:t>“trauma-competent”. It is not enough to be</w:t>
      </w:r>
      <w:r w:rsidRPr="0099524B">
        <w:t xml:space="preserve"> trauma</w:t>
      </w:r>
      <w:r>
        <w:noBreakHyphen/>
      </w:r>
      <w:r w:rsidRPr="0099524B">
        <w:t>informed</w:t>
      </w:r>
      <w:r>
        <w:t>; it is to be</w:t>
      </w:r>
      <w:r w:rsidRPr="0099524B">
        <w:t xml:space="preserve"> </w:t>
      </w:r>
      <w:proofErr w:type="gramStart"/>
      <w:r w:rsidRPr="0099524B">
        <w:t>trauma</w:t>
      </w:r>
      <w:r>
        <w:t>-</w:t>
      </w:r>
      <w:r w:rsidRPr="0099524B">
        <w:t>competent</w:t>
      </w:r>
      <w:proofErr w:type="gramEnd"/>
      <w:r w:rsidRPr="0099524B">
        <w:t>.</w:t>
      </w:r>
    </w:p>
    <w:p w14:paraId="1F3121DE" w14:textId="3AEEFB56" w:rsidR="005231D5" w:rsidRPr="005231D5" w:rsidRDefault="00264ABA" w:rsidP="005231D5">
      <w:pPr>
        <w:pStyle w:val="BodyText"/>
      </w:pPr>
      <w:r>
        <w:rPr>
          <w:bCs/>
        </w:rPr>
        <w:t>Whilst that is often used o</w:t>
      </w:r>
      <w:r w:rsidR="005231D5" w:rsidRPr="005231D5">
        <w:rPr>
          <w:bCs/>
        </w:rPr>
        <w:t xml:space="preserve">nly in relation to children and young people, </w:t>
      </w:r>
      <w:r>
        <w:rPr>
          <w:bCs/>
        </w:rPr>
        <w:t xml:space="preserve">and </w:t>
      </w:r>
      <w:r w:rsidR="005231D5" w:rsidRPr="005231D5">
        <w:rPr>
          <w:bCs/>
        </w:rPr>
        <w:t xml:space="preserve">sometimes in relation to their birth families, understanding that, often, birth parents have experienced significant trauma in their own lives. </w:t>
      </w:r>
      <w:r>
        <w:rPr>
          <w:bCs/>
        </w:rPr>
        <w:t xml:space="preserve">It is important </w:t>
      </w:r>
      <w:r w:rsidR="005231D5" w:rsidRPr="005231D5">
        <w:rPr>
          <w:bCs/>
        </w:rPr>
        <w:t>to do better in understanding that carers also experience significant trauma and vicarious trauma in the system. So being trauma-competent is not just about understanding children and young people and working with carers to ensure that they can support children and young people who have experienced trauma. It is also about recognising both the direct and vicarious trauma that carers themselves have experienced</w:t>
      </w:r>
      <w:r>
        <w:rPr>
          <w:bCs/>
        </w:rPr>
        <w:t>.</w:t>
      </w:r>
    </w:p>
    <w:p w14:paraId="3042BC72" w14:textId="026AF450" w:rsidR="005231D5" w:rsidRPr="00672813" w:rsidRDefault="00264ABA" w:rsidP="005231D5">
      <w:pPr>
        <w:pStyle w:val="BodyText"/>
      </w:pPr>
      <w:r>
        <w:rPr>
          <w:bCs/>
        </w:rPr>
        <w:t xml:space="preserve">In looking </w:t>
      </w:r>
      <w:r w:rsidR="007142DD">
        <w:rPr>
          <w:bCs/>
        </w:rPr>
        <w:t>at</w:t>
      </w:r>
      <w:r>
        <w:rPr>
          <w:bCs/>
        </w:rPr>
        <w:t xml:space="preserve"> the way we </w:t>
      </w:r>
      <w:r w:rsidR="005231D5" w:rsidRPr="0099524B">
        <w:rPr>
          <w:bCs/>
        </w:rPr>
        <w:t>recruit and support and train for carers upfront is a really good way to be able to get some agreements in place and understand what is needed for that carer family in that situation with th</w:t>
      </w:r>
      <w:r>
        <w:rPr>
          <w:bCs/>
        </w:rPr>
        <w:t>at</w:t>
      </w:r>
      <w:r w:rsidR="005231D5" w:rsidRPr="0099524B">
        <w:rPr>
          <w:bCs/>
        </w:rPr>
        <w:t xml:space="preserve"> child</w:t>
      </w:r>
      <w:r w:rsidR="005231D5">
        <w:rPr>
          <w:bCs/>
        </w:rPr>
        <w:t xml:space="preserve">; and </w:t>
      </w:r>
      <w:r w:rsidR="005231D5" w:rsidRPr="0099524B">
        <w:rPr>
          <w:bCs/>
        </w:rPr>
        <w:t>having an opportunity then to look at putting in place plans that relate to that child in that care arrangement and making sure that we complete the ongoing training and support that is required to meet the individual needs of children in placements</w:t>
      </w:r>
      <w:r w:rsidR="005231D5">
        <w:rPr>
          <w:bCs/>
        </w:rPr>
        <w:t>,</w:t>
      </w:r>
      <w:r w:rsidR="005231D5" w:rsidRPr="0099524B">
        <w:rPr>
          <w:bCs/>
        </w:rPr>
        <w:t xml:space="preserve"> rather than a child coming into a placement not receiving </w:t>
      </w:r>
      <w:r w:rsidR="005231D5">
        <w:rPr>
          <w:bCs/>
        </w:rPr>
        <w:t xml:space="preserve">an </w:t>
      </w:r>
      <w:r w:rsidR="005231D5" w:rsidRPr="0099524B">
        <w:rPr>
          <w:bCs/>
        </w:rPr>
        <w:t>individualised focus on their needs and then having to pick that up as you go and having ongoing meetings rather than upfront meetings.</w:t>
      </w:r>
    </w:p>
    <w:p w14:paraId="1FC9D2A3" w14:textId="600370E7" w:rsidR="00672813" w:rsidRDefault="00672813" w:rsidP="00264ABA">
      <w:pPr>
        <w:pStyle w:val="BodyText"/>
      </w:pPr>
      <w:r w:rsidRPr="0099524B">
        <w:t xml:space="preserve">There is also a need to continue to have a look at the ongoing development that carers need as well. </w:t>
      </w:r>
      <w:r w:rsidR="007142DD" w:rsidRPr="0099524B">
        <w:t>Like</w:t>
      </w:r>
      <w:r w:rsidRPr="0099524B">
        <w:t xml:space="preserve"> staff in a system, carers in a system also need the ongoing support and development and access to training, particularly if they are having different children coming and going through their </w:t>
      </w:r>
      <w:r w:rsidR="007142DD" w:rsidRPr="0099524B">
        <w:t>home</w:t>
      </w:r>
      <w:r w:rsidR="007142DD">
        <w:t xml:space="preserve"> and</w:t>
      </w:r>
      <w:r w:rsidRPr="0099524B">
        <w:t xml:space="preserve"> being able to then focus on other arrangements that might need to be put in place. </w:t>
      </w:r>
      <w:r>
        <w:t>A</w:t>
      </w:r>
      <w:r w:rsidRPr="0099524B">
        <w:t xml:space="preserve"> child with a disability will require a different set of training and support than, say, a child that has other trauma behaviours and things like that.</w:t>
      </w:r>
    </w:p>
    <w:p w14:paraId="36B15BA9" w14:textId="68C621AD" w:rsidR="00672813" w:rsidRDefault="00672813" w:rsidP="00264ABA">
      <w:pPr>
        <w:pStyle w:val="BodyText"/>
      </w:pPr>
      <w:r>
        <w:t>I</w:t>
      </w:r>
      <w:r w:rsidRPr="0099524B">
        <w:t xml:space="preserve">n terms of supports that are in place already, some of the supports include trauma </w:t>
      </w:r>
      <w:r>
        <w:t xml:space="preserve">or </w:t>
      </w:r>
      <w:r w:rsidRPr="0099524B">
        <w:t>trauma</w:t>
      </w:r>
      <w:r w:rsidRPr="0099524B">
        <w:noBreakHyphen/>
        <w:t>informed care to vulnerable children and young people</w:t>
      </w:r>
      <w:r>
        <w:t>; t</w:t>
      </w:r>
      <w:r w:rsidRPr="0099524B">
        <w:t xml:space="preserve">herapeutic assessment to ensure </w:t>
      </w:r>
      <w:r>
        <w:t xml:space="preserve">that </w:t>
      </w:r>
      <w:r w:rsidRPr="0099524B">
        <w:t>carers are provided with appropriate information and support as soon as possible following the placement of a child</w:t>
      </w:r>
      <w:r>
        <w:t>; s</w:t>
      </w:r>
      <w:r w:rsidRPr="0099524B">
        <w:t>upport through dedicated carer support workers who are independent of the child and young person’s caseworker, and that is provided by ACT Together</w:t>
      </w:r>
      <w:r>
        <w:t>; f</w:t>
      </w:r>
      <w:r w:rsidRPr="0099524B">
        <w:t>amily and individual counselling to kinship carers, which is provided by ACT Together</w:t>
      </w:r>
      <w:r>
        <w:t xml:space="preserve">; and </w:t>
      </w:r>
      <w:r w:rsidRPr="0099524B">
        <w:t>then we also have Carers ACT</w:t>
      </w:r>
      <w:r>
        <w:t xml:space="preserve">. </w:t>
      </w:r>
      <w:r w:rsidRPr="0099524B">
        <w:t>Carers ACT delivers an independent kinship and foster care advocacy support service</w:t>
      </w:r>
      <w:r>
        <w:t xml:space="preserve"> t</w:t>
      </w:r>
      <w:r w:rsidRPr="0099524B">
        <w:t>hat provide</w:t>
      </w:r>
      <w:r>
        <w:t>s</w:t>
      </w:r>
      <w:r w:rsidRPr="0099524B">
        <w:t xml:space="preserve"> independent support and advice to assist carers and assist to resolve issues.</w:t>
      </w:r>
    </w:p>
    <w:p w14:paraId="65D5C0B6" w14:textId="0552EABC" w:rsidR="00672813" w:rsidRPr="0099524B" w:rsidRDefault="00264ABA" w:rsidP="00264ABA">
      <w:pPr>
        <w:pStyle w:val="BodyText"/>
      </w:pPr>
      <w:r>
        <w:t xml:space="preserve">In addition, </w:t>
      </w:r>
      <w:r w:rsidR="00672813" w:rsidRPr="0099524B">
        <w:t xml:space="preserve">there is a </w:t>
      </w:r>
      <w:r w:rsidR="00672813">
        <w:t>c</w:t>
      </w:r>
      <w:r w:rsidR="00672813" w:rsidRPr="0099524B">
        <w:t xml:space="preserve">arer </w:t>
      </w:r>
      <w:r w:rsidR="00672813">
        <w:t>w</w:t>
      </w:r>
      <w:r w:rsidR="00672813" w:rsidRPr="0099524B">
        <w:t xml:space="preserve">ellbeing </w:t>
      </w:r>
      <w:r w:rsidR="00672813">
        <w:t>j</w:t>
      </w:r>
      <w:r w:rsidR="00672813" w:rsidRPr="0099524B">
        <w:t xml:space="preserve">oint </w:t>
      </w:r>
      <w:r w:rsidR="00672813">
        <w:t>c</w:t>
      </w:r>
      <w:r w:rsidR="00672813" w:rsidRPr="0099524B">
        <w:t>ommittee</w:t>
      </w:r>
      <w:r w:rsidR="00672813">
        <w:t>,</w:t>
      </w:r>
      <w:r w:rsidR="00672813" w:rsidRPr="0099524B">
        <w:t xml:space="preserve"> which was previous</w:t>
      </w:r>
      <w:r w:rsidR="00672813">
        <w:t>ly</w:t>
      </w:r>
      <w:r w:rsidR="00672813" w:rsidRPr="0099524B">
        <w:t xml:space="preserve"> the </w:t>
      </w:r>
      <w:r w:rsidR="00672813">
        <w:t>c</w:t>
      </w:r>
      <w:r w:rsidR="00672813" w:rsidRPr="0099524B">
        <w:t xml:space="preserve">arer </w:t>
      </w:r>
      <w:r w:rsidR="00672813">
        <w:t>w</w:t>
      </w:r>
      <w:r w:rsidR="00672813" w:rsidRPr="0099524B">
        <w:t xml:space="preserve">ellbeing </w:t>
      </w:r>
      <w:r w:rsidR="00672813">
        <w:t>s</w:t>
      </w:r>
      <w:r w:rsidR="00672813" w:rsidRPr="0099524B">
        <w:t xml:space="preserve">ubcommittee. </w:t>
      </w:r>
      <w:r w:rsidR="00672813">
        <w:t>T</w:t>
      </w:r>
      <w:r w:rsidR="00672813" w:rsidRPr="0099524B">
        <w:t>hat is a</w:t>
      </w:r>
      <w:r>
        <w:t xml:space="preserve">n </w:t>
      </w:r>
      <w:r w:rsidR="00672813" w:rsidRPr="0099524B">
        <w:t xml:space="preserve">important forum to hear the voice of carers and issues that they bring forward and </w:t>
      </w:r>
      <w:r w:rsidR="00672813">
        <w:t xml:space="preserve">an </w:t>
      </w:r>
      <w:r w:rsidR="00672813" w:rsidRPr="0099524B">
        <w:t xml:space="preserve">opportunity for ACT Together, other agencies and CYPS to look at those issues. CYPS has, of course, looked very closely at supporting carers during the COVID context, and the carers </w:t>
      </w:r>
      <w:r w:rsidR="007142DD" w:rsidRPr="0099524B">
        <w:t>can</w:t>
      </w:r>
      <w:r w:rsidR="00672813" w:rsidRPr="0099524B">
        <w:t xml:space="preserve"> reach out for supports as they need them.</w:t>
      </w:r>
    </w:p>
    <w:p w14:paraId="31F260AD" w14:textId="76A36121" w:rsidR="00672813" w:rsidRDefault="00672813" w:rsidP="00264ABA">
      <w:pPr>
        <w:pStyle w:val="BodyText"/>
      </w:pPr>
      <w:r>
        <w:t>T</w:t>
      </w:r>
      <w:r w:rsidRPr="0099524B">
        <w:t>here is no</w:t>
      </w:r>
      <w:r>
        <w:t>-</w:t>
      </w:r>
      <w:r w:rsidRPr="0099524B">
        <w:t>one in this system who would not understand that sometimes a placement change can create additional trauma</w:t>
      </w:r>
      <w:r>
        <w:t xml:space="preserve">. That </w:t>
      </w:r>
      <w:r w:rsidRPr="0099524B">
        <w:t xml:space="preserve">is why there will be the involvement of the Australian Childhood Foundation, for example, in supporting those transitions to ensure that the trauma impact of a transition from one care placement to another or, indeed, to return to </w:t>
      </w:r>
      <w:r>
        <w:t xml:space="preserve">their </w:t>
      </w:r>
      <w:r w:rsidRPr="0099524B">
        <w:t>biological family, is managed as best it can be with the least trauma possible</w:t>
      </w:r>
      <w:r>
        <w:t xml:space="preserve">. </w:t>
      </w:r>
    </w:p>
    <w:p w14:paraId="7FC916E2" w14:textId="02EF5AF6" w:rsidR="00672813" w:rsidRDefault="00672813" w:rsidP="00264ABA">
      <w:pPr>
        <w:pStyle w:val="BodyText"/>
      </w:pPr>
      <w:r w:rsidRPr="0099524B">
        <w:t xml:space="preserve">I think we all recognise that it </w:t>
      </w:r>
      <w:r w:rsidR="007142DD" w:rsidRPr="0099524B">
        <w:t>can,</w:t>
      </w:r>
      <w:r w:rsidRPr="0099524B">
        <w:t xml:space="preserve"> and it would be a traumatic experience for young people, for children and young people. But there is sometimes a view that it is also then in the child</w:t>
      </w:r>
      <w:r>
        <w:t>’s</w:t>
      </w:r>
      <w:r w:rsidRPr="0099524B">
        <w:t xml:space="preserve"> or young person’s long</w:t>
      </w:r>
      <w:r w:rsidRPr="0099524B">
        <w:noBreakHyphen/>
        <w:t>term best interest for that transition to occu</w:t>
      </w:r>
      <w:r>
        <w:t>r.</w:t>
      </w:r>
      <w:r w:rsidRPr="0099524B">
        <w:t xml:space="preserve"> </w:t>
      </w:r>
      <w:r>
        <w:t>W</w:t>
      </w:r>
      <w:r w:rsidRPr="0099524B">
        <w:t xml:space="preserve">hat people </w:t>
      </w:r>
      <w:r>
        <w:t xml:space="preserve">then </w:t>
      </w:r>
      <w:r w:rsidRPr="0099524B">
        <w:t xml:space="preserve">seek to do is to have </w:t>
      </w:r>
      <w:r w:rsidR="007142DD" w:rsidRPr="0099524B">
        <w:t>all</w:t>
      </w:r>
      <w:r w:rsidRPr="0099524B">
        <w:t xml:space="preserve"> the adults involved to the greatest extent possible</w:t>
      </w:r>
      <w:r>
        <w:t xml:space="preserve"> to</w:t>
      </w:r>
      <w:r w:rsidRPr="0099524B">
        <w:t xml:space="preserve"> support that child or young person to transition in a way that is going to result in the least trauma.</w:t>
      </w:r>
    </w:p>
    <w:p w14:paraId="7314C4B2" w14:textId="2C1DCF6D" w:rsidR="00672813" w:rsidRDefault="007142DD" w:rsidP="005231D5">
      <w:pPr>
        <w:pStyle w:val="BodyText"/>
      </w:pPr>
      <w:r>
        <w:t>T</w:t>
      </w:r>
      <w:r w:rsidR="00672813" w:rsidRPr="0099524B">
        <w:t>emporary staffing measures have been used particularly over the last period during COVID</w:t>
      </w:r>
      <w:r w:rsidR="00672813">
        <w:t>,</w:t>
      </w:r>
      <w:r w:rsidR="00672813" w:rsidRPr="0099524B">
        <w:t xml:space="preserve"> as we have had to move staff around to meet changing priorities</w:t>
      </w:r>
      <w:r w:rsidR="00672813">
        <w:t>. F</w:t>
      </w:r>
      <w:r w:rsidR="00672813" w:rsidRPr="0099524B">
        <w:t>or example</w:t>
      </w:r>
      <w:r w:rsidR="00672813">
        <w:t>,</w:t>
      </w:r>
      <w:r w:rsidR="00672813" w:rsidRPr="0099524B">
        <w:t xml:space="preserve"> we have </w:t>
      </w:r>
      <w:proofErr w:type="gramStart"/>
      <w:r w:rsidR="00672813" w:rsidRPr="0099524B">
        <w:t>a number of</w:t>
      </w:r>
      <w:proofErr w:type="gramEnd"/>
      <w:r w:rsidR="00672813" w:rsidRPr="0099524B">
        <w:t xml:space="preserve"> staff who are currently working in the Department of Health around the public health response to COVID</w:t>
      </w:r>
      <w:r w:rsidR="00672813">
        <w:t>. W</w:t>
      </w:r>
      <w:r w:rsidR="00672813" w:rsidRPr="0099524B">
        <w:t>e have seconded people to various places</w:t>
      </w:r>
      <w:r w:rsidR="00672813">
        <w:t>,</w:t>
      </w:r>
      <w:r w:rsidR="00672813" w:rsidRPr="0099524B">
        <w:t xml:space="preserve"> and we have had to take people off their normal jobs to do things like bolster our resources in things like food relief, for example.</w:t>
      </w:r>
      <w:r w:rsidR="00672813">
        <w:t xml:space="preserve"> T</w:t>
      </w:r>
      <w:r w:rsidR="00672813" w:rsidRPr="0099524B">
        <w:t>hat has meant we have had to do some temporary staffing measures across the board to make sure that we have still got people to fill those jobs</w:t>
      </w:r>
      <w:r w:rsidR="00672813">
        <w:t>.</w:t>
      </w:r>
    </w:p>
    <w:p w14:paraId="3F800FEE" w14:textId="0A7D7618" w:rsidR="00264ABA" w:rsidRDefault="00264ABA" w:rsidP="00264ABA">
      <w:pPr>
        <w:pStyle w:val="Heading5"/>
      </w:pPr>
      <w:r>
        <w:t xml:space="preserve">CSD staffing </w:t>
      </w:r>
    </w:p>
    <w:p w14:paraId="42F5955B" w14:textId="475F6F98" w:rsidR="00672813" w:rsidRPr="00672813" w:rsidRDefault="00264ABA" w:rsidP="00264ABA">
      <w:pPr>
        <w:pStyle w:val="BodyText"/>
      </w:pPr>
      <w:r>
        <w:t xml:space="preserve">There is a tendency to have </w:t>
      </w:r>
      <w:r w:rsidR="00672813" w:rsidRPr="00672813">
        <w:t xml:space="preserve">project funding on the policy side that is susceptible to </w:t>
      </w:r>
      <w:r w:rsidR="00226E6F">
        <w:t>number fluctuation</w:t>
      </w:r>
      <w:r w:rsidR="00672813" w:rsidRPr="00672813">
        <w:t xml:space="preserve">. A lot of the other funding around things like for CYPS, for example, it is not so much that </w:t>
      </w:r>
      <w:r w:rsidR="00226E6F">
        <w:t xml:space="preserve">it is </w:t>
      </w:r>
      <w:r w:rsidR="00672813" w:rsidRPr="00672813">
        <w:t xml:space="preserve">subject to ongoing business cases. </w:t>
      </w:r>
      <w:r w:rsidR="00226E6F">
        <w:t xml:space="preserve">An </w:t>
      </w:r>
      <w:r w:rsidR="00672813" w:rsidRPr="00672813">
        <w:t>increase in staffing for that area</w:t>
      </w:r>
      <w:r w:rsidR="00226E6F">
        <w:t xml:space="preserve"> </w:t>
      </w:r>
      <w:r w:rsidR="00672813" w:rsidRPr="00672813">
        <w:t xml:space="preserve">tends to be ongoing funding. </w:t>
      </w:r>
    </w:p>
    <w:p w14:paraId="6F14D1B5" w14:textId="6B827C27" w:rsidR="00672813" w:rsidRPr="0099524B" w:rsidRDefault="00226E6F" w:rsidP="00264ABA">
      <w:pPr>
        <w:pStyle w:val="BodyText"/>
      </w:pPr>
      <w:r>
        <w:t xml:space="preserve">There has been </w:t>
      </w:r>
      <w:r w:rsidR="00672813" w:rsidRPr="00672813">
        <w:t>quite a lot of staff turn, turnover, and acting</w:t>
      </w:r>
      <w:r>
        <w:t xml:space="preserve"> positions</w:t>
      </w:r>
      <w:r w:rsidR="00672813" w:rsidRPr="00672813">
        <w:t>. That has historically meant that we have then had short-term positions to backfill. That is one</w:t>
      </w:r>
      <w:r w:rsidR="00672813" w:rsidRPr="0099524B">
        <w:t xml:space="preserve"> of the things</w:t>
      </w:r>
      <w:r>
        <w:t xml:space="preserve"> that </w:t>
      </w:r>
      <w:proofErr w:type="gramStart"/>
      <w:r>
        <w:t xml:space="preserve">is </w:t>
      </w:r>
      <w:r w:rsidR="00672813" w:rsidRPr="0099524B">
        <w:t xml:space="preserve"> now</w:t>
      </w:r>
      <w:proofErr w:type="gramEnd"/>
      <w:r w:rsidR="00672813" w:rsidRPr="0099524B">
        <w:t xml:space="preserve"> </w:t>
      </w:r>
      <w:r>
        <w:t xml:space="preserve">being </w:t>
      </w:r>
      <w:r w:rsidR="00672813" w:rsidRPr="0099524B">
        <w:t>address</w:t>
      </w:r>
      <w:r>
        <w:t>ed</w:t>
      </w:r>
      <w:r w:rsidR="00672813" w:rsidRPr="0099524B">
        <w:t xml:space="preserve"> in line with the secure work policy, recognising that </w:t>
      </w:r>
      <w:r>
        <w:t>possibility</w:t>
      </w:r>
      <w:r w:rsidR="00672813">
        <w:t>,</w:t>
      </w:r>
      <w:r w:rsidR="00672813" w:rsidRPr="0099524B">
        <w:t xml:space="preserve"> and </w:t>
      </w:r>
      <w:r>
        <w:t xml:space="preserve">aiming to </w:t>
      </w:r>
      <w:r w:rsidR="00672813" w:rsidRPr="0099524B">
        <w:t>creat</w:t>
      </w:r>
      <w:r>
        <w:t>e</w:t>
      </w:r>
      <w:r w:rsidR="00672813" w:rsidRPr="0099524B">
        <w:t xml:space="preserve"> more permanency in those positions. </w:t>
      </w:r>
    </w:p>
    <w:p w14:paraId="4EB51EE3" w14:textId="7C8CB5E8" w:rsidR="00903710" w:rsidRDefault="00E416C9" w:rsidP="00E416C9">
      <w:pPr>
        <w:pStyle w:val="RecommendationHeading"/>
      </w:pPr>
      <w:bookmarkStart w:id="114" w:name="_Toc87607667"/>
      <w:r>
        <w:t>Recommendation</w:t>
      </w:r>
      <w:r w:rsidR="009D2547">
        <w:t xml:space="preserve"> </w:t>
      </w:r>
      <w:r w:rsidR="0094698A">
        <w:t>20</w:t>
      </w:r>
      <w:bookmarkEnd w:id="114"/>
    </w:p>
    <w:p w14:paraId="40EDF511" w14:textId="77777777" w:rsidR="006D528E" w:rsidRDefault="00E416C9" w:rsidP="00AF3E26">
      <w:pPr>
        <w:pStyle w:val="RecommendationText"/>
        <w:rPr>
          <w:lang w:eastAsia="en-AU"/>
        </w:rPr>
      </w:pPr>
      <w:bookmarkStart w:id="115" w:name="_Toc87607668"/>
      <w:r>
        <w:t>The Committee recommends that</w:t>
      </w:r>
      <w:r w:rsidR="006D528E">
        <w:t xml:space="preserve"> the new iteration of </w:t>
      </w:r>
      <w:r w:rsidRPr="006D528E">
        <w:rPr>
          <w:i/>
          <w:iCs/>
          <w:lang w:eastAsia="en-AU"/>
        </w:rPr>
        <w:t>A Step Up for Our Kids</w:t>
      </w:r>
      <w:r>
        <w:rPr>
          <w:lang w:eastAsia="en-AU"/>
        </w:rPr>
        <w:t xml:space="preserve"> specifically address concerns raised by foster and kinship carers</w:t>
      </w:r>
      <w:r w:rsidR="006D528E">
        <w:rPr>
          <w:lang w:eastAsia="en-AU"/>
        </w:rPr>
        <w:t>.</w:t>
      </w:r>
      <w:bookmarkEnd w:id="115"/>
    </w:p>
    <w:p w14:paraId="3E0E04FB" w14:textId="14843E0A" w:rsidR="00E416C9" w:rsidRDefault="00E416C9" w:rsidP="006D528E">
      <w:pPr>
        <w:pStyle w:val="RecommendationHeading"/>
        <w:rPr>
          <w:lang w:eastAsia="en-AU"/>
        </w:rPr>
      </w:pPr>
      <w:bookmarkStart w:id="116" w:name="_Hlk87525234"/>
      <w:bookmarkStart w:id="117" w:name="_Toc87607669"/>
      <w:r>
        <w:rPr>
          <w:lang w:eastAsia="en-AU"/>
        </w:rPr>
        <w:t xml:space="preserve">Recommendation </w:t>
      </w:r>
      <w:r w:rsidR="0094698A">
        <w:rPr>
          <w:lang w:eastAsia="en-AU"/>
        </w:rPr>
        <w:t>21</w:t>
      </w:r>
      <w:bookmarkEnd w:id="117"/>
    </w:p>
    <w:p w14:paraId="125C3E34" w14:textId="27E20DF1" w:rsidR="00323E53" w:rsidRDefault="00323E53" w:rsidP="00323E53">
      <w:pPr>
        <w:pStyle w:val="RecommendationText"/>
        <w:rPr>
          <w:lang w:eastAsia="en-AU"/>
        </w:rPr>
      </w:pPr>
      <w:bookmarkStart w:id="118" w:name="_Toc87607670"/>
      <w:r>
        <w:rPr>
          <w:lang w:eastAsia="en-AU"/>
        </w:rPr>
        <w:t xml:space="preserve">The </w:t>
      </w:r>
      <w:r w:rsidR="009D2547">
        <w:rPr>
          <w:lang w:eastAsia="en-AU"/>
        </w:rPr>
        <w:t>C</w:t>
      </w:r>
      <w:r>
        <w:rPr>
          <w:lang w:eastAsia="en-AU"/>
        </w:rPr>
        <w:t>ommittee recommends that the ACT Government fund implementation of the carers’ st</w:t>
      </w:r>
      <w:r w:rsidR="009D2547">
        <w:rPr>
          <w:lang w:eastAsia="en-AU"/>
        </w:rPr>
        <w:t xml:space="preserve">rategy </w:t>
      </w:r>
      <w:r>
        <w:rPr>
          <w:lang w:eastAsia="en-AU"/>
        </w:rPr>
        <w:t>with emp</w:t>
      </w:r>
      <w:r w:rsidR="009D2547">
        <w:rPr>
          <w:lang w:eastAsia="en-AU"/>
        </w:rPr>
        <w:t xml:space="preserve">hasis </w:t>
      </w:r>
      <w:r>
        <w:rPr>
          <w:lang w:eastAsia="en-AU"/>
        </w:rPr>
        <w:t>on respite care</w:t>
      </w:r>
      <w:r w:rsidR="006D528E">
        <w:rPr>
          <w:lang w:eastAsia="en-AU"/>
        </w:rPr>
        <w:t>.</w:t>
      </w:r>
      <w:bookmarkEnd w:id="118"/>
    </w:p>
    <w:p w14:paraId="59127D77" w14:textId="466CD3A0" w:rsidR="00E416C9" w:rsidRPr="00E416C9" w:rsidRDefault="00C74F39" w:rsidP="00DE7950">
      <w:pPr>
        <w:pStyle w:val="Heading2"/>
        <w:numPr>
          <w:ilvl w:val="0"/>
          <w:numId w:val="13"/>
        </w:numPr>
        <w:tabs>
          <w:tab w:val="num" w:pos="680"/>
        </w:tabs>
        <w:ind w:left="567" w:hanging="567"/>
      </w:pPr>
      <w:bookmarkStart w:id="119" w:name="_Toc87607425"/>
      <w:bookmarkEnd w:id="116"/>
      <w:r>
        <w:t>House and Su</w:t>
      </w:r>
      <w:r w:rsidR="004C72EF">
        <w:t>bu</w:t>
      </w:r>
      <w:r>
        <w:t>rban Development; Prevention of Domestic and Family Violence – Hearing - 29 October 2021</w:t>
      </w:r>
      <w:bookmarkEnd w:id="119"/>
    </w:p>
    <w:bookmarkEnd w:id="61"/>
    <w:bookmarkEnd w:id="62"/>
    <w:bookmarkEnd w:id="63"/>
    <w:bookmarkEnd w:id="64"/>
    <w:p w14:paraId="4E6299D5" w14:textId="0733120F" w:rsidR="00933315" w:rsidRDefault="00933315" w:rsidP="00933315">
      <w:pPr>
        <w:pStyle w:val="BodyText"/>
      </w:pPr>
      <w:r>
        <w:t xml:space="preserve">On 29 October 2021, the Committee conducted hearings with Yvette Berry MLA, Minister for Housing and Suburban Development and Minister for </w:t>
      </w:r>
      <w:r w:rsidR="00625C9E">
        <w:t>the Prevention of Domestic and Family Violence</w:t>
      </w:r>
      <w:r>
        <w:t>.</w:t>
      </w:r>
    </w:p>
    <w:p w14:paraId="37B45B91" w14:textId="35D35C80" w:rsidR="00933315" w:rsidRDefault="00933315" w:rsidP="00933315">
      <w:pPr>
        <w:pStyle w:val="BodyText"/>
      </w:pPr>
      <w:r>
        <w:t xml:space="preserve">The </w:t>
      </w:r>
      <w:r w:rsidR="00D61455">
        <w:t>a</w:t>
      </w:r>
      <w:r>
        <w:t>reas of inquiry the responsibility of Minister</w:t>
      </w:r>
      <w:r w:rsidR="00625C9E">
        <w:t xml:space="preserve"> Berry as Minister for Housing and Suburban </w:t>
      </w:r>
      <w:r w:rsidR="006A3AE5">
        <w:t>Development</w:t>
      </w:r>
      <w:r w:rsidR="00625C9E">
        <w:t xml:space="preserve"> </w:t>
      </w:r>
      <w:r>
        <w:t xml:space="preserve">are in the Community Services portfolio and directorate responsibility </w:t>
      </w:r>
      <w:r w:rsidR="00625C9E">
        <w:t xml:space="preserve">as Housing ACT </w:t>
      </w:r>
      <w:r>
        <w:t xml:space="preserve">and are the following </w:t>
      </w:r>
      <w:r w:rsidR="006A3AE5">
        <w:t>outputs</w:t>
      </w:r>
      <w:r>
        <w:t>:</w:t>
      </w:r>
    </w:p>
    <w:p w14:paraId="4BCB6473" w14:textId="146B2690" w:rsidR="00933315" w:rsidRDefault="00625C9E" w:rsidP="00F336AA">
      <w:pPr>
        <w:pStyle w:val="BodyText"/>
        <w:numPr>
          <w:ilvl w:val="3"/>
          <w:numId w:val="12"/>
        </w:numPr>
      </w:pPr>
      <w:r>
        <w:t>HACT 1.1 Social housing Services</w:t>
      </w:r>
    </w:p>
    <w:p w14:paraId="47F8FDD5" w14:textId="733E000B" w:rsidR="00625C9E" w:rsidRDefault="00625C9E" w:rsidP="00F336AA">
      <w:pPr>
        <w:pStyle w:val="BodyText"/>
        <w:numPr>
          <w:ilvl w:val="3"/>
          <w:numId w:val="12"/>
        </w:numPr>
      </w:pPr>
      <w:r>
        <w:t xml:space="preserve">CSD 1.4 Quality </w:t>
      </w:r>
      <w:r w:rsidR="006A3AE5">
        <w:t>complaints</w:t>
      </w:r>
      <w:r>
        <w:t xml:space="preserve"> and Regulation</w:t>
      </w:r>
    </w:p>
    <w:p w14:paraId="4FACE45C" w14:textId="5AFB63D4" w:rsidR="00625C9E" w:rsidRDefault="00625C9E" w:rsidP="00F336AA">
      <w:pPr>
        <w:pStyle w:val="BodyText"/>
        <w:numPr>
          <w:ilvl w:val="3"/>
          <w:numId w:val="12"/>
        </w:numPr>
      </w:pPr>
      <w:r>
        <w:t xml:space="preserve">The Areas of inquiry the responsibility of Minister Berry as Minister for the Prevention of Domestic and Family Violence </w:t>
      </w:r>
      <w:proofErr w:type="gramStart"/>
      <w:r>
        <w:t>are  in</w:t>
      </w:r>
      <w:proofErr w:type="gramEnd"/>
      <w:r>
        <w:t xml:space="preserve"> the Community Services portfolio and directorate responsibility and are the following </w:t>
      </w:r>
      <w:r w:rsidR="006A3AE5">
        <w:t>outputs</w:t>
      </w:r>
      <w:r>
        <w:t>::</w:t>
      </w:r>
    </w:p>
    <w:p w14:paraId="4A1B77E9" w14:textId="69EAD09E" w:rsidR="00625C9E" w:rsidRDefault="00625C9E" w:rsidP="00F336AA">
      <w:pPr>
        <w:pStyle w:val="BodyText"/>
        <w:numPr>
          <w:ilvl w:val="3"/>
          <w:numId w:val="12"/>
        </w:numPr>
      </w:pPr>
      <w:r>
        <w:t>CSD 1.5 – Safer Families</w:t>
      </w:r>
    </w:p>
    <w:p w14:paraId="6E7A117C" w14:textId="7EED5DA2" w:rsidR="0053571E" w:rsidRDefault="0053571E" w:rsidP="0053571E">
      <w:pPr>
        <w:pStyle w:val="BodyText"/>
      </w:pPr>
      <w:r>
        <w:t>The Hansard for the hearing is at:</w:t>
      </w:r>
      <w:r w:rsidRPr="0053571E">
        <w:t xml:space="preserve"> </w:t>
      </w:r>
      <w:hyperlink r:id="rId25" w:history="1">
        <w:r w:rsidRPr="009B2474">
          <w:rPr>
            <w:rStyle w:val="Hyperlink"/>
          </w:rPr>
          <w:t>https://www.hansard.act.gov.au/hansard/2021/comms/hcw09.pdf</w:t>
        </w:r>
      </w:hyperlink>
    </w:p>
    <w:p w14:paraId="06DD7D1B" w14:textId="4BE20EA4" w:rsidR="003059B9" w:rsidRDefault="003059B9" w:rsidP="003059B9">
      <w:pPr>
        <w:pStyle w:val="Heading3"/>
      </w:pPr>
      <w:bookmarkStart w:id="120" w:name="_Toc87607426"/>
      <w:r>
        <w:t>Matters Raised by the Committee</w:t>
      </w:r>
      <w:bookmarkEnd w:id="120"/>
      <w:r>
        <w:t xml:space="preserve"> </w:t>
      </w:r>
    </w:p>
    <w:p w14:paraId="2EA2931F" w14:textId="6ED15F89" w:rsidR="003059B9" w:rsidRDefault="003059B9" w:rsidP="00431D41">
      <w:pPr>
        <w:pStyle w:val="Heading5"/>
      </w:pPr>
      <w:r>
        <w:t>Housing and Suburban Development</w:t>
      </w:r>
    </w:p>
    <w:p w14:paraId="714B056D" w14:textId="212F8043" w:rsidR="00431D41" w:rsidRPr="009B78E1" w:rsidRDefault="009B78E1" w:rsidP="00431D41">
      <w:pPr>
        <w:pStyle w:val="BodyText"/>
      </w:pPr>
      <w:r w:rsidRPr="009B78E1">
        <w:t>T</w:t>
      </w:r>
      <w:r w:rsidR="00431D41" w:rsidRPr="009B78E1">
        <w:t>he parliamentary and governing agreement signed between ACT Labor and the ACT Greens</w:t>
      </w:r>
      <w:r w:rsidRPr="009B78E1">
        <w:t xml:space="preserve"> commits to </w:t>
      </w:r>
      <w:r w:rsidR="00431D41" w:rsidRPr="009B78E1">
        <w:t>an additional 400 brand-new public housing dwellings over the course of this term of government. what investments are being made in this budget to advance this?</w:t>
      </w:r>
    </w:p>
    <w:p w14:paraId="5DFA8AA7" w14:textId="371BF00C" w:rsidR="00431D41" w:rsidRPr="009B78E1" w:rsidRDefault="00431D41" w:rsidP="002275D5">
      <w:pPr>
        <w:pStyle w:val="BodyText"/>
      </w:pPr>
      <w:r w:rsidRPr="009B78E1">
        <w:t xml:space="preserve">Of the 400 </w:t>
      </w:r>
      <w:r w:rsidR="009B78E1" w:rsidRPr="009B78E1">
        <w:t xml:space="preserve">houses referred to above, </w:t>
      </w:r>
      <w:r w:rsidRPr="009B78E1">
        <w:t>how many are currently under construction, and how many have been assigned to a builder where a builder has won a tender and is waiting for construction to commence?</w:t>
      </w:r>
    </w:p>
    <w:p w14:paraId="7C63D3FF" w14:textId="63A02CFC" w:rsidR="002275D5" w:rsidRPr="009B78E1" w:rsidRDefault="002275D5" w:rsidP="002275D5">
      <w:pPr>
        <w:pStyle w:val="BodyText"/>
      </w:pPr>
      <w:r w:rsidRPr="009B78E1">
        <w:t>There is currently a development</w:t>
      </w:r>
      <w:r w:rsidR="009B78E1" w:rsidRPr="009B78E1">
        <w:t xml:space="preserve"> d</w:t>
      </w:r>
      <w:r w:rsidRPr="009B78E1">
        <w:t>irectly adjacent to the north Wanniassa shops. Are you able to provide a specific update on that development?</w:t>
      </w:r>
    </w:p>
    <w:p w14:paraId="10A93559" w14:textId="24F38A0F" w:rsidR="00431D41" w:rsidRDefault="002275D5" w:rsidP="00431D41">
      <w:pPr>
        <w:pStyle w:val="BodyText"/>
      </w:pPr>
      <w:r w:rsidRPr="00B55FC9">
        <w:t>Does the figure for new dwellings delivered against the 400 include new dwellings for the Common Ground in Dickson, or are they counted separately? Are they included in the 400?</w:t>
      </w:r>
    </w:p>
    <w:p w14:paraId="5D393A5E" w14:textId="5A14450B" w:rsidR="002275D5" w:rsidRPr="007142DD" w:rsidRDefault="002275D5" w:rsidP="00431D41">
      <w:pPr>
        <w:pStyle w:val="BodyText"/>
      </w:pPr>
      <w:r w:rsidRPr="007142DD">
        <w:t xml:space="preserve">To what extent does the additional $80 million capital works figure mentioned in various documents help the achievement of the extra 400 dwellings? </w:t>
      </w:r>
    </w:p>
    <w:p w14:paraId="130A3CD0" w14:textId="71AC1A4C" w:rsidR="002275D5" w:rsidRPr="007142DD" w:rsidRDefault="002275D5" w:rsidP="002275D5">
      <w:pPr>
        <w:pStyle w:val="BodyText"/>
      </w:pPr>
      <w:r w:rsidRPr="007142DD">
        <w:t>In the agreement with the Greens, it says the government will strive to deliver an additional 600 affordable housing dwellings by 2025-26. Is that target in addition to the 400 or is the 400 figure that we are discussing here within that figure of 600?</w:t>
      </w:r>
    </w:p>
    <w:p w14:paraId="70440D5A" w14:textId="413A7E05" w:rsidR="002275D5" w:rsidRPr="007142DD" w:rsidRDefault="009B78E1" w:rsidP="002275D5">
      <w:pPr>
        <w:pStyle w:val="BodyText"/>
      </w:pPr>
      <w:r>
        <w:t>E</w:t>
      </w:r>
      <w:r w:rsidR="002275D5" w:rsidRPr="007142DD">
        <w:t xml:space="preserve">arlier this year, the </w:t>
      </w:r>
      <w:r w:rsidR="002275D5" w:rsidRPr="007142DD">
        <w:rPr>
          <w:i/>
          <w:iCs/>
        </w:rPr>
        <w:t>Canberra Times</w:t>
      </w:r>
      <w:r w:rsidR="002275D5" w:rsidRPr="007142DD">
        <w:t xml:space="preserve"> reported that the government will invest $80 million in public housing, and within your budget papers it states that the money listed there will go to new works, growing and renewing public housing, and securing high-quality public housing. Can you explain the $80 million increase in the budget for repairs when $20 million of that was underspent in the budget for 2020-21?</w:t>
      </w:r>
    </w:p>
    <w:p w14:paraId="7279C3C0" w14:textId="0161B9A5" w:rsidR="002275D5" w:rsidRPr="007142DD" w:rsidRDefault="009B6C87" w:rsidP="002275D5">
      <w:pPr>
        <w:pStyle w:val="BodyText"/>
      </w:pPr>
      <w:r w:rsidRPr="007142DD">
        <w:t xml:space="preserve">Why has it taken so long to address and provide funding for the ongoing years for maintenance issues </w:t>
      </w:r>
      <w:r w:rsidR="0025761D">
        <w:t xml:space="preserve">affecting </w:t>
      </w:r>
      <w:r w:rsidRPr="007142DD">
        <w:t>ACT public housing</w:t>
      </w:r>
    </w:p>
    <w:p w14:paraId="5BCB4C77" w14:textId="6EB219A2" w:rsidR="009B6C87" w:rsidRPr="007142DD" w:rsidRDefault="0025761D" w:rsidP="002275D5">
      <w:pPr>
        <w:pStyle w:val="BodyText"/>
      </w:pPr>
      <w:r>
        <w:t>I</w:t>
      </w:r>
      <w:r w:rsidR="009B6C87" w:rsidRPr="007142DD">
        <w:t>f the $80 million is not entirely for repair work, what is the expected net increase in the public housing stock from this $80 million</w:t>
      </w:r>
      <w:r>
        <w:t xml:space="preserve">.  That is what is listed </w:t>
      </w:r>
      <w:r w:rsidR="009B6C87" w:rsidRPr="007142DD">
        <w:t>as part of the spend in the budget</w:t>
      </w:r>
      <w:r>
        <w:t xml:space="preserve"> figure.</w:t>
      </w:r>
    </w:p>
    <w:p w14:paraId="3715A9C9" w14:textId="293B4738" w:rsidR="009B6C87" w:rsidRPr="007142DD" w:rsidRDefault="00A40AA3" w:rsidP="009B6C87">
      <w:pPr>
        <w:pStyle w:val="BodyText"/>
      </w:pPr>
      <w:r>
        <w:t>A</w:t>
      </w:r>
      <w:r w:rsidR="009B6C87" w:rsidRPr="007142DD">
        <w:t>n update on Common Ground Dickson</w:t>
      </w:r>
      <w:r>
        <w:t xml:space="preserve"> – is it </w:t>
      </w:r>
      <w:r w:rsidR="009B6C87" w:rsidRPr="007142DD">
        <w:t>close to being finalised?</w:t>
      </w:r>
    </w:p>
    <w:p w14:paraId="536F2F87" w14:textId="39F6FC35" w:rsidR="009B6C87" w:rsidRPr="007142DD" w:rsidRDefault="0025761D" w:rsidP="009B6C87">
      <w:pPr>
        <w:pStyle w:val="BodyText"/>
      </w:pPr>
      <w:r>
        <w:t>I</w:t>
      </w:r>
      <w:r w:rsidR="009B6C87" w:rsidRPr="007142DD">
        <w:t xml:space="preserve">n 2020, in answer to a question on notice, when asked how many work orders were completed within 20 calendar days, the response was only 43 per cent. It was 6,829 out of the 12,000-odd. </w:t>
      </w:r>
      <w:r>
        <w:t xml:space="preserve">The latest figure is an increase from </w:t>
      </w:r>
      <w:r w:rsidR="009B6C87" w:rsidRPr="007142DD">
        <w:t>43 per cent to 94 per cent. Are you able to explain why there is such an improvement? Has the methodology for calculating these figures changed.</w:t>
      </w:r>
    </w:p>
    <w:p w14:paraId="21C11292" w14:textId="1EC211A9" w:rsidR="008B15E4" w:rsidRPr="007142DD" w:rsidRDefault="0025761D" w:rsidP="008B15E4">
      <w:pPr>
        <w:pStyle w:val="BodyText"/>
      </w:pPr>
      <w:r>
        <w:t>W</w:t>
      </w:r>
      <w:r w:rsidR="009B6C87" w:rsidRPr="007142DD">
        <w:t xml:space="preserve">hat </w:t>
      </w:r>
      <w:r>
        <w:t xml:space="preserve">is </w:t>
      </w:r>
      <w:r w:rsidR="009B6C87" w:rsidRPr="007142DD">
        <w:t>Housing ACT’s policy for when properties are intended to go on the market at some point as a part of the renewal; how long they can remain vacant for; or what the policy is around their vacancy before they go to market</w:t>
      </w:r>
      <w:r>
        <w:t xml:space="preserve">; and, </w:t>
      </w:r>
      <w:r w:rsidR="009B6C87" w:rsidRPr="007142DD">
        <w:t>more broadly, what work</w:t>
      </w:r>
      <w:r>
        <w:t xml:space="preserve"> is done </w:t>
      </w:r>
      <w:r w:rsidR="009B6C87" w:rsidRPr="007142DD">
        <w:t>to inform the community that that might be the intention</w:t>
      </w:r>
    </w:p>
    <w:p w14:paraId="488C5423" w14:textId="241B7DB4" w:rsidR="008B15E4" w:rsidRPr="007142DD" w:rsidRDefault="008B15E4" w:rsidP="008B15E4">
      <w:pPr>
        <w:pStyle w:val="BodyText"/>
      </w:pPr>
      <w:r w:rsidRPr="007142DD">
        <w:t xml:space="preserve"> </w:t>
      </w:r>
      <w:r w:rsidR="0025761D">
        <w:t xml:space="preserve">The figure of </w:t>
      </w:r>
      <w:r w:rsidRPr="007142DD">
        <w:t>110 properties currently on the list of either being sold or redeveloped</w:t>
      </w:r>
      <w:r w:rsidR="0025761D">
        <w:t xml:space="preserve">; is there a </w:t>
      </w:r>
      <w:r w:rsidRPr="007142DD">
        <w:t xml:space="preserve">split of how many are intended to be sold throughout the course of the next financial year and </w:t>
      </w:r>
      <w:r w:rsidR="0025761D">
        <w:t xml:space="preserve">those </w:t>
      </w:r>
      <w:r w:rsidRPr="007142DD">
        <w:t>which are being redeveloped?</w:t>
      </w:r>
    </w:p>
    <w:p w14:paraId="69C8D264" w14:textId="1406660A" w:rsidR="00362631" w:rsidRDefault="00362631" w:rsidP="00362631">
      <w:pPr>
        <w:pStyle w:val="Heading5"/>
      </w:pPr>
      <w:r>
        <w:t>Prevention of Domestic and Family Violence.</w:t>
      </w:r>
    </w:p>
    <w:p w14:paraId="1F226D49" w14:textId="571C229C" w:rsidR="00362631" w:rsidRPr="007142DD" w:rsidRDefault="00CC793D" w:rsidP="00362631">
      <w:pPr>
        <w:pStyle w:val="BodyText"/>
      </w:pPr>
      <w:r>
        <w:t>In relation to s</w:t>
      </w:r>
      <w:r w:rsidR="00362631" w:rsidRPr="007142DD">
        <w:t>trengthening our DV responses in the Aboriginal and Torres Strait Islander communities specifically</w:t>
      </w:r>
      <w:r>
        <w:t xml:space="preserve">, </w:t>
      </w:r>
      <w:r w:rsidR="00362631" w:rsidRPr="007142DD">
        <w:t>I note that there have been funds set aside in this budget to scope and design this response. Can you tell me specifically how First Nations communities are involved in the development of the response?</w:t>
      </w:r>
    </w:p>
    <w:p w14:paraId="71FDF414" w14:textId="35A8A694" w:rsidR="00362631" w:rsidRPr="007142DD" w:rsidRDefault="00362631" w:rsidP="00362631">
      <w:pPr>
        <w:pStyle w:val="BodyText"/>
      </w:pPr>
      <w:r w:rsidRPr="007142DD">
        <w:rPr>
          <w:bCs/>
        </w:rPr>
        <w:t xml:space="preserve"> How much of th</w:t>
      </w:r>
      <w:r w:rsidR="00A21BE3" w:rsidRPr="007142DD">
        <w:rPr>
          <w:bCs/>
        </w:rPr>
        <w:t xml:space="preserve">e Levy </w:t>
      </w:r>
      <w:r w:rsidRPr="007142DD">
        <w:rPr>
          <w:bCs/>
        </w:rPr>
        <w:t>will be going to crucial service providers, like Toora Women, Doris Women’s Refuge and EveryMan? How much of</w:t>
      </w:r>
      <w:r w:rsidR="003B3BBD">
        <w:rPr>
          <w:bCs/>
        </w:rPr>
        <w:t xml:space="preserve"> Levy </w:t>
      </w:r>
      <w:r w:rsidRPr="007142DD">
        <w:rPr>
          <w:bCs/>
        </w:rPr>
        <w:t xml:space="preserve">money will </w:t>
      </w:r>
      <w:proofErr w:type="gramStart"/>
      <w:r w:rsidRPr="007142DD">
        <w:rPr>
          <w:bCs/>
        </w:rPr>
        <w:t>actually go</w:t>
      </w:r>
      <w:proofErr w:type="gramEnd"/>
      <w:r w:rsidRPr="007142DD">
        <w:rPr>
          <w:bCs/>
        </w:rPr>
        <w:t xml:space="preserve"> to them to deliver the crucial services that they offer for people experiencing domestic violence?</w:t>
      </w:r>
    </w:p>
    <w:p w14:paraId="058335B6" w14:textId="3CD88CD5" w:rsidR="00362631" w:rsidRPr="007142DD" w:rsidRDefault="003B3BBD" w:rsidP="00431D41">
      <w:pPr>
        <w:pStyle w:val="BodyText"/>
      </w:pPr>
      <w:r>
        <w:t>H</w:t>
      </w:r>
      <w:r w:rsidR="00362631" w:rsidRPr="007142DD">
        <w:t xml:space="preserve">ow much of the levy funding is going towards supporting children who are victims of domestic violence, particularly in women’s refuges? </w:t>
      </w:r>
      <w:r>
        <w:t xml:space="preserve">It has been stated that </w:t>
      </w:r>
      <w:r w:rsidR="00362631" w:rsidRPr="007142DD">
        <w:t>Toora Women’s Refuge has roughly 80 kids that they see on an annual basis who are victims of domestic violence</w:t>
      </w:r>
    </w:p>
    <w:p w14:paraId="1C0448D3" w14:textId="7E3F76FC" w:rsidR="00362631" w:rsidRPr="007142DD" w:rsidRDefault="003B3BBD" w:rsidP="00431D41">
      <w:pPr>
        <w:pStyle w:val="BodyText"/>
      </w:pPr>
      <w:r>
        <w:t>H</w:t>
      </w:r>
      <w:r w:rsidR="00A21BE3" w:rsidRPr="007142DD">
        <w:t xml:space="preserve">ow much of the levy funding is going towards supporting children who are victims of domestic violence, particularly in women’s refuges? </w:t>
      </w:r>
      <w:r>
        <w:t xml:space="preserve">Is it true that </w:t>
      </w:r>
      <w:r w:rsidR="00A21BE3" w:rsidRPr="007142DD">
        <w:t xml:space="preserve">Toora Women’s Refuge has roughly 80 kids that they see on an annual basis who are victims of domestic </w:t>
      </w:r>
      <w:proofErr w:type="gramStart"/>
      <w:r w:rsidR="00A21BE3" w:rsidRPr="007142DD">
        <w:t>violence</w:t>
      </w:r>
      <w:proofErr w:type="gramEnd"/>
    </w:p>
    <w:p w14:paraId="6293178C" w14:textId="546DBB69" w:rsidR="00A21BE3" w:rsidRPr="007142DD" w:rsidRDefault="003B3BBD" w:rsidP="00A21BE3">
      <w:pPr>
        <w:pStyle w:val="BodyText"/>
      </w:pPr>
      <w:r>
        <w:t>J</w:t>
      </w:r>
      <w:r w:rsidR="00A21BE3" w:rsidRPr="007142DD">
        <w:t>ob listings from the Office of the Coordinator-General for Family Safety</w:t>
      </w:r>
      <w:r w:rsidR="006D159A">
        <w:t xml:space="preserve"> </w:t>
      </w:r>
      <w:r>
        <w:t xml:space="preserve">are shown </w:t>
      </w:r>
      <w:proofErr w:type="gramStart"/>
      <w:r>
        <w:t xml:space="preserve">as </w:t>
      </w:r>
      <w:r w:rsidR="00A21BE3" w:rsidRPr="007142DD">
        <w:t xml:space="preserve"> temporary</w:t>
      </w:r>
      <w:proofErr w:type="gramEnd"/>
      <w:r w:rsidR="00A21BE3" w:rsidRPr="007142DD">
        <w:t xml:space="preserve"> positions but </w:t>
      </w:r>
      <w:r>
        <w:t xml:space="preserve">are </w:t>
      </w:r>
      <w:r w:rsidR="00A21BE3" w:rsidRPr="007142DD">
        <w:t>also listed as four-year temporary positions. How does a position like this align with the government’s commitment to provide secure employment?</w:t>
      </w:r>
    </w:p>
    <w:p w14:paraId="70212784" w14:textId="1129ABB3" w:rsidR="00A21BE3" w:rsidRPr="007142DD" w:rsidRDefault="003B3BBD" w:rsidP="00A21BE3">
      <w:pPr>
        <w:pStyle w:val="BodyText"/>
      </w:pPr>
      <w:r>
        <w:t xml:space="preserve">In relation to </w:t>
      </w:r>
      <w:r w:rsidR="00A21BE3" w:rsidRPr="007142DD">
        <w:t>Room4Change program</w:t>
      </w:r>
      <w:r>
        <w:t>, t</w:t>
      </w:r>
      <w:r w:rsidR="00A21BE3" w:rsidRPr="007142DD">
        <w:t xml:space="preserve">he budget </w:t>
      </w:r>
      <w:r>
        <w:t xml:space="preserve">has </w:t>
      </w:r>
      <w:r w:rsidR="00A21BE3" w:rsidRPr="007142DD">
        <w:t xml:space="preserve">adjustments have been made in relation to this program, with the government stating that there is a cessation of extending the Room4Change program as part of the safer </w:t>
      </w:r>
      <w:proofErr w:type="gramStart"/>
      <w:r w:rsidR="00A21BE3" w:rsidRPr="007142DD">
        <w:t>families</w:t>
      </w:r>
      <w:proofErr w:type="gramEnd"/>
      <w:r w:rsidR="00A21BE3" w:rsidRPr="007142DD">
        <w:t xml:space="preserve"> package. What funding package has this program been moved to?</w:t>
      </w:r>
    </w:p>
    <w:p w14:paraId="3B17D103" w14:textId="37CCD1D7" w:rsidR="00A21BE3" w:rsidRPr="007142DD" w:rsidRDefault="00A21BE3" w:rsidP="00A21BE3">
      <w:pPr>
        <w:pStyle w:val="BodyText"/>
      </w:pPr>
      <w:r w:rsidRPr="007142DD">
        <w:t xml:space="preserve"> Is there any crisis accommodation for men fleeing domestic violence</w:t>
      </w:r>
      <w:r w:rsidR="003B3BBD">
        <w:t xml:space="preserve">; </w:t>
      </w:r>
      <w:proofErr w:type="gramStart"/>
      <w:r w:rsidR="003B3BBD">
        <w:t xml:space="preserve">in particular </w:t>
      </w:r>
      <w:r w:rsidRPr="007142DD">
        <w:t>men</w:t>
      </w:r>
      <w:proofErr w:type="gramEnd"/>
      <w:r w:rsidRPr="007142DD">
        <w:t xml:space="preserve"> who are victims of domestic violence.</w:t>
      </w:r>
    </w:p>
    <w:p w14:paraId="31B7E900" w14:textId="1F4D65EF" w:rsidR="00A21BE3" w:rsidRPr="007142DD" w:rsidRDefault="003B3BBD" w:rsidP="00A21BE3">
      <w:pPr>
        <w:pStyle w:val="BodyText"/>
      </w:pPr>
      <w:r>
        <w:t>H</w:t>
      </w:r>
      <w:r w:rsidR="00A21BE3" w:rsidRPr="007142DD">
        <w:t>ow many men contact the DVCS for support—not only for crisis accommodation, but also for support because they are victims of domestic violence?</w:t>
      </w:r>
    </w:p>
    <w:p w14:paraId="3C7EABA5" w14:textId="77777777" w:rsidR="00A21BE3" w:rsidRDefault="00431D41" w:rsidP="003059B9">
      <w:pPr>
        <w:pStyle w:val="Heading3"/>
      </w:pPr>
      <w:bookmarkStart w:id="121" w:name="_Toc87607427"/>
      <w:r>
        <w:t xml:space="preserve">Responses </w:t>
      </w:r>
      <w:r w:rsidR="003059B9">
        <w:t>provided by Minister Berry and Officials</w:t>
      </w:r>
      <w:bookmarkEnd w:id="121"/>
    </w:p>
    <w:p w14:paraId="5A890B76" w14:textId="77777777" w:rsidR="00A21BE3" w:rsidRDefault="003059B9" w:rsidP="00A21BE3">
      <w:pPr>
        <w:pStyle w:val="Heading5"/>
      </w:pPr>
      <w:r>
        <w:t xml:space="preserve"> </w:t>
      </w:r>
      <w:r w:rsidR="00A21BE3">
        <w:t>Housing and Suburban Development</w:t>
      </w:r>
    </w:p>
    <w:p w14:paraId="7A15207D" w14:textId="28924D5D" w:rsidR="003059B9" w:rsidRDefault="006D159A" w:rsidP="00A21BE3">
      <w:pPr>
        <w:pStyle w:val="BodyText"/>
      </w:pPr>
      <w:r>
        <w:t xml:space="preserve">Current </w:t>
      </w:r>
      <w:r w:rsidR="00A21BE3">
        <w:t>funding is a six-year investment—$171 million from the budget over the six years, and $500 million equity investment from Housing ACT, the public trading entity.</w:t>
      </w:r>
      <w:r w:rsidR="00A21BE3" w:rsidRPr="009A668D">
        <w:t xml:space="preserve"> </w:t>
      </w:r>
      <w:r w:rsidR="00A21BE3">
        <w:t>This year, there is a capital investment of approximately</w:t>
      </w:r>
      <w:r w:rsidR="00A21BE3" w:rsidRPr="009A668D">
        <w:t xml:space="preserve"> </w:t>
      </w:r>
      <w:r w:rsidR="00A21BE3">
        <w:t>$20 million, bringing the total investment for 2021-22 to $171 million, made up of $18.56 million in capital injections and $152 million self-funding.</w:t>
      </w:r>
    </w:p>
    <w:p w14:paraId="4779F22D" w14:textId="34D257AC" w:rsidR="008F52A7" w:rsidRDefault="008F52A7" w:rsidP="008F52A7">
      <w:pPr>
        <w:pStyle w:val="BodyText"/>
      </w:pPr>
      <w:proofErr w:type="gramStart"/>
      <w:r>
        <w:t>At the moment</w:t>
      </w:r>
      <w:proofErr w:type="gramEnd"/>
      <w:r>
        <w:t xml:space="preserve"> </w:t>
      </w:r>
      <w:r w:rsidR="006D159A">
        <w:t xml:space="preserve">there are </w:t>
      </w:r>
      <w:r>
        <w:t>approximately 750 works in progress, and by the end of this financial year it will be over 800.</w:t>
      </w:r>
      <w:r w:rsidRPr="009A668D">
        <w:t xml:space="preserve"> </w:t>
      </w:r>
      <w:r>
        <w:t>That is inclusive of those with architects in the design phase right through to DA.</w:t>
      </w:r>
      <w:r w:rsidRPr="009A668D">
        <w:t xml:space="preserve"> </w:t>
      </w:r>
      <w:r w:rsidR="006D159A">
        <w:t xml:space="preserve">Next steps are </w:t>
      </w:r>
      <w:r>
        <w:t xml:space="preserve">procurement, tender </w:t>
      </w:r>
      <w:proofErr w:type="gramStart"/>
      <w:r>
        <w:t>evaluation</w:t>
      </w:r>
      <w:proofErr w:type="gramEnd"/>
      <w:r>
        <w:t xml:space="preserve"> and award contracts for construction. </w:t>
      </w:r>
      <w:r w:rsidR="006D159A">
        <w:t xml:space="preserve">There are presently </w:t>
      </w:r>
      <w:r>
        <w:t>116 that will be delivered this year, there will be over 400 with our builders this financial year under contract, and 800 by the end of this financial year as a total of work in progress, including design phase, with the architects.</w:t>
      </w:r>
    </w:p>
    <w:p w14:paraId="554C6921" w14:textId="19750813" w:rsidR="00A21BE3" w:rsidRDefault="008F52A7" w:rsidP="00A21BE3">
      <w:pPr>
        <w:pStyle w:val="BodyText"/>
      </w:pPr>
      <w:r>
        <w:t>The 400</w:t>
      </w:r>
      <w:r w:rsidR="00404129">
        <w:t xml:space="preserve"> dwellings are</w:t>
      </w:r>
      <w:r>
        <w:t xml:space="preserve"> for new public housing. The 600 is for more affordable options around housing for more affordable rentals across the ACT. The government has been looking at a range of initiatives to deliver affordable rentals in the ACT to deliver that 600, </w:t>
      </w:r>
      <w:proofErr w:type="gramStart"/>
      <w:r>
        <w:t>taking into account</w:t>
      </w:r>
      <w:proofErr w:type="gramEnd"/>
      <w:r>
        <w:t xml:space="preserve"> that complex and challenging issues that need to be overcome</w:t>
      </w:r>
      <w:r w:rsidR="00404129">
        <w:t>.</w:t>
      </w:r>
    </w:p>
    <w:p w14:paraId="65FFAC50" w14:textId="4B924D71" w:rsidR="008F52A7" w:rsidRDefault="008F52A7" w:rsidP="008F52A7">
      <w:pPr>
        <w:pStyle w:val="BodyText"/>
      </w:pPr>
      <w:r>
        <w:t xml:space="preserve">This year, with the injection of $80 million over the three years, we will be addressing previous works from last year. During COVID we had a heightened number of work orders and vacants, plus substantial capital upgrades, more DV safety, and disability modifications as well. </w:t>
      </w:r>
    </w:p>
    <w:p w14:paraId="3AF3CF31" w14:textId="39C3701C" w:rsidR="008F52A7" w:rsidRDefault="008F52A7" w:rsidP="008F52A7">
      <w:pPr>
        <w:pStyle w:val="BodyText"/>
      </w:pPr>
      <w:r>
        <w:t>In the budget bid, it was for a mix of both capital and repairs work, and it has been listed as capital. We are currently in the process, through the minister’s office, of providing the instrument to be able to change that so we have the 70-30 split. The majority, two-thirds of that $80 million, will be going to capital upgrades, including major upgrades as well as the items that I have listed before. The rest of it will go to general repairs, including the backlog of repairs from last year.</w:t>
      </w:r>
    </w:p>
    <w:p w14:paraId="7BA764B1" w14:textId="57B2B58B" w:rsidR="008F52A7" w:rsidRDefault="008F52A7" w:rsidP="008F52A7">
      <w:pPr>
        <w:pStyle w:val="BodyText"/>
      </w:pPr>
      <w:r>
        <w:t>The 40 units at Common Ground, which is a $26 million construction</w:t>
      </w:r>
      <w:r w:rsidR="00DE4788">
        <w:t xml:space="preserve"> </w:t>
      </w:r>
      <w:r>
        <w:t>started in October 2020. The actual structure was completed in August 2021. We are now doing the internal fit-out to that</w:t>
      </w:r>
      <w:r w:rsidR="00DE4788">
        <w:t>.  W</w:t>
      </w:r>
      <w:r>
        <w:t xml:space="preserve">ith the delays through COVID, we lost time on materials, particularly in the lifts, </w:t>
      </w:r>
      <w:proofErr w:type="gramStart"/>
      <w:r>
        <w:t>and also</w:t>
      </w:r>
      <w:proofErr w:type="gramEnd"/>
      <w:r>
        <w:t xml:space="preserve"> on staff—roofing contractors and painting contractors. </w:t>
      </w:r>
      <w:r w:rsidR="00DE4788">
        <w:t xml:space="preserve">It has </w:t>
      </w:r>
      <w:r>
        <w:t>gone out to re-tender</w:t>
      </w:r>
      <w:r w:rsidR="00DE4788">
        <w:t>.</w:t>
      </w:r>
      <w:r>
        <w:t xml:space="preserve"> </w:t>
      </w:r>
    </w:p>
    <w:p w14:paraId="4747C922" w14:textId="53EC6545" w:rsidR="008F52A7" w:rsidRDefault="008F52A7" w:rsidP="008F52A7">
      <w:pPr>
        <w:pStyle w:val="BodyText"/>
      </w:pPr>
      <w:r>
        <w:t>T</w:t>
      </w:r>
      <w:r w:rsidRPr="00663E55">
        <w:t xml:space="preserve">he performance management system </w:t>
      </w:r>
      <w:r>
        <w:t xml:space="preserve">by which </w:t>
      </w:r>
      <w:r w:rsidRPr="00663E55">
        <w:t xml:space="preserve">the total health of the </w:t>
      </w:r>
      <w:r>
        <w:t>maintenance contract for ACT housing</w:t>
      </w:r>
      <w:r w:rsidR="004A4932">
        <w:t xml:space="preserve"> </w:t>
      </w:r>
      <w:r w:rsidR="00DE4788">
        <w:t xml:space="preserve">is managed </w:t>
      </w:r>
      <w:r w:rsidRPr="00663E55">
        <w:t>is the same</w:t>
      </w:r>
      <w:r>
        <w:t>. O</w:t>
      </w:r>
      <w:r w:rsidRPr="00663E55">
        <w:t>ur monthly reporting against those KPIs to which we report up to the minister</w:t>
      </w:r>
      <w:r>
        <w:t>’</w:t>
      </w:r>
      <w:r w:rsidRPr="00663E55">
        <w:t>s office on a quarterly basis</w:t>
      </w:r>
      <w:r>
        <w:t xml:space="preserve"> </w:t>
      </w:r>
      <w:r w:rsidRPr="00663E55">
        <w:t>has not changed.</w:t>
      </w:r>
    </w:p>
    <w:p w14:paraId="24B1FB79" w14:textId="3A3F8A93" w:rsidR="0007204D" w:rsidRDefault="0007204D" w:rsidP="008F52A7">
      <w:pPr>
        <w:pStyle w:val="BodyText"/>
      </w:pPr>
      <w:r w:rsidRPr="00663E55">
        <w:t>There are multiple reasons why</w:t>
      </w:r>
      <w:r>
        <w:t>,</w:t>
      </w:r>
      <w:r w:rsidRPr="00663E55">
        <w:t xml:space="preserve"> on any given day</w:t>
      </w:r>
      <w:r>
        <w:t>,</w:t>
      </w:r>
      <w:r w:rsidRPr="00663E55">
        <w:t xml:space="preserve"> </w:t>
      </w:r>
      <w:r w:rsidR="00DE4788">
        <w:t xml:space="preserve">there might be </w:t>
      </w:r>
      <w:r w:rsidRPr="00663E55">
        <w:t>vacant properties</w:t>
      </w:r>
      <w:r>
        <w:t xml:space="preserve">. because they are part of the </w:t>
      </w:r>
      <w:r w:rsidRPr="00663E55">
        <w:t>growth and renewal progra</w:t>
      </w:r>
      <w:r w:rsidR="004A4932">
        <w:t xml:space="preserve">m.  </w:t>
      </w:r>
      <w:r w:rsidR="00DE4788">
        <w:t>P</w:t>
      </w:r>
      <w:r w:rsidRPr="00663E55">
        <w:t>eople move house</w:t>
      </w:r>
      <w:r>
        <w:t>; t</w:t>
      </w:r>
      <w:r w:rsidRPr="00663E55">
        <w:t>enants move interstate</w:t>
      </w:r>
      <w:r>
        <w:t>; t</w:t>
      </w:r>
      <w:r w:rsidRPr="00663E55">
        <w:t>here is transferring between public housing properties for safety reasons, including relating to domestic and gender violence, or when a tenant passes away</w:t>
      </w:r>
    </w:p>
    <w:p w14:paraId="479F6E1C" w14:textId="5AB8011B" w:rsidR="0007204D" w:rsidRPr="00663E55" w:rsidRDefault="0007204D" w:rsidP="008F52A7">
      <w:pPr>
        <w:pStyle w:val="BodyText"/>
      </w:pPr>
      <w:r>
        <w:t>Y</w:t>
      </w:r>
      <w:r w:rsidRPr="00663E55">
        <w:t xml:space="preserve">ou will see that occupancy rate change when we are </w:t>
      </w:r>
      <w:proofErr w:type="gramStart"/>
      <w:r w:rsidRPr="00663E55">
        <w:t>in the midst of</w:t>
      </w:r>
      <w:proofErr w:type="gramEnd"/>
      <w:r w:rsidRPr="00663E55">
        <w:t xml:space="preserve"> a renewal program</w:t>
      </w:r>
      <w:r>
        <w:t>. T</w:t>
      </w:r>
      <w:r w:rsidRPr="00663E55">
        <w:t>he previous task force had a rate</w:t>
      </w:r>
      <w:r>
        <w:t xml:space="preserve"> of</w:t>
      </w:r>
      <w:r w:rsidRPr="00663E55">
        <w:t xml:space="preserve"> around 96</w:t>
      </w:r>
      <w:r>
        <w:t xml:space="preserve"> per cent. </w:t>
      </w:r>
      <w:r w:rsidRPr="00663E55">
        <w:t>It then ticked up</w:t>
      </w:r>
      <w:r>
        <w:t>,</w:t>
      </w:r>
      <w:r w:rsidRPr="00663E55">
        <w:t xml:space="preserve"> in between programs</w:t>
      </w:r>
      <w:r>
        <w:t>,</w:t>
      </w:r>
      <w:r w:rsidRPr="00663E55">
        <w:t xml:space="preserve"> to 97 per cent</w:t>
      </w:r>
      <w:r>
        <w:t xml:space="preserve">. </w:t>
      </w:r>
      <w:r w:rsidR="004A4932">
        <w:t>It is n</w:t>
      </w:r>
      <w:r w:rsidRPr="00663E55">
        <w:t>ow tracking at 96 per cent, with some fluctuation because every day tenants move, and so stock goes through the various vacant processes, whether it is for routine upgrade, for routine maintenance or major upgrade</w:t>
      </w:r>
    </w:p>
    <w:p w14:paraId="59D1D758" w14:textId="580B8C91" w:rsidR="009D1914" w:rsidRDefault="009D1914" w:rsidP="009D1914">
      <w:pPr>
        <w:pStyle w:val="BodyText"/>
      </w:pPr>
      <w:r>
        <w:t xml:space="preserve">The program targets forecast for 2021-22 is 116 constructions delivered out of that 809 works in progress; acquiring 69 properties from the market; selling 150 properties; relocating 156 tenants; and demolishing 91.  </w:t>
      </w:r>
      <w:r w:rsidR="004A4932">
        <w:t>S</w:t>
      </w:r>
      <w:r>
        <w:t>ales are 150, and 91 demolitions for redevelopment.</w:t>
      </w:r>
    </w:p>
    <w:p w14:paraId="3A99EE2B" w14:textId="52423ECC" w:rsidR="002537D9" w:rsidRDefault="002537D9" w:rsidP="002537D9">
      <w:pPr>
        <w:pStyle w:val="Heading5"/>
      </w:pPr>
      <w:r>
        <w:t>Prevention of Domestic and Family Violence</w:t>
      </w:r>
    </w:p>
    <w:p w14:paraId="7EB66779" w14:textId="1DF00C0F" w:rsidR="002537D9" w:rsidRDefault="002537D9" w:rsidP="002537D9">
      <w:pPr>
        <w:pStyle w:val="BodyText"/>
      </w:pPr>
      <w:r>
        <w:t>In relation to the consultation that has taken place, the Domestic Violence Prevention Council has an Aboriginal and Torres Strait Islander reference group. That reference group is leading the community response in partnership with government, to respond to and seek further action on the issues facing Aboriginal and Torres Strait Islander people in relation to domestic and family violence.</w:t>
      </w:r>
    </w:p>
    <w:p w14:paraId="4BA0BBA1" w14:textId="57D62B5C" w:rsidR="002537D9" w:rsidRDefault="002537D9" w:rsidP="002537D9">
      <w:pPr>
        <w:pStyle w:val="BodyText"/>
      </w:pPr>
      <w:r>
        <w:t>Government has been informed of the four priorities from the report that the Aboriginal and Torres Strait Islander community has identified as wishing the government to look at first. However, they have asked that</w:t>
      </w:r>
      <w:r w:rsidR="004A4932">
        <w:t xml:space="preserve"> this w</w:t>
      </w:r>
      <w:r>
        <w:t xml:space="preserve">ait until the consultation report is delivered to government. It was expected that it would have been delivered by now; however, the recent lockdown has again delayed that report. </w:t>
      </w:r>
    </w:p>
    <w:p w14:paraId="43F480E2" w14:textId="388D30F7" w:rsidR="008D7C00" w:rsidRDefault="008D7C00" w:rsidP="008D7C00">
      <w:pPr>
        <w:pStyle w:val="BodyText"/>
      </w:pPr>
      <w:r>
        <w:t xml:space="preserve">In relation to the frontline services, there are a number of those who will be supported by the levy. The way that the levy works is that the increase in the levy is not exactly allocated against a specific item. </w:t>
      </w:r>
      <w:r w:rsidR="004A4932">
        <w:t>G</w:t>
      </w:r>
      <w:r>
        <w:t>oing through some of the items that will be funded out of the levy</w:t>
      </w:r>
      <w:r w:rsidR="004A4932">
        <w:t xml:space="preserve"> include </w:t>
      </w:r>
      <w:r>
        <w:t xml:space="preserve">increased funding for the Domestic Violence Crisis Service and the Canberra Rape Crisis Centre, in addition to the annual baseline funding that they already receive from ACT government. </w:t>
      </w:r>
    </w:p>
    <w:p w14:paraId="7CBDD61C" w14:textId="5C75A4C8" w:rsidR="008D7C00" w:rsidRDefault="008D7C00" w:rsidP="008D7C00">
      <w:pPr>
        <w:pStyle w:val="BodyText"/>
      </w:pPr>
      <w:r>
        <w:t xml:space="preserve">There is </w:t>
      </w:r>
      <w:r w:rsidR="004A4932">
        <w:t xml:space="preserve">Levy </w:t>
      </w:r>
      <w:r>
        <w:t>money for the family safety action pilot, which is a collaborative response to those experiencing domestic and family violence.</w:t>
      </w:r>
      <w:r w:rsidRPr="00950D73">
        <w:t xml:space="preserve"> </w:t>
      </w:r>
      <w:r>
        <w:t>There is money for Room4Change, which is run out of the Domestic Violence Crisis Service, which is a response to perpetrators through a behaviour change program. There is funding for DVCS, the Domestic Violence Crisis Service, to embed two workers with children and young people in CYPS, and there is also money in the health justice partnership, which is to continue the partnerships, which puts lawyers into health and justice settings</w:t>
      </w:r>
    </w:p>
    <w:p w14:paraId="159D14EF" w14:textId="2692317A" w:rsidR="008D7C00" w:rsidRPr="008D7C00" w:rsidRDefault="008D7C00" w:rsidP="008D7C00">
      <w:pPr>
        <w:pStyle w:val="BodyText"/>
      </w:pPr>
      <w:r w:rsidRPr="008D7C00">
        <w:rPr>
          <w:bCs/>
        </w:rPr>
        <w:t xml:space="preserve">In relation to the frontline services, there are a number of those who will be supported by the levy. The way that the levy works is that the increase in the levy is not exactly allocated against a specific item. </w:t>
      </w:r>
      <w:r w:rsidR="004A4932">
        <w:rPr>
          <w:bCs/>
        </w:rPr>
        <w:t>G</w:t>
      </w:r>
      <w:r w:rsidRPr="008D7C00">
        <w:rPr>
          <w:bCs/>
        </w:rPr>
        <w:t>oing through some of the items that will be funded out of the levy</w:t>
      </w:r>
      <w:r w:rsidR="004A4932">
        <w:rPr>
          <w:bCs/>
        </w:rPr>
        <w:t>, t</w:t>
      </w:r>
      <w:r w:rsidRPr="008D7C00">
        <w:rPr>
          <w:bCs/>
        </w:rPr>
        <w:t xml:space="preserve">here is increased funding for the Domestic Violence Crisis Service and the Canberra Rape Crisis Centre, in addition to the annual baseline funding that they already receive from ACT government. </w:t>
      </w:r>
    </w:p>
    <w:p w14:paraId="43B8E4CF" w14:textId="566D6D00" w:rsidR="008D7C00" w:rsidRDefault="008D7C00" w:rsidP="008D7C00">
      <w:pPr>
        <w:pStyle w:val="BodyText"/>
      </w:pPr>
      <w:r>
        <w:t xml:space="preserve">In relation to young people, YouthCo </w:t>
      </w:r>
      <w:r w:rsidR="004A4932">
        <w:t xml:space="preserve">has been worked with </w:t>
      </w:r>
      <w:r>
        <w:t>to design and pilot new ways to improve the knowledge and capability of youth workers to respond to domestic and family violence.</w:t>
      </w:r>
      <w:r w:rsidRPr="00950D73">
        <w:t xml:space="preserve"> </w:t>
      </w:r>
      <w:proofErr w:type="gramStart"/>
      <w:r w:rsidR="004A4932">
        <w:t>I</w:t>
      </w:r>
      <w:r>
        <w:t>n order to</w:t>
      </w:r>
      <w:proofErr w:type="gramEnd"/>
      <w:r>
        <w:t xml:space="preserve"> have safe and appropriate conversations, youth workers, who are often the people actually communicating with our youth </w:t>
      </w:r>
      <w:r w:rsidR="004A4932">
        <w:t xml:space="preserve">and </w:t>
      </w:r>
      <w:r>
        <w:t>who are experiencing domestic and family violence, really need some training to build their capability to respond.</w:t>
      </w:r>
      <w:r w:rsidRPr="00950D73">
        <w:t xml:space="preserve"> </w:t>
      </w:r>
    </w:p>
    <w:p w14:paraId="5E9C3A32" w14:textId="5348878C" w:rsidR="008D7C00" w:rsidRDefault="007F1AA7" w:rsidP="008D7C00">
      <w:pPr>
        <w:pStyle w:val="BodyText"/>
      </w:pPr>
      <w:r>
        <w:t xml:space="preserve">Through the COVID-19 domestic violence national partnership agreement between the ACT government and the </w:t>
      </w:r>
      <w:r w:rsidR="004A4932">
        <w:t>C</w:t>
      </w:r>
      <w:r>
        <w:t xml:space="preserve">ommonwealth, funding has been allocated to Relationships Australia, which is piloting a program called Watch Your Back, which provides group support to </w:t>
      </w:r>
      <w:r w:rsidR="00B0452B">
        <w:t>young people.</w:t>
      </w:r>
    </w:p>
    <w:p w14:paraId="3428BAD5" w14:textId="5FB12939" w:rsidR="00B0452B" w:rsidRDefault="008A7DA5" w:rsidP="008D7C00">
      <w:pPr>
        <w:pStyle w:val="BodyText"/>
      </w:pPr>
      <w:r>
        <w:t xml:space="preserve">: While the budget papers show that the </w:t>
      </w:r>
      <w:r w:rsidRPr="004A4932">
        <w:rPr>
          <w:i/>
          <w:iCs/>
        </w:rPr>
        <w:t xml:space="preserve">Room4Change </w:t>
      </w:r>
      <w:r>
        <w:t xml:space="preserve">program is funded until 2023, that is because it is waiting until the evaluation is complete. The evaluation of </w:t>
      </w:r>
      <w:r w:rsidRPr="004A4932">
        <w:rPr>
          <w:i/>
          <w:iCs/>
        </w:rPr>
        <w:t>Room4Change</w:t>
      </w:r>
      <w:r>
        <w:t xml:space="preserve"> was published this week. It is intended the program will be continued, subject, obviously, to that evaluation. </w:t>
      </w:r>
      <w:r w:rsidR="004A4932">
        <w:t>A</w:t>
      </w:r>
      <w:r>
        <w:t>ppendix H in the future safer families levy part and where that might be used</w:t>
      </w:r>
      <w:r w:rsidR="004A4932">
        <w:t xml:space="preserve"> </w:t>
      </w:r>
      <w:r>
        <w:t xml:space="preserve">specifically says that it may be used to support the extension of the </w:t>
      </w:r>
      <w:r w:rsidRPr="004A4932">
        <w:rPr>
          <w:i/>
          <w:iCs/>
        </w:rPr>
        <w:t>Room4Change</w:t>
      </w:r>
      <w:r>
        <w:t xml:space="preserve"> program and other perpetrator programs.</w:t>
      </w:r>
    </w:p>
    <w:p w14:paraId="6FD0C8A9" w14:textId="77777777" w:rsidR="00A40AA3" w:rsidRDefault="00A40AA3" w:rsidP="00A40AA3">
      <w:pPr>
        <w:pStyle w:val="BodyText"/>
      </w:pPr>
      <w:r>
        <w:t>There have been two recent positions in family safety which have been advertised for up to four years, with the possibility of extension or permanency. In relation to those positions, if there is the budget to make those people permanent, will take place. If it can happen throughout the wider ACT government system, we would obviously do that.</w:t>
      </w:r>
    </w:p>
    <w:p w14:paraId="53A7A86D" w14:textId="0CE45C23" w:rsidR="003059B9" w:rsidRDefault="003059B9" w:rsidP="003059B9">
      <w:pPr>
        <w:pStyle w:val="RecommendationHeading"/>
        <w:keepNext/>
      </w:pPr>
      <w:bookmarkStart w:id="122" w:name="_Hlk87525264"/>
      <w:bookmarkStart w:id="123" w:name="_Toc87607671"/>
      <w:r>
        <w:t xml:space="preserve">Recommendation </w:t>
      </w:r>
      <w:r w:rsidR="009D2547">
        <w:t>2</w:t>
      </w:r>
      <w:r w:rsidR="0094698A">
        <w:t>2</w:t>
      </w:r>
      <w:bookmarkEnd w:id="123"/>
    </w:p>
    <w:p w14:paraId="61F53A0F" w14:textId="2F6CBD1A" w:rsidR="003059B9" w:rsidRDefault="003059B9" w:rsidP="003059B9">
      <w:pPr>
        <w:pStyle w:val="RecommendationText"/>
      </w:pPr>
      <w:bookmarkStart w:id="124" w:name="_Toc87607672"/>
      <w:r>
        <w:t>The Committee recommends that the ACT Government</w:t>
      </w:r>
      <w:r w:rsidR="009D2547">
        <w:t xml:space="preserve"> </w:t>
      </w:r>
      <w:r w:rsidR="00323E53">
        <w:t xml:space="preserve">articulate in the Budget the amount of money </w:t>
      </w:r>
      <w:r w:rsidR="00922DF8">
        <w:t xml:space="preserve">from the </w:t>
      </w:r>
      <w:r w:rsidR="00323E53">
        <w:t>family safety Levy going to</w:t>
      </w:r>
      <w:r w:rsidR="009D2547">
        <w:t xml:space="preserve"> </w:t>
      </w:r>
      <w:r w:rsidR="00323E53">
        <w:t>front</w:t>
      </w:r>
      <w:r w:rsidR="00922DF8">
        <w:t xml:space="preserve">line </w:t>
      </w:r>
      <w:r w:rsidR="00323E53">
        <w:t>services and the amount being used by government policy responses.</w:t>
      </w:r>
      <w:bookmarkEnd w:id="124"/>
    </w:p>
    <w:p w14:paraId="427124AF" w14:textId="768C4628" w:rsidR="00F92C6A" w:rsidRDefault="00F92C6A" w:rsidP="00F92C6A">
      <w:pPr>
        <w:pStyle w:val="RecommendationHeading"/>
      </w:pPr>
      <w:bookmarkStart w:id="125" w:name="_Toc87607673"/>
      <w:bookmarkEnd w:id="122"/>
      <w:r>
        <w:t>Recommendation</w:t>
      </w:r>
      <w:r w:rsidR="009D2547">
        <w:t xml:space="preserve"> 2</w:t>
      </w:r>
      <w:r w:rsidR="0094698A">
        <w:t>3</w:t>
      </w:r>
      <w:bookmarkEnd w:id="125"/>
    </w:p>
    <w:p w14:paraId="6B0B28E0" w14:textId="0485FFA9" w:rsidR="00F92C6A" w:rsidRDefault="00F92C6A" w:rsidP="00F92C6A">
      <w:pPr>
        <w:pStyle w:val="RecommendationText"/>
      </w:pPr>
      <w:bookmarkStart w:id="126" w:name="_Toc87607674"/>
      <w:r>
        <w:t xml:space="preserve">The Committee recommends that the ACT Government </w:t>
      </w:r>
      <w:r w:rsidR="00922DF8">
        <w:t>fund</w:t>
      </w:r>
      <w:r>
        <w:t xml:space="preserve"> specialist trauma counselling services for children in women’s refuges.</w:t>
      </w:r>
      <w:bookmarkEnd w:id="126"/>
    </w:p>
    <w:p w14:paraId="36B05145" w14:textId="13EA26BE" w:rsidR="00F25118" w:rsidRDefault="003059B9" w:rsidP="00DE7950">
      <w:pPr>
        <w:pStyle w:val="Heading2"/>
        <w:numPr>
          <w:ilvl w:val="0"/>
          <w:numId w:val="13"/>
        </w:numPr>
        <w:tabs>
          <w:tab w:val="num" w:pos="680"/>
        </w:tabs>
        <w:ind w:left="567" w:hanging="567"/>
      </w:pPr>
      <w:bookmarkStart w:id="127" w:name="_Toc502672957"/>
      <w:bookmarkStart w:id="128" w:name="_Toc502671595"/>
      <w:bookmarkStart w:id="129" w:name="_Toc502671773"/>
      <w:bookmarkStart w:id="130" w:name="_Toc502671879"/>
      <w:bookmarkStart w:id="131" w:name="_Toc502672811"/>
      <w:bookmarkStart w:id="132" w:name="_Toc87607428"/>
      <w:bookmarkEnd w:id="127"/>
      <w:r w:rsidRPr="00C74F39">
        <w:t>Conclusion</w:t>
      </w:r>
      <w:bookmarkEnd w:id="128"/>
      <w:bookmarkEnd w:id="129"/>
      <w:bookmarkEnd w:id="130"/>
      <w:bookmarkEnd w:id="131"/>
      <w:bookmarkEnd w:id="132"/>
    </w:p>
    <w:p w14:paraId="7F90A5AB" w14:textId="75F65079" w:rsidR="00922DF8" w:rsidRPr="00B1748E" w:rsidRDefault="00922DF8" w:rsidP="00922DF8">
      <w:pPr>
        <w:pStyle w:val="BodyText"/>
        <w:rPr>
          <w:lang w:val="en-US"/>
        </w:rPr>
      </w:pPr>
      <w:r w:rsidRPr="00B1748E">
        <w:rPr>
          <w:lang w:val="en-US"/>
        </w:rPr>
        <w:t xml:space="preserve">The Committee makes </w:t>
      </w:r>
      <w:r>
        <w:rPr>
          <w:b/>
          <w:bCs/>
          <w:lang w:val="en-US"/>
        </w:rPr>
        <w:t>23</w:t>
      </w:r>
      <w:r w:rsidRPr="00B1748E">
        <w:rPr>
          <w:lang w:val="en-US"/>
        </w:rPr>
        <w:t xml:space="preserve"> recommendations in </w:t>
      </w:r>
      <w:r>
        <w:rPr>
          <w:lang w:val="en-US"/>
        </w:rPr>
        <w:t>this report.</w:t>
      </w:r>
      <w:r w:rsidRPr="00B1748E">
        <w:rPr>
          <w:lang w:val="en-US"/>
        </w:rPr>
        <w:t xml:space="preserve"> </w:t>
      </w:r>
    </w:p>
    <w:p w14:paraId="6B308628" w14:textId="77777777" w:rsidR="00922DF8" w:rsidRPr="00B1748E" w:rsidRDefault="00922DF8" w:rsidP="00922DF8">
      <w:pPr>
        <w:pStyle w:val="BodyText"/>
        <w:rPr>
          <w:lang w:val="en-US"/>
        </w:rPr>
      </w:pPr>
      <w:r w:rsidRPr="00B1748E">
        <w:rPr>
          <w:lang w:val="en-US"/>
        </w:rPr>
        <w:t>The Committee would like to thank Ministers and a</w:t>
      </w:r>
      <w:r>
        <w:rPr>
          <w:lang w:val="en-US"/>
        </w:rPr>
        <w:t>ll</w:t>
      </w:r>
      <w:r w:rsidRPr="00B1748E">
        <w:rPr>
          <w:lang w:val="en-US"/>
        </w:rPr>
        <w:t xml:space="preserve"> directorate and agency staff for their time and cooperation during the inquiry process.</w:t>
      </w:r>
    </w:p>
    <w:p w14:paraId="0C840A4D" w14:textId="50DFD242" w:rsidR="00AD4086" w:rsidRPr="00AD4086" w:rsidRDefault="00AD4086" w:rsidP="00922DF8">
      <w:pPr>
        <w:pStyle w:val="BodyText"/>
        <w:numPr>
          <w:ilvl w:val="0"/>
          <w:numId w:val="0"/>
        </w:numPr>
        <w:ind w:left="360"/>
      </w:pPr>
    </w:p>
    <w:p w14:paraId="252A8867" w14:textId="1E153503" w:rsidR="00F25118" w:rsidRDefault="003059B9" w:rsidP="00F25118">
      <w:pPr>
        <w:pStyle w:val="Signature"/>
      </w:pPr>
      <w:bookmarkStart w:id="133" w:name="_Toc514657293"/>
      <w:bookmarkStart w:id="134" w:name="_Toc514657344"/>
      <w:bookmarkEnd w:id="133"/>
      <w:bookmarkEnd w:id="134"/>
      <w:r>
        <w:t>Johnathan Davis MLA</w:t>
      </w:r>
    </w:p>
    <w:p w14:paraId="52EE9AFD" w14:textId="77777777" w:rsidR="00A40AA3" w:rsidRDefault="00A40AA3" w:rsidP="00F25118"/>
    <w:p w14:paraId="6BBFA411" w14:textId="7E020940" w:rsidR="00F25118" w:rsidRDefault="00440D3C" w:rsidP="00A40AA3">
      <w:pPr>
        <w:spacing w:before="0" w:after="120" w:line="240" w:lineRule="auto"/>
      </w:pPr>
      <w:r>
        <w:t xml:space="preserve">Committee </w:t>
      </w:r>
      <w:r w:rsidR="00F25118">
        <w:t>Chair</w:t>
      </w:r>
    </w:p>
    <w:p w14:paraId="32061969" w14:textId="0915DDE9" w:rsidR="00F25118" w:rsidRDefault="003059B9" w:rsidP="00A40AA3">
      <w:pPr>
        <w:spacing w:before="0" w:after="120" w:line="240" w:lineRule="auto"/>
      </w:pPr>
      <w:r>
        <w:t>12 November 2021</w:t>
      </w:r>
    </w:p>
    <w:p w14:paraId="2F09A717" w14:textId="392718C2" w:rsidR="00EA075F" w:rsidRDefault="00EA075F">
      <w:pPr>
        <w:spacing w:before="0" w:after="160" w:line="259" w:lineRule="auto"/>
      </w:pPr>
    </w:p>
    <w:p w14:paraId="2C162A4D" w14:textId="77777777" w:rsidR="00F25118" w:rsidRDefault="00F25118" w:rsidP="00F25118">
      <w:pPr>
        <w:pStyle w:val="BodyText"/>
        <w:ind w:left="0" w:firstLine="0"/>
        <w:sectPr w:rsidR="00F25118" w:rsidSect="00AF3E26">
          <w:headerReference w:type="even" r:id="rId26"/>
          <w:headerReference w:type="default" r:id="rId27"/>
          <w:footerReference w:type="default" r:id="rId28"/>
          <w:headerReference w:type="first" r:id="rId29"/>
          <w:type w:val="oddPage"/>
          <w:pgSz w:w="11907" w:h="16840" w:code="9"/>
          <w:pgMar w:top="1588" w:right="1418" w:bottom="1418" w:left="1418" w:header="720" w:footer="851" w:gutter="0"/>
          <w:pgNumType w:start="1"/>
          <w:cols w:space="720"/>
          <w:docGrid w:linePitch="360"/>
        </w:sectPr>
      </w:pPr>
    </w:p>
    <w:p w14:paraId="205BDDF2" w14:textId="77777777" w:rsidR="00F25118" w:rsidRDefault="00F25118" w:rsidP="00F25118">
      <w:pPr>
        <w:pStyle w:val="Heading2"/>
        <w:ind w:left="567" w:hanging="567"/>
      </w:pPr>
      <w:bookmarkStart w:id="135" w:name="_Toc502671596"/>
      <w:bookmarkStart w:id="136" w:name="_Toc502671774"/>
      <w:bookmarkStart w:id="137" w:name="_Toc502671880"/>
      <w:bookmarkStart w:id="138" w:name="_Toc502672812"/>
      <w:bookmarkStart w:id="139" w:name="_Toc87607429"/>
      <w:r>
        <w:t>Appendix A</w:t>
      </w:r>
      <w:bookmarkEnd w:id="135"/>
      <w:bookmarkEnd w:id="136"/>
      <w:bookmarkEnd w:id="137"/>
      <w:bookmarkEnd w:id="138"/>
      <w:r>
        <w:t xml:space="preserve"> - Witnesses</w:t>
      </w:r>
      <w:bookmarkEnd w:id="139"/>
    </w:p>
    <w:p w14:paraId="7F5E566A" w14:textId="65FFB377" w:rsidR="00F25118" w:rsidRDefault="003059B9" w:rsidP="00F25118">
      <w:pPr>
        <w:pStyle w:val="Heading3"/>
        <w:ind w:hanging="567"/>
        <w:rPr>
          <w:b/>
          <w:bCs/>
        </w:rPr>
      </w:pPr>
      <w:bookmarkStart w:id="140" w:name="_Toc87607430"/>
      <w:r w:rsidRPr="0084071B">
        <w:rPr>
          <w:b/>
          <w:bCs/>
        </w:rPr>
        <w:t>15</w:t>
      </w:r>
      <w:r w:rsidR="00F25118" w:rsidRPr="0084071B">
        <w:rPr>
          <w:b/>
          <w:bCs/>
        </w:rPr>
        <w:t xml:space="preserve"> October 2021</w:t>
      </w:r>
      <w:bookmarkEnd w:id="140"/>
    </w:p>
    <w:p w14:paraId="7210290C" w14:textId="00095CFC" w:rsidR="0084071B" w:rsidRDefault="00AA1FC3" w:rsidP="00C41BBE">
      <w:pPr>
        <w:pStyle w:val="BodyText"/>
        <w:numPr>
          <w:ilvl w:val="0"/>
          <w:numId w:val="0"/>
        </w:numPr>
        <w:spacing w:after="0" w:line="240" w:lineRule="auto"/>
        <w:rPr>
          <w:noProof/>
        </w:rPr>
      </w:pPr>
      <w:r w:rsidRPr="009B37FC">
        <w:rPr>
          <w:b/>
          <w:noProof/>
        </w:rPr>
        <w:t>Bavinton, Mr Tim</w:t>
      </w:r>
      <w:r w:rsidR="0084071B">
        <w:rPr>
          <w:noProof/>
        </w:rPr>
        <w:t xml:space="preserve">, Executive Director, </w:t>
      </w:r>
      <w:r w:rsidR="0084071B" w:rsidRPr="009B37FC">
        <w:rPr>
          <w:bCs/>
          <w:noProof/>
          <w:lang w:val="en-GB"/>
        </w:rPr>
        <w:t>Sexual Health and Family Planning ACT Inc</w:t>
      </w:r>
      <w:r w:rsidR="0084071B">
        <w:rPr>
          <w:noProof/>
        </w:rPr>
        <w:tab/>
      </w:r>
    </w:p>
    <w:p w14:paraId="71039EAD" w14:textId="4EECA91F" w:rsidR="0084071B" w:rsidRDefault="00AA1FC3" w:rsidP="00C41BBE">
      <w:pPr>
        <w:pStyle w:val="BodyText"/>
        <w:numPr>
          <w:ilvl w:val="0"/>
          <w:numId w:val="0"/>
        </w:numPr>
        <w:spacing w:after="0" w:line="240" w:lineRule="auto"/>
        <w:rPr>
          <w:noProof/>
        </w:rPr>
      </w:pPr>
      <w:r w:rsidRPr="009B37FC">
        <w:rPr>
          <w:b/>
          <w:noProof/>
        </w:rPr>
        <w:t>Campbell, Dr Emma</w:t>
      </w:r>
      <w:r>
        <w:rPr>
          <w:noProof/>
        </w:rPr>
        <w:t xml:space="preserve">, </w:t>
      </w:r>
      <w:r w:rsidR="0084071B">
        <w:rPr>
          <w:noProof/>
        </w:rPr>
        <w:t xml:space="preserve">Chief Executive Officer, </w:t>
      </w:r>
      <w:r w:rsidR="0084071B">
        <w:rPr>
          <w:noProof/>
        </w:rPr>
        <w:br/>
        <w:t>ACT Council of Social Service</w:t>
      </w:r>
      <w:r w:rsidR="0084071B">
        <w:rPr>
          <w:noProof/>
        </w:rPr>
        <w:tab/>
      </w:r>
    </w:p>
    <w:p w14:paraId="32EB53A7" w14:textId="43BCA202" w:rsidR="0084071B" w:rsidRDefault="00AA1FC3" w:rsidP="00C41BBE">
      <w:pPr>
        <w:pStyle w:val="BodyText"/>
        <w:numPr>
          <w:ilvl w:val="0"/>
          <w:numId w:val="0"/>
        </w:numPr>
        <w:spacing w:after="0" w:line="240" w:lineRule="auto"/>
        <w:rPr>
          <w:noProof/>
        </w:rPr>
      </w:pPr>
      <w:r w:rsidRPr="009B37FC">
        <w:rPr>
          <w:b/>
          <w:noProof/>
        </w:rPr>
        <w:t>Cox, Ms Darlene</w:t>
      </w:r>
      <w:r w:rsidR="0084071B">
        <w:rPr>
          <w:noProof/>
        </w:rPr>
        <w:t>, Executive Director, Health Care Consumers Association</w:t>
      </w:r>
      <w:r w:rsidR="0084071B">
        <w:rPr>
          <w:noProof/>
        </w:rPr>
        <w:tab/>
      </w:r>
    </w:p>
    <w:p w14:paraId="08F4EA70" w14:textId="51922205" w:rsidR="0084071B" w:rsidRDefault="00AA1FC3" w:rsidP="00C41BBE">
      <w:pPr>
        <w:pStyle w:val="BodyText"/>
        <w:numPr>
          <w:ilvl w:val="0"/>
          <w:numId w:val="0"/>
        </w:numPr>
        <w:spacing w:after="0" w:line="240" w:lineRule="auto"/>
        <w:rPr>
          <w:noProof/>
        </w:rPr>
      </w:pPr>
      <w:r w:rsidRPr="009B37FC">
        <w:rPr>
          <w:b/>
          <w:noProof/>
        </w:rPr>
        <w:t>Moore, C</w:t>
      </w:r>
      <w:r w:rsidR="0084071B">
        <w:rPr>
          <w:noProof/>
        </w:rPr>
        <w:t>, Member, Executive Committee, Health Care Consumers Association</w:t>
      </w:r>
      <w:r w:rsidR="0084071B">
        <w:rPr>
          <w:noProof/>
        </w:rPr>
        <w:tab/>
      </w:r>
    </w:p>
    <w:p w14:paraId="36D28A14" w14:textId="3A76C48D" w:rsidR="0084071B" w:rsidRDefault="00AA1FC3" w:rsidP="00C41BBE">
      <w:pPr>
        <w:pStyle w:val="BodyText"/>
        <w:numPr>
          <w:ilvl w:val="0"/>
          <w:numId w:val="0"/>
        </w:numPr>
        <w:spacing w:after="0" w:line="240" w:lineRule="auto"/>
        <w:rPr>
          <w:noProof/>
        </w:rPr>
      </w:pPr>
      <w:r w:rsidRPr="009B37FC">
        <w:rPr>
          <w:b/>
          <w:noProof/>
        </w:rPr>
        <w:t>Wallace, Mr Craig</w:t>
      </w:r>
      <w:r w:rsidR="0084071B">
        <w:rPr>
          <w:noProof/>
        </w:rPr>
        <w:t>, Head of Policy, ACT Council of Social Service</w:t>
      </w:r>
      <w:r w:rsidR="0084071B">
        <w:rPr>
          <w:noProof/>
        </w:rPr>
        <w:tab/>
      </w:r>
    </w:p>
    <w:p w14:paraId="4607EE5E" w14:textId="2C11E14D" w:rsidR="0084071B" w:rsidRDefault="00AA1FC3" w:rsidP="00C41BBE">
      <w:pPr>
        <w:pStyle w:val="BodyText"/>
        <w:numPr>
          <w:ilvl w:val="0"/>
          <w:numId w:val="0"/>
        </w:numPr>
        <w:spacing w:after="0" w:line="240" w:lineRule="auto"/>
        <w:rPr>
          <w:noProof/>
        </w:rPr>
      </w:pPr>
      <w:r w:rsidRPr="009B37FC">
        <w:rPr>
          <w:b/>
          <w:noProof/>
        </w:rPr>
        <w:t>Williams, Dr Bianca</w:t>
      </w:r>
      <w:r>
        <w:rPr>
          <w:noProof/>
        </w:rPr>
        <w:t xml:space="preserve">, </w:t>
      </w:r>
      <w:r w:rsidR="0084071B" w:rsidRPr="009B37FC">
        <w:rPr>
          <w:noProof/>
          <w:lang w:val="en-GB"/>
        </w:rPr>
        <w:t xml:space="preserve">Senior Community Assistance Support Program Development and Policy Officer, </w:t>
      </w:r>
      <w:r w:rsidR="0084071B">
        <w:rPr>
          <w:noProof/>
        </w:rPr>
        <w:t>ACT Council of Social Service</w:t>
      </w:r>
      <w:r w:rsidR="0084071B">
        <w:rPr>
          <w:noProof/>
        </w:rPr>
        <w:tab/>
      </w:r>
    </w:p>
    <w:p w14:paraId="4C4FD814" w14:textId="0DD7AB51" w:rsidR="00F25118" w:rsidRDefault="003059B9" w:rsidP="00F25118">
      <w:pPr>
        <w:pStyle w:val="Heading3"/>
        <w:ind w:hanging="567"/>
        <w:rPr>
          <w:b/>
          <w:bCs/>
        </w:rPr>
      </w:pPr>
      <w:bookmarkStart w:id="141" w:name="_Toc87607431"/>
      <w:r w:rsidRPr="0084071B">
        <w:rPr>
          <w:b/>
          <w:bCs/>
        </w:rPr>
        <w:t>20</w:t>
      </w:r>
      <w:r w:rsidR="00F25118" w:rsidRPr="0084071B">
        <w:rPr>
          <w:b/>
          <w:bCs/>
        </w:rPr>
        <w:t xml:space="preserve"> October 2021</w:t>
      </w:r>
      <w:bookmarkEnd w:id="141"/>
    </w:p>
    <w:p w14:paraId="4006FAFC" w14:textId="77777777" w:rsidR="0084071B" w:rsidRDefault="0084071B" w:rsidP="0084071B">
      <w:pPr>
        <w:ind w:left="284" w:hanging="284"/>
      </w:pPr>
      <w:r w:rsidRPr="0084071B">
        <w:rPr>
          <w:b/>
        </w:rPr>
        <w:t>Davidson, Ms Emma</w:t>
      </w:r>
      <w:r>
        <w:t>, Assistant Minister for Seniors, Veterans, Families and Community Services, Minister for Disability, Minister for Justice Health and Minister for Mental Health</w:t>
      </w:r>
    </w:p>
    <w:p w14:paraId="7088A9C4" w14:textId="77777777" w:rsidR="0084071B" w:rsidRPr="0084071B" w:rsidRDefault="0084071B" w:rsidP="0084071B">
      <w:pPr>
        <w:spacing w:line="240" w:lineRule="auto"/>
        <w:rPr>
          <w:b/>
          <w:bCs/>
        </w:rPr>
      </w:pPr>
      <w:r w:rsidRPr="0084071B">
        <w:rPr>
          <w:b/>
          <w:bCs/>
        </w:rPr>
        <w:t>Canberra Health Services</w:t>
      </w:r>
    </w:p>
    <w:p w14:paraId="45E5B366" w14:textId="77777777" w:rsidR="0084071B" w:rsidRDefault="0084071B" w:rsidP="0084071B">
      <w:pPr>
        <w:spacing w:line="240" w:lineRule="auto"/>
        <w:ind w:left="567" w:hanging="283"/>
        <w:rPr>
          <w:bCs/>
        </w:rPr>
      </w:pPr>
      <w:r w:rsidRPr="005761CE">
        <w:rPr>
          <w:bCs/>
        </w:rPr>
        <w:t xml:space="preserve">Peffer, Mr Dave, </w:t>
      </w:r>
      <w:r>
        <w:rPr>
          <w:bCs/>
        </w:rPr>
        <w:t>Interim Chief Executive Officer</w:t>
      </w:r>
    </w:p>
    <w:p w14:paraId="182018D0" w14:textId="77777777" w:rsidR="0084071B" w:rsidRPr="005761CE" w:rsidRDefault="0084071B" w:rsidP="0084071B">
      <w:pPr>
        <w:spacing w:line="240" w:lineRule="auto"/>
        <w:ind w:left="567" w:hanging="283"/>
        <w:rPr>
          <w:bCs/>
        </w:rPr>
      </w:pPr>
      <w:r w:rsidRPr="005761CE">
        <w:rPr>
          <w:bCs/>
        </w:rPr>
        <w:t>Mooney, Mr Colm, Acting Deputy Chief Executive Officer</w:t>
      </w:r>
    </w:p>
    <w:p w14:paraId="2264A55A" w14:textId="77777777" w:rsidR="0084071B" w:rsidRPr="005761CE" w:rsidRDefault="0084071B" w:rsidP="0084071B">
      <w:pPr>
        <w:spacing w:line="240" w:lineRule="auto"/>
        <w:ind w:left="567" w:hanging="283"/>
        <w:rPr>
          <w:bCs/>
        </w:rPr>
      </w:pPr>
      <w:r w:rsidRPr="005761CE">
        <w:rPr>
          <w:bCs/>
        </w:rPr>
        <w:t xml:space="preserve">Rea, Ms Katrina, </w:t>
      </w:r>
      <w:r>
        <w:rPr>
          <w:bCs/>
        </w:rPr>
        <w:t xml:space="preserve">Acting </w:t>
      </w:r>
      <w:r w:rsidRPr="005761CE">
        <w:rPr>
          <w:bCs/>
        </w:rPr>
        <w:t xml:space="preserve">Executive Director, </w:t>
      </w:r>
      <w:r>
        <w:rPr>
          <w:bCs/>
        </w:rPr>
        <w:t xml:space="preserve">Adult Acute </w:t>
      </w:r>
      <w:r w:rsidRPr="005761CE">
        <w:rPr>
          <w:bCs/>
        </w:rPr>
        <w:t>Mental Health</w:t>
      </w:r>
      <w:r>
        <w:rPr>
          <w:bCs/>
        </w:rPr>
        <w:t xml:space="preserve"> Services Central Management, Mental Health, Justice Health and Alcohol and Drug Services</w:t>
      </w:r>
    </w:p>
    <w:p w14:paraId="0A28339B" w14:textId="77777777" w:rsidR="0084071B" w:rsidRPr="005761CE" w:rsidRDefault="0084071B" w:rsidP="0084071B">
      <w:pPr>
        <w:spacing w:line="240" w:lineRule="auto"/>
        <w:ind w:left="567" w:hanging="283"/>
        <w:rPr>
          <w:bCs/>
        </w:rPr>
      </w:pPr>
      <w:r w:rsidRPr="005761CE">
        <w:rPr>
          <w:bCs/>
        </w:rPr>
        <w:t xml:space="preserve">Riordan, Dr Denise, </w:t>
      </w:r>
      <w:r>
        <w:rPr>
          <w:bCs/>
        </w:rPr>
        <w:t>Acting Director of Clinical Services, Mental Health, Justice Health and Alcohol and Drug Services</w:t>
      </w:r>
    </w:p>
    <w:p w14:paraId="435086D8" w14:textId="77777777" w:rsidR="0084071B" w:rsidRPr="005761CE" w:rsidRDefault="0084071B" w:rsidP="0084071B">
      <w:pPr>
        <w:spacing w:line="240" w:lineRule="auto"/>
        <w:ind w:left="567" w:hanging="283"/>
        <w:rPr>
          <w:bCs/>
        </w:rPr>
      </w:pPr>
      <w:r w:rsidRPr="005761CE">
        <w:rPr>
          <w:bCs/>
        </w:rPr>
        <w:t>Ogden, Mr Paul, Chief Financ</w:t>
      </w:r>
      <w:r>
        <w:rPr>
          <w:bCs/>
        </w:rPr>
        <w:t>ial</w:t>
      </w:r>
      <w:r w:rsidRPr="005761CE">
        <w:rPr>
          <w:bCs/>
        </w:rPr>
        <w:t xml:space="preserve"> Officer, Finance and Business Intelligence</w:t>
      </w:r>
    </w:p>
    <w:p w14:paraId="75795356" w14:textId="77777777" w:rsidR="0084071B" w:rsidRPr="0084071B" w:rsidRDefault="0084071B" w:rsidP="0084071B">
      <w:pPr>
        <w:spacing w:line="240" w:lineRule="auto"/>
        <w:rPr>
          <w:b/>
          <w:bCs/>
        </w:rPr>
      </w:pPr>
      <w:r w:rsidRPr="0084071B">
        <w:rPr>
          <w:b/>
          <w:bCs/>
        </w:rPr>
        <w:t>ACT Health</w:t>
      </w:r>
    </w:p>
    <w:p w14:paraId="4A7F0C65" w14:textId="77777777" w:rsidR="0084071B" w:rsidRPr="000E6A7C" w:rsidRDefault="0084071B" w:rsidP="0084071B">
      <w:pPr>
        <w:spacing w:line="240" w:lineRule="auto"/>
        <w:ind w:left="284"/>
        <w:rPr>
          <w:bCs/>
        </w:rPr>
      </w:pPr>
      <w:r w:rsidRPr="000E6A7C">
        <w:rPr>
          <w:bCs/>
        </w:rPr>
        <w:t>Cross, Ms Rebecca, Director-General</w:t>
      </w:r>
    </w:p>
    <w:p w14:paraId="070B5CBB" w14:textId="77777777" w:rsidR="0084071B" w:rsidRDefault="0084071B" w:rsidP="0084071B">
      <w:pPr>
        <w:spacing w:line="240" w:lineRule="auto"/>
        <w:ind w:left="568" w:hanging="284"/>
      </w:pPr>
      <w:r w:rsidRPr="000E6A7C">
        <w:t>Culhane, Mr Michael, Executive Group Manager, Policy Partnerships and Programs</w:t>
      </w:r>
    </w:p>
    <w:p w14:paraId="59F123D6" w14:textId="77777777" w:rsidR="0084071B" w:rsidRDefault="0084071B" w:rsidP="0084071B">
      <w:pPr>
        <w:spacing w:line="240" w:lineRule="auto"/>
        <w:ind w:left="283"/>
        <w:rPr>
          <w:bCs/>
        </w:rPr>
      </w:pPr>
      <w:r w:rsidRPr="005761CE">
        <w:rPr>
          <w:bCs/>
        </w:rPr>
        <w:t>Lopa, Ms Liz, Deputy Director-General</w:t>
      </w:r>
    </w:p>
    <w:p w14:paraId="12F8A189" w14:textId="77777777" w:rsidR="0084071B" w:rsidRPr="005761CE" w:rsidRDefault="0084071B" w:rsidP="0084071B">
      <w:pPr>
        <w:spacing w:line="240" w:lineRule="auto"/>
        <w:ind w:left="567" w:hanging="283"/>
        <w:rPr>
          <w:bCs/>
        </w:rPr>
      </w:pPr>
      <w:r w:rsidRPr="005761CE">
        <w:rPr>
          <w:bCs/>
        </w:rPr>
        <w:t>Moore, Dr Elizabeth, Coordinator-General</w:t>
      </w:r>
      <w:r>
        <w:rPr>
          <w:bCs/>
        </w:rPr>
        <w:t xml:space="preserve"> Mental Health</w:t>
      </w:r>
      <w:r w:rsidRPr="005761CE">
        <w:rPr>
          <w:bCs/>
        </w:rPr>
        <w:t xml:space="preserve">, Office for Mental Health </w:t>
      </w:r>
      <w:r>
        <w:rPr>
          <w:bCs/>
        </w:rPr>
        <w:t>and</w:t>
      </w:r>
      <w:r w:rsidRPr="005761CE">
        <w:rPr>
          <w:bCs/>
        </w:rPr>
        <w:t xml:space="preserve"> Wellbeing</w:t>
      </w:r>
    </w:p>
    <w:p w14:paraId="6759C19C" w14:textId="77777777" w:rsidR="0084071B" w:rsidRPr="005761CE" w:rsidRDefault="0084071B" w:rsidP="0084071B">
      <w:pPr>
        <w:spacing w:line="240" w:lineRule="auto"/>
        <w:ind w:left="567" w:hanging="283"/>
        <w:rPr>
          <w:bCs/>
        </w:rPr>
      </w:pPr>
      <w:r w:rsidRPr="005761CE">
        <w:rPr>
          <w:bCs/>
        </w:rPr>
        <w:t>Garrett, Ms Cheryl, Executive Branch Manager, Mental Health Policy</w:t>
      </w:r>
    </w:p>
    <w:p w14:paraId="7C34E728" w14:textId="6E90D9B2" w:rsidR="0084071B" w:rsidRDefault="0084071B" w:rsidP="00254A72">
      <w:pPr>
        <w:pStyle w:val="Heading3"/>
      </w:pPr>
      <w:bookmarkStart w:id="142" w:name="_Toc87607432"/>
      <w:r w:rsidRPr="0084071B">
        <w:t>21 October 2021</w:t>
      </w:r>
      <w:bookmarkEnd w:id="142"/>
    </w:p>
    <w:p w14:paraId="13A4EC1B" w14:textId="77777777" w:rsidR="0084071B" w:rsidRPr="000F6E98" w:rsidRDefault="0084071B" w:rsidP="0084071B">
      <w:pPr>
        <w:ind w:left="284" w:hanging="284"/>
      </w:pPr>
      <w:r w:rsidRPr="0084071B">
        <w:rPr>
          <w:b/>
          <w:bCs/>
        </w:rPr>
        <w:t>Davidson, Ms Emma</w:t>
      </w:r>
      <w:r>
        <w:t>, Assistant Minister for Seniors, Veterans, Families and Community Services, Minister for Disability, Minister for Justice Health and Minister for Mental Health</w:t>
      </w:r>
    </w:p>
    <w:p w14:paraId="2E82B9BA" w14:textId="77777777" w:rsidR="0084071B" w:rsidRPr="0084071B" w:rsidRDefault="0084071B" w:rsidP="0084071B">
      <w:pPr>
        <w:spacing w:line="240" w:lineRule="auto"/>
        <w:rPr>
          <w:b/>
          <w:bCs/>
        </w:rPr>
      </w:pPr>
      <w:r w:rsidRPr="0084071B">
        <w:rPr>
          <w:b/>
          <w:bCs/>
        </w:rPr>
        <w:t>Community Services Directorate</w:t>
      </w:r>
    </w:p>
    <w:p w14:paraId="681BF168" w14:textId="77777777" w:rsidR="0084071B" w:rsidRPr="002430EA" w:rsidRDefault="0084071B" w:rsidP="0084071B">
      <w:pPr>
        <w:spacing w:line="240" w:lineRule="auto"/>
        <w:ind w:left="568" w:hanging="284"/>
        <w:rPr>
          <w:rFonts w:cs="Calibri"/>
          <w:lang w:val="en-GB"/>
        </w:rPr>
      </w:pPr>
      <w:r w:rsidRPr="002430EA">
        <w:rPr>
          <w:rFonts w:cs="Calibri"/>
          <w:lang w:val="en-GB"/>
        </w:rPr>
        <w:t>Rule, Ms Catherine, Director-General</w:t>
      </w:r>
    </w:p>
    <w:p w14:paraId="1308FEA5" w14:textId="77777777" w:rsidR="0084071B" w:rsidRPr="002430EA" w:rsidRDefault="0084071B" w:rsidP="0084071B">
      <w:pPr>
        <w:spacing w:line="240" w:lineRule="auto"/>
        <w:ind w:left="568" w:hanging="284"/>
        <w:rPr>
          <w:rFonts w:cs="Calibri"/>
          <w:lang w:val="en-GB"/>
        </w:rPr>
      </w:pPr>
      <w:r w:rsidRPr="002430EA">
        <w:rPr>
          <w:rFonts w:cs="Calibri"/>
          <w:lang w:val="en-GB"/>
        </w:rPr>
        <w:t>Sabellico, Ms Anne-Maree, Deputy Director-General</w:t>
      </w:r>
    </w:p>
    <w:p w14:paraId="5B1DCDF1" w14:textId="77777777" w:rsidR="0084071B" w:rsidRPr="002430EA" w:rsidRDefault="0084071B" w:rsidP="0084071B">
      <w:pPr>
        <w:spacing w:line="240" w:lineRule="auto"/>
        <w:ind w:left="568" w:hanging="284"/>
      </w:pPr>
      <w:r w:rsidRPr="002430EA">
        <w:t>Wood, Ms Jo, Deputy Director-General (COVID Response)</w:t>
      </w:r>
    </w:p>
    <w:p w14:paraId="217273C4" w14:textId="77777777" w:rsidR="0084071B" w:rsidRPr="002430EA" w:rsidRDefault="0084071B" w:rsidP="0084071B">
      <w:pPr>
        <w:spacing w:line="240" w:lineRule="auto"/>
        <w:ind w:left="568" w:hanging="284"/>
      </w:pPr>
      <w:r w:rsidRPr="002430EA">
        <w:t xml:space="preserve">Pappas, Ms Helen, Executive Group Manager, Children, Youth and Families </w:t>
      </w:r>
    </w:p>
    <w:p w14:paraId="3ECFD82E" w14:textId="77777777" w:rsidR="0084071B" w:rsidRPr="002430EA" w:rsidRDefault="0084071B" w:rsidP="0084071B">
      <w:pPr>
        <w:spacing w:line="240" w:lineRule="auto"/>
        <w:ind w:left="568" w:hanging="284"/>
      </w:pPr>
      <w:r w:rsidRPr="002430EA">
        <w:t xml:space="preserve">Brendas, Ms Tina, Executive Branch Manager; </w:t>
      </w:r>
      <w:r w:rsidRPr="002430EA">
        <w:rPr>
          <w:rFonts w:cs="Calibri"/>
          <w:color w:val="000000"/>
          <w:lang w:val="en-GB"/>
        </w:rPr>
        <w:t>Bimberi Residential Services; Child and Youth Protective Services; Children, Youth and Families</w:t>
      </w:r>
    </w:p>
    <w:p w14:paraId="46A53C78" w14:textId="77777777" w:rsidR="0084071B" w:rsidRPr="002430EA" w:rsidRDefault="0084071B" w:rsidP="0084071B">
      <w:pPr>
        <w:spacing w:line="240" w:lineRule="auto"/>
        <w:ind w:left="568" w:hanging="284"/>
      </w:pPr>
      <w:r w:rsidRPr="002430EA">
        <w:t>Evans, Ms Jacinta, Executive Group Manager, Strategic Policy</w:t>
      </w:r>
    </w:p>
    <w:p w14:paraId="4C0DA6AD" w14:textId="77777777" w:rsidR="0084071B" w:rsidRPr="002430EA" w:rsidRDefault="0084071B" w:rsidP="0084071B">
      <w:pPr>
        <w:spacing w:line="240" w:lineRule="auto"/>
        <w:ind w:left="568" w:hanging="284"/>
      </w:pPr>
      <w:r w:rsidRPr="002430EA">
        <w:t>Murray, Ms Christine, Executive Group Manager, Inclusion and Participation</w:t>
      </w:r>
    </w:p>
    <w:p w14:paraId="42C027F2" w14:textId="2E1F4F26" w:rsidR="0084071B" w:rsidRDefault="0084071B" w:rsidP="0084071B">
      <w:pPr>
        <w:pBdr>
          <w:bottom w:val="single" w:sz="6" w:space="1" w:color="auto"/>
        </w:pBdr>
        <w:spacing w:line="240" w:lineRule="auto"/>
        <w:ind w:left="568" w:hanging="284"/>
        <w:rPr>
          <w:rFonts w:cs="Calibri"/>
          <w:lang w:val="en-GB"/>
        </w:rPr>
      </w:pPr>
      <w:r w:rsidRPr="002430EA">
        <w:t>Summerrell, Mrs Jessica, Executive Branch Manager,</w:t>
      </w:r>
      <w:r w:rsidRPr="002430EA">
        <w:rPr>
          <w:rFonts w:cs="Calibri"/>
          <w:lang w:val="en-GB"/>
        </w:rPr>
        <w:t xml:space="preserve"> Social and Community Inclusion, Inclusion and Participation</w:t>
      </w:r>
    </w:p>
    <w:p w14:paraId="022C22B3" w14:textId="77777777" w:rsidR="0084071B" w:rsidRDefault="0084071B" w:rsidP="0084071B">
      <w:pPr>
        <w:pBdr>
          <w:bottom w:val="single" w:sz="6" w:space="1" w:color="auto"/>
        </w:pBdr>
        <w:spacing w:line="240" w:lineRule="auto"/>
        <w:ind w:left="568" w:hanging="284"/>
        <w:rPr>
          <w:rFonts w:cs="Calibri"/>
          <w:lang w:val="en-GB"/>
        </w:rPr>
      </w:pPr>
    </w:p>
    <w:p w14:paraId="723BE1D9" w14:textId="77777777" w:rsidR="0084071B" w:rsidRPr="000F6E98" w:rsidRDefault="0084071B" w:rsidP="0084071B">
      <w:pPr>
        <w:ind w:left="284" w:hanging="284"/>
      </w:pPr>
      <w:r w:rsidRPr="0084071B">
        <w:rPr>
          <w:b/>
        </w:rPr>
        <w:t>Vassarotti, Ms Rebecca</w:t>
      </w:r>
      <w:r>
        <w:rPr>
          <w:bCs/>
        </w:rPr>
        <w:t xml:space="preserve">, </w:t>
      </w:r>
      <w:r>
        <w:t>Minister for the Environment, Minister for Heritage, Minister for Homelessness and Housing Services and Minister for Sustainable Building and Construction</w:t>
      </w:r>
    </w:p>
    <w:p w14:paraId="01C99846" w14:textId="77777777" w:rsidR="0084071B" w:rsidRPr="0084071B" w:rsidRDefault="0084071B" w:rsidP="0084071B">
      <w:pPr>
        <w:spacing w:line="240" w:lineRule="auto"/>
        <w:rPr>
          <w:b/>
          <w:bCs/>
        </w:rPr>
      </w:pPr>
      <w:r w:rsidRPr="0084071B">
        <w:rPr>
          <w:b/>
          <w:bCs/>
        </w:rPr>
        <w:t>Community Services Directorate</w:t>
      </w:r>
    </w:p>
    <w:p w14:paraId="2DE36203" w14:textId="77777777" w:rsidR="0084071B" w:rsidRPr="00CF01BD" w:rsidRDefault="0084071B" w:rsidP="0084071B">
      <w:pPr>
        <w:spacing w:line="240" w:lineRule="auto"/>
        <w:ind w:left="568" w:hanging="284"/>
        <w:rPr>
          <w:rFonts w:cs="Calibri"/>
          <w:lang w:val="en-GB"/>
        </w:rPr>
      </w:pPr>
      <w:r w:rsidRPr="00CF01BD">
        <w:rPr>
          <w:rFonts w:cs="Calibri"/>
          <w:lang w:val="en-GB"/>
        </w:rPr>
        <w:t>Rule, Ms Catherine, Director-General</w:t>
      </w:r>
    </w:p>
    <w:p w14:paraId="0733E9DB" w14:textId="77777777" w:rsidR="0084071B" w:rsidRPr="00CF01BD" w:rsidRDefault="0084071B" w:rsidP="0084071B">
      <w:pPr>
        <w:spacing w:line="240" w:lineRule="auto"/>
        <w:ind w:left="568" w:hanging="284"/>
      </w:pPr>
      <w:r w:rsidRPr="00CF01BD">
        <w:t>Aigner, Mr Geoff, Executive Branch Manager, Client Services Branch, Housing ACT</w:t>
      </w:r>
    </w:p>
    <w:p w14:paraId="6D9F3C17" w14:textId="77777777" w:rsidR="0084071B" w:rsidRDefault="0084071B" w:rsidP="0084071B">
      <w:pPr>
        <w:spacing w:line="240" w:lineRule="auto"/>
        <w:ind w:left="568" w:hanging="284"/>
      </w:pPr>
      <w:r w:rsidRPr="00CF01BD">
        <w:rPr>
          <w:rFonts w:cs="Calibri"/>
          <w:color w:val="000000"/>
          <w:lang w:val="en-GB"/>
        </w:rPr>
        <w:t xml:space="preserve">Nielsen, Mr Shane, </w:t>
      </w:r>
      <w:r w:rsidRPr="00CF01BD">
        <w:t xml:space="preserve">Executive Branch Manager, </w:t>
      </w:r>
      <w:r w:rsidRPr="00CF01BD">
        <w:rPr>
          <w:rFonts w:cs="Calibri"/>
          <w:color w:val="000000"/>
          <w:lang w:val="en-GB"/>
        </w:rPr>
        <w:t>Policy and Business Transformation Branch, Housing ACT</w:t>
      </w:r>
    </w:p>
    <w:p w14:paraId="10D12DC7" w14:textId="2FDD7CF1" w:rsidR="0084071B" w:rsidRDefault="0084071B" w:rsidP="0084071B">
      <w:pPr>
        <w:pBdr>
          <w:bottom w:val="single" w:sz="12" w:space="1" w:color="auto"/>
        </w:pBdr>
        <w:spacing w:line="240" w:lineRule="auto"/>
        <w:ind w:left="568" w:hanging="284"/>
        <w:rPr>
          <w:rFonts w:cs="Calibri"/>
          <w:color w:val="000000"/>
          <w:lang w:val="en-GB"/>
        </w:rPr>
      </w:pPr>
      <w:r w:rsidRPr="00B15B01">
        <w:rPr>
          <w:rFonts w:cs="Calibri"/>
          <w:color w:val="000000"/>
          <w:lang w:val="en-GB"/>
        </w:rPr>
        <w:t>Gilding</w:t>
      </w:r>
      <w:r>
        <w:rPr>
          <w:rFonts w:cs="Calibri"/>
          <w:color w:val="000000"/>
          <w:lang w:val="en-GB"/>
        </w:rPr>
        <w:t>, Ms Louise, Executive Branch Manager, Housing ACT</w:t>
      </w:r>
    </w:p>
    <w:p w14:paraId="5F0EF8E6" w14:textId="77777777" w:rsidR="0084071B" w:rsidRDefault="0084071B" w:rsidP="0084071B">
      <w:pPr>
        <w:pBdr>
          <w:bottom w:val="single" w:sz="12" w:space="1" w:color="auto"/>
        </w:pBdr>
        <w:spacing w:line="240" w:lineRule="auto"/>
        <w:ind w:left="568" w:hanging="284"/>
        <w:rPr>
          <w:rFonts w:cs="Calibri"/>
          <w:color w:val="000000"/>
          <w:lang w:val="en-GB"/>
        </w:rPr>
      </w:pPr>
    </w:p>
    <w:p w14:paraId="0A42ADC5" w14:textId="77777777" w:rsidR="00EE4717" w:rsidRPr="005650CF" w:rsidRDefault="00EE4717" w:rsidP="00EE4717">
      <w:pPr>
        <w:ind w:left="284" w:hanging="284"/>
      </w:pPr>
      <w:r w:rsidRPr="0084071B">
        <w:rPr>
          <w:b/>
        </w:rPr>
        <w:t>Stephen-Smith, Ms Rachel</w:t>
      </w:r>
      <w:r>
        <w:t>, Minister for Aboriginal and Torres Strait Islander Affairs, Minister for Families and Community Services and Minister for Health</w:t>
      </w:r>
    </w:p>
    <w:p w14:paraId="3B111DCE" w14:textId="77777777" w:rsidR="00EE4717" w:rsidRPr="001A65DC" w:rsidRDefault="00EE4717" w:rsidP="00EE4717">
      <w:pPr>
        <w:spacing w:after="0" w:line="240" w:lineRule="auto"/>
        <w:rPr>
          <w:b/>
          <w:bCs/>
        </w:rPr>
      </w:pPr>
      <w:r w:rsidRPr="001A65DC">
        <w:rPr>
          <w:b/>
          <w:bCs/>
        </w:rPr>
        <w:t>Canberra Health Services</w:t>
      </w:r>
    </w:p>
    <w:p w14:paraId="1AB14D5E" w14:textId="77777777" w:rsidR="00EE4717" w:rsidRPr="006E4438" w:rsidRDefault="00EE4717" w:rsidP="00EE4717">
      <w:pPr>
        <w:spacing w:after="0" w:line="240" w:lineRule="auto"/>
        <w:ind w:left="284"/>
        <w:rPr>
          <w:bCs/>
        </w:rPr>
      </w:pPr>
      <w:r w:rsidRPr="006E4438">
        <w:rPr>
          <w:bCs/>
        </w:rPr>
        <w:t>Peffer, Mr Dave, Interim Chief Executive Officer</w:t>
      </w:r>
    </w:p>
    <w:p w14:paraId="1EF1C759" w14:textId="77777777" w:rsidR="00EE4717" w:rsidRPr="006E4438" w:rsidRDefault="00EE4717" w:rsidP="00EE4717">
      <w:pPr>
        <w:spacing w:after="0" w:line="240" w:lineRule="auto"/>
        <w:ind w:left="284"/>
        <w:rPr>
          <w:bCs/>
        </w:rPr>
      </w:pPr>
      <w:r w:rsidRPr="006E4438">
        <w:rPr>
          <w:bCs/>
        </w:rPr>
        <w:t>Mooney, Mr Colm, Acting Deputy Chief Executive Officer</w:t>
      </w:r>
    </w:p>
    <w:p w14:paraId="3C795DA6" w14:textId="77777777" w:rsidR="00EE4717" w:rsidRPr="006E4438" w:rsidRDefault="00EE4717" w:rsidP="00EE4717">
      <w:pPr>
        <w:spacing w:after="0" w:line="240" w:lineRule="auto"/>
        <w:ind w:left="284"/>
        <w:rPr>
          <w:bCs/>
        </w:rPr>
      </w:pPr>
      <w:r w:rsidRPr="006E4438">
        <w:rPr>
          <w:bCs/>
        </w:rPr>
        <w:t>Coatsworth, Dr Nicholas, Chief Operating Officer, Medicine</w:t>
      </w:r>
    </w:p>
    <w:p w14:paraId="170A8B9D" w14:textId="77777777" w:rsidR="00EE4717" w:rsidRPr="006E4438" w:rsidRDefault="00EE4717" w:rsidP="00EE4717">
      <w:pPr>
        <w:spacing w:after="0" w:line="240" w:lineRule="auto"/>
        <w:ind w:left="284"/>
        <w:rPr>
          <w:bCs/>
        </w:rPr>
      </w:pPr>
      <w:r w:rsidRPr="006E4438">
        <w:rPr>
          <w:bCs/>
        </w:rPr>
        <w:t>O’Neill, Ms Cathie, Chief Operating Officer</w:t>
      </w:r>
    </w:p>
    <w:p w14:paraId="0A9AC581" w14:textId="77777777" w:rsidR="00EE4717" w:rsidRPr="001A65DC" w:rsidRDefault="00EE4717" w:rsidP="00EE4717">
      <w:pPr>
        <w:spacing w:after="0" w:line="240" w:lineRule="auto"/>
        <w:rPr>
          <w:b/>
          <w:bCs/>
        </w:rPr>
      </w:pPr>
      <w:r w:rsidRPr="001A65DC">
        <w:rPr>
          <w:b/>
          <w:bCs/>
        </w:rPr>
        <w:t>ACT Health</w:t>
      </w:r>
    </w:p>
    <w:p w14:paraId="6E979391" w14:textId="77777777" w:rsidR="00EE4717" w:rsidRPr="006E4438" w:rsidRDefault="00EE4717" w:rsidP="00EE4717">
      <w:pPr>
        <w:spacing w:after="0" w:line="240" w:lineRule="auto"/>
        <w:ind w:left="568" w:hanging="284"/>
        <w:rPr>
          <w:bCs/>
        </w:rPr>
      </w:pPr>
      <w:r w:rsidRPr="006E4438">
        <w:rPr>
          <w:bCs/>
        </w:rPr>
        <w:t xml:space="preserve">Cross, Ms Rebecca, Director-General </w:t>
      </w:r>
    </w:p>
    <w:p w14:paraId="48051A3C" w14:textId="77777777" w:rsidR="00EE4717" w:rsidRPr="006E4438" w:rsidRDefault="00EE4717" w:rsidP="00EE4717">
      <w:pPr>
        <w:spacing w:after="0" w:line="240" w:lineRule="auto"/>
        <w:ind w:left="568" w:hanging="284"/>
        <w:rPr>
          <w:bCs/>
        </w:rPr>
      </w:pPr>
      <w:r w:rsidRPr="006E4438">
        <w:rPr>
          <w:bCs/>
        </w:rPr>
        <w:t>Lopa, Ms Liz, Executive Group Manager, Strategic Infrastructure</w:t>
      </w:r>
    </w:p>
    <w:p w14:paraId="06CC53AE" w14:textId="77777777" w:rsidR="00EE4717" w:rsidRPr="006E4438" w:rsidRDefault="00EE4717" w:rsidP="00EE4717">
      <w:pPr>
        <w:spacing w:after="0" w:line="240" w:lineRule="auto"/>
        <w:ind w:left="568" w:hanging="284"/>
        <w:rPr>
          <w:bCs/>
        </w:rPr>
      </w:pPr>
      <w:r w:rsidRPr="006E4438">
        <w:rPr>
          <w:bCs/>
        </w:rPr>
        <w:t>Chambers, Ms Kate, Chief Finance Officer, Strategic Finance Branch</w:t>
      </w:r>
    </w:p>
    <w:p w14:paraId="67B2F28E" w14:textId="77777777" w:rsidR="00EE4717" w:rsidRPr="006E4438" w:rsidRDefault="00EE4717" w:rsidP="00EE4717">
      <w:pPr>
        <w:spacing w:after="0" w:line="240" w:lineRule="auto"/>
        <w:ind w:left="568" w:hanging="284"/>
        <w:rPr>
          <w:bCs/>
        </w:rPr>
      </w:pPr>
      <w:r w:rsidRPr="006E4438">
        <w:rPr>
          <w:bCs/>
        </w:rPr>
        <w:t>Coleman, Dr Kerryn, Chief Health Officer, Public Health, Protection and Regulation Division</w:t>
      </w:r>
    </w:p>
    <w:p w14:paraId="57102234" w14:textId="77777777" w:rsidR="00EE4717" w:rsidRPr="006E4438" w:rsidRDefault="00EE4717" w:rsidP="00EE4717">
      <w:pPr>
        <w:spacing w:after="0" w:line="240" w:lineRule="auto"/>
        <w:ind w:left="568" w:hanging="284"/>
        <w:rPr>
          <w:bCs/>
        </w:rPr>
      </w:pPr>
      <w:r w:rsidRPr="006E4438">
        <w:rPr>
          <w:bCs/>
        </w:rPr>
        <w:t>Culhane, Mr Michael, Executive Group Manager, Policy, Partnerships and Programs</w:t>
      </w:r>
    </w:p>
    <w:p w14:paraId="20FCFEF5" w14:textId="77777777" w:rsidR="00EE4717" w:rsidRPr="006E4438" w:rsidRDefault="00EE4717" w:rsidP="00EE4717">
      <w:pPr>
        <w:spacing w:after="0" w:line="240" w:lineRule="auto"/>
        <w:ind w:left="568" w:hanging="284"/>
        <w:rPr>
          <w:bCs/>
        </w:rPr>
      </w:pPr>
      <w:r w:rsidRPr="00811074">
        <w:rPr>
          <w:bCs/>
        </w:rPr>
        <w:t xml:space="preserve">George, Ms Jacinta, Executive Group Manager, Policy, </w:t>
      </w:r>
      <w:r w:rsidRPr="00811074">
        <w:rPr>
          <w:rFonts w:cs="Calibri"/>
          <w:lang w:val="en-GB"/>
        </w:rPr>
        <w:t>Health System Planning and Evaluation Division</w:t>
      </w:r>
    </w:p>
    <w:p w14:paraId="24CDBD38" w14:textId="77777777" w:rsidR="00EE4717" w:rsidRPr="00CD0287" w:rsidRDefault="00EE4717" w:rsidP="00EE4717">
      <w:pPr>
        <w:spacing w:after="0" w:line="240" w:lineRule="auto"/>
        <w:ind w:left="568" w:hanging="284"/>
        <w:rPr>
          <w:bCs/>
        </w:rPr>
      </w:pPr>
      <w:r w:rsidRPr="006E4438">
        <w:rPr>
          <w:bCs/>
        </w:rPr>
        <w:t>Philp, Mr Alan, Executive Group Manager, Preventive and Population Health Division</w:t>
      </w:r>
    </w:p>
    <w:p w14:paraId="2B9CF5E1" w14:textId="08F9AA47" w:rsidR="0084071B" w:rsidRPr="00254A72" w:rsidRDefault="0084071B" w:rsidP="00254A72">
      <w:pPr>
        <w:pStyle w:val="Heading3"/>
      </w:pPr>
      <w:bookmarkStart w:id="143" w:name="_Toc87607433"/>
      <w:r w:rsidRPr="00254A72">
        <w:t>25 October 2021</w:t>
      </w:r>
      <w:bookmarkEnd w:id="143"/>
    </w:p>
    <w:p w14:paraId="65A73AEB" w14:textId="77777777" w:rsidR="00EE4717" w:rsidRDefault="00EE4717" w:rsidP="00EE4717">
      <w:pPr>
        <w:ind w:left="284" w:hanging="284"/>
      </w:pPr>
      <w:r w:rsidRPr="00EE4717">
        <w:rPr>
          <w:b/>
          <w:bCs/>
        </w:rPr>
        <w:t>Stephen-Smith, Ms Rachel</w:t>
      </w:r>
      <w:r>
        <w:t>, Minister for Aboriginal and Torres Strait Islander Affairs, Minister for Families and Community Services and Minister for Health</w:t>
      </w:r>
    </w:p>
    <w:p w14:paraId="2CCA8249" w14:textId="77777777" w:rsidR="00EE4717" w:rsidRPr="00EE4717" w:rsidRDefault="00EE4717" w:rsidP="00EE4717">
      <w:pPr>
        <w:spacing w:line="240" w:lineRule="auto"/>
        <w:rPr>
          <w:b/>
          <w:bCs/>
        </w:rPr>
      </w:pPr>
      <w:r w:rsidRPr="00EE4717">
        <w:rPr>
          <w:b/>
          <w:bCs/>
        </w:rPr>
        <w:t>Community Services Directorate</w:t>
      </w:r>
    </w:p>
    <w:p w14:paraId="6FF506E7" w14:textId="77777777" w:rsidR="00EE4717" w:rsidRPr="00FC158E" w:rsidRDefault="00EE4717" w:rsidP="00EE4717">
      <w:pPr>
        <w:spacing w:line="240" w:lineRule="auto"/>
        <w:ind w:left="567" w:hanging="283"/>
      </w:pPr>
      <w:r w:rsidRPr="00FC158E">
        <w:t>Rule, Ms Catherine, Director-General</w:t>
      </w:r>
    </w:p>
    <w:p w14:paraId="2616CAB3" w14:textId="77777777" w:rsidR="00EE4717" w:rsidRPr="00FC158E" w:rsidRDefault="00EE4717" w:rsidP="00EE4717">
      <w:pPr>
        <w:spacing w:line="240" w:lineRule="auto"/>
        <w:ind w:left="567" w:hanging="283"/>
      </w:pPr>
      <w:r w:rsidRPr="00FC158E">
        <w:t>Wood, Ms Jo, Deputy Director-General (COVID Response)</w:t>
      </w:r>
    </w:p>
    <w:p w14:paraId="536AF564" w14:textId="77777777" w:rsidR="00EE4717" w:rsidRPr="00FC158E" w:rsidRDefault="00EE4717" w:rsidP="00EE4717">
      <w:pPr>
        <w:spacing w:line="240" w:lineRule="auto"/>
        <w:ind w:left="567" w:hanging="283"/>
      </w:pPr>
      <w:r w:rsidRPr="00FC158E">
        <w:t>Sabellico, Ms Anne-Maree, Deputy Director-General</w:t>
      </w:r>
    </w:p>
    <w:p w14:paraId="4954D84A" w14:textId="77777777" w:rsidR="00EE4717" w:rsidRPr="00FC158E" w:rsidRDefault="00EE4717" w:rsidP="00EE4717">
      <w:pPr>
        <w:spacing w:line="240" w:lineRule="auto"/>
        <w:ind w:left="567" w:hanging="283"/>
      </w:pPr>
      <w:r w:rsidRPr="00FC158E">
        <w:t>Saballa, Ms Melanie, Executive Branch Manager, Children, Youth and Families</w:t>
      </w:r>
    </w:p>
    <w:p w14:paraId="56FA7C5A" w14:textId="77777777" w:rsidR="00EE4717" w:rsidRDefault="00EE4717" w:rsidP="00EE4717">
      <w:pPr>
        <w:spacing w:line="240" w:lineRule="auto"/>
        <w:ind w:left="567" w:hanging="283"/>
      </w:pPr>
      <w:r w:rsidRPr="00FC158E">
        <w:t>Evans, Ms Jacinta, Executive Group Manager, Strategic Policy</w:t>
      </w:r>
    </w:p>
    <w:p w14:paraId="73F86A5F" w14:textId="58819DCB" w:rsidR="00EE4717" w:rsidRDefault="00EE4717" w:rsidP="0084071B">
      <w:pPr>
        <w:pStyle w:val="BodyText"/>
        <w:numPr>
          <w:ilvl w:val="0"/>
          <w:numId w:val="0"/>
        </w:numPr>
        <w:rPr>
          <w:rFonts w:ascii="Arial Narrow" w:hAnsi="Arial Narrow" w:cs="Arial"/>
          <w:b/>
          <w:bCs/>
          <w:iCs/>
          <w:smallCaps/>
          <w:spacing w:val="20"/>
          <w:sz w:val="36"/>
          <w:szCs w:val="34"/>
        </w:rPr>
      </w:pPr>
    </w:p>
    <w:p w14:paraId="7F8F4763" w14:textId="36B2AE95" w:rsidR="00EE4717" w:rsidRDefault="00EE4717" w:rsidP="0084071B">
      <w:pPr>
        <w:pStyle w:val="BodyText"/>
        <w:numPr>
          <w:ilvl w:val="0"/>
          <w:numId w:val="0"/>
        </w:numPr>
        <w:rPr>
          <w:rFonts w:ascii="Arial Narrow" w:hAnsi="Arial Narrow" w:cs="Arial"/>
          <w:b/>
          <w:bCs/>
          <w:iCs/>
          <w:smallCaps/>
          <w:spacing w:val="20"/>
          <w:sz w:val="36"/>
          <w:szCs w:val="34"/>
        </w:rPr>
      </w:pPr>
    </w:p>
    <w:p w14:paraId="7FE0494A" w14:textId="5A68A0CE" w:rsidR="00EE4717" w:rsidRDefault="00EE4717" w:rsidP="0084071B">
      <w:pPr>
        <w:pStyle w:val="BodyText"/>
        <w:numPr>
          <w:ilvl w:val="0"/>
          <w:numId w:val="0"/>
        </w:numPr>
        <w:rPr>
          <w:rFonts w:ascii="Arial Narrow" w:hAnsi="Arial Narrow" w:cs="Arial"/>
          <w:b/>
          <w:bCs/>
          <w:iCs/>
          <w:smallCaps/>
          <w:spacing w:val="20"/>
          <w:sz w:val="36"/>
          <w:szCs w:val="34"/>
        </w:rPr>
      </w:pPr>
    </w:p>
    <w:p w14:paraId="7DD7EC8E" w14:textId="1C15AA09" w:rsidR="0084071B" w:rsidRDefault="0084071B" w:rsidP="00254A72">
      <w:pPr>
        <w:pStyle w:val="Heading3"/>
      </w:pPr>
      <w:bookmarkStart w:id="144" w:name="_Toc87607434"/>
      <w:r w:rsidRPr="0084071B">
        <w:t>29 October 2021</w:t>
      </w:r>
      <w:bookmarkEnd w:id="144"/>
    </w:p>
    <w:p w14:paraId="57177625" w14:textId="77777777" w:rsidR="00EE4717" w:rsidRDefault="00EE4717" w:rsidP="00EE4717">
      <w:pPr>
        <w:ind w:left="284" w:hanging="284"/>
      </w:pPr>
      <w:r w:rsidRPr="00EE4717">
        <w:rPr>
          <w:b/>
          <w:bCs/>
        </w:rPr>
        <w:t>Berry, Ms Yvette</w:t>
      </w:r>
      <w:r>
        <w:t>, Deputy Chief Minister, Minister for Early Childhood Development, Minister for Education and Youth Affairs, Minister for Housing and Suburban Development, Minister for the Prevention of Domestic and Family Violence, Minister for Sport and Recreation and Minister for Women</w:t>
      </w:r>
    </w:p>
    <w:p w14:paraId="68651D4D" w14:textId="77777777" w:rsidR="00EE4717" w:rsidRPr="00EE4717" w:rsidRDefault="00EE4717" w:rsidP="00EE4717">
      <w:pPr>
        <w:spacing w:line="240" w:lineRule="auto"/>
        <w:rPr>
          <w:b/>
          <w:bCs/>
        </w:rPr>
      </w:pPr>
      <w:r w:rsidRPr="00EE4717">
        <w:rPr>
          <w:b/>
          <w:bCs/>
        </w:rPr>
        <w:t>Community Services Directorate</w:t>
      </w:r>
    </w:p>
    <w:p w14:paraId="0A220744" w14:textId="77777777" w:rsidR="00EE4717" w:rsidRDefault="00EE4717" w:rsidP="00EE4717">
      <w:pPr>
        <w:spacing w:line="240" w:lineRule="auto"/>
        <w:ind w:left="568" w:hanging="284"/>
      </w:pPr>
      <w:r>
        <w:t>Gilding, Ms Louise, Executive Group Manager, Housing ACT</w:t>
      </w:r>
    </w:p>
    <w:p w14:paraId="567D6B95" w14:textId="77777777" w:rsidR="00EE4717" w:rsidRDefault="00EE4717" w:rsidP="00EE4717">
      <w:pPr>
        <w:spacing w:line="240" w:lineRule="auto"/>
        <w:ind w:left="568" w:hanging="284"/>
      </w:pPr>
      <w:r>
        <w:t>Loft, Ms Catherine, Executive Branch Manager, Infrastructure and Contracts</w:t>
      </w:r>
    </w:p>
    <w:p w14:paraId="24950F98" w14:textId="77777777" w:rsidR="00EE4717" w:rsidRDefault="00EE4717" w:rsidP="00EE4717">
      <w:pPr>
        <w:spacing w:line="240" w:lineRule="auto"/>
        <w:ind w:left="568" w:hanging="284"/>
      </w:pPr>
      <w:r>
        <w:t>Nielsen, Mr Shane, Executive Branch Manager, Policy and Business Transformation</w:t>
      </w:r>
    </w:p>
    <w:p w14:paraId="0583F33E" w14:textId="77777777" w:rsidR="00EE4717" w:rsidRDefault="00EE4717" w:rsidP="00EE4717">
      <w:pPr>
        <w:spacing w:line="240" w:lineRule="auto"/>
        <w:ind w:left="568" w:hanging="284"/>
      </w:pPr>
      <w:r>
        <w:t>Windeyer, Ms Kirsty, Coordinator-General for Family Safety</w:t>
      </w:r>
    </w:p>
    <w:p w14:paraId="32174DC4" w14:textId="77777777" w:rsidR="00EE4717" w:rsidRDefault="00EE4717" w:rsidP="00EE4717">
      <w:pPr>
        <w:spacing w:line="240" w:lineRule="auto"/>
        <w:ind w:left="568" w:hanging="284"/>
      </w:pPr>
      <w:r>
        <w:t>Wood, Ms Jo, Deputy Director-General, COVID Response</w:t>
      </w:r>
    </w:p>
    <w:p w14:paraId="430F338A" w14:textId="77777777" w:rsidR="00EE4717" w:rsidRDefault="00EE4717" w:rsidP="00EE4717"/>
    <w:p w14:paraId="0628E7ED" w14:textId="278E07A5" w:rsidR="00047A3A" w:rsidRDefault="00047A3A">
      <w:pPr>
        <w:spacing w:before="0" w:after="160" w:line="259" w:lineRule="auto"/>
        <w:rPr>
          <w:b/>
          <w:bCs/>
        </w:rPr>
      </w:pPr>
      <w:r>
        <w:rPr>
          <w:b/>
          <w:bCs/>
        </w:rPr>
        <w:br w:type="page"/>
      </w:r>
    </w:p>
    <w:p w14:paraId="3630FFB4" w14:textId="77777777" w:rsidR="00047A3A" w:rsidRDefault="00047A3A" w:rsidP="00047A3A">
      <w:pPr>
        <w:pStyle w:val="Heading2"/>
      </w:pPr>
      <w:bookmarkStart w:id="145" w:name="_Toc502671598"/>
      <w:bookmarkStart w:id="146" w:name="_Toc502671776"/>
      <w:bookmarkStart w:id="147" w:name="_Toc502671882"/>
      <w:bookmarkStart w:id="148" w:name="_Toc502672814"/>
      <w:bookmarkStart w:id="149" w:name="_Toc87607435"/>
      <w:r>
        <w:t>Appendix B – Questions taken on Notice/</w:t>
      </w:r>
      <w:r>
        <w:br/>
        <w:t>Questions on Notice</w:t>
      </w:r>
      <w:bookmarkEnd w:id="149"/>
    </w:p>
    <w:p w14:paraId="10CE7C9A" w14:textId="77777777" w:rsidR="00047A3A" w:rsidRDefault="00047A3A" w:rsidP="00047A3A">
      <w:pPr>
        <w:pStyle w:val="Caption"/>
      </w:pPr>
      <w:r>
        <w:t xml:space="preserve">Questions taken on Notice </w:t>
      </w:r>
      <w:r w:rsidRPr="00057FF9">
        <w:t>20</w:t>
      </w:r>
      <w:r>
        <w:t xml:space="preserve"> October 2021</w:t>
      </w:r>
    </w:p>
    <w:tbl>
      <w:tblPr>
        <w:tblStyle w:val="CommitteeTable"/>
        <w:tblW w:w="0" w:type="auto"/>
        <w:tblInd w:w="108" w:type="dxa"/>
        <w:tblLook w:val="04A0" w:firstRow="1" w:lastRow="0" w:firstColumn="1" w:lastColumn="0" w:noHBand="0" w:noVBand="1"/>
      </w:tblPr>
      <w:tblGrid>
        <w:gridCol w:w="690"/>
        <w:gridCol w:w="1108"/>
        <w:gridCol w:w="1492"/>
        <w:gridCol w:w="1651"/>
        <w:gridCol w:w="2791"/>
        <w:gridCol w:w="1221"/>
      </w:tblGrid>
      <w:tr w:rsidR="00047A3A" w14:paraId="715CCFFC" w14:textId="77777777" w:rsidTr="00AF3E26">
        <w:trPr>
          <w:cnfStyle w:val="100000000000" w:firstRow="1" w:lastRow="0" w:firstColumn="0" w:lastColumn="0" w:oddVBand="0" w:evenVBand="0" w:oddHBand="0" w:evenHBand="0" w:firstRowFirstColumn="0" w:firstRowLastColumn="0" w:lastRowFirstColumn="0" w:lastRowLastColumn="0"/>
        </w:trPr>
        <w:tc>
          <w:tcPr>
            <w:tcW w:w="690" w:type="dxa"/>
          </w:tcPr>
          <w:p w14:paraId="5C8EDC1C"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N</w:t>
            </w:r>
            <w:bookmarkStart w:id="150" w:name="ColumnTitle_QToN1"/>
            <w:bookmarkEnd w:id="150"/>
            <w:r w:rsidRPr="00640E82">
              <w:rPr>
                <w:rFonts w:ascii="Arial Narrow" w:hAnsi="Arial Narrow"/>
              </w:rPr>
              <w:t>o.</w:t>
            </w:r>
          </w:p>
        </w:tc>
        <w:tc>
          <w:tcPr>
            <w:tcW w:w="1108" w:type="dxa"/>
          </w:tcPr>
          <w:p w14:paraId="6F9F18E7"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Hearing date</w:t>
            </w:r>
          </w:p>
        </w:tc>
        <w:tc>
          <w:tcPr>
            <w:tcW w:w="1492" w:type="dxa"/>
          </w:tcPr>
          <w:p w14:paraId="458B43FD"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Asked by</w:t>
            </w:r>
          </w:p>
        </w:tc>
        <w:tc>
          <w:tcPr>
            <w:tcW w:w="1651" w:type="dxa"/>
          </w:tcPr>
          <w:p w14:paraId="0ABC144F"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2791" w:type="dxa"/>
          </w:tcPr>
          <w:p w14:paraId="6C63D48B" w14:textId="77777777" w:rsidR="00047A3A" w:rsidRPr="00640E82" w:rsidRDefault="00047A3A" w:rsidP="00AF3E26">
            <w:pPr>
              <w:spacing w:after="80" w:line="288" w:lineRule="auto"/>
              <w:rPr>
                <w:rFonts w:ascii="Arial Narrow" w:hAnsi="Arial Narrow"/>
              </w:rPr>
            </w:pPr>
            <w:r w:rsidRPr="00640E82">
              <w:rPr>
                <w:rFonts w:ascii="Arial Narrow" w:hAnsi="Arial Narrow"/>
              </w:rPr>
              <w:t>Subject</w:t>
            </w:r>
          </w:p>
        </w:tc>
        <w:tc>
          <w:tcPr>
            <w:tcW w:w="1221" w:type="dxa"/>
          </w:tcPr>
          <w:p w14:paraId="4CDDBB07"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Answer date</w:t>
            </w:r>
          </w:p>
        </w:tc>
      </w:tr>
      <w:tr w:rsidR="00047A3A" w14:paraId="2A637034" w14:textId="77777777" w:rsidTr="00AF3E26">
        <w:trPr>
          <w:cnfStyle w:val="000000100000" w:firstRow="0" w:lastRow="0" w:firstColumn="0" w:lastColumn="0" w:oddVBand="0" w:evenVBand="0" w:oddHBand="1" w:evenHBand="0" w:firstRowFirstColumn="0" w:firstRowLastColumn="0" w:lastRowFirstColumn="0" w:lastRowLastColumn="0"/>
        </w:trPr>
        <w:tc>
          <w:tcPr>
            <w:tcW w:w="690" w:type="dxa"/>
          </w:tcPr>
          <w:p w14:paraId="10A3EB97" w14:textId="77777777" w:rsidR="00047A3A" w:rsidRDefault="00047A3A" w:rsidP="00AF3E26">
            <w:pPr>
              <w:pStyle w:val="TableText"/>
              <w:jc w:val="center"/>
            </w:pPr>
            <w:r>
              <w:t>1</w:t>
            </w:r>
          </w:p>
        </w:tc>
        <w:tc>
          <w:tcPr>
            <w:tcW w:w="1108" w:type="dxa"/>
          </w:tcPr>
          <w:p w14:paraId="7B91A8D7" w14:textId="77777777" w:rsidR="00047A3A" w:rsidRDefault="00047A3A" w:rsidP="00AF3E26">
            <w:pPr>
              <w:pStyle w:val="TableText"/>
              <w:jc w:val="center"/>
            </w:pPr>
            <w:r>
              <w:t>20.10.21</w:t>
            </w:r>
          </w:p>
        </w:tc>
        <w:tc>
          <w:tcPr>
            <w:tcW w:w="1492" w:type="dxa"/>
          </w:tcPr>
          <w:p w14:paraId="1E0727A9" w14:textId="77777777" w:rsidR="00047A3A" w:rsidRDefault="00047A3A" w:rsidP="00AF3E26">
            <w:pPr>
              <w:pStyle w:val="TableText"/>
              <w:jc w:val="center"/>
            </w:pPr>
            <w:r>
              <w:t>Davis</w:t>
            </w:r>
          </w:p>
        </w:tc>
        <w:tc>
          <w:tcPr>
            <w:tcW w:w="1651" w:type="dxa"/>
          </w:tcPr>
          <w:p w14:paraId="13893312" w14:textId="77777777" w:rsidR="00047A3A" w:rsidRDefault="00047A3A" w:rsidP="00AF3E26">
            <w:pPr>
              <w:pStyle w:val="TableText"/>
              <w:jc w:val="center"/>
            </w:pPr>
            <w:r>
              <w:t>CHS</w:t>
            </w:r>
          </w:p>
        </w:tc>
        <w:tc>
          <w:tcPr>
            <w:tcW w:w="2791" w:type="dxa"/>
          </w:tcPr>
          <w:p w14:paraId="1179079E" w14:textId="77777777" w:rsidR="00047A3A" w:rsidRDefault="00047A3A" w:rsidP="00AF3E26">
            <w:pPr>
              <w:pStyle w:val="TableText"/>
            </w:pPr>
            <w:r w:rsidRPr="000448B5">
              <w:t>In relation to review of the progress of the quit smoking program at AMC, could an update of the interim report be provided?</w:t>
            </w:r>
          </w:p>
        </w:tc>
        <w:tc>
          <w:tcPr>
            <w:tcW w:w="1221" w:type="dxa"/>
          </w:tcPr>
          <w:p w14:paraId="6B25F636" w14:textId="77777777" w:rsidR="00047A3A" w:rsidRDefault="00047A3A" w:rsidP="00AF3E26">
            <w:pPr>
              <w:pStyle w:val="TableText"/>
              <w:jc w:val="center"/>
            </w:pPr>
            <w:r>
              <w:t>02.11.21</w:t>
            </w:r>
          </w:p>
        </w:tc>
      </w:tr>
      <w:tr w:rsidR="00047A3A" w14:paraId="12DCFC67" w14:textId="77777777" w:rsidTr="00AF3E26">
        <w:tc>
          <w:tcPr>
            <w:tcW w:w="690" w:type="dxa"/>
          </w:tcPr>
          <w:p w14:paraId="43D434A9" w14:textId="77777777" w:rsidR="00047A3A" w:rsidRDefault="00047A3A" w:rsidP="00AF3E26">
            <w:pPr>
              <w:pStyle w:val="TableText"/>
              <w:jc w:val="center"/>
            </w:pPr>
            <w:r>
              <w:t>2</w:t>
            </w:r>
          </w:p>
        </w:tc>
        <w:tc>
          <w:tcPr>
            <w:tcW w:w="1108" w:type="dxa"/>
          </w:tcPr>
          <w:p w14:paraId="3EF512F5" w14:textId="77777777" w:rsidR="00047A3A" w:rsidRDefault="00047A3A" w:rsidP="00AF3E26">
            <w:pPr>
              <w:pStyle w:val="TableText"/>
              <w:jc w:val="center"/>
            </w:pPr>
            <w:r>
              <w:t>20.10.21</w:t>
            </w:r>
          </w:p>
        </w:tc>
        <w:tc>
          <w:tcPr>
            <w:tcW w:w="1492" w:type="dxa"/>
          </w:tcPr>
          <w:p w14:paraId="5AE5197E" w14:textId="77777777" w:rsidR="00047A3A" w:rsidRDefault="00047A3A" w:rsidP="00AF3E26">
            <w:pPr>
              <w:pStyle w:val="TableText"/>
              <w:jc w:val="center"/>
            </w:pPr>
            <w:r>
              <w:t>Jones</w:t>
            </w:r>
          </w:p>
        </w:tc>
        <w:tc>
          <w:tcPr>
            <w:tcW w:w="1651" w:type="dxa"/>
          </w:tcPr>
          <w:p w14:paraId="220FE478" w14:textId="77777777" w:rsidR="00047A3A" w:rsidRDefault="00047A3A" w:rsidP="00AF3E26">
            <w:pPr>
              <w:pStyle w:val="TableText"/>
              <w:jc w:val="center"/>
            </w:pPr>
            <w:r>
              <w:t>CHS</w:t>
            </w:r>
          </w:p>
        </w:tc>
        <w:tc>
          <w:tcPr>
            <w:tcW w:w="2791" w:type="dxa"/>
          </w:tcPr>
          <w:p w14:paraId="56BCA66F" w14:textId="77777777" w:rsidR="00047A3A" w:rsidRDefault="00047A3A" w:rsidP="00AF3E26">
            <w:pPr>
              <w:pStyle w:val="TableText"/>
            </w:pPr>
            <w:r w:rsidRPr="000448B5">
              <w:t>What is the time frame for addressing working arrangements and staffing spacing at Hume Centre?</w:t>
            </w:r>
          </w:p>
        </w:tc>
        <w:tc>
          <w:tcPr>
            <w:tcW w:w="1221" w:type="dxa"/>
          </w:tcPr>
          <w:p w14:paraId="1E49DE2C" w14:textId="77777777" w:rsidR="00047A3A" w:rsidRDefault="00047A3A" w:rsidP="00AF3E26">
            <w:pPr>
              <w:pStyle w:val="TableText"/>
              <w:jc w:val="center"/>
            </w:pPr>
            <w:r>
              <w:t>03.11.21</w:t>
            </w:r>
          </w:p>
        </w:tc>
      </w:tr>
      <w:tr w:rsidR="00047A3A" w14:paraId="048404F0" w14:textId="77777777" w:rsidTr="00AF3E26">
        <w:trPr>
          <w:cnfStyle w:val="000000100000" w:firstRow="0" w:lastRow="0" w:firstColumn="0" w:lastColumn="0" w:oddVBand="0" w:evenVBand="0" w:oddHBand="1" w:evenHBand="0" w:firstRowFirstColumn="0" w:firstRowLastColumn="0" w:lastRowFirstColumn="0" w:lastRowLastColumn="0"/>
        </w:trPr>
        <w:tc>
          <w:tcPr>
            <w:tcW w:w="690" w:type="dxa"/>
          </w:tcPr>
          <w:p w14:paraId="42CBBAA8" w14:textId="77777777" w:rsidR="00047A3A" w:rsidRDefault="00047A3A" w:rsidP="00AF3E26">
            <w:pPr>
              <w:pStyle w:val="TableText"/>
              <w:jc w:val="center"/>
            </w:pPr>
            <w:r>
              <w:t>3</w:t>
            </w:r>
          </w:p>
        </w:tc>
        <w:tc>
          <w:tcPr>
            <w:tcW w:w="1108" w:type="dxa"/>
          </w:tcPr>
          <w:p w14:paraId="1CC4A490" w14:textId="77777777" w:rsidR="00047A3A" w:rsidRDefault="00047A3A" w:rsidP="00AF3E26">
            <w:pPr>
              <w:pStyle w:val="TableText"/>
              <w:jc w:val="center"/>
            </w:pPr>
            <w:r>
              <w:t>20.10.21</w:t>
            </w:r>
          </w:p>
        </w:tc>
        <w:tc>
          <w:tcPr>
            <w:tcW w:w="1492" w:type="dxa"/>
          </w:tcPr>
          <w:p w14:paraId="3EE9E082" w14:textId="77777777" w:rsidR="00047A3A" w:rsidRDefault="00047A3A" w:rsidP="00AF3E26">
            <w:pPr>
              <w:pStyle w:val="TableText"/>
              <w:jc w:val="center"/>
            </w:pPr>
            <w:r>
              <w:t>Jones</w:t>
            </w:r>
          </w:p>
        </w:tc>
        <w:tc>
          <w:tcPr>
            <w:tcW w:w="1651" w:type="dxa"/>
          </w:tcPr>
          <w:p w14:paraId="2D56BDE9" w14:textId="77777777" w:rsidR="00047A3A" w:rsidRDefault="00047A3A" w:rsidP="00AF3E26">
            <w:pPr>
              <w:pStyle w:val="TableText"/>
              <w:jc w:val="center"/>
            </w:pPr>
            <w:r>
              <w:t>CHS/JACS</w:t>
            </w:r>
          </w:p>
        </w:tc>
        <w:tc>
          <w:tcPr>
            <w:tcW w:w="2791" w:type="dxa"/>
          </w:tcPr>
          <w:p w14:paraId="73C04F96" w14:textId="77777777" w:rsidR="00047A3A" w:rsidRDefault="00047A3A" w:rsidP="00AF3E26">
            <w:pPr>
              <w:pStyle w:val="TableText"/>
            </w:pPr>
            <w:r w:rsidRPr="000448B5">
              <w:t>Can you prove the last 2 years' data and statistics on length of stay and long presentations?</w:t>
            </w:r>
          </w:p>
        </w:tc>
        <w:tc>
          <w:tcPr>
            <w:tcW w:w="1221" w:type="dxa"/>
          </w:tcPr>
          <w:p w14:paraId="33BA1352" w14:textId="77777777" w:rsidR="00047A3A" w:rsidRDefault="00047A3A" w:rsidP="00AF3E26">
            <w:pPr>
              <w:pStyle w:val="TableText"/>
              <w:jc w:val="center"/>
            </w:pPr>
          </w:p>
        </w:tc>
      </w:tr>
      <w:tr w:rsidR="00047A3A" w14:paraId="48E56575" w14:textId="77777777" w:rsidTr="00AF3E26">
        <w:tc>
          <w:tcPr>
            <w:tcW w:w="690" w:type="dxa"/>
          </w:tcPr>
          <w:p w14:paraId="57BE1DFD" w14:textId="77777777" w:rsidR="00047A3A" w:rsidRDefault="00047A3A" w:rsidP="00AF3E26">
            <w:pPr>
              <w:pStyle w:val="TableText"/>
              <w:jc w:val="center"/>
            </w:pPr>
            <w:r>
              <w:t>4</w:t>
            </w:r>
          </w:p>
        </w:tc>
        <w:tc>
          <w:tcPr>
            <w:tcW w:w="1108" w:type="dxa"/>
          </w:tcPr>
          <w:p w14:paraId="33915298" w14:textId="77777777" w:rsidR="00047A3A" w:rsidRDefault="00047A3A" w:rsidP="00AF3E26">
            <w:pPr>
              <w:pStyle w:val="TableText"/>
              <w:jc w:val="center"/>
            </w:pPr>
            <w:r>
              <w:t>20.10.21</w:t>
            </w:r>
          </w:p>
        </w:tc>
        <w:tc>
          <w:tcPr>
            <w:tcW w:w="1492" w:type="dxa"/>
          </w:tcPr>
          <w:p w14:paraId="691A6955" w14:textId="77777777" w:rsidR="00047A3A" w:rsidRDefault="00047A3A" w:rsidP="00AF3E26">
            <w:pPr>
              <w:pStyle w:val="TableText"/>
              <w:jc w:val="center"/>
            </w:pPr>
            <w:r>
              <w:t>Braddock</w:t>
            </w:r>
          </w:p>
        </w:tc>
        <w:tc>
          <w:tcPr>
            <w:tcW w:w="1651" w:type="dxa"/>
          </w:tcPr>
          <w:p w14:paraId="3547D319" w14:textId="77777777" w:rsidR="00047A3A" w:rsidRDefault="00047A3A" w:rsidP="00AF3E26">
            <w:pPr>
              <w:pStyle w:val="TableText"/>
              <w:jc w:val="center"/>
            </w:pPr>
            <w:r>
              <w:t>CHS</w:t>
            </w:r>
          </w:p>
        </w:tc>
        <w:tc>
          <w:tcPr>
            <w:tcW w:w="2791" w:type="dxa"/>
          </w:tcPr>
          <w:p w14:paraId="1F7A2B2B" w14:textId="77777777" w:rsidR="00047A3A" w:rsidRDefault="00047A3A" w:rsidP="00AF3E26">
            <w:pPr>
              <w:pStyle w:val="TableText"/>
            </w:pPr>
            <w:r w:rsidRPr="000448B5">
              <w:t>What is the Justice Health position on any needle exchange program at AMC?</w:t>
            </w:r>
          </w:p>
        </w:tc>
        <w:tc>
          <w:tcPr>
            <w:tcW w:w="1221" w:type="dxa"/>
          </w:tcPr>
          <w:p w14:paraId="2CD6D63B" w14:textId="77777777" w:rsidR="00047A3A" w:rsidRDefault="00047A3A" w:rsidP="00AF3E26">
            <w:pPr>
              <w:pStyle w:val="TableText"/>
              <w:jc w:val="center"/>
            </w:pPr>
          </w:p>
        </w:tc>
      </w:tr>
      <w:tr w:rsidR="00047A3A" w14:paraId="12136B3A" w14:textId="77777777" w:rsidTr="00AF3E26">
        <w:trPr>
          <w:cnfStyle w:val="000000100000" w:firstRow="0" w:lastRow="0" w:firstColumn="0" w:lastColumn="0" w:oddVBand="0" w:evenVBand="0" w:oddHBand="1" w:evenHBand="0" w:firstRowFirstColumn="0" w:firstRowLastColumn="0" w:lastRowFirstColumn="0" w:lastRowLastColumn="0"/>
        </w:trPr>
        <w:tc>
          <w:tcPr>
            <w:tcW w:w="690" w:type="dxa"/>
          </w:tcPr>
          <w:p w14:paraId="2372130C" w14:textId="77777777" w:rsidR="00047A3A" w:rsidRDefault="00047A3A" w:rsidP="00AF3E26">
            <w:pPr>
              <w:pStyle w:val="TableText"/>
              <w:jc w:val="center"/>
            </w:pPr>
            <w:r>
              <w:t>5</w:t>
            </w:r>
          </w:p>
        </w:tc>
        <w:tc>
          <w:tcPr>
            <w:tcW w:w="1108" w:type="dxa"/>
          </w:tcPr>
          <w:p w14:paraId="6A516928" w14:textId="77777777" w:rsidR="00047A3A" w:rsidRDefault="00047A3A" w:rsidP="00AF3E26">
            <w:pPr>
              <w:pStyle w:val="TableText"/>
              <w:jc w:val="center"/>
            </w:pPr>
            <w:r>
              <w:t>20.10.21</w:t>
            </w:r>
          </w:p>
        </w:tc>
        <w:tc>
          <w:tcPr>
            <w:tcW w:w="1492" w:type="dxa"/>
          </w:tcPr>
          <w:p w14:paraId="503C0D67" w14:textId="77777777" w:rsidR="00047A3A" w:rsidRDefault="00047A3A" w:rsidP="00AF3E26">
            <w:pPr>
              <w:pStyle w:val="TableText"/>
              <w:jc w:val="center"/>
            </w:pPr>
            <w:r>
              <w:t>Milligan</w:t>
            </w:r>
          </w:p>
        </w:tc>
        <w:tc>
          <w:tcPr>
            <w:tcW w:w="1651" w:type="dxa"/>
          </w:tcPr>
          <w:p w14:paraId="2ADB1B82" w14:textId="77777777" w:rsidR="00047A3A" w:rsidRDefault="00047A3A" w:rsidP="00AF3E26">
            <w:pPr>
              <w:pStyle w:val="TableText"/>
              <w:jc w:val="center"/>
            </w:pPr>
            <w:r>
              <w:t>CHS</w:t>
            </w:r>
          </w:p>
        </w:tc>
        <w:tc>
          <w:tcPr>
            <w:tcW w:w="2791" w:type="dxa"/>
          </w:tcPr>
          <w:p w14:paraId="32BB2411" w14:textId="77777777" w:rsidR="00047A3A" w:rsidRDefault="00047A3A" w:rsidP="00AF3E26">
            <w:pPr>
              <w:pStyle w:val="TableText"/>
            </w:pPr>
            <w:r w:rsidRPr="000448B5">
              <w:t>How much has the Justice Health program received in 2021-22? How much has that differed from last year?</w:t>
            </w:r>
          </w:p>
        </w:tc>
        <w:tc>
          <w:tcPr>
            <w:tcW w:w="1221" w:type="dxa"/>
          </w:tcPr>
          <w:p w14:paraId="506371D9" w14:textId="77777777" w:rsidR="00047A3A" w:rsidRDefault="00047A3A" w:rsidP="00AF3E26">
            <w:pPr>
              <w:pStyle w:val="TableText"/>
              <w:jc w:val="center"/>
            </w:pPr>
          </w:p>
        </w:tc>
      </w:tr>
      <w:tr w:rsidR="00047A3A" w14:paraId="7A02691F" w14:textId="77777777" w:rsidTr="00AF3E26">
        <w:tc>
          <w:tcPr>
            <w:tcW w:w="690" w:type="dxa"/>
          </w:tcPr>
          <w:p w14:paraId="0E0537EF" w14:textId="77777777" w:rsidR="00047A3A" w:rsidRDefault="00047A3A" w:rsidP="00AF3E26">
            <w:pPr>
              <w:pStyle w:val="TableText"/>
              <w:jc w:val="center"/>
            </w:pPr>
            <w:r>
              <w:t>6</w:t>
            </w:r>
          </w:p>
        </w:tc>
        <w:tc>
          <w:tcPr>
            <w:tcW w:w="1108" w:type="dxa"/>
          </w:tcPr>
          <w:p w14:paraId="793F9793" w14:textId="77777777" w:rsidR="00047A3A" w:rsidRDefault="00047A3A" w:rsidP="00AF3E26">
            <w:pPr>
              <w:pStyle w:val="TableText"/>
              <w:jc w:val="center"/>
            </w:pPr>
            <w:r>
              <w:t>20.10.21</w:t>
            </w:r>
          </w:p>
        </w:tc>
        <w:tc>
          <w:tcPr>
            <w:tcW w:w="1492" w:type="dxa"/>
          </w:tcPr>
          <w:p w14:paraId="17A6D4BF" w14:textId="77777777" w:rsidR="00047A3A" w:rsidRDefault="00047A3A" w:rsidP="00AF3E26">
            <w:pPr>
              <w:pStyle w:val="TableText"/>
              <w:jc w:val="center"/>
            </w:pPr>
            <w:r>
              <w:t>Davis</w:t>
            </w:r>
          </w:p>
        </w:tc>
        <w:tc>
          <w:tcPr>
            <w:tcW w:w="1651" w:type="dxa"/>
          </w:tcPr>
          <w:p w14:paraId="763C5E0D" w14:textId="77777777" w:rsidR="00047A3A" w:rsidRDefault="00047A3A" w:rsidP="00AF3E26">
            <w:pPr>
              <w:pStyle w:val="TableText"/>
              <w:jc w:val="center"/>
            </w:pPr>
            <w:r>
              <w:t>ACTHD</w:t>
            </w:r>
          </w:p>
        </w:tc>
        <w:tc>
          <w:tcPr>
            <w:tcW w:w="2791" w:type="dxa"/>
          </w:tcPr>
          <w:p w14:paraId="04F1218C" w14:textId="77777777" w:rsidR="00047A3A" w:rsidRDefault="00047A3A" w:rsidP="00AF3E26">
            <w:pPr>
              <w:pStyle w:val="TableText"/>
            </w:pPr>
            <w:r w:rsidRPr="00057FF9">
              <w:t>In relation to Winnunga Nmmtyjah services at AMC; the current budget shows $2,314,000 for the current year, but no funds for forward years. Can you clarify whether that is additional COVD related funding for the current year, or is there some other explanation?</w:t>
            </w:r>
          </w:p>
        </w:tc>
        <w:tc>
          <w:tcPr>
            <w:tcW w:w="1221" w:type="dxa"/>
          </w:tcPr>
          <w:p w14:paraId="31A09F0C" w14:textId="77777777" w:rsidR="00047A3A" w:rsidRDefault="00047A3A" w:rsidP="00AF3E26">
            <w:pPr>
              <w:pStyle w:val="TableText"/>
              <w:jc w:val="center"/>
            </w:pPr>
            <w:r>
              <w:t>03.11.21</w:t>
            </w:r>
          </w:p>
        </w:tc>
      </w:tr>
      <w:tr w:rsidR="00047A3A" w14:paraId="5C702192" w14:textId="77777777" w:rsidTr="00AF3E26">
        <w:trPr>
          <w:cnfStyle w:val="000000100000" w:firstRow="0" w:lastRow="0" w:firstColumn="0" w:lastColumn="0" w:oddVBand="0" w:evenVBand="0" w:oddHBand="1" w:evenHBand="0" w:firstRowFirstColumn="0" w:firstRowLastColumn="0" w:lastRowFirstColumn="0" w:lastRowLastColumn="0"/>
        </w:trPr>
        <w:tc>
          <w:tcPr>
            <w:tcW w:w="690" w:type="dxa"/>
          </w:tcPr>
          <w:p w14:paraId="4987BB54" w14:textId="77777777" w:rsidR="00047A3A" w:rsidRDefault="00047A3A" w:rsidP="00AF3E26">
            <w:pPr>
              <w:pStyle w:val="TableText"/>
              <w:jc w:val="center"/>
            </w:pPr>
            <w:r>
              <w:t>24</w:t>
            </w:r>
          </w:p>
        </w:tc>
        <w:tc>
          <w:tcPr>
            <w:tcW w:w="1108" w:type="dxa"/>
          </w:tcPr>
          <w:p w14:paraId="772A6319" w14:textId="77777777" w:rsidR="00047A3A" w:rsidRDefault="00047A3A" w:rsidP="00AF3E26">
            <w:pPr>
              <w:pStyle w:val="TableText"/>
              <w:jc w:val="center"/>
            </w:pPr>
            <w:r>
              <w:t>20.10.21</w:t>
            </w:r>
          </w:p>
        </w:tc>
        <w:tc>
          <w:tcPr>
            <w:tcW w:w="1492" w:type="dxa"/>
          </w:tcPr>
          <w:p w14:paraId="3028B144" w14:textId="77777777" w:rsidR="00047A3A" w:rsidRDefault="00047A3A" w:rsidP="00AF3E26">
            <w:pPr>
              <w:pStyle w:val="TableText"/>
              <w:jc w:val="center"/>
            </w:pPr>
            <w:r>
              <w:t>Jones</w:t>
            </w:r>
          </w:p>
        </w:tc>
        <w:tc>
          <w:tcPr>
            <w:tcW w:w="1651" w:type="dxa"/>
          </w:tcPr>
          <w:p w14:paraId="242548DC" w14:textId="77777777" w:rsidR="00047A3A" w:rsidRDefault="00047A3A" w:rsidP="00AF3E26">
            <w:pPr>
              <w:pStyle w:val="TableText"/>
              <w:jc w:val="center"/>
            </w:pPr>
            <w:r>
              <w:t>CHS</w:t>
            </w:r>
          </w:p>
        </w:tc>
        <w:tc>
          <w:tcPr>
            <w:tcW w:w="2791" w:type="dxa"/>
          </w:tcPr>
          <w:p w14:paraId="4568DA84" w14:textId="77777777" w:rsidR="00047A3A" w:rsidRDefault="00047A3A" w:rsidP="00AF3E26">
            <w:pPr>
              <w:pStyle w:val="TableText"/>
            </w:pPr>
            <w:r w:rsidRPr="00057FF9">
              <w:t xml:space="preserve">Minister is to provide data about reduction in emergency presentations </w:t>
            </w:r>
            <w:proofErr w:type="gramStart"/>
            <w:r w:rsidRPr="00057FF9">
              <w:t>as a result of</w:t>
            </w:r>
            <w:proofErr w:type="gramEnd"/>
            <w:r w:rsidRPr="00057FF9">
              <w:t xml:space="preserve"> PACER</w:t>
            </w:r>
          </w:p>
        </w:tc>
        <w:tc>
          <w:tcPr>
            <w:tcW w:w="1221" w:type="dxa"/>
          </w:tcPr>
          <w:p w14:paraId="6293D570" w14:textId="77777777" w:rsidR="00047A3A" w:rsidRDefault="00047A3A" w:rsidP="00AF3E26">
            <w:pPr>
              <w:pStyle w:val="TableText"/>
              <w:jc w:val="center"/>
            </w:pPr>
          </w:p>
        </w:tc>
      </w:tr>
      <w:tr w:rsidR="00047A3A" w14:paraId="7644FEA4" w14:textId="77777777" w:rsidTr="00AF3E26">
        <w:tc>
          <w:tcPr>
            <w:tcW w:w="690" w:type="dxa"/>
          </w:tcPr>
          <w:p w14:paraId="54C4CFDB" w14:textId="77777777" w:rsidR="00047A3A" w:rsidRDefault="00047A3A" w:rsidP="00AF3E26">
            <w:pPr>
              <w:pStyle w:val="TableText"/>
              <w:jc w:val="center"/>
            </w:pPr>
            <w:r>
              <w:t>30</w:t>
            </w:r>
          </w:p>
        </w:tc>
        <w:tc>
          <w:tcPr>
            <w:tcW w:w="1108" w:type="dxa"/>
          </w:tcPr>
          <w:p w14:paraId="1D66DB07" w14:textId="77777777" w:rsidR="00047A3A" w:rsidRDefault="00047A3A" w:rsidP="00AF3E26">
            <w:pPr>
              <w:pStyle w:val="TableText"/>
              <w:jc w:val="center"/>
            </w:pPr>
            <w:r>
              <w:t>20.10.21</w:t>
            </w:r>
          </w:p>
        </w:tc>
        <w:tc>
          <w:tcPr>
            <w:tcW w:w="1492" w:type="dxa"/>
          </w:tcPr>
          <w:p w14:paraId="0DED668D" w14:textId="77777777" w:rsidR="00047A3A" w:rsidRDefault="00047A3A" w:rsidP="00AF3E26">
            <w:pPr>
              <w:pStyle w:val="TableText"/>
              <w:jc w:val="center"/>
            </w:pPr>
            <w:r>
              <w:t>Jones</w:t>
            </w:r>
          </w:p>
        </w:tc>
        <w:tc>
          <w:tcPr>
            <w:tcW w:w="1651" w:type="dxa"/>
          </w:tcPr>
          <w:p w14:paraId="6783DBE1" w14:textId="77777777" w:rsidR="00047A3A" w:rsidRDefault="00047A3A" w:rsidP="00AF3E26">
            <w:pPr>
              <w:pStyle w:val="TableText"/>
              <w:jc w:val="center"/>
            </w:pPr>
            <w:r>
              <w:t>CHS</w:t>
            </w:r>
          </w:p>
        </w:tc>
        <w:tc>
          <w:tcPr>
            <w:tcW w:w="2791" w:type="dxa"/>
          </w:tcPr>
          <w:p w14:paraId="48972A78" w14:textId="77777777" w:rsidR="00047A3A" w:rsidRDefault="00047A3A" w:rsidP="00AF3E26">
            <w:pPr>
              <w:pStyle w:val="TableText"/>
            </w:pPr>
            <w:r w:rsidRPr="00057FF9">
              <w:t>Where we are up to in those internal governmental processes in relation to the recent death at the secure mental health unit, Dhulwa including what has been achieved and what is yet to be achieved?</w:t>
            </w:r>
          </w:p>
        </w:tc>
        <w:tc>
          <w:tcPr>
            <w:tcW w:w="1221" w:type="dxa"/>
          </w:tcPr>
          <w:p w14:paraId="6A450E5D" w14:textId="77777777" w:rsidR="00047A3A" w:rsidRDefault="00047A3A" w:rsidP="00AF3E26">
            <w:pPr>
              <w:pStyle w:val="TableText"/>
              <w:jc w:val="center"/>
            </w:pPr>
            <w:r>
              <w:t>03.11.21</w:t>
            </w:r>
          </w:p>
        </w:tc>
      </w:tr>
      <w:tr w:rsidR="00047A3A" w14:paraId="21F28BB3" w14:textId="77777777" w:rsidTr="00AF3E26">
        <w:trPr>
          <w:cnfStyle w:val="000000100000" w:firstRow="0" w:lastRow="0" w:firstColumn="0" w:lastColumn="0" w:oddVBand="0" w:evenVBand="0" w:oddHBand="1" w:evenHBand="0" w:firstRowFirstColumn="0" w:firstRowLastColumn="0" w:lastRowFirstColumn="0" w:lastRowLastColumn="0"/>
        </w:trPr>
        <w:tc>
          <w:tcPr>
            <w:tcW w:w="690" w:type="dxa"/>
          </w:tcPr>
          <w:p w14:paraId="4FE9D941" w14:textId="77777777" w:rsidR="00047A3A" w:rsidRDefault="00047A3A" w:rsidP="00AF3E26">
            <w:pPr>
              <w:pStyle w:val="TableText"/>
              <w:jc w:val="center"/>
            </w:pPr>
            <w:r>
              <w:t>32</w:t>
            </w:r>
          </w:p>
        </w:tc>
        <w:tc>
          <w:tcPr>
            <w:tcW w:w="1108" w:type="dxa"/>
          </w:tcPr>
          <w:p w14:paraId="5940803B" w14:textId="77777777" w:rsidR="00047A3A" w:rsidRDefault="00047A3A" w:rsidP="00AF3E26">
            <w:pPr>
              <w:pStyle w:val="TableText"/>
              <w:jc w:val="center"/>
            </w:pPr>
            <w:r>
              <w:t>20.10.21</w:t>
            </w:r>
          </w:p>
        </w:tc>
        <w:tc>
          <w:tcPr>
            <w:tcW w:w="1492" w:type="dxa"/>
          </w:tcPr>
          <w:p w14:paraId="1A844DAC" w14:textId="77777777" w:rsidR="00047A3A" w:rsidRDefault="00047A3A" w:rsidP="00AF3E26">
            <w:pPr>
              <w:pStyle w:val="TableText"/>
              <w:jc w:val="center"/>
            </w:pPr>
            <w:r>
              <w:t>Milligan</w:t>
            </w:r>
          </w:p>
        </w:tc>
        <w:tc>
          <w:tcPr>
            <w:tcW w:w="1651" w:type="dxa"/>
          </w:tcPr>
          <w:p w14:paraId="60A48B16" w14:textId="77777777" w:rsidR="00047A3A" w:rsidRDefault="00047A3A" w:rsidP="00AF3E26">
            <w:pPr>
              <w:pStyle w:val="TableText"/>
              <w:jc w:val="center"/>
            </w:pPr>
            <w:r>
              <w:t>Mental Health</w:t>
            </w:r>
          </w:p>
        </w:tc>
        <w:tc>
          <w:tcPr>
            <w:tcW w:w="2791" w:type="dxa"/>
          </w:tcPr>
          <w:p w14:paraId="2378AF66" w14:textId="77777777" w:rsidR="00047A3A" w:rsidRDefault="00047A3A" w:rsidP="00AF3E26">
            <w:pPr>
              <w:pStyle w:val="TableText"/>
            </w:pPr>
            <w:r w:rsidRPr="00057FF9">
              <w:t>EEYA Committee - Report 9, Report on Inquiry into Youth Mental Health in the ACT in August 2020</w:t>
            </w:r>
          </w:p>
        </w:tc>
        <w:tc>
          <w:tcPr>
            <w:tcW w:w="1221" w:type="dxa"/>
          </w:tcPr>
          <w:p w14:paraId="67ED9ED0" w14:textId="77777777" w:rsidR="00047A3A" w:rsidRDefault="00047A3A" w:rsidP="00AF3E26">
            <w:pPr>
              <w:pStyle w:val="TableText"/>
              <w:jc w:val="center"/>
            </w:pPr>
            <w:r>
              <w:t>09.11.21</w:t>
            </w:r>
          </w:p>
        </w:tc>
      </w:tr>
      <w:bookmarkEnd w:id="145"/>
      <w:bookmarkEnd w:id="146"/>
      <w:bookmarkEnd w:id="147"/>
      <w:bookmarkEnd w:id="148"/>
    </w:tbl>
    <w:p w14:paraId="70E60859" w14:textId="77777777" w:rsidR="00047A3A" w:rsidRDefault="00047A3A" w:rsidP="00047A3A">
      <w:pPr>
        <w:pStyle w:val="Caption"/>
      </w:pPr>
    </w:p>
    <w:p w14:paraId="43DB329F" w14:textId="77777777" w:rsidR="00047A3A" w:rsidRDefault="00047A3A" w:rsidP="00047A3A">
      <w:pPr>
        <w:pStyle w:val="Caption"/>
      </w:pPr>
      <w:r>
        <w:t xml:space="preserve">Questions taken on Notice </w:t>
      </w:r>
      <w:r w:rsidRPr="00057FF9">
        <w:t>21</w:t>
      </w:r>
      <w:r>
        <w:t xml:space="preserve"> October 2021</w:t>
      </w:r>
    </w:p>
    <w:tbl>
      <w:tblPr>
        <w:tblStyle w:val="CommitteeTable"/>
        <w:tblW w:w="0" w:type="auto"/>
        <w:tblInd w:w="108" w:type="dxa"/>
        <w:tblLook w:val="04A0" w:firstRow="1" w:lastRow="0" w:firstColumn="1" w:lastColumn="0" w:noHBand="0" w:noVBand="1"/>
      </w:tblPr>
      <w:tblGrid>
        <w:gridCol w:w="688"/>
        <w:gridCol w:w="1112"/>
        <w:gridCol w:w="1495"/>
        <w:gridCol w:w="1646"/>
        <w:gridCol w:w="2799"/>
        <w:gridCol w:w="1213"/>
      </w:tblGrid>
      <w:tr w:rsidR="00047A3A" w14:paraId="29FC2EDF" w14:textId="77777777" w:rsidTr="00AF3E26">
        <w:trPr>
          <w:cnfStyle w:val="100000000000" w:firstRow="1" w:lastRow="0" w:firstColumn="0" w:lastColumn="0" w:oddVBand="0" w:evenVBand="0" w:oddHBand="0" w:evenHBand="0" w:firstRowFirstColumn="0" w:firstRowLastColumn="0" w:lastRowFirstColumn="0" w:lastRowLastColumn="0"/>
        </w:trPr>
        <w:tc>
          <w:tcPr>
            <w:tcW w:w="688" w:type="dxa"/>
          </w:tcPr>
          <w:p w14:paraId="4B31D401"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No</w:t>
            </w:r>
            <w:bookmarkStart w:id="151" w:name="ColumnTitle_QToN2"/>
            <w:bookmarkEnd w:id="151"/>
            <w:r w:rsidRPr="00640E82">
              <w:rPr>
                <w:rFonts w:ascii="Arial Narrow" w:hAnsi="Arial Narrow"/>
              </w:rPr>
              <w:t>.</w:t>
            </w:r>
          </w:p>
        </w:tc>
        <w:tc>
          <w:tcPr>
            <w:tcW w:w="1112" w:type="dxa"/>
          </w:tcPr>
          <w:p w14:paraId="519F06D3"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Hearing date</w:t>
            </w:r>
          </w:p>
        </w:tc>
        <w:tc>
          <w:tcPr>
            <w:tcW w:w="1495" w:type="dxa"/>
          </w:tcPr>
          <w:p w14:paraId="5CD5AC09"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Asked by</w:t>
            </w:r>
          </w:p>
        </w:tc>
        <w:tc>
          <w:tcPr>
            <w:tcW w:w="1646" w:type="dxa"/>
          </w:tcPr>
          <w:p w14:paraId="0C35B7E1"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2799" w:type="dxa"/>
          </w:tcPr>
          <w:p w14:paraId="03DBE7B7" w14:textId="77777777" w:rsidR="00047A3A" w:rsidRPr="00640E82" w:rsidRDefault="00047A3A" w:rsidP="00AF3E26">
            <w:pPr>
              <w:spacing w:after="80" w:line="288" w:lineRule="auto"/>
              <w:rPr>
                <w:rFonts w:ascii="Arial Narrow" w:hAnsi="Arial Narrow"/>
              </w:rPr>
            </w:pPr>
            <w:r w:rsidRPr="00640E82">
              <w:rPr>
                <w:rFonts w:ascii="Arial Narrow" w:hAnsi="Arial Narrow"/>
              </w:rPr>
              <w:t>Subject</w:t>
            </w:r>
          </w:p>
        </w:tc>
        <w:tc>
          <w:tcPr>
            <w:tcW w:w="1213" w:type="dxa"/>
          </w:tcPr>
          <w:p w14:paraId="26551B11"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Answer date</w:t>
            </w:r>
          </w:p>
        </w:tc>
      </w:tr>
      <w:tr w:rsidR="00047A3A" w14:paraId="3AF75F0A" w14:textId="77777777" w:rsidTr="00AF3E26">
        <w:trPr>
          <w:cnfStyle w:val="000000100000" w:firstRow="0" w:lastRow="0" w:firstColumn="0" w:lastColumn="0" w:oddVBand="0" w:evenVBand="0" w:oddHBand="1" w:evenHBand="0" w:firstRowFirstColumn="0" w:firstRowLastColumn="0" w:lastRowFirstColumn="0" w:lastRowLastColumn="0"/>
        </w:trPr>
        <w:tc>
          <w:tcPr>
            <w:tcW w:w="688" w:type="dxa"/>
          </w:tcPr>
          <w:p w14:paraId="4A9EF6BB" w14:textId="77777777" w:rsidR="00047A3A" w:rsidRDefault="00047A3A" w:rsidP="00AF3E26">
            <w:pPr>
              <w:pStyle w:val="TableText"/>
              <w:jc w:val="center"/>
            </w:pPr>
            <w:r>
              <w:t>7</w:t>
            </w:r>
          </w:p>
        </w:tc>
        <w:tc>
          <w:tcPr>
            <w:tcW w:w="1112" w:type="dxa"/>
          </w:tcPr>
          <w:p w14:paraId="4F6C35FB" w14:textId="77777777" w:rsidR="00047A3A" w:rsidRDefault="00047A3A" w:rsidP="00AF3E26">
            <w:pPr>
              <w:pStyle w:val="TableText"/>
              <w:jc w:val="center"/>
            </w:pPr>
            <w:r>
              <w:t>21.10.21</w:t>
            </w:r>
          </w:p>
        </w:tc>
        <w:tc>
          <w:tcPr>
            <w:tcW w:w="1495" w:type="dxa"/>
          </w:tcPr>
          <w:p w14:paraId="055FB40E" w14:textId="77777777" w:rsidR="00047A3A" w:rsidRDefault="00047A3A" w:rsidP="00AF3E26">
            <w:pPr>
              <w:pStyle w:val="TableText"/>
              <w:jc w:val="center"/>
            </w:pPr>
            <w:r>
              <w:t>Jones</w:t>
            </w:r>
          </w:p>
        </w:tc>
        <w:tc>
          <w:tcPr>
            <w:tcW w:w="1646" w:type="dxa"/>
          </w:tcPr>
          <w:p w14:paraId="438B36B5" w14:textId="77777777" w:rsidR="00047A3A" w:rsidRDefault="00047A3A" w:rsidP="00AF3E26">
            <w:pPr>
              <w:pStyle w:val="TableText"/>
              <w:jc w:val="center"/>
            </w:pPr>
            <w:r>
              <w:t>ACTHD</w:t>
            </w:r>
          </w:p>
        </w:tc>
        <w:tc>
          <w:tcPr>
            <w:tcW w:w="2799" w:type="dxa"/>
          </w:tcPr>
          <w:p w14:paraId="4EBE8B61" w14:textId="77777777" w:rsidR="00047A3A" w:rsidRDefault="00047A3A" w:rsidP="00AF3E26">
            <w:pPr>
              <w:pStyle w:val="TableText"/>
            </w:pPr>
            <w:r w:rsidRPr="00057FF9">
              <w:t>NDIS numbers versus aged care referrals</w:t>
            </w:r>
          </w:p>
        </w:tc>
        <w:tc>
          <w:tcPr>
            <w:tcW w:w="1213" w:type="dxa"/>
          </w:tcPr>
          <w:p w14:paraId="7EF5E8F8" w14:textId="77777777" w:rsidR="00047A3A" w:rsidRDefault="00047A3A" w:rsidP="00AF3E26">
            <w:pPr>
              <w:pStyle w:val="TableText"/>
              <w:jc w:val="center"/>
            </w:pPr>
          </w:p>
        </w:tc>
      </w:tr>
      <w:tr w:rsidR="00047A3A" w14:paraId="79EEE8B5" w14:textId="77777777" w:rsidTr="00AF3E26">
        <w:tc>
          <w:tcPr>
            <w:tcW w:w="688" w:type="dxa"/>
          </w:tcPr>
          <w:p w14:paraId="3F05E0AB" w14:textId="77777777" w:rsidR="00047A3A" w:rsidRDefault="00047A3A" w:rsidP="00AF3E26">
            <w:pPr>
              <w:pStyle w:val="TableText"/>
              <w:jc w:val="center"/>
            </w:pPr>
            <w:r>
              <w:t>8</w:t>
            </w:r>
          </w:p>
        </w:tc>
        <w:tc>
          <w:tcPr>
            <w:tcW w:w="1112" w:type="dxa"/>
          </w:tcPr>
          <w:p w14:paraId="5F88D863" w14:textId="77777777" w:rsidR="00047A3A" w:rsidRDefault="00047A3A" w:rsidP="00AF3E26">
            <w:pPr>
              <w:pStyle w:val="TableText"/>
              <w:jc w:val="center"/>
            </w:pPr>
            <w:r>
              <w:t>21.10.21</w:t>
            </w:r>
          </w:p>
        </w:tc>
        <w:tc>
          <w:tcPr>
            <w:tcW w:w="1495" w:type="dxa"/>
          </w:tcPr>
          <w:p w14:paraId="1FE226C2" w14:textId="77777777" w:rsidR="00047A3A" w:rsidRDefault="00047A3A" w:rsidP="00AF3E26">
            <w:pPr>
              <w:pStyle w:val="TableText"/>
              <w:jc w:val="center"/>
            </w:pPr>
            <w:r>
              <w:t>Milligan</w:t>
            </w:r>
          </w:p>
        </w:tc>
        <w:tc>
          <w:tcPr>
            <w:tcW w:w="1646" w:type="dxa"/>
          </w:tcPr>
          <w:p w14:paraId="41F59D52" w14:textId="77777777" w:rsidR="00047A3A" w:rsidRDefault="00047A3A" w:rsidP="00AF3E26">
            <w:pPr>
              <w:pStyle w:val="TableText"/>
              <w:jc w:val="center"/>
            </w:pPr>
            <w:r>
              <w:t>ACTHD</w:t>
            </w:r>
          </w:p>
        </w:tc>
        <w:tc>
          <w:tcPr>
            <w:tcW w:w="2799" w:type="dxa"/>
          </w:tcPr>
          <w:p w14:paraId="06A11927" w14:textId="77777777" w:rsidR="00047A3A" w:rsidRDefault="00047A3A" w:rsidP="00AF3E26">
            <w:pPr>
              <w:pStyle w:val="TableText"/>
            </w:pPr>
            <w:r w:rsidRPr="00057FF9">
              <w:t>Commonwealth funding flow figures</w:t>
            </w:r>
          </w:p>
        </w:tc>
        <w:tc>
          <w:tcPr>
            <w:tcW w:w="1213" w:type="dxa"/>
          </w:tcPr>
          <w:p w14:paraId="6D4E8FC8" w14:textId="77777777" w:rsidR="00047A3A" w:rsidRDefault="00047A3A" w:rsidP="00AF3E26">
            <w:pPr>
              <w:pStyle w:val="TableText"/>
              <w:jc w:val="center"/>
            </w:pPr>
          </w:p>
        </w:tc>
      </w:tr>
      <w:tr w:rsidR="00047A3A" w14:paraId="208178A3" w14:textId="77777777" w:rsidTr="00AF3E26">
        <w:trPr>
          <w:cnfStyle w:val="000000100000" w:firstRow="0" w:lastRow="0" w:firstColumn="0" w:lastColumn="0" w:oddVBand="0" w:evenVBand="0" w:oddHBand="1" w:evenHBand="0" w:firstRowFirstColumn="0" w:firstRowLastColumn="0" w:lastRowFirstColumn="0" w:lastRowLastColumn="0"/>
        </w:trPr>
        <w:tc>
          <w:tcPr>
            <w:tcW w:w="688" w:type="dxa"/>
          </w:tcPr>
          <w:p w14:paraId="5D626E19" w14:textId="77777777" w:rsidR="00047A3A" w:rsidRDefault="00047A3A" w:rsidP="00AF3E26">
            <w:pPr>
              <w:pStyle w:val="TableText"/>
              <w:jc w:val="center"/>
            </w:pPr>
            <w:r>
              <w:t>9</w:t>
            </w:r>
          </w:p>
        </w:tc>
        <w:tc>
          <w:tcPr>
            <w:tcW w:w="1112" w:type="dxa"/>
          </w:tcPr>
          <w:p w14:paraId="2426A926" w14:textId="77777777" w:rsidR="00047A3A" w:rsidRDefault="00047A3A" w:rsidP="00AF3E26">
            <w:pPr>
              <w:pStyle w:val="TableText"/>
              <w:jc w:val="center"/>
            </w:pPr>
            <w:r>
              <w:t>21.10.21</w:t>
            </w:r>
          </w:p>
        </w:tc>
        <w:tc>
          <w:tcPr>
            <w:tcW w:w="1495" w:type="dxa"/>
          </w:tcPr>
          <w:p w14:paraId="7A33D824" w14:textId="77777777" w:rsidR="00047A3A" w:rsidRDefault="00047A3A" w:rsidP="00AF3E26">
            <w:pPr>
              <w:pStyle w:val="TableText"/>
              <w:jc w:val="center"/>
            </w:pPr>
            <w:r>
              <w:t>Jones</w:t>
            </w:r>
          </w:p>
        </w:tc>
        <w:tc>
          <w:tcPr>
            <w:tcW w:w="1646" w:type="dxa"/>
          </w:tcPr>
          <w:p w14:paraId="31F7C5E7" w14:textId="77777777" w:rsidR="00047A3A" w:rsidRDefault="00047A3A" w:rsidP="00AF3E26">
            <w:pPr>
              <w:pStyle w:val="TableText"/>
              <w:jc w:val="center"/>
            </w:pPr>
            <w:r>
              <w:t>CHS</w:t>
            </w:r>
          </w:p>
        </w:tc>
        <w:tc>
          <w:tcPr>
            <w:tcW w:w="2799" w:type="dxa"/>
          </w:tcPr>
          <w:p w14:paraId="09700D42" w14:textId="77777777" w:rsidR="00047A3A" w:rsidRDefault="00047A3A" w:rsidP="00AF3E26">
            <w:pPr>
              <w:pStyle w:val="TableText"/>
            </w:pPr>
            <w:r w:rsidRPr="00A46345">
              <w:t>Transfer numbers in maternity - for both hospitals</w:t>
            </w:r>
          </w:p>
        </w:tc>
        <w:tc>
          <w:tcPr>
            <w:tcW w:w="1213" w:type="dxa"/>
          </w:tcPr>
          <w:p w14:paraId="2AB94464" w14:textId="77777777" w:rsidR="00047A3A" w:rsidRDefault="00047A3A" w:rsidP="00AF3E26">
            <w:pPr>
              <w:pStyle w:val="TableText"/>
              <w:jc w:val="center"/>
            </w:pPr>
          </w:p>
        </w:tc>
      </w:tr>
      <w:tr w:rsidR="00047A3A" w14:paraId="5A5FB7ED" w14:textId="77777777" w:rsidTr="00AF3E26">
        <w:tc>
          <w:tcPr>
            <w:tcW w:w="688" w:type="dxa"/>
          </w:tcPr>
          <w:p w14:paraId="21FDC38F" w14:textId="77777777" w:rsidR="00047A3A" w:rsidRDefault="00047A3A" w:rsidP="00AF3E26">
            <w:pPr>
              <w:pStyle w:val="TableText"/>
              <w:jc w:val="center"/>
            </w:pPr>
            <w:r>
              <w:t>10</w:t>
            </w:r>
          </w:p>
        </w:tc>
        <w:tc>
          <w:tcPr>
            <w:tcW w:w="1112" w:type="dxa"/>
          </w:tcPr>
          <w:p w14:paraId="1F43FD39" w14:textId="77777777" w:rsidR="00047A3A" w:rsidRDefault="00047A3A" w:rsidP="00AF3E26">
            <w:pPr>
              <w:pStyle w:val="TableText"/>
              <w:jc w:val="center"/>
            </w:pPr>
            <w:r>
              <w:t>21.10.21</w:t>
            </w:r>
          </w:p>
        </w:tc>
        <w:tc>
          <w:tcPr>
            <w:tcW w:w="1495" w:type="dxa"/>
          </w:tcPr>
          <w:p w14:paraId="0E5636FF" w14:textId="77777777" w:rsidR="00047A3A" w:rsidRDefault="00047A3A" w:rsidP="00AF3E26">
            <w:pPr>
              <w:pStyle w:val="TableText"/>
              <w:jc w:val="center"/>
            </w:pPr>
            <w:r>
              <w:t>Pettersson</w:t>
            </w:r>
          </w:p>
        </w:tc>
        <w:tc>
          <w:tcPr>
            <w:tcW w:w="1646" w:type="dxa"/>
          </w:tcPr>
          <w:p w14:paraId="1C888C76" w14:textId="77777777" w:rsidR="00047A3A" w:rsidRDefault="00047A3A" w:rsidP="00AF3E26">
            <w:pPr>
              <w:pStyle w:val="TableText"/>
              <w:jc w:val="center"/>
            </w:pPr>
            <w:r>
              <w:t>ACTHD</w:t>
            </w:r>
          </w:p>
        </w:tc>
        <w:tc>
          <w:tcPr>
            <w:tcW w:w="2799" w:type="dxa"/>
          </w:tcPr>
          <w:p w14:paraId="3D814AB5" w14:textId="77777777" w:rsidR="00047A3A" w:rsidRDefault="00047A3A" w:rsidP="00AF3E26">
            <w:pPr>
              <w:pStyle w:val="TableText"/>
            </w:pPr>
            <w:r w:rsidRPr="00962B9B">
              <w:t>What is improvement of people's access to food and the businesses, including numbers involved</w:t>
            </w:r>
            <w:r>
              <w:t>?</w:t>
            </w:r>
          </w:p>
        </w:tc>
        <w:tc>
          <w:tcPr>
            <w:tcW w:w="1213" w:type="dxa"/>
          </w:tcPr>
          <w:p w14:paraId="241BD24E" w14:textId="77777777" w:rsidR="00047A3A" w:rsidRDefault="00047A3A" w:rsidP="00AF3E26">
            <w:pPr>
              <w:pStyle w:val="TableText"/>
              <w:jc w:val="center"/>
            </w:pPr>
            <w:r>
              <w:t>02.11.21</w:t>
            </w:r>
          </w:p>
        </w:tc>
      </w:tr>
      <w:tr w:rsidR="00047A3A" w14:paraId="17B0D017" w14:textId="77777777" w:rsidTr="00AF3E26">
        <w:trPr>
          <w:cnfStyle w:val="000000100000" w:firstRow="0" w:lastRow="0" w:firstColumn="0" w:lastColumn="0" w:oddVBand="0" w:evenVBand="0" w:oddHBand="1" w:evenHBand="0" w:firstRowFirstColumn="0" w:firstRowLastColumn="0" w:lastRowFirstColumn="0" w:lastRowLastColumn="0"/>
        </w:trPr>
        <w:tc>
          <w:tcPr>
            <w:tcW w:w="688" w:type="dxa"/>
          </w:tcPr>
          <w:p w14:paraId="251FE4C7" w14:textId="77777777" w:rsidR="00047A3A" w:rsidRDefault="00047A3A" w:rsidP="00AF3E26">
            <w:pPr>
              <w:pStyle w:val="TableText"/>
              <w:jc w:val="center"/>
            </w:pPr>
            <w:r>
              <w:t>11</w:t>
            </w:r>
          </w:p>
        </w:tc>
        <w:tc>
          <w:tcPr>
            <w:tcW w:w="1112" w:type="dxa"/>
          </w:tcPr>
          <w:p w14:paraId="53986C6D" w14:textId="77777777" w:rsidR="00047A3A" w:rsidRDefault="00047A3A" w:rsidP="00AF3E26">
            <w:pPr>
              <w:pStyle w:val="TableText"/>
              <w:jc w:val="center"/>
            </w:pPr>
            <w:r>
              <w:t>21.10.21</w:t>
            </w:r>
          </w:p>
        </w:tc>
        <w:tc>
          <w:tcPr>
            <w:tcW w:w="1495" w:type="dxa"/>
          </w:tcPr>
          <w:p w14:paraId="19846C0A" w14:textId="77777777" w:rsidR="00047A3A" w:rsidRDefault="00047A3A" w:rsidP="00AF3E26">
            <w:pPr>
              <w:pStyle w:val="TableText"/>
              <w:jc w:val="center"/>
            </w:pPr>
            <w:r>
              <w:t>Jones</w:t>
            </w:r>
          </w:p>
        </w:tc>
        <w:tc>
          <w:tcPr>
            <w:tcW w:w="1646" w:type="dxa"/>
          </w:tcPr>
          <w:p w14:paraId="08317854" w14:textId="77777777" w:rsidR="00047A3A" w:rsidRDefault="00047A3A" w:rsidP="00AF3E26">
            <w:pPr>
              <w:pStyle w:val="TableText"/>
              <w:jc w:val="center"/>
            </w:pPr>
            <w:r>
              <w:t>ACTHD</w:t>
            </w:r>
          </w:p>
        </w:tc>
        <w:tc>
          <w:tcPr>
            <w:tcW w:w="2799" w:type="dxa"/>
          </w:tcPr>
          <w:p w14:paraId="6CE1E6EF" w14:textId="77777777" w:rsidR="00047A3A" w:rsidRDefault="00047A3A" w:rsidP="00AF3E26">
            <w:pPr>
              <w:pStyle w:val="TableText"/>
            </w:pPr>
            <w:r w:rsidRPr="00962B9B">
              <w:t>Numbers and results of Doherty modelling - or ACT equivalent - as discussed</w:t>
            </w:r>
          </w:p>
        </w:tc>
        <w:tc>
          <w:tcPr>
            <w:tcW w:w="1213" w:type="dxa"/>
          </w:tcPr>
          <w:p w14:paraId="31655669" w14:textId="77777777" w:rsidR="00047A3A" w:rsidRDefault="00047A3A" w:rsidP="00AF3E26">
            <w:pPr>
              <w:pStyle w:val="TableText"/>
              <w:jc w:val="center"/>
            </w:pPr>
            <w:r>
              <w:t>09.11.21</w:t>
            </w:r>
          </w:p>
        </w:tc>
      </w:tr>
      <w:tr w:rsidR="00047A3A" w14:paraId="7E4E0C97" w14:textId="77777777" w:rsidTr="00AF3E26">
        <w:tc>
          <w:tcPr>
            <w:tcW w:w="688" w:type="dxa"/>
          </w:tcPr>
          <w:p w14:paraId="752BC2F1" w14:textId="77777777" w:rsidR="00047A3A" w:rsidRDefault="00047A3A" w:rsidP="00AF3E26">
            <w:pPr>
              <w:pStyle w:val="TableText"/>
              <w:jc w:val="center"/>
            </w:pPr>
            <w:r>
              <w:t>12</w:t>
            </w:r>
          </w:p>
        </w:tc>
        <w:tc>
          <w:tcPr>
            <w:tcW w:w="1112" w:type="dxa"/>
          </w:tcPr>
          <w:p w14:paraId="2AE2876C" w14:textId="77777777" w:rsidR="00047A3A" w:rsidRDefault="00047A3A" w:rsidP="00AF3E26">
            <w:pPr>
              <w:pStyle w:val="TableText"/>
              <w:jc w:val="center"/>
            </w:pPr>
            <w:r>
              <w:t>21.10.21</w:t>
            </w:r>
          </w:p>
        </w:tc>
        <w:tc>
          <w:tcPr>
            <w:tcW w:w="1495" w:type="dxa"/>
          </w:tcPr>
          <w:p w14:paraId="4F71F50D" w14:textId="77777777" w:rsidR="00047A3A" w:rsidRDefault="00047A3A" w:rsidP="00AF3E26">
            <w:pPr>
              <w:pStyle w:val="TableText"/>
              <w:jc w:val="center"/>
            </w:pPr>
            <w:r>
              <w:t>Davis</w:t>
            </w:r>
          </w:p>
        </w:tc>
        <w:tc>
          <w:tcPr>
            <w:tcW w:w="1646" w:type="dxa"/>
          </w:tcPr>
          <w:p w14:paraId="61D2E41D" w14:textId="77777777" w:rsidR="00047A3A" w:rsidRDefault="00047A3A" w:rsidP="00AF3E26">
            <w:pPr>
              <w:pStyle w:val="TableText"/>
              <w:jc w:val="center"/>
            </w:pPr>
            <w:r>
              <w:t>ACTHD</w:t>
            </w:r>
          </w:p>
        </w:tc>
        <w:tc>
          <w:tcPr>
            <w:tcW w:w="2799" w:type="dxa"/>
          </w:tcPr>
          <w:p w14:paraId="7286180E" w14:textId="77777777" w:rsidR="00047A3A" w:rsidRDefault="00047A3A" w:rsidP="00AF3E26">
            <w:pPr>
              <w:pStyle w:val="TableText"/>
            </w:pPr>
            <w:r w:rsidRPr="00962B9B">
              <w:t>In relation to cessation of smoking program - numbers which show progress of program</w:t>
            </w:r>
          </w:p>
        </w:tc>
        <w:tc>
          <w:tcPr>
            <w:tcW w:w="1213" w:type="dxa"/>
          </w:tcPr>
          <w:p w14:paraId="1D55C407" w14:textId="77777777" w:rsidR="00047A3A" w:rsidRDefault="00047A3A" w:rsidP="00AF3E26">
            <w:pPr>
              <w:pStyle w:val="TableText"/>
              <w:jc w:val="center"/>
            </w:pPr>
            <w:r>
              <w:t>01.11.21</w:t>
            </w:r>
          </w:p>
        </w:tc>
      </w:tr>
      <w:tr w:rsidR="00047A3A" w14:paraId="391CFAA0" w14:textId="77777777" w:rsidTr="00AF3E26">
        <w:trPr>
          <w:cnfStyle w:val="000000100000" w:firstRow="0" w:lastRow="0" w:firstColumn="0" w:lastColumn="0" w:oddVBand="0" w:evenVBand="0" w:oddHBand="1" w:evenHBand="0" w:firstRowFirstColumn="0" w:firstRowLastColumn="0" w:lastRowFirstColumn="0" w:lastRowLastColumn="0"/>
        </w:trPr>
        <w:tc>
          <w:tcPr>
            <w:tcW w:w="688" w:type="dxa"/>
          </w:tcPr>
          <w:p w14:paraId="13460B13" w14:textId="77777777" w:rsidR="00047A3A" w:rsidRDefault="00047A3A" w:rsidP="00AF3E26">
            <w:pPr>
              <w:pStyle w:val="TableText"/>
              <w:jc w:val="center"/>
            </w:pPr>
            <w:r>
              <w:t>13</w:t>
            </w:r>
          </w:p>
        </w:tc>
        <w:tc>
          <w:tcPr>
            <w:tcW w:w="1112" w:type="dxa"/>
          </w:tcPr>
          <w:p w14:paraId="01238217" w14:textId="77777777" w:rsidR="00047A3A" w:rsidRDefault="00047A3A" w:rsidP="00AF3E26">
            <w:pPr>
              <w:pStyle w:val="TableText"/>
              <w:jc w:val="center"/>
            </w:pPr>
            <w:r>
              <w:t>21.10.21</w:t>
            </w:r>
          </w:p>
        </w:tc>
        <w:tc>
          <w:tcPr>
            <w:tcW w:w="1495" w:type="dxa"/>
          </w:tcPr>
          <w:p w14:paraId="4A4269F2" w14:textId="77777777" w:rsidR="00047A3A" w:rsidRDefault="00047A3A" w:rsidP="00AF3E26">
            <w:pPr>
              <w:pStyle w:val="TableText"/>
              <w:jc w:val="center"/>
            </w:pPr>
            <w:r>
              <w:t>Jones</w:t>
            </w:r>
          </w:p>
        </w:tc>
        <w:tc>
          <w:tcPr>
            <w:tcW w:w="1646" w:type="dxa"/>
          </w:tcPr>
          <w:p w14:paraId="70E74E97" w14:textId="77777777" w:rsidR="00047A3A" w:rsidRDefault="00047A3A" w:rsidP="00AF3E26">
            <w:pPr>
              <w:pStyle w:val="TableText"/>
              <w:jc w:val="center"/>
            </w:pPr>
            <w:r>
              <w:t>ACTHD</w:t>
            </w:r>
          </w:p>
        </w:tc>
        <w:tc>
          <w:tcPr>
            <w:tcW w:w="2799" w:type="dxa"/>
          </w:tcPr>
          <w:p w14:paraId="74BEEED0" w14:textId="77777777" w:rsidR="00047A3A" w:rsidRDefault="00047A3A" w:rsidP="00AF3E26">
            <w:pPr>
              <w:pStyle w:val="TableText"/>
            </w:pPr>
            <w:r w:rsidRPr="00962B9B">
              <w:t>On subject of Culture Review, what is current Positon on each of its recommendations</w:t>
            </w:r>
          </w:p>
        </w:tc>
        <w:tc>
          <w:tcPr>
            <w:tcW w:w="1213" w:type="dxa"/>
          </w:tcPr>
          <w:p w14:paraId="5BDC9A6C" w14:textId="77777777" w:rsidR="00047A3A" w:rsidRDefault="00047A3A" w:rsidP="00AF3E26">
            <w:pPr>
              <w:pStyle w:val="TableText"/>
              <w:jc w:val="center"/>
            </w:pPr>
            <w:r>
              <w:t>03.11.21</w:t>
            </w:r>
          </w:p>
        </w:tc>
      </w:tr>
      <w:tr w:rsidR="00047A3A" w14:paraId="4CED956D" w14:textId="77777777" w:rsidTr="00AF3E26">
        <w:tc>
          <w:tcPr>
            <w:tcW w:w="688" w:type="dxa"/>
          </w:tcPr>
          <w:p w14:paraId="27C79A5A" w14:textId="77777777" w:rsidR="00047A3A" w:rsidRDefault="00047A3A" w:rsidP="00AF3E26">
            <w:pPr>
              <w:pStyle w:val="TableText"/>
              <w:jc w:val="center"/>
            </w:pPr>
            <w:r>
              <w:t>14</w:t>
            </w:r>
          </w:p>
        </w:tc>
        <w:tc>
          <w:tcPr>
            <w:tcW w:w="1112" w:type="dxa"/>
          </w:tcPr>
          <w:p w14:paraId="2F793A73" w14:textId="77777777" w:rsidR="00047A3A" w:rsidRDefault="00047A3A" w:rsidP="00AF3E26">
            <w:pPr>
              <w:pStyle w:val="TableText"/>
              <w:jc w:val="center"/>
            </w:pPr>
            <w:r>
              <w:t>21.10.21</w:t>
            </w:r>
          </w:p>
        </w:tc>
        <w:tc>
          <w:tcPr>
            <w:tcW w:w="1495" w:type="dxa"/>
          </w:tcPr>
          <w:p w14:paraId="58C419C1" w14:textId="77777777" w:rsidR="00047A3A" w:rsidRDefault="00047A3A" w:rsidP="00AF3E26">
            <w:pPr>
              <w:pStyle w:val="TableText"/>
              <w:jc w:val="center"/>
            </w:pPr>
            <w:r>
              <w:t>Jones</w:t>
            </w:r>
          </w:p>
        </w:tc>
        <w:tc>
          <w:tcPr>
            <w:tcW w:w="1646" w:type="dxa"/>
          </w:tcPr>
          <w:p w14:paraId="761CE1FE" w14:textId="77777777" w:rsidR="00047A3A" w:rsidRDefault="00047A3A" w:rsidP="00AF3E26">
            <w:pPr>
              <w:pStyle w:val="TableText"/>
              <w:jc w:val="center"/>
            </w:pPr>
            <w:r>
              <w:t>ACTHD</w:t>
            </w:r>
          </w:p>
        </w:tc>
        <w:tc>
          <w:tcPr>
            <w:tcW w:w="2799" w:type="dxa"/>
          </w:tcPr>
          <w:p w14:paraId="4D16C828" w14:textId="77777777" w:rsidR="00047A3A" w:rsidRDefault="00047A3A" w:rsidP="00AF3E26">
            <w:pPr>
              <w:pStyle w:val="TableText"/>
            </w:pPr>
            <w:r w:rsidRPr="00962B9B">
              <w:t>a - How many of the Review recommendations have been implemented? When will this be completed? Which recommendations have been delayed and what has happened to them?</w:t>
            </w:r>
          </w:p>
        </w:tc>
        <w:tc>
          <w:tcPr>
            <w:tcW w:w="1213" w:type="dxa"/>
          </w:tcPr>
          <w:p w14:paraId="7E097C2C" w14:textId="77777777" w:rsidR="00047A3A" w:rsidRDefault="00047A3A" w:rsidP="00AF3E26">
            <w:pPr>
              <w:pStyle w:val="TableText"/>
              <w:jc w:val="center"/>
            </w:pPr>
            <w:r>
              <w:t>03.11.21</w:t>
            </w:r>
          </w:p>
        </w:tc>
      </w:tr>
      <w:tr w:rsidR="00047A3A" w14:paraId="7A32E3CC" w14:textId="77777777" w:rsidTr="00AF3E26">
        <w:trPr>
          <w:cnfStyle w:val="000000100000" w:firstRow="0" w:lastRow="0" w:firstColumn="0" w:lastColumn="0" w:oddVBand="0" w:evenVBand="0" w:oddHBand="1" w:evenHBand="0" w:firstRowFirstColumn="0" w:firstRowLastColumn="0" w:lastRowFirstColumn="0" w:lastRowLastColumn="0"/>
        </w:trPr>
        <w:tc>
          <w:tcPr>
            <w:tcW w:w="688" w:type="dxa"/>
          </w:tcPr>
          <w:p w14:paraId="518A50BC" w14:textId="77777777" w:rsidR="00047A3A" w:rsidRDefault="00047A3A" w:rsidP="00AF3E26">
            <w:pPr>
              <w:pStyle w:val="TableText"/>
              <w:jc w:val="center"/>
            </w:pPr>
            <w:r>
              <w:t>15</w:t>
            </w:r>
          </w:p>
        </w:tc>
        <w:tc>
          <w:tcPr>
            <w:tcW w:w="1112" w:type="dxa"/>
          </w:tcPr>
          <w:p w14:paraId="424829D8" w14:textId="77777777" w:rsidR="00047A3A" w:rsidRDefault="00047A3A" w:rsidP="00AF3E26">
            <w:pPr>
              <w:pStyle w:val="TableText"/>
              <w:jc w:val="center"/>
            </w:pPr>
            <w:r>
              <w:t>21.10.21</w:t>
            </w:r>
          </w:p>
        </w:tc>
        <w:tc>
          <w:tcPr>
            <w:tcW w:w="1495" w:type="dxa"/>
          </w:tcPr>
          <w:p w14:paraId="657A0C5F" w14:textId="77777777" w:rsidR="00047A3A" w:rsidRDefault="00047A3A" w:rsidP="00AF3E26">
            <w:pPr>
              <w:pStyle w:val="TableText"/>
              <w:jc w:val="center"/>
            </w:pPr>
            <w:r>
              <w:t>Jones</w:t>
            </w:r>
          </w:p>
        </w:tc>
        <w:tc>
          <w:tcPr>
            <w:tcW w:w="1646" w:type="dxa"/>
          </w:tcPr>
          <w:p w14:paraId="16398E9A" w14:textId="77777777" w:rsidR="00047A3A" w:rsidRDefault="00047A3A" w:rsidP="00AF3E26">
            <w:pPr>
              <w:pStyle w:val="TableText"/>
              <w:jc w:val="center"/>
            </w:pPr>
            <w:r>
              <w:t>ACTHD</w:t>
            </w:r>
          </w:p>
        </w:tc>
        <w:tc>
          <w:tcPr>
            <w:tcW w:w="2799" w:type="dxa"/>
          </w:tcPr>
          <w:p w14:paraId="3920679D" w14:textId="77777777" w:rsidR="00047A3A" w:rsidRDefault="00047A3A" w:rsidP="00AF3E26">
            <w:pPr>
              <w:pStyle w:val="TableText"/>
            </w:pPr>
            <w:r w:rsidRPr="00962B9B">
              <w:t>b - Is commensurate data being collected to allow comparison with the original report to show change in experience and behaviours by staff?</w:t>
            </w:r>
          </w:p>
        </w:tc>
        <w:tc>
          <w:tcPr>
            <w:tcW w:w="1213" w:type="dxa"/>
          </w:tcPr>
          <w:p w14:paraId="2B33B852" w14:textId="77777777" w:rsidR="00047A3A" w:rsidRDefault="00047A3A" w:rsidP="00AF3E26">
            <w:pPr>
              <w:pStyle w:val="TableText"/>
              <w:jc w:val="center"/>
            </w:pPr>
            <w:r>
              <w:t>03.11.21</w:t>
            </w:r>
          </w:p>
        </w:tc>
      </w:tr>
      <w:tr w:rsidR="00047A3A" w14:paraId="77CCB310" w14:textId="77777777" w:rsidTr="00AF3E26">
        <w:tc>
          <w:tcPr>
            <w:tcW w:w="688" w:type="dxa"/>
          </w:tcPr>
          <w:p w14:paraId="0D5A0A4A" w14:textId="77777777" w:rsidR="00047A3A" w:rsidRDefault="00047A3A" w:rsidP="00AF3E26">
            <w:pPr>
              <w:pStyle w:val="TableText"/>
              <w:jc w:val="center"/>
            </w:pPr>
            <w:r>
              <w:t>16</w:t>
            </w:r>
          </w:p>
        </w:tc>
        <w:tc>
          <w:tcPr>
            <w:tcW w:w="1112" w:type="dxa"/>
          </w:tcPr>
          <w:p w14:paraId="5249720D" w14:textId="77777777" w:rsidR="00047A3A" w:rsidRDefault="00047A3A" w:rsidP="00AF3E26">
            <w:pPr>
              <w:pStyle w:val="TableText"/>
              <w:jc w:val="center"/>
            </w:pPr>
            <w:r>
              <w:t>21.10.21</w:t>
            </w:r>
          </w:p>
        </w:tc>
        <w:tc>
          <w:tcPr>
            <w:tcW w:w="1495" w:type="dxa"/>
          </w:tcPr>
          <w:p w14:paraId="66A94D43" w14:textId="77777777" w:rsidR="00047A3A" w:rsidRDefault="00047A3A" w:rsidP="00AF3E26">
            <w:pPr>
              <w:pStyle w:val="TableText"/>
              <w:jc w:val="center"/>
            </w:pPr>
            <w:r>
              <w:t>Jones</w:t>
            </w:r>
          </w:p>
        </w:tc>
        <w:tc>
          <w:tcPr>
            <w:tcW w:w="1646" w:type="dxa"/>
          </w:tcPr>
          <w:p w14:paraId="0805FCCD" w14:textId="77777777" w:rsidR="00047A3A" w:rsidRDefault="00047A3A" w:rsidP="00AF3E26">
            <w:pPr>
              <w:pStyle w:val="TableText"/>
              <w:jc w:val="center"/>
            </w:pPr>
            <w:r>
              <w:t>CHS</w:t>
            </w:r>
          </w:p>
        </w:tc>
        <w:tc>
          <w:tcPr>
            <w:tcW w:w="2799" w:type="dxa"/>
          </w:tcPr>
          <w:p w14:paraId="68C008CE" w14:textId="77777777" w:rsidR="00047A3A" w:rsidRDefault="00047A3A" w:rsidP="00AF3E26">
            <w:pPr>
              <w:pStyle w:val="TableText"/>
            </w:pPr>
            <w:r w:rsidRPr="00962B9B">
              <w:t>What are the results of pulse surveys?</w:t>
            </w:r>
          </w:p>
        </w:tc>
        <w:tc>
          <w:tcPr>
            <w:tcW w:w="1213" w:type="dxa"/>
          </w:tcPr>
          <w:p w14:paraId="2A1EB9DA" w14:textId="77777777" w:rsidR="00047A3A" w:rsidRDefault="00047A3A" w:rsidP="00AF3E26">
            <w:pPr>
              <w:pStyle w:val="TableText"/>
              <w:jc w:val="center"/>
            </w:pPr>
          </w:p>
        </w:tc>
      </w:tr>
      <w:tr w:rsidR="00047A3A" w14:paraId="4C2EE665" w14:textId="77777777" w:rsidTr="00AF3E26">
        <w:trPr>
          <w:cnfStyle w:val="000000100000" w:firstRow="0" w:lastRow="0" w:firstColumn="0" w:lastColumn="0" w:oddVBand="0" w:evenVBand="0" w:oddHBand="1" w:evenHBand="0" w:firstRowFirstColumn="0" w:firstRowLastColumn="0" w:lastRowFirstColumn="0" w:lastRowLastColumn="0"/>
        </w:trPr>
        <w:tc>
          <w:tcPr>
            <w:tcW w:w="688" w:type="dxa"/>
          </w:tcPr>
          <w:p w14:paraId="02FE68F9" w14:textId="77777777" w:rsidR="00047A3A" w:rsidRDefault="00047A3A" w:rsidP="00AF3E26">
            <w:pPr>
              <w:pStyle w:val="TableText"/>
              <w:jc w:val="center"/>
            </w:pPr>
            <w:r>
              <w:t>17</w:t>
            </w:r>
          </w:p>
        </w:tc>
        <w:tc>
          <w:tcPr>
            <w:tcW w:w="1112" w:type="dxa"/>
          </w:tcPr>
          <w:p w14:paraId="750DCB2E" w14:textId="77777777" w:rsidR="00047A3A" w:rsidRDefault="00047A3A" w:rsidP="00AF3E26">
            <w:pPr>
              <w:pStyle w:val="TableText"/>
              <w:jc w:val="center"/>
            </w:pPr>
            <w:r>
              <w:t>21.10.21</w:t>
            </w:r>
          </w:p>
        </w:tc>
        <w:tc>
          <w:tcPr>
            <w:tcW w:w="1495" w:type="dxa"/>
          </w:tcPr>
          <w:p w14:paraId="2D38A2CB" w14:textId="77777777" w:rsidR="00047A3A" w:rsidRDefault="00047A3A" w:rsidP="00AF3E26">
            <w:pPr>
              <w:pStyle w:val="TableText"/>
              <w:jc w:val="center"/>
            </w:pPr>
            <w:r>
              <w:t>Jones</w:t>
            </w:r>
          </w:p>
        </w:tc>
        <w:tc>
          <w:tcPr>
            <w:tcW w:w="1646" w:type="dxa"/>
          </w:tcPr>
          <w:p w14:paraId="70CA12B2" w14:textId="77777777" w:rsidR="00047A3A" w:rsidRDefault="00047A3A" w:rsidP="00AF3E26">
            <w:pPr>
              <w:pStyle w:val="TableText"/>
              <w:jc w:val="center"/>
            </w:pPr>
            <w:r>
              <w:t>ACTHD</w:t>
            </w:r>
          </w:p>
        </w:tc>
        <w:tc>
          <w:tcPr>
            <w:tcW w:w="2799" w:type="dxa"/>
          </w:tcPr>
          <w:p w14:paraId="133C2569" w14:textId="77777777" w:rsidR="00047A3A" w:rsidRDefault="00047A3A" w:rsidP="00AF3E26">
            <w:pPr>
              <w:pStyle w:val="TableText"/>
            </w:pPr>
            <w:r w:rsidRPr="00962B9B">
              <w:t>Will the dashboard be able to be compared with original data?</w:t>
            </w:r>
          </w:p>
        </w:tc>
        <w:tc>
          <w:tcPr>
            <w:tcW w:w="1213" w:type="dxa"/>
          </w:tcPr>
          <w:p w14:paraId="0573F29B" w14:textId="77777777" w:rsidR="00047A3A" w:rsidRDefault="00047A3A" w:rsidP="00AF3E26">
            <w:pPr>
              <w:pStyle w:val="TableText"/>
              <w:jc w:val="center"/>
            </w:pPr>
            <w:r>
              <w:t>03.11.21</w:t>
            </w:r>
          </w:p>
        </w:tc>
      </w:tr>
      <w:tr w:rsidR="00047A3A" w14:paraId="50D27FC5" w14:textId="77777777" w:rsidTr="00AF3E26">
        <w:tc>
          <w:tcPr>
            <w:tcW w:w="688" w:type="dxa"/>
          </w:tcPr>
          <w:p w14:paraId="3E499279" w14:textId="77777777" w:rsidR="00047A3A" w:rsidRDefault="00047A3A" w:rsidP="00AF3E26">
            <w:pPr>
              <w:pStyle w:val="TableText"/>
              <w:jc w:val="center"/>
            </w:pPr>
            <w:r>
              <w:t>18</w:t>
            </w:r>
          </w:p>
        </w:tc>
        <w:tc>
          <w:tcPr>
            <w:tcW w:w="1112" w:type="dxa"/>
          </w:tcPr>
          <w:p w14:paraId="2785075F" w14:textId="77777777" w:rsidR="00047A3A" w:rsidRDefault="00047A3A" w:rsidP="00AF3E26">
            <w:pPr>
              <w:pStyle w:val="TableText"/>
              <w:jc w:val="center"/>
            </w:pPr>
            <w:r>
              <w:t>21.10.21</w:t>
            </w:r>
          </w:p>
        </w:tc>
        <w:tc>
          <w:tcPr>
            <w:tcW w:w="1495" w:type="dxa"/>
          </w:tcPr>
          <w:p w14:paraId="35789211" w14:textId="77777777" w:rsidR="00047A3A" w:rsidRDefault="00047A3A" w:rsidP="00AF3E26">
            <w:pPr>
              <w:pStyle w:val="TableText"/>
              <w:jc w:val="center"/>
            </w:pPr>
            <w:r>
              <w:t>Parton</w:t>
            </w:r>
          </w:p>
        </w:tc>
        <w:tc>
          <w:tcPr>
            <w:tcW w:w="1646" w:type="dxa"/>
          </w:tcPr>
          <w:p w14:paraId="6D8865BF" w14:textId="77777777" w:rsidR="00047A3A" w:rsidRDefault="00047A3A" w:rsidP="00AF3E26">
            <w:pPr>
              <w:pStyle w:val="TableText"/>
              <w:jc w:val="center"/>
            </w:pPr>
            <w:r>
              <w:t>Housing</w:t>
            </w:r>
          </w:p>
        </w:tc>
        <w:tc>
          <w:tcPr>
            <w:tcW w:w="2799" w:type="dxa"/>
          </w:tcPr>
          <w:p w14:paraId="24B44CD8" w14:textId="77777777" w:rsidR="00047A3A" w:rsidRDefault="00047A3A" w:rsidP="00AF3E26">
            <w:pPr>
              <w:pStyle w:val="TableText"/>
            </w:pPr>
            <w:r w:rsidRPr="00A631B4">
              <w:t>How many applications were received in the greatest need category and allocated within 90 days and how many are expected in the next financial year</w:t>
            </w:r>
          </w:p>
        </w:tc>
        <w:tc>
          <w:tcPr>
            <w:tcW w:w="1213" w:type="dxa"/>
          </w:tcPr>
          <w:p w14:paraId="33F4C912" w14:textId="77777777" w:rsidR="00047A3A" w:rsidRDefault="00047A3A" w:rsidP="00AF3E26">
            <w:pPr>
              <w:pStyle w:val="TableText"/>
              <w:jc w:val="center"/>
            </w:pPr>
          </w:p>
        </w:tc>
      </w:tr>
      <w:tr w:rsidR="00047A3A" w14:paraId="482F4C6F" w14:textId="77777777" w:rsidTr="00AF3E26">
        <w:trPr>
          <w:cnfStyle w:val="000000100000" w:firstRow="0" w:lastRow="0" w:firstColumn="0" w:lastColumn="0" w:oddVBand="0" w:evenVBand="0" w:oddHBand="1" w:evenHBand="0" w:firstRowFirstColumn="0" w:firstRowLastColumn="0" w:lastRowFirstColumn="0" w:lastRowLastColumn="0"/>
        </w:trPr>
        <w:tc>
          <w:tcPr>
            <w:tcW w:w="688" w:type="dxa"/>
          </w:tcPr>
          <w:p w14:paraId="367C864D" w14:textId="77777777" w:rsidR="00047A3A" w:rsidRDefault="00047A3A" w:rsidP="00AF3E26">
            <w:pPr>
              <w:pStyle w:val="TableText"/>
              <w:jc w:val="center"/>
            </w:pPr>
            <w:r>
              <w:t>19</w:t>
            </w:r>
          </w:p>
        </w:tc>
        <w:tc>
          <w:tcPr>
            <w:tcW w:w="1112" w:type="dxa"/>
          </w:tcPr>
          <w:p w14:paraId="62391ABA" w14:textId="77777777" w:rsidR="00047A3A" w:rsidRDefault="00047A3A" w:rsidP="00AF3E26">
            <w:pPr>
              <w:pStyle w:val="TableText"/>
              <w:jc w:val="center"/>
            </w:pPr>
            <w:r>
              <w:t>21.10.21</w:t>
            </w:r>
          </w:p>
        </w:tc>
        <w:tc>
          <w:tcPr>
            <w:tcW w:w="1495" w:type="dxa"/>
          </w:tcPr>
          <w:p w14:paraId="43C33AD8" w14:textId="77777777" w:rsidR="00047A3A" w:rsidRDefault="00047A3A" w:rsidP="00AF3E26">
            <w:pPr>
              <w:pStyle w:val="TableText"/>
              <w:jc w:val="center"/>
            </w:pPr>
            <w:r>
              <w:t>Pettersson</w:t>
            </w:r>
          </w:p>
        </w:tc>
        <w:tc>
          <w:tcPr>
            <w:tcW w:w="1646" w:type="dxa"/>
          </w:tcPr>
          <w:p w14:paraId="33B5522D" w14:textId="77777777" w:rsidR="00047A3A" w:rsidRDefault="00047A3A" w:rsidP="00AF3E26">
            <w:pPr>
              <w:pStyle w:val="TableText"/>
              <w:jc w:val="center"/>
            </w:pPr>
            <w:r>
              <w:t>CHS</w:t>
            </w:r>
          </w:p>
        </w:tc>
        <w:tc>
          <w:tcPr>
            <w:tcW w:w="2799" w:type="dxa"/>
          </w:tcPr>
          <w:p w14:paraId="4E1E5CCB" w14:textId="77777777" w:rsidR="00047A3A" w:rsidRDefault="00047A3A" w:rsidP="00AF3E26">
            <w:pPr>
              <w:pStyle w:val="TableText"/>
            </w:pPr>
            <w:r w:rsidRPr="00A631B4">
              <w:t>What are the numbers of presentations at walk-n centres? Are the targets being met?</w:t>
            </w:r>
          </w:p>
        </w:tc>
        <w:tc>
          <w:tcPr>
            <w:tcW w:w="1213" w:type="dxa"/>
          </w:tcPr>
          <w:p w14:paraId="7DDAA66B" w14:textId="77777777" w:rsidR="00047A3A" w:rsidRDefault="00047A3A" w:rsidP="00AF3E26">
            <w:pPr>
              <w:pStyle w:val="TableText"/>
              <w:jc w:val="center"/>
            </w:pPr>
            <w:r>
              <w:t>04.11.21</w:t>
            </w:r>
          </w:p>
        </w:tc>
      </w:tr>
    </w:tbl>
    <w:p w14:paraId="59941803" w14:textId="77777777" w:rsidR="00047A3A" w:rsidRDefault="00047A3A" w:rsidP="00047A3A">
      <w:pPr>
        <w:pStyle w:val="Caption"/>
      </w:pPr>
    </w:p>
    <w:p w14:paraId="216A1531" w14:textId="77777777" w:rsidR="00047A3A" w:rsidRDefault="00047A3A" w:rsidP="00047A3A">
      <w:pPr>
        <w:pStyle w:val="Caption"/>
      </w:pPr>
      <w:r>
        <w:t>Questions taken on Notice 25 October 2021</w:t>
      </w:r>
    </w:p>
    <w:tbl>
      <w:tblPr>
        <w:tblStyle w:val="CommitteeTable"/>
        <w:tblW w:w="0" w:type="auto"/>
        <w:tblInd w:w="108" w:type="dxa"/>
        <w:tblLook w:val="04A0" w:firstRow="1" w:lastRow="0" w:firstColumn="1" w:lastColumn="0" w:noHBand="0" w:noVBand="1"/>
      </w:tblPr>
      <w:tblGrid>
        <w:gridCol w:w="688"/>
        <w:gridCol w:w="1112"/>
        <w:gridCol w:w="1493"/>
        <w:gridCol w:w="1652"/>
        <w:gridCol w:w="2789"/>
        <w:gridCol w:w="1219"/>
      </w:tblGrid>
      <w:tr w:rsidR="00047A3A" w14:paraId="11B349FC" w14:textId="77777777" w:rsidTr="00AF3E26">
        <w:trPr>
          <w:cnfStyle w:val="100000000000" w:firstRow="1" w:lastRow="0" w:firstColumn="0" w:lastColumn="0" w:oddVBand="0" w:evenVBand="0" w:oddHBand="0" w:evenHBand="0" w:firstRowFirstColumn="0" w:firstRowLastColumn="0" w:lastRowFirstColumn="0" w:lastRowLastColumn="0"/>
        </w:trPr>
        <w:tc>
          <w:tcPr>
            <w:tcW w:w="702" w:type="dxa"/>
          </w:tcPr>
          <w:p w14:paraId="7DBBB411"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N</w:t>
            </w:r>
            <w:bookmarkStart w:id="152" w:name="ColumnTitle_QoN1"/>
            <w:bookmarkEnd w:id="152"/>
            <w:r w:rsidRPr="00640E82">
              <w:rPr>
                <w:rFonts w:ascii="Arial Narrow" w:hAnsi="Arial Narrow"/>
              </w:rPr>
              <w:t>o.</w:t>
            </w:r>
          </w:p>
        </w:tc>
        <w:tc>
          <w:tcPr>
            <w:tcW w:w="1121" w:type="dxa"/>
          </w:tcPr>
          <w:p w14:paraId="24F7E404"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Hearing date</w:t>
            </w:r>
          </w:p>
        </w:tc>
        <w:tc>
          <w:tcPr>
            <w:tcW w:w="1541" w:type="dxa"/>
          </w:tcPr>
          <w:p w14:paraId="54F34066"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Asked by</w:t>
            </w:r>
          </w:p>
        </w:tc>
        <w:tc>
          <w:tcPr>
            <w:tcW w:w="1681" w:type="dxa"/>
          </w:tcPr>
          <w:p w14:paraId="12FA65D2"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2893" w:type="dxa"/>
          </w:tcPr>
          <w:p w14:paraId="2B20D7D2" w14:textId="77777777" w:rsidR="00047A3A" w:rsidRPr="00640E82" w:rsidRDefault="00047A3A" w:rsidP="00AF3E26">
            <w:pPr>
              <w:spacing w:after="80" w:line="288" w:lineRule="auto"/>
              <w:rPr>
                <w:rFonts w:ascii="Arial Narrow" w:hAnsi="Arial Narrow"/>
              </w:rPr>
            </w:pPr>
            <w:r w:rsidRPr="00640E82">
              <w:rPr>
                <w:rFonts w:ascii="Arial Narrow" w:hAnsi="Arial Narrow"/>
              </w:rPr>
              <w:t>Subject</w:t>
            </w:r>
          </w:p>
        </w:tc>
        <w:tc>
          <w:tcPr>
            <w:tcW w:w="1241" w:type="dxa"/>
          </w:tcPr>
          <w:p w14:paraId="2604656A"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Answer date</w:t>
            </w:r>
          </w:p>
        </w:tc>
      </w:tr>
      <w:tr w:rsidR="00047A3A" w14:paraId="34FFC914" w14:textId="77777777" w:rsidTr="00AF3E26">
        <w:trPr>
          <w:cnfStyle w:val="000000100000" w:firstRow="0" w:lastRow="0" w:firstColumn="0" w:lastColumn="0" w:oddVBand="0" w:evenVBand="0" w:oddHBand="1" w:evenHBand="0" w:firstRowFirstColumn="0" w:firstRowLastColumn="0" w:lastRowFirstColumn="0" w:lastRowLastColumn="0"/>
        </w:trPr>
        <w:tc>
          <w:tcPr>
            <w:tcW w:w="702" w:type="dxa"/>
          </w:tcPr>
          <w:p w14:paraId="2629FE0C" w14:textId="77777777" w:rsidR="00047A3A" w:rsidRDefault="00047A3A" w:rsidP="00AF3E26">
            <w:pPr>
              <w:pStyle w:val="TableText"/>
              <w:jc w:val="center"/>
            </w:pPr>
            <w:r>
              <w:t>20</w:t>
            </w:r>
          </w:p>
        </w:tc>
        <w:tc>
          <w:tcPr>
            <w:tcW w:w="1121" w:type="dxa"/>
          </w:tcPr>
          <w:p w14:paraId="3403E05C" w14:textId="77777777" w:rsidR="00047A3A" w:rsidRDefault="00047A3A" w:rsidP="00AF3E26">
            <w:pPr>
              <w:pStyle w:val="TableText"/>
              <w:jc w:val="center"/>
            </w:pPr>
            <w:r>
              <w:t>25.10.21</w:t>
            </w:r>
          </w:p>
        </w:tc>
        <w:tc>
          <w:tcPr>
            <w:tcW w:w="1541" w:type="dxa"/>
          </w:tcPr>
          <w:p w14:paraId="13C306A3" w14:textId="77777777" w:rsidR="00047A3A" w:rsidRDefault="00047A3A" w:rsidP="00AF3E26">
            <w:pPr>
              <w:pStyle w:val="TableText"/>
              <w:jc w:val="center"/>
            </w:pPr>
            <w:r>
              <w:t>Davis</w:t>
            </w:r>
          </w:p>
        </w:tc>
        <w:tc>
          <w:tcPr>
            <w:tcW w:w="1681" w:type="dxa"/>
          </w:tcPr>
          <w:p w14:paraId="3BE24D31" w14:textId="77777777" w:rsidR="00047A3A" w:rsidRDefault="00047A3A" w:rsidP="00AF3E26">
            <w:pPr>
              <w:pStyle w:val="TableText"/>
              <w:jc w:val="center"/>
            </w:pPr>
            <w:r>
              <w:t>Families and Community Services</w:t>
            </w:r>
          </w:p>
        </w:tc>
        <w:tc>
          <w:tcPr>
            <w:tcW w:w="2893" w:type="dxa"/>
          </w:tcPr>
          <w:p w14:paraId="73B8308E" w14:textId="77777777" w:rsidR="00047A3A" w:rsidRDefault="00047A3A" w:rsidP="00AF3E26">
            <w:pPr>
              <w:pStyle w:val="TableText"/>
            </w:pPr>
            <w:r w:rsidRPr="00F5489E">
              <w:t>Can you advise the rationale and explanation for the increase in cost of the Working with Vulnerable People card?</w:t>
            </w:r>
          </w:p>
        </w:tc>
        <w:tc>
          <w:tcPr>
            <w:tcW w:w="1241" w:type="dxa"/>
          </w:tcPr>
          <w:p w14:paraId="7C2BBD08" w14:textId="77777777" w:rsidR="00047A3A" w:rsidRDefault="00047A3A" w:rsidP="00AF3E26">
            <w:pPr>
              <w:pStyle w:val="TableText"/>
              <w:jc w:val="center"/>
            </w:pPr>
            <w:r>
              <w:t>02.11.21</w:t>
            </w:r>
          </w:p>
        </w:tc>
      </w:tr>
      <w:tr w:rsidR="00047A3A" w14:paraId="3363ED43" w14:textId="77777777" w:rsidTr="00AF3E26">
        <w:tc>
          <w:tcPr>
            <w:tcW w:w="702" w:type="dxa"/>
          </w:tcPr>
          <w:p w14:paraId="53D1D0C4" w14:textId="77777777" w:rsidR="00047A3A" w:rsidRDefault="00047A3A" w:rsidP="00AF3E26">
            <w:pPr>
              <w:pStyle w:val="TableText"/>
              <w:jc w:val="center"/>
            </w:pPr>
            <w:r>
              <w:t>21</w:t>
            </w:r>
          </w:p>
        </w:tc>
        <w:tc>
          <w:tcPr>
            <w:tcW w:w="1121" w:type="dxa"/>
          </w:tcPr>
          <w:p w14:paraId="3342DA80" w14:textId="77777777" w:rsidR="00047A3A" w:rsidRDefault="00047A3A" w:rsidP="00AF3E26">
            <w:pPr>
              <w:pStyle w:val="TableText"/>
              <w:jc w:val="center"/>
            </w:pPr>
            <w:r>
              <w:t>25.10.21</w:t>
            </w:r>
          </w:p>
        </w:tc>
        <w:tc>
          <w:tcPr>
            <w:tcW w:w="1541" w:type="dxa"/>
          </w:tcPr>
          <w:p w14:paraId="26C53E89" w14:textId="77777777" w:rsidR="00047A3A" w:rsidRDefault="00047A3A" w:rsidP="00AF3E26">
            <w:pPr>
              <w:pStyle w:val="TableText"/>
              <w:jc w:val="center"/>
            </w:pPr>
            <w:r>
              <w:t>Kikkert</w:t>
            </w:r>
          </w:p>
        </w:tc>
        <w:tc>
          <w:tcPr>
            <w:tcW w:w="1681" w:type="dxa"/>
          </w:tcPr>
          <w:p w14:paraId="77FCE608" w14:textId="77777777" w:rsidR="00047A3A" w:rsidRDefault="00047A3A" w:rsidP="00AF3E26">
            <w:pPr>
              <w:pStyle w:val="TableText"/>
              <w:jc w:val="center"/>
            </w:pPr>
            <w:r>
              <w:t>Families and Community Services</w:t>
            </w:r>
          </w:p>
        </w:tc>
        <w:tc>
          <w:tcPr>
            <w:tcW w:w="2893" w:type="dxa"/>
          </w:tcPr>
          <w:p w14:paraId="3C11C00F" w14:textId="77777777" w:rsidR="00047A3A" w:rsidRDefault="00047A3A" w:rsidP="00AF3E26">
            <w:pPr>
              <w:pStyle w:val="TableText"/>
            </w:pPr>
            <w:r w:rsidRPr="00F5489E">
              <w:t>How will the consultants engaged on the Merits Review develop the model to be used?  How much will that that process cost?</w:t>
            </w:r>
          </w:p>
        </w:tc>
        <w:tc>
          <w:tcPr>
            <w:tcW w:w="1241" w:type="dxa"/>
          </w:tcPr>
          <w:p w14:paraId="1001E2BC" w14:textId="77777777" w:rsidR="00047A3A" w:rsidRDefault="00047A3A" w:rsidP="00AF3E26">
            <w:pPr>
              <w:pStyle w:val="TableText"/>
              <w:jc w:val="center"/>
            </w:pPr>
          </w:p>
        </w:tc>
      </w:tr>
      <w:tr w:rsidR="00047A3A" w14:paraId="0CFDF67E" w14:textId="77777777" w:rsidTr="00AF3E26">
        <w:trPr>
          <w:cnfStyle w:val="000000100000" w:firstRow="0" w:lastRow="0" w:firstColumn="0" w:lastColumn="0" w:oddVBand="0" w:evenVBand="0" w:oddHBand="1" w:evenHBand="0" w:firstRowFirstColumn="0" w:firstRowLastColumn="0" w:lastRowFirstColumn="0" w:lastRowLastColumn="0"/>
        </w:trPr>
        <w:tc>
          <w:tcPr>
            <w:tcW w:w="702" w:type="dxa"/>
          </w:tcPr>
          <w:p w14:paraId="1B91E834" w14:textId="77777777" w:rsidR="00047A3A" w:rsidRDefault="00047A3A" w:rsidP="00AF3E26">
            <w:pPr>
              <w:pStyle w:val="TableText"/>
              <w:jc w:val="center"/>
            </w:pPr>
            <w:r>
              <w:t>22</w:t>
            </w:r>
          </w:p>
        </w:tc>
        <w:tc>
          <w:tcPr>
            <w:tcW w:w="1121" w:type="dxa"/>
          </w:tcPr>
          <w:p w14:paraId="4785C398" w14:textId="77777777" w:rsidR="00047A3A" w:rsidRDefault="00047A3A" w:rsidP="00AF3E26">
            <w:pPr>
              <w:pStyle w:val="TableText"/>
              <w:jc w:val="center"/>
            </w:pPr>
            <w:r>
              <w:t>25.10.21</w:t>
            </w:r>
          </w:p>
        </w:tc>
        <w:tc>
          <w:tcPr>
            <w:tcW w:w="1541" w:type="dxa"/>
          </w:tcPr>
          <w:p w14:paraId="71AD7A9A" w14:textId="77777777" w:rsidR="00047A3A" w:rsidRDefault="00047A3A" w:rsidP="00AF3E26">
            <w:pPr>
              <w:pStyle w:val="TableText"/>
              <w:jc w:val="center"/>
            </w:pPr>
            <w:r>
              <w:t>Davis</w:t>
            </w:r>
          </w:p>
        </w:tc>
        <w:tc>
          <w:tcPr>
            <w:tcW w:w="1681" w:type="dxa"/>
          </w:tcPr>
          <w:p w14:paraId="274564BA" w14:textId="77777777" w:rsidR="00047A3A" w:rsidRDefault="00047A3A" w:rsidP="00AF3E26">
            <w:pPr>
              <w:pStyle w:val="TableText"/>
              <w:jc w:val="center"/>
            </w:pPr>
            <w:r>
              <w:t>Families and Community Services</w:t>
            </w:r>
          </w:p>
        </w:tc>
        <w:tc>
          <w:tcPr>
            <w:tcW w:w="2893" w:type="dxa"/>
          </w:tcPr>
          <w:p w14:paraId="2C35F3EF" w14:textId="77777777" w:rsidR="00047A3A" w:rsidRDefault="00047A3A" w:rsidP="00AF3E26">
            <w:pPr>
              <w:pStyle w:val="TableText"/>
            </w:pPr>
            <w:r w:rsidRPr="00F5489E">
              <w:t>Is it appropriate in the current situation where remuneration rates are decided on case-by-case and whether such decisions should be made at Directorate level or by the Remuneration Tribunal?</w:t>
            </w:r>
          </w:p>
        </w:tc>
        <w:tc>
          <w:tcPr>
            <w:tcW w:w="1241" w:type="dxa"/>
          </w:tcPr>
          <w:p w14:paraId="2CDBF2CA" w14:textId="77777777" w:rsidR="00047A3A" w:rsidRDefault="00047A3A" w:rsidP="00AF3E26">
            <w:pPr>
              <w:pStyle w:val="TableText"/>
              <w:jc w:val="center"/>
            </w:pPr>
            <w:r>
              <w:t>02.11.21</w:t>
            </w:r>
          </w:p>
        </w:tc>
      </w:tr>
      <w:tr w:rsidR="00047A3A" w14:paraId="3FD0A762" w14:textId="77777777" w:rsidTr="00AF3E26">
        <w:tc>
          <w:tcPr>
            <w:tcW w:w="702" w:type="dxa"/>
          </w:tcPr>
          <w:p w14:paraId="05E601B7" w14:textId="77777777" w:rsidR="00047A3A" w:rsidRDefault="00047A3A" w:rsidP="00AF3E26">
            <w:pPr>
              <w:pStyle w:val="TableText"/>
              <w:jc w:val="center"/>
            </w:pPr>
            <w:r>
              <w:t>23</w:t>
            </w:r>
          </w:p>
        </w:tc>
        <w:tc>
          <w:tcPr>
            <w:tcW w:w="1121" w:type="dxa"/>
          </w:tcPr>
          <w:p w14:paraId="63DC76F6" w14:textId="77777777" w:rsidR="00047A3A" w:rsidRDefault="00047A3A" w:rsidP="00AF3E26">
            <w:pPr>
              <w:pStyle w:val="TableText"/>
              <w:jc w:val="center"/>
            </w:pPr>
            <w:r>
              <w:t>25.10.21</w:t>
            </w:r>
          </w:p>
        </w:tc>
        <w:tc>
          <w:tcPr>
            <w:tcW w:w="1541" w:type="dxa"/>
          </w:tcPr>
          <w:p w14:paraId="1BCC9F06" w14:textId="77777777" w:rsidR="00047A3A" w:rsidRDefault="00047A3A" w:rsidP="00AF3E26">
            <w:pPr>
              <w:pStyle w:val="TableText"/>
              <w:jc w:val="center"/>
            </w:pPr>
            <w:r>
              <w:t>Davis</w:t>
            </w:r>
          </w:p>
        </w:tc>
        <w:tc>
          <w:tcPr>
            <w:tcW w:w="1681" w:type="dxa"/>
          </w:tcPr>
          <w:p w14:paraId="13FD72FD" w14:textId="77777777" w:rsidR="00047A3A" w:rsidRDefault="00047A3A" w:rsidP="00AF3E26">
            <w:pPr>
              <w:pStyle w:val="TableText"/>
              <w:jc w:val="center"/>
            </w:pPr>
            <w:r>
              <w:t>Families and Community Services</w:t>
            </w:r>
          </w:p>
        </w:tc>
        <w:tc>
          <w:tcPr>
            <w:tcW w:w="2893" w:type="dxa"/>
          </w:tcPr>
          <w:p w14:paraId="7D310429" w14:textId="77777777" w:rsidR="00047A3A" w:rsidRDefault="00047A3A" w:rsidP="00AF3E26">
            <w:pPr>
              <w:pStyle w:val="TableText"/>
            </w:pPr>
            <w:r w:rsidRPr="00F5489E">
              <w:t>How many positions are currently advertised as available within CSD? Of those positions, how many are advertised as permanent ongoing positions and how many are contract positions? How many are office-based and how many are in service delivery roles?</w:t>
            </w:r>
          </w:p>
        </w:tc>
        <w:tc>
          <w:tcPr>
            <w:tcW w:w="1241" w:type="dxa"/>
          </w:tcPr>
          <w:p w14:paraId="5C799832" w14:textId="77777777" w:rsidR="00047A3A" w:rsidRDefault="00047A3A" w:rsidP="00AF3E26">
            <w:pPr>
              <w:pStyle w:val="TableText"/>
              <w:jc w:val="center"/>
            </w:pPr>
          </w:p>
        </w:tc>
      </w:tr>
      <w:tr w:rsidR="00047A3A" w14:paraId="17170C93" w14:textId="77777777" w:rsidTr="00AF3E26">
        <w:trPr>
          <w:cnfStyle w:val="000000100000" w:firstRow="0" w:lastRow="0" w:firstColumn="0" w:lastColumn="0" w:oddVBand="0" w:evenVBand="0" w:oddHBand="1" w:evenHBand="0" w:firstRowFirstColumn="0" w:firstRowLastColumn="0" w:lastRowFirstColumn="0" w:lastRowLastColumn="0"/>
        </w:trPr>
        <w:tc>
          <w:tcPr>
            <w:tcW w:w="702" w:type="dxa"/>
          </w:tcPr>
          <w:p w14:paraId="42B21FB0" w14:textId="77777777" w:rsidR="00047A3A" w:rsidRDefault="00047A3A" w:rsidP="00AF3E26">
            <w:pPr>
              <w:pStyle w:val="TableText"/>
              <w:jc w:val="center"/>
            </w:pPr>
            <w:r>
              <w:t>31</w:t>
            </w:r>
          </w:p>
        </w:tc>
        <w:tc>
          <w:tcPr>
            <w:tcW w:w="1121" w:type="dxa"/>
          </w:tcPr>
          <w:p w14:paraId="4676688C" w14:textId="77777777" w:rsidR="00047A3A" w:rsidRDefault="00047A3A" w:rsidP="00AF3E26">
            <w:pPr>
              <w:pStyle w:val="TableText"/>
              <w:jc w:val="center"/>
            </w:pPr>
            <w:r>
              <w:t>25.10.21</w:t>
            </w:r>
          </w:p>
        </w:tc>
        <w:tc>
          <w:tcPr>
            <w:tcW w:w="1541" w:type="dxa"/>
          </w:tcPr>
          <w:p w14:paraId="479592E2" w14:textId="77777777" w:rsidR="00047A3A" w:rsidRDefault="00047A3A" w:rsidP="00AF3E26">
            <w:pPr>
              <w:pStyle w:val="TableText"/>
              <w:jc w:val="center"/>
            </w:pPr>
            <w:r>
              <w:t>Jones</w:t>
            </w:r>
          </w:p>
        </w:tc>
        <w:tc>
          <w:tcPr>
            <w:tcW w:w="1681" w:type="dxa"/>
          </w:tcPr>
          <w:p w14:paraId="5030C1A4" w14:textId="77777777" w:rsidR="00047A3A" w:rsidRDefault="00047A3A" w:rsidP="00AF3E26">
            <w:pPr>
              <w:pStyle w:val="TableText"/>
              <w:jc w:val="center"/>
            </w:pPr>
            <w:r>
              <w:t>Mental Health</w:t>
            </w:r>
          </w:p>
        </w:tc>
        <w:tc>
          <w:tcPr>
            <w:tcW w:w="2893" w:type="dxa"/>
          </w:tcPr>
          <w:p w14:paraId="79818CBD" w14:textId="77777777" w:rsidR="00047A3A" w:rsidRDefault="00047A3A" w:rsidP="00AF3E26">
            <w:pPr>
              <w:pStyle w:val="TableText"/>
            </w:pPr>
            <w:r w:rsidRPr="00481624">
              <w:t>Committees attended by Chief Psychiatrist and Co-ordinator-General</w:t>
            </w:r>
          </w:p>
        </w:tc>
        <w:tc>
          <w:tcPr>
            <w:tcW w:w="1241" w:type="dxa"/>
          </w:tcPr>
          <w:p w14:paraId="7A011888" w14:textId="77777777" w:rsidR="00047A3A" w:rsidRDefault="00047A3A" w:rsidP="00AF3E26">
            <w:pPr>
              <w:pStyle w:val="TableText"/>
              <w:jc w:val="center"/>
            </w:pPr>
            <w:r>
              <w:t>03.11.21</w:t>
            </w:r>
          </w:p>
        </w:tc>
      </w:tr>
    </w:tbl>
    <w:p w14:paraId="6A4A1DEB" w14:textId="77777777" w:rsidR="00047A3A" w:rsidRDefault="00047A3A" w:rsidP="00047A3A">
      <w:pPr>
        <w:pStyle w:val="Caption"/>
      </w:pPr>
    </w:p>
    <w:p w14:paraId="386ABB41" w14:textId="77777777" w:rsidR="00047A3A" w:rsidRDefault="00047A3A" w:rsidP="00047A3A">
      <w:pPr>
        <w:pStyle w:val="Caption"/>
      </w:pPr>
      <w:r>
        <w:t>Questions taken on Notice 29 October 2021</w:t>
      </w:r>
    </w:p>
    <w:tbl>
      <w:tblPr>
        <w:tblStyle w:val="CommitteeTable"/>
        <w:tblW w:w="0" w:type="auto"/>
        <w:tblInd w:w="108" w:type="dxa"/>
        <w:tblLook w:val="04A0" w:firstRow="1" w:lastRow="0" w:firstColumn="1" w:lastColumn="0" w:noHBand="0" w:noVBand="1"/>
      </w:tblPr>
      <w:tblGrid>
        <w:gridCol w:w="691"/>
        <w:gridCol w:w="1108"/>
        <w:gridCol w:w="1498"/>
        <w:gridCol w:w="1655"/>
        <w:gridCol w:w="2781"/>
        <w:gridCol w:w="1220"/>
      </w:tblGrid>
      <w:tr w:rsidR="00047A3A" w14:paraId="7C8AEF9B" w14:textId="77777777" w:rsidTr="00AF3E26">
        <w:trPr>
          <w:cnfStyle w:val="100000000000" w:firstRow="1" w:lastRow="0" w:firstColumn="0" w:lastColumn="0" w:oddVBand="0" w:evenVBand="0" w:oddHBand="0" w:evenHBand="0" w:firstRowFirstColumn="0" w:firstRowLastColumn="0" w:lastRowFirstColumn="0" w:lastRowLastColumn="0"/>
        </w:trPr>
        <w:tc>
          <w:tcPr>
            <w:tcW w:w="691" w:type="dxa"/>
          </w:tcPr>
          <w:p w14:paraId="719E8241"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No</w:t>
            </w:r>
            <w:bookmarkStart w:id="153" w:name="ColumnTitle_QoN2"/>
            <w:bookmarkEnd w:id="153"/>
            <w:r w:rsidRPr="00640E82">
              <w:rPr>
                <w:rFonts w:ascii="Arial Narrow" w:hAnsi="Arial Narrow"/>
              </w:rPr>
              <w:t>.</w:t>
            </w:r>
          </w:p>
        </w:tc>
        <w:tc>
          <w:tcPr>
            <w:tcW w:w="1108" w:type="dxa"/>
          </w:tcPr>
          <w:p w14:paraId="68F7E90D"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Hearing date</w:t>
            </w:r>
          </w:p>
        </w:tc>
        <w:tc>
          <w:tcPr>
            <w:tcW w:w="1498" w:type="dxa"/>
          </w:tcPr>
          <w:p w14:paraId="09B4983A"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Asked by</w:t>
            </w:r>
          </w:p>
        </w:tc>
        <w:tc>
          <w:tcPr>
            <w:tcW w:w="1655" w:type="dxa"/>
          </w:tcPr>
          <w:p w14:paraId="7040B040"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2781" w:type="dxa"/>
          </w:tcPr>
          <w:p w14:paraId="7CB67684" w14:textId="77777777" w:rsidR="00047A3A" w:rsidRPr="00640E82" w:rsidRDefault="00047A3A" w:rsidP="00AF3E26">
            <w:pPr>
              <w:spacing w:after="80" w:line="288" w:lineRule="auto"/>
              <w:rPr>
                <w:rFonts w:ascii="Arial Narrow" w:hAnsi="Arial Narrow"/>
              </w:rPr>
            </w:pPr>
            <w:r w:rsidRPr="00640E82">
              <w:rPr>
                <w:rFonts w:ascii="Arial Narrow" w:hAnsi="Arial Narrow"/>
              </w:rPr>
              <w:t>Subject</w:t>
            </w:r>
          </w:p>
        </w:tc>
        <w:tc>
          <w:tcPr>
            <w:tcW w:w="1220" w:type="dxa"/>
          </w:tcPr>
          <w:p w14:paraId="7EED9C1D"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Answer date</w:t>
            </w:r>
          </w:p>
        </w:tc>
      </w:tr>
      <w:tr w:rsidR="00047A3A" w14:paraId="62DCA859"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7916FCE0" w14:textId="77777777" w:rsidR="00047A3A" w:rsidRDefault="00047A3A" w:rsidP="00AF3E26">
            <w:pPr>
              <w:pStyle w:val="TableText"/>
              <w:jc w:val="center"/>
            </w:pPr>
            <w:r>
              <w:t>25</w:t>
            </w:r>
          </w:p>
        </w:tc>
        <w:tc>
          <w:tcPr>
            <w:tcW w:w="1108" w:type="dxa"/>
          </w:tcPr>
          <w:p w14:paraId="01F0090D" w14:textId="77777777" w:rsidR="00047A3A" w:rsidRDefault="00047A3A" w:rsidP="00AF3E26">
            <w:pPr>
              <w:pStyle w:val="TableText"/>
              <w:jc w:val="center"/>
            </w:pPr>
            <w:r>
              <w:t>29.10.21</w:t>
            </w:r>
          </w:p>
        </w:tc>
        <w:tc>
          <w:tcPr>
            <w:tcW w:w="1498" w:type="dxa"/>
          </w:tcPr>
          <w:p w14:paraId="7097EBF2" w14:textId="77777777" w:rsidR="00047A3A" w:rsidRDefault="00047A3A" w:rsidP="00AF3E26">
            <w:pPr>
              <w:pStyle w:val="TableText"/>
              <w:jc w:val="center"/>
            </w:pPr>
            <w:r>
              <w:t>Davis</w:t>
            </w:r>
          </w:p>
        </w:tc>
        <w:tc>
          <w:tcPr>
            <w:tcW w:w="1655" w:type="dxa"/>
          </w:tcPr>
          <w:p w14:paraId="0F4393E9" w14:textId="77777777" w:rsidR="00047A3A" w:rsidRDefault="00047A3A" w:rsidP="00AF3E26">
            <w:pPr>
              <w:pStyle w:val="TableText"/>
              <w:jc w:val="center"/>
            </w:pPr>
            <w:r>
              <w:t>CSD</w:t>
            </w:r>
          </w:p>
        </w:tc>
        <w:tc>
          <w:tcPr>
            <w:tcW w:w="2781" w:type="dxa"/>
          </w:tcPr>
          <w:p w14:paraId="2E8E18E7" w14:textId="77777777" w:rsidR="00047A3A" w:rsidRDefault="00047A3A" w:rsidP="00AF3E26">
            <w:pPr>
              <w:pStyle w:val="TableText"/>
            </w:pPr>
            <w:r w:rsidRPr="0069498D">
              <w:t>There is currently a development that has had those nice purple signs on it for a little while now, directly adjacent to the North Wanniassa shops. Are you able to provide a specific update on that development?</w:t>
            </w:r>
          </w:p>
        </w:tc>
        <w:tc>
          <w:tcPr>
            <w:tcW w:w="1220" w:type="dxa"/>
          </w:tcPr>
          <w:p w14:paraId="1C5E25CB" w14:textId="77777777" w:rsidR="00047A3A" w:rsidRDefault="00047A3A" w:rsidP="00AF3E26">
            <w:pPr>
              <w:pStyle w:val="TableText"/>
              <w:jc w:val="center"/>
            </w:pPr>
            <w:r>
              <w:t>05.11.21</w:t>
            </w:r>
          </w:p>
        </w:tc>
      </w:tr>
      <w:tr w:rsidR="00047A3A" w14:paraId="2DC11A66" w14:textId="77777777" w:rsidTr="00AF3E26">
        <w:tc>
          <w:tcPr>
            <w:tcW w:w="691" w:type="dxa"/>
          </w:tcPr>
          <w:p w14:paraId="463342BC" w14:textId="77777777" w:rsidR="00047A3A" w:rsidRDefault="00047A3A" w:rsidP="00AF3E26">
            <w:pPr>
              <w:pStyle w:val="TableText"/>
              <w:jc w:val="center"/>
            </w:pPr>
            <w:r>
              <w:t>26</w:t>
            </w:r>
          </w:p>
        </w:tc>
        <w:tc>
          <w:tcPr>
            <w:tcW w:w="1108" w:type="dxa"/>
          </w:tcPr>
          <w:p w14:paraId="37940F6C" w14:textId="77777777" w:rsidR="00047A3A" w:rsidRDefault="00047A3A" w:rsidP="00AF3E26">
            <w:pPr>
              <w:pStyle w:val="TableText"/>
              <w:jc w:val="center"/>
            </w:pPr>
            <w:r>
              <w:t>29.10.21</w:t>
            </w:r>
          </w:p>
        </w:tc>
        <w:tc>
          <w:tcPr>
            <w:tcW w:w="1498" w:type="dxa"/>
          </w:tcPr>
          <w:p w14:paraId="46207601" w14:textId="77777777" w:rsidR="00047A3A" w:rsidRDefault="00047A3A" w:rsidP="00AF3E26">
            <w:pPr>
              <w:pStyle w:val="TableText"/>
              <w:jc w:val="center"/>
            </w:pPr>
            <w:r>
              <w:t>Parton</w:t>
            </w:r>
          </w:p>
        </w:tc>
        <w:tc>
          <w:tcPr>
            <w:tcW w:w="1655" w:type="dxa"/>
          </w:tcPr>
          <w:p w14:paraId="665BE10C" w14:textId="77777777" w:rsidR="00047A3A" w:rsidRDefault="00047A3A" w:rsidP="00AF3E26">
            <w:pPr>
              <w:pStyle w:val="TableText"/>
              <w:jc w:val="center"/>
            </w:pPr>
            <w:r>
              <w:t>CSD</w:t>
            </w:r>
          </w:p>
        </w:tc>
        <w:tc>
          <w:tcPr>
            <w:tcW w:w="2781" w:type="dxa"/>
          </w:tcPr>
          <w:p w14:paraId="6DD57DA5" w14:textId="77777777" w:rsidR="00047A3A" w:rsidRDefault="00047A3A" w:rsidP="00AF3E26">
            <w:pPr>
              <w:pStyle w:val="TableText"/>
            </w:pPr>
            <w:proofErr w:type="gramStart"/>
            <w:r w:rsidRPr="0069498D">
              <w:t>So</w:t>
            </w:r>
            <w:proofErr w:type="gramEnd"/>
            <w:r w:rsidRPr="0069498D">
              <w:t xml:space="preserve"> we have gone from 43 per cent to 94 per cent [of work orders completed]. Are you able to explain why there is such an astronomical improvement? Has the methodology for calculating these figures changed?</w:t>
            </w:r>
          </w:p>
        </w:tc>
        <w:tc>
          <w:tcPr>
            <w:tcW w:w="1220" w:type="dxa"/>
          </w:tcPr>
          <w:p w14:paraId="32421F8C" w14:textId="77777777" w:rsidR="00047A3A" w:rsidRDefault="00047A3A" w:rsidP="00AF3E26">
            <w:pPr>
              <w:pStyle w:val="TableText"/>
              <w:jc w:val="center"/>
            </w:pPr>
            <w:r>
              <w:t>02.11.21</w:t>
            </w:r>
          </w:p>
        </w:tc>
      </w:tr>
      <w:tr w:rsidR="00047A3A" w14:paraId="66E18238"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641E7B0B" w14:textId="77777777" w:rsidR="00047A3A" w:rsidRDefault="00047A3A" w:rsidP="00AF3E26">
            <w:pPr>
              <w:pStyle w:val="TableText"/>
              <w:jc w:val="center"/>
            </w:pPr>
            <w:r>
              <w:t>27</w:t>
            </w:r>
          </w:p>
        </w:tc>
        <w:tc>
          <w:tcPr>
            <w:tcW w:w="1108" w:type="dxa"/>
          </w:tcPr>
          <w:p w14:paraId="0063337C" w14:textId="77777777" w:rsidR="00047A3A" w:rsidRDefault="00047A3A" w:rsidP="00AF3E26">
            <w:pPr>
              <w:pStyle w:val="TableText"/>
              <w:jc w:val="center"/>
            </w:pPr>
            <w:r>
              <w:t>29.10.21</w:t>
            </w:r>
          </w:p>
        </w:tc>
        <w:tc>
          <w:tcPr>
            <w:tcW w:w="1498" w:type="dxa"/>
          </w:tcPr>
          <w:p w14:paraId="78BAD165" w14:textId="77777777" w:rsidR="00047A3A" w:rsidRDefault="00047A3A" w:rsidP="00AF3E26">
            <w:pPr>
              <w:pStyle w:val="TableText"/>
              <w:jc w:val="center"/>
            </w:pPr>
            <w:r>
              <w:t>Kikkert</w:t>
            </w:r>
          </w:p>
        </w:tc>
        <w:tc>
          <w:tcPr>
            <w:tcW w:w="1655" w:type="dxa"/>
          </w:tcPr>
          <w:p w14:paraId="31FFF61F" w14:textId="77777777" w:rsidR="00047A3A" w:rsidRDefault="00047A3A" w:rsidP="00AF3E26">
            <w:pPr>
              <w:pStyle w:val="TableText"/>
              <w:jc w:val="center"/>
            </w:pPr>
            <w:r>
              <w:t>CSD</w:t>
            </w:r>
          </w:p>
        </w:tc>
        <w:tc>
          <w:tcPr>
            <w:tcW w:w="2781" w:type="dxa"/>
          </w:tcPr>
          <w:p w14:paraId="4391D0D0" w14:textId="77777777" w:rsidR="00047A3A" w:rsidRDefault="00047A3A" w:rsidP="00AF3E26">
            <w:pPr>
              <w:pStyle w:val="TableText"/>
            </w:pPr>
            <w:r w:rsidRPr="0069498D">
              <w:t>Would it be okay if you let us know how many men have been offered crisis accommodation?</w:t>
            </w:r>
          </w:p>
        </w:tc>
        <w:tc>
          <w:tcPr>
            <w:tcW w:w="1220" w:type="dxa"/>
          </w:tcPr>
          <w:p w14:paraId="4C049554" w14:textId="77777777" w:rsidR="00047A3A" w:rsidRDefault="00047A3A" w:rsidP="00AF3E26">
            <w:pPr>
              <w:pStyle w:val="TableText"/>
              <w:jc w:val="center"/>
            </w:pPr>
          </w:p>
        </w:tc>
      </w:tr>
      <w:tr w:rsidR="00047A3A" w14:paraId="730E93C5" w14:textId="77777777" w:rsidTr="00AF3E26">
        <w:tc>
          <w:tcPr>
            <w:tcW w:w="691" w:type="dxa"/>
          </w:tcPr>
          <w:p w14:paraId="744D7BDA" w14:textId="77777777" w:rsidR="00047A3A" w:rsidRDefault="00047A3A" w:rsidP="00AF3E26">
            <w:pPr>
              <w:pStyle w:val="TableText"/>
              <w:jc w:val="center"/>
            </w:pPr>
            <w:r>
              <w:t>28</w:t>
            </w:r>
          </w:p>
        </w:tc>
        <w:tc>
          <w:tcPr>
            <w:tcW w:w="1108" w:type="dxa"/>
          </w:tcPr>
          <w:p w14:paraId="5B954E68" w14:textId="77777777" w:rsidR="00047A3A" w:rsidRDefault="00047A3A" w:rsidP="00AF3E26">
            <w:pPr>
              <w:pStyle w:val="TableText"/>
              <w:jc w:val="center"/>
            </w:pPr>
            <w:r>
              <w:t>29.10.21</w:t>
            </w:r>
          </w:p>
        </w:tc>
        <w:tc>
          <w:tcPr>
            <w:tcW w:w="1498" w:type="dxa"/>
          </w:tcPr>
          <w:p w14:paraId="09EDE17F" w14:textId="77777777" w:rsidR="00047A3A" w:rsidRDefault="00047A3A" w:rsidP="00AF3E26">
            <w:pPr>
              <w:pStyle w:val="TableText"/>
              <w:jc w:val="center"/>
            </w:pPr>
            <w:r>
              <w:t>Kikkert</w:t>
            </w:r>
          </w:p>
        </w:tc>
        <w:tc>
          <w:tcPr>
            <w:tcW w:w="1655" w:type="dxa"/>
          </w:tcPr>
          <w:p w14:paraId="05F08654" w14:textId="77777777" w:rsidR="00047A3A" w:rsidRDefault="00047A3A" w:rsidP="00AF3E26">
            <w:pPr>
              <w:pStyle w:val="TableText"/>
              <w:jc w:val="center"/>
            </w:pPr>
            <w:r>
              <w:t>CSD</w:t>
            </w:r>
          </w:p>
        </w:tc>
        <w:tc>
          <w:tcPr>
            <w:tcW w:w="2781" w:type="dxa"/>
          </w:tcPr>
          <w:p w14:paraId="775DF90A" w14:textId="77777777" w:rsidR="00047A3A" w:rsidRDefault="00047A3A" w:rsidP="00AF3E26">
            <w:pPr>
              <w:pStyle w:val="TableText"/>
            </w:pPr>
            <w:r w:rsidRPr="0069498D">
              <w:t>Thank you. Could you also take on notice how many men contact the DVCS for support? Not only for crisis accommodation, but also for support because they are victims of domestic violence.</w:t>
            </w:r>
          </w:p>
        </w:tc>
        <w:tc>
          <w:tcPr>
            <w:tcW w:w="1220" w:type="dxa"/>
          </w:tcPr>
          <w:p w14:paraId="6B27DB22" w14:textId="77777777" w:rsidR="00047A3A" w:rsidRDefault="00047A3A" w:rsidP="00AF3E26">
            <w:pPr>
              <w:pStyle w:val="TableText"/>
              <w:jc w:val="center"/>
            </w:pPr>
          </w:p>
        </w:tc>
      </w:tr>
      <w:tr w:rsidR="00047A3A" w14:paraId="30296D7E"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1147E67A" w14:textId="77777777" w:rsidR="00047A3A" w:rsidRDefault="00047A3A" w:rsidP="00AF3E26">
            <w:pPr>
              <w:pStyle w:val="TableText"/>
              <w:jc w:val="center"/>
            </w:pPr>
            <w:r>
              <w:t>29</w:t>
            </w:r>
          </w:p>
        </w:tc>
        <w:tc>
          <w:tcPr>
            <w:tcW w:w="1108" w:type="dxa"/>
          </w:tcPr>
          <w:p w14:paraId="0E619E2E" w14:textId="77777777" w:rsidR="00047A3A" w:rsidRDefault="00047A3A" w:rsidP="00AF3E26">
            <w:pPr>
              <w:pStyle w:val="TableText"/>
              <w:jc w:val="center"/>
            </w:pPr>
            <w:r>
              <w:t>29.10.21</w:t>
            </w:r>
          </w:p>
        </w:tc>
        <w:tc>
          <w:tcPr>
            <w:tcW w:w="1498" w:type="dxa"/>
          </w:tcPr>
          <w:p w14:paraId="51FE059B" w14:textId="77777777" w:rsidR="00047A3A" w:rsidRDefault="00047A3A" w:rsidP="00AF3E26">
            <w:pPr>
              <w:pStyle w:val="TableText"/>
              <w:jc w:val="center"/>
            </w:pPr>
            <w:r>
              <w:t>Kikkert</w:t>
            </w:r>
          </w:p>
        </w:tc>
        <w:tc>
          <w:tcPr>
            <w:tcW w:w="1655" w:type="dxa"/>
          </w:tcPr>
          <w:p w14:paraId="1929DC4F" w14:textId="77777777" w:rsidR="00047A3A" w:rsidRDefault="00047A3A" w:rsidP="00AF3E26">
            <w:pPr>
              <w:pStyle w:val="TableText"/>
              <w:jc w:val="center"/>
            </w:pPr>
            <w:r>
              <w:t>CSDF</w:t>
            </w:r>
          </w:p>
        </w:tc>
        <w:tc>
          <w:tcPr>
            <w:tcW w:w="2781" w:type="dxa"/>
          </w:tcPr>
          <w:p w14:paraId="75F583BC" w14:textId="77777777" w:rsidR="00047A3A" w:rsidRDefault="00047A3A" w:rsidP="00AF3E26">
            <w:pPr>
              <w:pStyle w:val="TableText"/>
            </w:pPr>
            <w:r w:rsidRPr="0069498D">
              <w:t>How many victims, male victims of domestic violence, who have wanted access to One Link to support them in their crisis?</w:t>
            </w:r>
          </w:p>
        </w:tc>
        <w:tc>
          <w:tcPr>
            <w:tcW w:w="1220" w:type="dxa"/>
          </w:tcPr>
          <w:p w14:paraId="66CBB69C" w14:textId="77777777" w:rsidR="00047A3A" w:rsidRDefault="00047A3A" w:rsidP="00AF3E26">
            <w:pPr>
              <w:pStyle w:val="TableText"/>
              <w:jc w:val="center"/>
            </w:pPr>
          </w:p>
        </w:tc>
      </w:tr>
    </w:tbl>
    <w:p w14:paraId="405A470D" w14:textId="77777777" w:rsidR="00047A3A" w:rsidRDefault="00047A3A" w:rsidP="00047A3A"/>
    <w:p w14:paraId="6264941D" w14:textId="77777777" w:rsidR="00047A3A" w:rsidRDefault="00047A3A" w:rsidP="00047A3A">
      <w:pPr>
        <w:pStyle w:val="Caption"/>
      </w:pPr>
      <w:r>
        <w:t>Questions on Notice 20 October 2021</w:t>
      </w:r>
    </w:p>
    <w:tbl>
      <w:tblPr>
        <w:tblStyle w:val="CommitteeTable"/>
        <w:tblW w:w="0" w:type="auto"/>
        <w:tblInd w:w="108" w:type="dxa"/>
        <w:tblLook w:val="04A0" w:firstRow="1" w:lastRow="0" w:firstColumn="1" w:lastColumn="0" w:noHBand="0" w:noVBand="1"/>
      </w:tblPr>
      <w:tblGrid>
        <w:gridCol w:w="691"/>
        <w:gridCol w:w="1108"/>
        <w:gridCol w:w="1498"/>
        <w:gridCol w:w="1655"/>
        <w:gridCol w:w="2781"/>
        <w:gridCol w:w="1220"/>
      </w:tblGrid>
      <w:tr w:rsidR="00047A3A" w14:paraId="4706E3EC" w14:textId="77777777" w:rsidTr="00AF3E26">
        <w:trPr>
          <w:cnfStyle w:val="100000000000" w:firstRow="1" w:lastRow="0" w:firstColumn="0" w:lastColumn="0" w:oddVBand="0" w:evenVBand="0" w:oddHBand="0" w:evenHBand="0" w:firstRowFirstColumn="0" w:firstRowLastColumn="0" w:lastRowFirstColumn="0" w:lastRowLastColumn="0"/>
        </w:trPr>
        <w:tc>
          <w:tcPr>
            <w:tcW w:w="691" w:type="dxa"/>
          </w:tcPr>
          <w:p w14:paraId="479306EF"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No.</w:t>
            </w:r>
          </w:p>
        </w:tc>
        <w:tc>
          <w:tcPr>
            <w:tcW w:w="1108" w:type="dxa"/>
          </w:tcPr>
          <w:p w14:paraId="6E7DD5F7"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Hearing date</w:t>
            </w:r>
          </w:p>
        </w:tc>
        <w:tc>
          <w:tcPr>
            <w:tcW w:w="1498" w:type="dxa"/>
          </w:tcPr>
          <w:p w14:paraId="6C864815"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Asked by</w:t>
            </w:r>
          </w:p>
        </w:tc>
        <w:tc>
          <w:tcPr>
            <w:tcW w:w="1655" w:type="dxa"/>
          </w:tcPr>
          <w:p w14:paraId="7688486F"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2781" w:type="dxa"/>
          </w:tcPr>
          <w:p w14:paraId="654FBF6F" w14:textId="77777777" w:rsidR="00047A3A" w:rsidRPr="00640E82" w:rsidRDefault="00047A3A" w:rsidP="00AF3E26">
            <w:pPr>
              <w:spacing w:after="80" w:line="288" w:lineRule="auto"/>
              <w:rPr>
                <w:rFonts w:ascii="Arial Narrow" w:hAnsi="Arial Narrow"/>
              </w:rPr>
            </w:pPr>
            <w:r w:rsidRPr="00640E82">
              <w:rPr>
                <w:rFonts w:ascii="Arial Narrow" w:hAnsi="Arial Narrow"/>
              </w:rPr>
              <w:t>Subject</w:t>
            </w:r>
          </w:p>
        </w:tc>
        <w:tc>
          <w:tcPr>
            <w:tcW w:w="1220" w:type="dxa"/>
          </w:tcPr>
          <w:p w14:paraId="3F7001EE"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Answer date</w:t>
            </w:r>
          </w:p>
        </w:tc>
      </w:tr>
      <w:tr w:rsidR="00047A3A" w14:paraId="0BAC1009"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6E62B41E" w14:textId="77777777" w:rsidR="00047A3A" w:rsidRDefault="00047A3A" w:rsidP="00AF3E26">
            <w:pPr>
              <w:pStyle w:val="TableText"/>
              <w:jc w:val="center"/>
            </w:pPr>
            <w:r>
              <w:t>1</w:t>
            </w:r>
          </w:p>
        </w:tc>
        <w:tc>
          <w:tcPr>
            <w:tcW w:w="1108" w:type="dxa"/>
          </w:tcPr>
          <w:p w14:paraId="5BA4C581" w14:textId="77777777" w:rsidR="00047A3A" w:rsidRDefault="00047A3A" w:rsidP="00AF3E26">
            <w:pPr>
              <w:pStyle w:val="TableText"/>
              <w:jc w:val="center"/>
            </w:pPr>
            <w:r>
              <w:t>20.10.21</w:t>
            </w:r>
          </w:p>
        </w:tc>
        <w:tc>
          <w:tcPr>
            <w:tcW w:w="1498" w:type="dxa"/>
          </w:tcPr>
          <w:p w14:paraId="5B39C133" w14:textId="77777777" w:rsidR="00047A3A" w:rsidRDefault="00047A3A" w:rsidP="00AF3E26">
            <w:pPr>
              <w:pStyle w:val="TableText"/>
              <w:jc w:val="center"/>
            </w:pPr>
            <w:r>
              <w:t>Clay</w:t>
            </w:r>
          </w:p>
        </w:tc>
        <w:tc>
          <w:tcPr>
            <w:tcW w:w="1655" w:type="dxa"/>
          </w:tcPr>
          <w:p w14:paraId="51B5AB7A" w14:textId="77777777" w:rsidR="00047A3A" w:rsidRDefault="00047A3A" w:rsidP="00AF3E26">
            <w:pPr>
              <w:pStyle w:val="TableText"/>
              <w:jc w:val="center"/>
            </w:pPr>
            <w:r>
              <w:t>Justice Health</w:t>
            </w:r>
          </w:p>
        </w:tc>
        <w:tc>
          <w:tcPr>
            <w:tcW w:w="2781" w:type="dxa"/>
          </w:tcPr>
          <w:p w14:paraId="41803B04" w14:textId="77777777" w:rsidR="00047A3A" w:rsidRDefault="00047A3A" w:rsidP="00AF3E26">
            <w:pPr>
              <w:pStyle w:val="TableText"/>
            </w:pPr>
            <w:r w:rsidRPr="00196D1C">
              <w:t>Justice Health gender impact analysis</w:t>
            </w:r>
          </w:p>
        </w:tc>
        <w:tc>
          <w:tcPr>
            <w:tcW w:w="1220" w:type="dxa"/>
          </w:tcPr>
          <w:p w14:paraId="6F64DE2B" w14:textId="77777777" w:rsidR="00047A3A" w:rsidRDefault="00047A3A" w:rsidP="00AF3E26">
            <w:pPr>
              <w:pStyle w:val="TableText"/>
              <w:jc w:val="center"/>
            </w:pPr>
            <w:r>
              <w:t>09.11.21</w:t>
            </w:r>
          </w:p>
        </w:tc>
      </w:tr>
      <w:tr w:rsidR="00047A3A" w14:paraId="1B9EBF05" w14:textId="77777777" w:rsidTr="00AF3E26">
        <w:tc>
          <w:tcPr>
            <w:tcW w:w="691" w:type="dxa"/>
          </w:tcPr>
          <w:p w14:paraId="62EFD8D9" w14:textId="77777777" w:rsidR="00047A3A" w:rsidRDefault="00047A3A" w:rsidP="00AF3E26">
            <w:pPr>
              <w:pStyle w:val="TableText"/>
              <w:jc w:val="center"/>
            </w:pPr>
            <w:r>
              <w:t>2</w:t>
            </w:r>
          </w:p>
        </w:tc>
        <w:tc>
          <w:tcPr>
            <w:tcW w:w="1108" w:type="dxa"/>
          </w:tcPr>
          <w:p w14:paraId="265EE3C9" w14:textId="77777777" w:rsidR="00047A3A" w:rsidRDefault="00047A3A" w:rsidP="00AF3E26">
            <w:pPr>
              <w:pStyle w:val="TableText"/>
              <w:jc w:val="center"/>
            </w:pPr>
            <w:r>
              <w:t>20.10.21</w:t>
            </w:r>
          </w:p>
        </w:tc>
        <w:tc>
          <w:tcPr>
            <w:tcW w:w="1498" w:type="dxa"/>
          </w:tcPr>
          <w:p w14:paraId="21555F87" w14:textId="77777777" w:rsidR="00047A3A" w:rsidRDefault="00047A3A" w:rsidP="00AF3E26">
            <w:pPr>
              <w:pStyle w:val="TableText"/>
              <w:jc w:val="center"/>
            </w:pPr>
            <w:r>
              <w:t>Clay</w:t>
            </w:r>
          </w:p>
        </w:tc>
        <w:tc>
          <w:tcPr>
            <w:tcW w:w="1655" w:type="dxa"/>
          </w:tcPr>
          <w:p w14:paraId="633E78C9" w14:textId="77777777" w:rsidR="00047A3A" w:rsidRDefault="00047A3A" w:rsidP="00AF3E26">
            <w:pPr>
              <w:pStyle w:val="TableText"/>
              <w:jc w:val="center"/>
            </w:pPr>
            <w:r>
              <w:t>Mental Health</w:t>
            </w:r>
          </w:p>
        </w:tc>
        <w:tc>
          <w:tcPr>
            <w:tcW w:w="2781" w:type="dxa"/>
          </w:tcPr>
          <w:p w14:paraId="6EACA071" w14:textId="77777777" w:rsidR="00047A3A" w:rsidRDefault="00047A3A" w:rsidP="00AF3E26">
            <w:pPr>
              <w:pStyle w:val="TableText"/>
            </w:pPr>
            <w:r>
              <w:t>Mental</w:t>
            </w:r>
            <w:r w:rsidRPr="00196D1C">
              <w:t xml:space="preserve"> Health gender impact analysis</w:t>
            </w:r>
          </w:p>
        </w:tc>
        <w:tc>
          <w:tcPr>
            <w:tcW w:w="1220" w:type="dxa"/>
          </w:tcPr>
          <w:p w14:paraId="6F93FEB1" w14:textId="77777777" w:rsidR="00047A3A" w:rsidRDefault="00047A3A" w:rsidP="00AF3E26">
            <w:pPr>
              <w:pStyle w:val="TableText"/>
              <w:jc w:val="center"/>
            </w:pPr>
            <w:r>
              <w:t>09.11.21</w:t>
            </w:r>
          </w:p>
        </w:tc>
      </w:tr>
      <w:tr w:rsidR="00047A3A" w14:paraId="3CA1ED22"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3412D9E4" w14:textId="77777777" w:rsidR="00047A3A" w:rsidRDefault="00047A3A" w:rsidP="00AF3E26">
            <w:pPr>
              <w:pStyle w:val="TableText"/>
              <w:jc w:val="center"/>
            </w:pPr>
            <w:r>
              <w:t>8</w:t>
            </w:r>
          </w:p>
        </w:tc>
        <w:tc>
          <w:tcPr>
            <w:tcW w:w="1108" w:type="dxa"/>
          </w:tcPr>
          <w:p w14:paraId="523DC6B6" w14:textId="77777777" w:rsidR="00047A3A" w:rsidRDefault="00047A3A" w:rsidP="00AF3E26">
            <w:pPr>
              <w:pStyle w:val="TableText"/>
              <w:jc w:val="center"/>
            </w:pPr>
            <w:r>
              <w:t>20.10.21</w:t>
            </w:r>
          </w:p>
        </w:tc>
        <w:tc>
          <w:tcPr>
            <w:tcW w:w="1498" w:type="dxa"/>
          </w:tcPr>
          <w:p w14:paraId="26FD0784" w14:textId="77777777" w:rsidR="00047A3A" w:rsidRDefault="00047A3A" w:rsidP="00AF3E26">
            <w:pPr>
              <w:pStyle w:val="TableText"/>
              <w:jc w:val="center"/>
            </w:pPr>
            <w:r>
              <w:t>Kikkert</w:t>
            </w:r>
          </w:p>
        </w:tc>
        <w:tc>
          <w:tcPr>
            <w:tcW w:w="1655" w:type="dxa"/>
          </w:tcPr>
          <w:p w14:paraId="54160CCC" w14:textId="77777777" w:rsidR="00047A3A" w:rsidRDefault="00047A3A" w:rsidP="00AF3E26">
            <w:pPr>
              <w:pStyle w:val="TableText"/>
              <w:jc w:val="center"/>
            </w:pPr>
            <w:r>
              <w:t>Justice Health</w:t>
            </w:r>
          </w:p>
        </w:tc>
        <w:tc>
          <w:tcPr>
            <w:tcW w:w="2781" w:type="dxa"/>
          </w:tcPr>
          <w:p w14:paraId="6CF5D0A3" w14:textId="77777777" w:rsidR="00047A3A" w:rsidRDefault="00047A3A" w:rsidP="00AF3E26">
            <w:pPr>
              <w:pStyle w:val="TableText"/>
            </w:pPr>
            <w:r w:rsidRPr="00196D1C">
              <w:t>Hospitalisation Procedures</w:t>
            </w:r>
          </w:p>
        </w:tc>
        <w:tc>
          <w:tcPr>
            <w:tcW w:w="1220" w:type="dxa"/>
          </w:tcPr>
          <w:p w14:paraId="2D51F7F3" w14:textId="77777777" w:rsidR="00047A3A" w:rsidRDefault="00047A3A" w:rsidP="00AF3E26">
            <w:pPr>
              <w:pStyle w:val="TableText"/>
              <w:jc w:val="center"/>
            </w:pPr>
          </w:p>
        </w:tc>
      </w:tr>
      <w:tr w:rsidR="00047A3A" w14:paraId="4F423F52" w14:textId="77777777" w:rsidTr="00AF3E26">
        <w:tc>
          <w:tcPr>
            <w:tcW w:w="691" w:type="dxa"/>
          </w:tcPr>
          <w:p w14:paraId="2B13129C" w14:textId="77777777" w:rsidR="00047A3A" w:rsidRDefault="00047A3A" w:rsidP="00AF3E26">
            <w:pPr>
              <w:pStyle w:val="TableText"/>
              <w:jc w:val="center"/>
            </w:pPr>
            <w:r>
              <w:t>9</w:t>
            </w:r>
          </w:p>
        </w:tc>
        <w:tc>
          <w:tcPr>
            <w:tcW w:w="1108" w:type="dxa"/>
          </w:tcPr>
          <w:p w14:paraId="15BDBBAC" w14:textId="77777777" w:rsidR="00047A3A" w:rsidRDefault="00047A3A" w:rsidP="00AF3E26">
            <w:pPr>
              <w:pStyle w:val="TableText"/>
              <w:jc w:val="center"/>
            </w:pPr>
            <w:r>
              <w:t>20.10.21</w:t>
            </w:r>
          </w:p>
        </w:tc>
        <w:tc>
          <w:tcPr>
            <w:tcW w:w="1498" w:type="dxa"/>
          </w:tcPr>
          <w:p w14:paraId="2AD57686" w14:textId="77777777" w:rsidR="00047A3A" w:rsidRDefault="00047A3A" w:rsidP="00AF3E26">
            <w:pPr>
              <w:pStyle w:val="TableText"/>
              <w:jc w:val="center"/>
            </w:pPr>
            <w:r>
              <w:t>Kikkert</w:t>
            </w:r>
          </w:p>
        </w:tc>
        <w:tc>
          <w:tcPr>
            <w:tcW w:w="1655" w:type="dxa"/>
          </w:tcPr>
          <w:p w14:paraId="5A30BFA1" w14:textId="77777777" w:rsidR="00047A3A" w:rsidRDefault="00047A3A" w:rsidP="00AF3E26">
            <w:pPr>
              <w:pStyle w:val="TableText"/>
              <w:jc w:val="center"/>
            </w:pPr>
            <w:r>
              <w:t>Justice Health</w:t>
            </w:r>
          </w:p>
        </w:tc>
        <w:tc>
          <w:tcPr>
            <w:tcW w:w="2781" w:type="dxa"/>
          </w:tcPr>
          <w:p w14:paraId="1B34723C" w14:textId="77777777" w:rsidR="00047A3A" w:rsidRDefault="00047A3A" w:rsidP="00AF3E26">
            <w:pPr>
              <w:pStyle w:val="TableText"/>
            </w:pPr>
            <w:r w:rsidRPr="00FB0FF7">
              <w:t>Justice Health</w:t>
            </w:r>
            <w:r>
              <w:t xml:space="preserve"> Funding</w:t>
            </w:r>
          </w:p>
        </w:tc>
        <w:tc>
          <w:tcPr>
            <w:tcW w:w="1220" w:type="dxa"/>
          </w:tcPr>
          <w:p w14:paraId="460F2D1B" w14:textId="77777777" w:rsidR="00047A3A" w:rsidRDefault="00047A3A" w:rsidP="00AF3E26">
            <w:pPr>
              <w:pStyle w:val="TableText"/>
              <w:jc w:val="center"/>
            </w:pPr>
            <w:r>
              <w:t>10.11.21</w:t>
            </w:r>
          </w:p>
        </w:tc>
      </w:tr>
      <w:tr w:rsidR="00047A3A" w14:paraId="58447F33"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3B8416D0" w14:textId="77777777" w:rsidR="00047A3A" w:rsidRDefault="00047A3A" w:rsidP="00AF3E26">
            <w:pPr>
              <w:pStyle w:val="TableText"/>
              <w:jc w:val="center"/>
            </w:pPr>
            <w:r>
              <w:t>10</w:t>
            </w:r>
          </w:p>
        </w:tc>
        <w:tc>
          <w:tcPr>
            <w:tcW w:w="1108" w:type="dxa"/>
          </w:tcPr>
          <w:p w14:paraId="556C043A" w14:textId="77777777" w:rsidR="00047A3A" w:rsidRDefault="00047A3A" w:rsidP="00AF3E26">
            <w:pPr>
              <w:pStyle w:val="TableText"/>
              <w:jc w:val="center"/>
            </w:pPr>
            <w:r>
              <w:t>20.10.21</w:t>
            </w:r>
          </w:p>
        </w:tc>
        <w:tc>
          <w:tcPr>
            <w:tcW w:w="1498" w:type="dxa"/>
          </w:tcPr>
          <w:p w14:paraId="2BEAF6AB" w14:textId="77777777" w:rsidR="00047A3A" w:rsidRDefault="00047A3A" w:rsidP="00AF3E26">
            <w:pPr>
              <w:pStyle w:val="TableText"/>
              <w:jc w:val="center"/>
            </w:pPr>
            <w:r>
              <w:t>Kikkert</w:t>
            </w:r>
          </w:p>
        </w:tc>
        <w:tc>
          <w:tcPr>
            <w:tcW w:w="1655" w:type="dxa"/>
          </w:tcPr>
          <w:p w14:paraId="7005D08A" w14:textId="77777777" w:rsidR="00047A3A" w:rsidRDefault="00047A3A" w:rsidP="00AF3E26">
            <w:pPr>
              <w:pStyle w:val="TableText"/>
              <w:jc w:val="center"/>
            </w:pPr>
            <w:r>
              <w:t>Justice Health</w:t>
            </w:r>
          </w:p>
        </w:tc>
        <w:tc>
          <w:tcPr>
            <w:tcW w:w="2781" w:type="dxa"/>
          </w:tcPr>
          <w:p w14:paraId="2A1E36D8" w14:textId="77777777" w:rsidR="00047A3A" w:rsidRDefault="00047A3A" w:rsidP="00AF3E26">
            <w:pPr>
              <w:pStyle w:val="TableText"/>
            </w:pPr>
            <w:r w:rsidRPr="00FB0FF7">
              <w:t>Justice Health</w:t>
            </w:r>
            <w:r>
              <w:t xml:space="preserve"> Injury Assessment</w:t>
            </w:r>
          </w:p>
        </w:tc>
        <w:tc>
          <w:tcPr>
            <w:tcW w:w="1220" w:type="dxa"/>
          </w:tcPr>
          <w:p w14:paraId="642AC7EB" w14:textId="77777777" w:rsidR="00047A3A" w:rsidRDefault="00047A3A" w:rsidP="00AF3E26">
            <w:pPr>
              <w:pStyle w:val="TableText"/>
              <w:jc w:val="center"/>
            </w:pPr>
          </w:p>
        </w:tc>
      </w:tr>
      <w:tr w:rsidR="00047A3A" w14:paraId="5E9BBACB" w14:textId="77777777" w:rsidTr="00AF3E26">
        <w:tc>
          <w:tcPr>
            <w:tcW w:w="691" w:type="dxa"/>
          </w:tcPr>
          <w:p w14:paraId="56D0B8E5" w14:textId="77777777" w:rsidR="00047A3A" w:rsidRDefault="00047A3A" w:rsidP="00AF3E26">
            <w:pPr>
              <w:pStyle w:val="TableText"/>
              <w:jc w:val="center"/>
            </w:pPr>
            <w:r>
              <w:t>11</w:t>
            </w:r>
          </w:p>
        </w:tc>
        <w:tc>
          <w:tcPr>
            <w:tcW w:w="1108" w:type="dxa"/>
          </w:tcPr>
          <w:p w14:paraId="2051FC37" w14:textId="77777777" w:rsidR="00047A3A" w:rsidRDefault="00047A3A" w:rsidP="00AF3E26">
            <w:pPr>
              <w:pStyle w:val="TableText"/>
              <w:jc w:val="center"/>
            </w:pPr>
            <w:r>
              <w:t>20.10.21</w:t>
            </w:r>
          </w:p>
        </w:tc>
        <w:tc>
          <w:tcPr>
            <w:tcW w:w="1498" w:type="dxa"/>
          </w:tcPr>
          <w:p w14:paraId="0445875A" w14:textId="77777777" w:rsidR="00047A3A" w:rsidRDefault="00047A3A" w:rsidP="00AF3E26">
            <w:pPr>
              <w:pStyle w:val="TableText"/>
              <w:jc w:val="center"/>
            </w:pPr>
            <w:r>
              <w:t>Kikkert</w:t>
            </w:r>
          </w:p>
        </w:tc>
        <w:tc>
          <w:tcPr>
            <w:tcW w:w="1655" w:type="dxa"/>
          </w:tcPr>
          <w:p w14:paraId="7A66321A" w14:textId="77777777" w:rsidR="00047A3A" w:rsidRDefault="00047A3A" w:rsidP="00AF3E26">
            <w:pPr>
              <w:pStyle w:val="TableText"/>
              <w:jc w:val="center"/>
            </w:pPr>
            <w:r>
              <w:t>Justice Health</w:t>
            </w:r>
          </w:p>
        </w:tc>
        <w:tc>
          <w:tcPr>
            <w:tcW w:w="2781" w:type="dxa"/>
          </w:tcPr>
          <w:p w14:paraId="3D9D084E" w14:textId="77777777" w:rsidR="00047A3A" w:rsidRDefault="00047A3A" w:rsidP="00AF3E26">
            <w:pPr>
              <w:pStyle w:val="TableText"/>
            </w:pPr>
            <w:r w:rsidRPr="00FB0FF7">
              <w:t xml:space="preserve">Justice Health </w:t>
            </w:r>
            <w:r>
              <w:t>Premises</w:t>
            </w:r>
          </w:p>
        </w:tc>
        <w:tc>
          <w:tcPr>
            <w:tcW w:w="1220" w:type="dxa"/>
          </w:tcPr>
          <w:p w14:paraId="4C5471BA" w14:textId="77777777" w:rsidR="00047A3A" w:rsidRDefault="00047A3A" w:rsidP="00AF3E26">
            <w:pPr>
              <w:pStyle w:val="TableText"/>
              <w:jc w:val="center"/>
            </w:pPr>
          </w:p>
        </w:tc>
      </w:tr>
      <w:tr w:rsidR="00047A3A" w14:paraId="45407824"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1759EFDD" w14:textId="77777777" w:rsidR="00047A3A" w:rsidRDefault="00047A3A" w:rsidP="00AF3E26">
            <w:pPr>
              <w:pStyle w:val="TableText"/>
              <w:jc w:val="center"/>
            </w:pPr>
            <w:r>
              <w:t>12</w:t>
            </w:r>
          </w:p>
        </w:tc>
        <w:tc>
          <w:tcPr>
            <w:tcW w:w="1108" w:type="dxa"/>
          </w:tcPr>
          <w:p w14:paraId="7053BD43" w14:textId="77777777" w:rsidR="00047A3A" w:rsidRDefault="00047A3A" w:rsidP="00AF3E26">
            <w:pPr>
              <w:pStyle w:val="TableText"/>
              <w:jc w:val="center"/>
            </w:pPr>
            <w:r>
              <w:t>20.10.21</w:t>
            </w:r>
          </w:p>
        </w:tc>
        <w:tc>
          <w:tcPr>
            <w:tcW w:w="1498" w:type="dxa"/>
          </w:tcPr>
          <w:p w14:paraId="57909439" w14:textId="77777777" w:rsidR="00047A3A" w:rsidRDefault="00047A3A" w:rsidP="00AF3E26">
            <w:pPr>
              <w:pStyle w:val="TableText"/>
              <w:jc w:val="center"/>
            </w:pPr>
            <w:r>
              <w:t>Kikkert</w:t>
            </w:r>
          </w:p>
        </w:tc>
        <w:tc>
          <w:tcPr>
            <w:tcW w:w="1655" w:type="dxa"/>
          </w:tcPr>
          <w:p w14:paraId="6093234D" w14:textId="77777777" w:rsidR="00047A3A" w:rsidRDefault="00047A3A" w:rsidP="00AF3E26">
            <w:pPr>
              <w:pStyle w:val="TableText"/>
              <w:jc w:val="center"/>
            </w:pPr>
            <w:r>
              <w:t>Justice Health</w:t>
            </w:r>
          </w:p>
        </w:tc>
        <w:tc>
          <w:tcPr>
            <w:tcW w:w="2781" w:type="dxa"/>
          </w:tcPr>
          <w:p w14:paraId="07BE1D96" w14:textId="77777777" w:rsidR="00047A3A" w:rsidRDefault="00047A3A" w:rsidP="00AF3E26">
            <w:pPr>
              <w:pStyle w:val="TableText"/>
            </w:pPr>
            <w:r w:rsidRPr="00FB0FF7">
              <w:t>Mental Healthcare at the AMC</w:t>
            </w:r>
          </w:p>
        </w:tc>
        <w:tc>
          <w:tcPr>
            <w:tcW w:w="1220" w:type="dxa"/>
          </w:tcPr>
          <w:p w14:paraId="2381CA74" w14:textId="77777777" w:rsidR="00047A3A" w:rsidRDefault="00047A3A" w:rsidP="00AF3E26">
            <w:pPr>
              <w:pStyle w:val="TableText"/>
              <w:jc w:val="center"/>
            </w:pPr>
          </w:p>
        </w:tc>
      </w:tr>
      <w:tr w:rsidR="00047A3A" w14:paraId="179179D5" w14:textId="77777777" w:rsidTr="00AF3E26">
        <w:tc>
          <w:tcPr>
            <w:tcW w:w="691" w:type="dxa"/>
          </w:tcPr>
          <w:p w14:paraId="554DD92A" w14:textId="77777777" w:rsidR="00047A3A" w:rsidRDefault="00047A3A" w:rsidP="00AF3E26">
            <w:pPr>
              <w:pStyle w:val="TableText"/>
              <w:jc w:val="center"/>
            </w:pPr>
            <w:r>
              <w:t>13</w:t>
            </w:r>
          </w:p>
        </w:tc>
        <w:tc>
          <w:tcPr>
            <w:tcW w:w="1108" w:type="dxa"/>
          </w:tcPr>
          <w:p w14:paraId="2691032A" w14:textId="77777777" w:rsidR="00047A3A" w:rsidRDefault="00047A3A" w:rsidP="00AF3E26">
            <w:pPr>
              <w:pStyle w:val="TableText"/>
              <w:jc w:val="center"/>
            </w:pPr>
            <w:r>
              <w:t>20.10.21</w:t>
            </w:r>
          </w:p>
        </w:tc>
        <w:tc>
          <w:tcPr>
            <w:tcW w:w="1498" w:type="dxa"/>
          </w:tcPr>
          <w:p w14:paraId="2433331C" w14:textId="77777777" w:rsidR="00047A3A" w:rsidRDefault="00047A3A" w:rsidP="00AF3E26">
            <w:pPr>
              <w:pStyle w:val="TableText"/>
              <w:jc w:val="center"/>
            </w:pPr>
            <w:r>
              <w:t>Kikkert</w:t>
            </w:r>
          </w:p>
        </w:tc>
        <w:tc>
          <w:tcPr>
            <w:tcW w:w="1655" w:type="dxa"/>
          </w:tcPr>
          <w:p w14:paraId="5B3C6C46" w14:textId="77777777" w:rsidR="00047A3A" w:rsidRDefault="00047A3A" w:rsidP="00AF3E26">
            <w:pPr>
              <w:pStyle w:val="TableText"/>
              <w:jc w:val="center"/>
            </w:pPr>
            <w:r>
              <w:t>Justice Health</w:t>
            </w:r>
          </w:p>
        </w:tc>
        <w:tc>
          <w:tcPr>
            <w:tcW w:w="2781" w:type="dxa"/>
          </w:tcPr>
          <w:p w14:paraId="38128EA0" w14:textId="77777777" w:rsidR="00047A3A" w:rsidRPr="00FB0FF7" w:rsidRDefault="00047A3A" w:rsidP="00AF3E26">
            <w:pPr>
              <w:pStyle w:val="TableText"/>
            </w:pPr>
            <w:r>
              <w:t>Nurse Employment at the AMC</w:t>
            </w:r>
          </w:p>
        </w:tc>
        <w:tc>
          <w:tcPr>
            <w:tcW w:w="1220" w:type="dxa"/>
          </w:tcPr>
          <w:p w14:paraId="3AF657C2" w14:textId="77777777" w:rsidR="00047A3A" w:rsidRDefault="00047A3A" w:rsidP="00AF3E26">
            <w:pPr>
              <w:pStyle w:val="TableText"/>
              <w:jc w:val="center"/>
            </w:pPr>
          </w:p>
        </w:tc>
      </w:tr>
      <w:tr w:rsidR="00047A3A" w14:paraId="35275CDA"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42FB9760" w14:textId="77777777" w:rsidR="00047A3A" w:rsidRDefault="00047A3A" w:rsidP="00AF3E26">
            <w:pPr>
              <w:pStyle w:val="TableText"/>
              <w:jc w:val="center"/>
            </w:pPr>
            <w:r>
              <w:t>14</w:t>
            </w:r>
          </w:p>
        </w:tc>
        <w:tc>
          <w:tcPr>
            <w:tcW w:w="1108" w:type="dxa"/>
          </w:tcPr>
          <w:p w14:paraId="48EB2427" w14:textId="77777777" w:rsidR="00047A3A" w:rsidRDefault="00047A3A" w:rsidP="00AF3E26">
            <w:pPr>
              <w:pStyle w:val="TableText"/>
              <w:jc w:val="center"/>
            </w:pPr>
            <w:r>
              <w:t>20.10.21</w:t>
            </w:r>
          </w:p>
        </w:tc>
        <w:tc>
          <w:tcPr>
            <w:tcW w:w="1498" w:type="dxa"/>
          </w:tcPr>
          <w:p w14:paraId="7FD6C3AE" w14:textId="77777777" w:rsidR="00047A3A" w:rsidRDefault="00047A3A" w:rsidP="00AF3E26">
            <w:pPr>
              <w:pStyle w:val="TableText"/>
              <w:jc w:val="center"/>
            </w:pPr>
            <w:r>
              <w:t>Kikkert</w:t>
            </w:r>
          </w:p>
        </w:tc>
        <w:tc>
          <w:tcPr>
            <w:tcW w:w="1655" w:type="dxa"/>
          </w:tcPr>
          <w:p w14:paraId="6D1DF068" w14:textId="77777777" w:rsidR="00047A3A" w:rsidRDefault="00047A3A" w:rsidP="00AF3E26">
            <w:pPr>
              <w:pStyle w:val="TableText"/>
              <w:jc w:val="center"/>
            </w:pPr>
            <w:r>
              <w:t>Justice Health</w:t>
            </w:r>
          </w:p>
          <w:p w14:paraId="309CABE9" w14:textId="77777777" w:rsidR="00047A3A" w:rsidRDefault="00047A3A" w:rsidP="00AF3E26">
            <w:pPr>
              <w:pStyle w:val="TableText"/>
              <w:jc w:val="center"/>
            </w:pPr>
            <w:r>
              <w:t>(QON Redirected to JACS for answer)</w:t>
            </w:r>
          </w:p>
        </w:tc>
        <w:tc>
          <w:tcPr>
            <w:tcW w:w="2781" w:type="dxa"/>
          </w:tcPr>
          <w:p w14:paraId="057BD34E" w14:textId="77777777" w:rsidR="00047A3A" w:rsidRDefault="00047A3A" w:rsidP="00AF3E26">
            <w:pPr>
              <w:pStyle w:val="TableText"/>
            </w:pPr>
            <w:r w:rsidRPr="00FB0FF7">
              <w:t>Quarantine Measures for Detainees</w:t>
            </w:r>
          </w:p>
        </w:tc>
        <w:tc>
          <w:tcPr>
            <w:tcW w:w="1220" w:type="dxa"/>
          </w:tcPr>
          <w:p w14:paraId="7A65F9A6" w14:textId="77777777" w:rsidR="00047A3A" w:rsidRDefault="00047A3A" w:rsidP="00AF3E26">
            <w:pPr>
              <w:pStyle w:val="TableText"/>
              <w:jc w:val="center"/>
            </w:pPr>
            <w:r>
              <w:t>(QON Redirected to JACS for answer)</w:t>
            </w:r>
          </w:p>
        </w:tc>
      </w:tr>
      <w:tr w:rsidR="00047A3A" w14:paraId="23A241B1" w14:textId="77777777" w:rsidTr="00AF3E26">
        <w:tc>
          <w:tcPr>
            <w:tcW w:w="691" w:type="dxa"/>
          </w:tcPr>
          <w:p w14:paraId="4221E14D" w14:textId="77777777" w:rsidR="00047A3A" w:rsidRDefault="00047A3A" w:rsidP="00AF3E26">
            <w:pPr>
              <w:pStyle w:val="TableText"/>
              <w:jc w:val="center"/>
            </w:pPr>
            <w:r>
              <w:t>15</w:t>
            </w:r>
          </w:p>
        </w:tc>
        <w:tc>
          <w:tcPr>
            <w:tcW w:w="1108" w:type="dxa"/>
          </w:tcPr>
          <w:p w14:paraId="28CD131A" w14:textId="77777777" w:rsidR="00047A3A" w:rsidRDefault="00047A3A" w:rsidP="00AF3E26">
            <w:pPr>
              <w:pStyle w:val="TableText"/>
              <w:jc w:val="center"/>
            </w:pPr>
            <w:r>
              <w:t>20.10.21</w:t>
            </w:r>
          </w:p>
        </w:tc>
        <w:tc>
          <w:tcPr>
            <w:tcW w:w="1498" w:type="dxa"/>
          </w:tcPr>
          <w:p w14:paraId="5E6294E6" w14:textId="77777777" w:rsidR="00047A3A" w:rsidRDefault="00047A3A" w:rsidP="00AF3E26">
            <w:pPr>
              <w:pStyle w:val="TableText"/>
              <w:jc w:val="center"/>
            </w:pPr>
            <w:r>
              <w:t>Kikkert</w:t>
            </w:r>
          </w:p>
        </w:tc>
        <w:tc>
          <w:tcPr>
            <w:tcW w:w="1655" w:type="dxa"/>
          </w:tcPr>
          <w:p w14:paraId="06F72E33" w14:textId="77777777" w:rsidR="00047A3A" w:rsidRDefault="00047A3A" w:rsidP="00AF3E26">
            <w:pPr>
              <w:pStyle w:val="TableText"/>
              <w:jc w:val="center"/>
            </w:pPr>
            <w:r>
              <w:t>Justice Health</w:t>
            </w:r>
          </w:p>
        </w:tc>
        <w:tc>
          <w:tcPr>
            <w:tcW w:w="2781" w:type="dxa"/>
          </w:tcPr>
          <w:p w14:paraId="53B40A8E" w14:textId="77777777" w:rsidR="00047A3A" w:rsidRDefault="00047A3A" w:rsidP="00AF3E26">
            <w:pPr>
              <w:pStyle w:val="TableText"/>
            </w:pPr>
            <w:r w:rsidRPr="00FB0FF7">
              <w:t>Vaccination at the AMC</w:t>
            </w:r>
          </w:p>
        </w:tc>
        <w:tc>
          <w:tcPr>
            <w:tcW w:w="1220" w:type="dxa"/>
          </w:tcPr>
          <w:p w14:paraId="3D05D3FC" w14:textId="77777777" w:rsidR="00047A3A" w:rsidRDefault="00047A3A" w:rsidP="00AF3E26">
            <w:pPr>
              <w:pStyle w:val="TableText"/>
              <w:jc w:val="center"/>
            </w:pPr>
          </w:p>
        </w:tc>
      </w:tr>
      <w:tr w:rsidR="00047A3A" w14:paraId="57A6055E"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22BEE04B" w14:textId="77777777" w:rsidR="00047A3A" w:rsidRDefault="00047A3A" w:rsidP="00AF3E26">
            <w:pPr>
              <w:pStyle w:val="TableText"/>
              <w:jc w:val="center"/>
            </w:pPr>
            <w:r>
              <w:t>16</w:t>
            </w:r>
          </w:p>
        </w:tc>
        <w:tc>
          <w:tcPr>
            <w:tcW w:w="1108" w:type="dxa"/>
          </w:tcPr>
          <w:p w14:paraId="0FAF718B" w14:textId="77777777" w:rsidR="00047A3A" w:rsidRDefault="00047A3A" w:rsidP="00AF3E26">
            <w:pPr>
              <w:pStyle w:val="TableText"/>
              <w:jc w:val="center"/>
            </w:pPr>
            <w:r>
              <w:t>20.10.21</w:t>
            </w:r>
          </w:p>
        </w:tc>
        <w:tc>
          <w:tcPr>
            <w:tcW w:w="1498" w:type="dxa"/>
          </w:tcPr>
          <w:p w14:paraId="58A3A23C" w14:textId="77777777" w:rsidR="00047A3A" w:rsidRDefault="00047A3A" w:rsidP="00AF3E26">
            <w:pPr>
              <w:pStyle w:val="TableText"/>
              <w:jc w:val="center"/>
            </w:pPr>
            <w:r>
              <w:t>Kikkert</w:t>
            </w:r>
          </w:p>
        </w:tc>
        <w:tc>
          <w:tcPr>
            <w:tcW w:w="1655" w:type="dxa"/>
          </w:tcPr>
          <w:p w14:paraId="1893AF3E" w14:textId="77777777" w:rsidR="00047A3A" w:rsidRDefault="00047A3A" w:rsidP="00AF3E26">
            <w:pPr>
              <w:pStyle w:val="TableText"/>
              <w:jc w:val="center"/>
            </w:pPr>
            <w:r>
              <w:t>Justice Health</w:t>
            </w:r>
          </w:p>
        </w:tc>
        <w:tc>
          <w:tcPr>
            <w:tcW w:w="2781" w:type="dxa"/>
          </w:tcPr>
          <w:p w14:paraId="74B69006" w14:textId="77777777" w:rsidR="00047A3A" w:rsidRDefault="00047A3A" w:rsidP="00AF3E26">
            <w:pPr>
              <w:pStyle w:val="TableText"/>
            </w:pPr>
            <w:r w:rsidRPr="00FB0FF7">
              <w:t>Winnunga Patients</w:t>
            </w:r>
          </w:p>
        </w:tc>
        <w:tc>
          <w:tcPr>
            <w:tcW w:w="1220" w:type="dxa"/>
          </w:tcPr>
          <w:p w14:paraId="1AC0205B" w14:textId="77777777" w:rsidR="00047A3A" w:rsidRDefault="00047A3A" w:rsidP="00AF3E26">
            <w:pPr>
              <w:pStyle w:val="TableText"/>
              <w:jc w:val="center"/>
            </w:pPr>
          </w:p>
        </w:tc>
      </w:tr>
    </w:tbl>
    <w:p w14:paraId="1728DDD6" w14:textId="77777777" w:rsidR="00047A3A" w:rsidRDefault="00047A3A" w:rsidP="00047A3A"/>
    <w:p w14:paraId="15D329CB" w14:textId="77777777" w:rsidR="00047A3A" w:rsidRDefault="00047A3A" w:rsidP="00047A3A">
      <w:pPr>
        <w:pStyle w:val="Caption"/>
      </w:pPr>
      <w:r>
        <w:t>Questions on Notice 21 October 2021</w:t>
      </w:r>
    </w:p>
    <w:tbl>
      <w:tblPr>
        <w:tblStyle w:val="CommitteeTable"/>
        <w:tblW w:w="0" w:type="auto"/>
        <w:tblInd w:w="108" w:type="dxa"/>
        <w:tblLook w:val="04A0" w:firstRow="1" w:lastRow="0" w:firstColumn="1" w:lastColumn="0" w:noHBand="0" w:noVBand="1"/>
      </w:tblPr>
      <w:tblGrid>
        <w:gridCol w:w="687"/>
        <w:gridCol w:w="1111"/>
        <w:gridCol w:w="1486"/>
        <w:gridCol w:w="1665"/>
        <w:gridCol w:w="2782"/>
        <w:gridCol w:w="1222"/>
      </w:tblGrid>
      <w:tr w:rsidR="00047A3A" w14:paraId="7E9D3022" w14:textId="77777777" w:rsidTr="00AF3E26">
        <w:trPr>
          <w:cnfStyle w:val="100000000000" w:firstRow="1" w:lastRow="0" w:firstColumn="0" w:lastColumn="0" w:oddVBand="0" w:evenVBand="0" w:oddHBand="0" w:evenHBand="0" w:firstRowFirstColumn="0" w:firstRowLastColumn="0" w:lastRowFirstColumn="0" w:lastRowLastColumn="0"/>
        </w:trPr>
        <w:tc>
          <w:tcPr>
            <w:tcW w:w="687" w:type="dxa"/>
          </w:tcPr>
          <w:p w14:paraId="60F71C6C"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No.</w:t>
            </w:r>
          </w:p>
        </w:tc>
        <w:tc>
          <w:tcPr>
            <w:tcW w:w="1111" w:type="dxa"/>
          </w:tcPr>
          <w:p w14:paraId="030A469C"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Hearing date</w:t>
            </w:r>
          </w:p>
        </w:tc>
        <w:tc>
          <w:tcPr>
            <w:tcW w:w="1486" w:type="dxa"/>
          </w:tcPr>
          <w:p w14:paraId="3C438D50"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Asked by</w:t>
            </w:r>
          </w:p>
        </w:tc>
        <w:tc>
          <w:tcPr>
            <w:tcW w:w="1665" w:type="dxa"/>
          </w:tcPr>
          <w:p w14:paraId="06910A37"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2782" w:type="dxa"/>
          </w:tcPr>
          <w:p w14:paraId="0541836D" w14:textId="77777777" w:rsidR="00047A3A" w:rsidRPr="00640E82" w:rsidRDefault="00047A3A" w:rsidP="00AF3E26">
            <w:pPr>
              <w:spacing w:after="80" w:line="288" w:lineRule="auto"/>
              <w:rPr>
                <w:rFonts w:ascii="Arial Narrow" w:hAnsi="Arial Narrow"/>
              </w:rPr>
            </w:pPr>
            <w:r w:rsidRPr="00640E82">
              <w:rPr>
                <w:rFonts w:ascii="Arial Narrow" w:hAnsi="Arial Narrow"/>
              </w:rPr>
              <w:t>Subject</w:t>
            </w:r>
          </w:p>
        </w:tc>
        <w:tc>
          <w:tcPr>
            <w:tcW w:w="1222" w:type="dxa"/>
          </w:tcPr>
          <w:p w14:paraId="3D5B9CDA"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Answer date</w:t>
            </w:r>
          </w:p>
        </w:tc>
      </w:tr>
      <w:tr w:rsidR="00047A3A" w14:paraId="47283C40"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6F4C797E" w14:textId="77777777" w:rsidR="00047A3A" w:rsidRDefault="00047A3A" w:rsidP="00AF3E26">
            <w:pPr>
              <w:pStyle w:val="TableText"/>
              <w:jc w:val="center"/>
            </w:pPr>
            <w:r>
              <w:t>3</w:t>
            </w:r>
          </w:p>
        </w:tc>
        <w:tc>
          <w:tcPr>
            <w:tcW w:w="1111" w:type="dxa"/>
          </w:tcPr>
          <w:p w14:paraId="63DDBB66" w14:textId="77777777" w:rsidR="00047A3A" w:rsidRDefault="00047A3A" w:rsidP="00AF3E26">
            <w:pPr>
              <w:pStyle w:val="TableText"/>
              <w:jc w:val="center"/>
            </w:pPr>
            <w:r>
              <w:t>21.10.21</w:t>
            </w:r>
          </w:p>
        </w:tc>
        <w:tc>
          <w:tcPr>
            <w:tcW w:w="1486" w:type="dxa"/>
          </w:tcPr>
          <w:p w14:paraId="4C6B3629" w14:textId="77777777" w:rsidR="00047A3A" w:rsidRDefault="00047A3A" w:rsidP="00AF3E26">
            <w:pPr>
              <w:pStyle w:val="TableText"/>
              <w:jc w:val="center"/>
            </w:pPr>
            <w:r>
              <w:t>Clay</w:t>
            </w:r>
          </w:p>
        </w:tc>
        <w:tc>
          <w:tcPr>
            <w:tcW w:w="1665" w:type="dxa"/>
          </w:tcPr>
          <w:p w14:paraId="48099145" w14:textId="77777777" w:rsidR="00047A3A" w:rsidRDefault="00047A3A" w:rsidP="00AF3E26">
            <w:pPr>
              <w:pStyle w:val="TableText"/>
              <w:jc w:val="center"/>
            </w:pPr>
            <w:r>
              <w:t>Health</w:t>
            </w:r>
          </w:p>
        </w:tc>
        <w:tc>
          <w:tcPr>
            <w:tcW w:w="2782" w:type="dxa"/>
          </w:tcPr>
          <w:p w14:paraId="3216DDC2" w14:textId="77777777" w:rsidR="00047A3A" w:rsidRDefault="00047A3A" w:rsidP="00AF3E26">
            <w:pPr>
              <w:pStyle w:val="TableText"/>
            </w:pPr>
            <w:r w:rsidRPr="0005041D">
              <w:t>Health Gender</w:t>
            </w:r>
          </w:p>
        </w:tc>
        <w:tc>
          <w:tcPr>
            <w:tcW w:w="1222" w:type="dxa"/>
          </w:tcPr>
          <w:p w14:paraId="32461F37" w14:textId="77777777" w:rsidR="00047A3A" w:rsidRDefault="00047A3A" w:rsidP="00AF3E26">
            <w:pPr>
              <w:pStyle w:val="TableText"/>
              <w:jc w:val="center"/>
            </w:pPr>
          </w:p>
        </w:tc>
      </w:tr>
      <w:tr w:rsidR="00047A3A" w14:paraId="14EBAD87" w14:textId="77777777" w:rsidTr="00AF3E26">
        <w:tc>
          <w:tcPr>
            <w:tcW w:w="687" w:type="dxa"/>
          </w:tcPr>
          <w:p w14:paraId="6D9C30B9" w14:textId="77777777" w:rsidR="00047A3A" w:rsidRDefault="00047A3A" w:rsidP="00AF3E26">
            <w:pPr>
              <w:pStyle w:val="TableText"/>
              <w:jc w:val="center"/>
            </w:pPr>
            <w:r>
              <w:t>4</w:t>
            </w:r>
          </w:p>
        </w:tc>
        <w:tc>
          <w:tcPr>
            <w:tcW w:w="1111" w:type="dxa"/>
          </w:tcPr>
          <w:p w14:paraId="1C06225E" w14:textId="77777777" w:rsidR="00047A3A" w:rsidRDefault="00047A3A" w:rsidP="00AF3E26">
            <w:pPr>
              <w:pStyle w:val="TableText"/>
              <w:jc w:val="center"/>
            </w:pPr>
            <w:r>
              <w:t>21.10.21</w:t>
            </w:r>
          </w:p>
        </w:tc>
        <w:tc>
          <w:tcPr>
            <w:tcW w:w="1486" w:type="dxa"/>
          </w:tcPr>
          <w:p w14:paraId="32613F0D" w14:textId="77777777" w:rsidR="00047A3A" w:rsidRDefault="00047A3A" w:rsidP="00AF3E26">
            <w:pPr>
              <w:pStyle w:val="TableText"/>
              <w:jc w:val="center"/>
            </w:pPr>
            <w:r>
              <w:t>Clay</w:t>
            </w:r>
          </w:p>
        </w:tc>
        <w:tc>
          <w:tcPr>
            <w:tcW w:w="1665" w:type="dxa"/>
          </w:tcPr>
          <w:p w14:paraId="57BC9376" w14:textId="77777777" w:rsidR="00047A3A" w:rsidRDefault="00047A3A" w:rsidP="00AF3E26">
            <w:pPr>
              <w:pStyle w:val="TableText"/>
              <w:jc w:val="center"/>
            </w:pPr>
            <w:r w:rsidRPr="0005041D">
              <w:t>CSD - Homelessness and Housing Services</w:t>
            </w:r>
          </w:p>
        </w:tc>
        <w:tc>
          <w:tcPr>
            <w:tcW w:w="2782" w:type="dxa"/>
          </w:tcPr>
          <w:p w14:paraId="7872097A" w14:textId="77777777" w:rsidR="00047A3A" w:rsidRDefault="00047A3A" w:rsidP="00AF3E26">
            <w:pPr>
              <w:pStyle w:val="TableText"/>
            </w:pPr>
            <w:r>
              <w:t>Homelessness Gender</w:t>
            </w:r>
          </w:p>
        </w:tc>
        <w:tc>
          <w:tcPr>
            <w:tcW w:w="1222" w:type="dxa"/>
          </w:tcPr>
          <w:p w14:paraId="49E297F0" w14:textId="77777777" w:rsidR="00047A3A" w:rsidRDefault="00047A3A" w:rsidP="00AF3E26">
            <w:pPr>
              <w:pStyle w:val="TableText"/>
              <w:jc w:val="center"/>
            </w:pPr>
          </w:p>
        </w:tc>
      </w:tr>
      <w:tr w:rsidR="00047A3A" w14:paraId="4B14F571"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306CD7A1" w14:textId="77777777" w:rsidR="00047A3A" w:rsidRDefault="00047A3A" w:rsidP="00AF3E26">
            <w:pPr>
              <w:pStyle w:val="TableText"/>
              <w:jc w:val="center"/>
            </w:pPr>
            <w:r>
              <w:t>5</w:t>
            </w:r>
          </w:p>
        </w:tc>
        <w:tc>
          <w:tcPr>
            <w:tcW w:w="1111" w:type="dxa"/>
          </w:tcPr>
          <w:p w14:paraId="5A990F2F" w14:textId="77777777" w:rsidR="00047A3A" w:rsidRDefault="00047A3A" w:rsidP="00AF3E26">
            <w:pPr>
              <w:pStyle w:val="TableText"/>
              <w:jc w:val="center"/>
            </w:pPr>
            <w:r>
              <w:t>21.10.21</w:t>
            </w:r>
          </w:p>
        </w:tc>
        <w:tc>
          <w:tcPr>
            <w:tcW w:w="1486" w:type="dxa"/>
          </w:tcPr>
          <w:p w14:paraId="3CE853CB" w14:textId="77777777" w:rsidR="00047A3A" w:rsidRDefault="00047A3A" w:rsidP="00AF3E26">
            <w:pPr>
              <w:pStyle w:val="TableText"/>
              <w:jc w:val="center"/>
            </w:pPr>
            <w:r>
              <w:t>Kikkert</w:t>
            </w:r>
          </w:p>
        </w:tc>
        <w:tc>
          <w:tcPr>
            <w:tcW w:w="1665" w:type="dxa"/>
          </w:tcPr>
          <w:p w14:paraId="37E364CB" w14:textId="77777777" w:rsidR="00047A3A" w:rsidRPr="0005041D" w:rsidRDefault="00047A3A" w:rsidP="00AF3E26">
            <w:pPr>
              <w:pStyle w:val="TableText"/>
              <w:jc w:val="center"/>
            </w:pPr>
            <w:r w:rsidRPr="001B555A">
              <w:t>CSD - Seniors, Veterans, Families, and Community Services</w:t>
            </w:r>
          </w:p>
        </w:tc>
        <w:tc>
          <w:tcPr>
            <w:tcW w:w="2782" w:type="dxa"/>
          </w:tcPr>
          <w:p w14:paraId="299E959E" w14:textId="77777777" w:rsidR="00047A3A" w:rsidRDefault="00047A3A" w:rsidP="00AF3E26">
            <w:pPr>
              <w:pStyle w:val="TableText"/>
            </w:pPr>
            <w:r w:rsidRPr="001B555A">
              <w:t>Community Support Package</w:t>
            </w:r>
          </w:p>
        </w:tc>
        <w:tc>
          <w:tcPr>
            <w:tcW w:w="1222" w:type="dxa"/>
          </w:tcPr>
          <w:p w14:paraId="43DE8805" w14:textId="77777777" w:rsidR="00047A3A" w:rsidRDefault="00047A3A" w:rsidP="00AF3E26">
            <w:pPr>
              <w:pStyle w:val="TableText"/>
              <w:jc w:val="center"/>
            </w:pPr>
          </w:p>
        </w:tc>
      </w:tr>
      <w:tr w:rsidR="00047A3A" w14:paraId="7C759C54" w14:textId="77777777" w:rsidTr="00AF3E26">
        <w:tc>
          <w:tcPr>
            <w:tcW w:w="687" w:type="dxa"/>
          </w:tcPr>
          <w:p w14:paraId="7E18D0C8" w14:textId="77777777" w:rsidR="00047A3A" w:rsidRDefault="00047A3A" w:rsidP="00AF3E26">
            <w:pPr>
              <w:pStyle w:val="TableText"/>
              <w:jc w:val="center"/>
            </w:pPr>
            <w:r>
              <w:t>6</w:t>
            </w:r>
          </w:p>
        </w:tc>
        <w:tc>
          <w:tcPr>
            <w:tcW w:w="1111" w:type="dxa"/>
          </w:tcPr>
          <w:p w14:paraId="190E759B" w14:textId="77777777" w:rsidR="00047A3A" w:rsidRDefault="00047A3A" w:rsidP="00AF3E26">
            <w:pPr>
              <w:pStyle w:val="TableText"/>
              <w:jc w:val="center"/>
            </w:pPr>
            <w:r>
              <w:t>21.10.21</w:t>
            </w:r>
          </w:p>
        </w:tc>
        <w:tc>
          <w:tcPr>
            <w:tcW w:w="1486" w:type="dxa"/>
          </w:tcPr>
          <w:p w14:paraId="5AC272FB" w14:textId="77777777" w:rsidR="00047A3A" w:rsidRDefault="00047A3A" w:rsidP="00AF3E26">
            <w:pPr>
              <w:pStyle w:val="TableText"/>
              <w:jc w:val="center"/>
            </w:pPr>
            <w:r>
              <w:t>Kikkert</w:t>
            </w:r>
          </w:p>
        </w:tc>
        <w:tc>
          <w:tcPr>
            <w:tcW w:w="1665" w:type="dxa"/>
          </w:tcPr>
          <w:p w14:paraId="70C1DF72" w14:textId="77777777" w:rsidR="00047A3A" w:rsidRPr="0005041D" w:rsidRDefault="00047A3A" w:rsidP="00AF3E26">
            <w:pPr>
              <w:pStyle w:val="TableText"/>
              <w:jc w:val="center"/>
            </w:pPr>
            <w:r w:rsidRPr="001B555A">
              <w:t>CSD - Seniors, Veterans, Families, and Community Services</w:t>
            </w:r>
          </w:p>
        </w:tc>
        <w:tc>
          <w:tcPr>
            <w:tcW w:w="2782" w:type="dxa"/>
          </w:tcPr>
          <w:p w14:paraId="58A61791" w14:textId="77777777" w:rsidR="00047A3A" w:rsidRDefault="00047A3A" w:rsidP="00AF3E26">
            <w:pPr>
              <w:pStyle w:val="TableText"/>
            </w:pPr>
            <w:r w:rsidRPr="001B555A">
              <w:t>Food Security, Canberra Relief Network</w:t>
            </w:r>
          </w:p>
        </w:tc>
        <w:tc>
          <w:tcPr>
            <w:tcW w:w="1222" w:type="dxa"/>
          </w:tcPr>
          <w:p w14:paraId="76E2F8F4" w14:textId="77777777" w:rsidR="00047A3A" w:rsidRDefault="00047A3A" w:rsidP="00AF3E26">
            <w:pPr>
              <w:pStyle w:val="TableText"/>
              <w:jc w:val="center"/>
            </w:pPr>
            <w:r>
              <w:t>04.11.21</w:t>
            </w:r>
          </w:p>
        </w:tc>
      </w:tr>
      <w:tr w:rsidR="00047A3A" w14:paraId="33DE23E0"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46FB2DBD" w14:textId="77777777" w:rsidR="00047A3A" w:rsidRDefault="00047A3A" w:rsidP="00AF3E26">
            <w:pPr>
              <w:pStyle w:val="TableText"/>
              <w:jc w:val="center"/>
            </w:pPr>
            <w:r>
              <w:t>7</w:t>
            </w:r>
          </w:p>
        </w:tc>
        <w:tc>
          <w:tcPr>
            <w:tcW w:w="1111" w:type="dxa"/>
          </w:tcPr>
          <w:p w14:paraId="2D1682CE" w14:textId="77777777" w:rsidR="00047A3A" w:rsidRDefault="00047A3A" w:rsidP="00AF3E26">
            <w:pPr>
              <w:pStyle w:val="TableText"/>
              <w:jc w:val="center"/>
            </w:pPr>
            <w:r>
              <w:t>21.10.21</w:t>
            </w:r>
          </w:p>
        </w:tc>
        <w:tc>
          <w:tcPr>
            <w:tcW w:w="1486" w:type="dxa"/>
          </w:tcPr>
          <w:p w14:paraId="53A4D5D4" w14:textId="77777777" w:rsidR="00047A3A" w:rsidRDefault="00047A3A" w:rsidP="00AF3E26">
            <w:pPr>
              <w:pStyle w:val="TableText"/>
              <w:jc w:val="center"/>
            </w:pPr>
            <w:r>
              <w:t>Kikkert</w:t>
            </w:r>
          </w:p>
        </w:tc>
        <w:tc>
          <w:tcPr>
            <w:tcW w:w="1665" w:type="dxa"/>
          </w:tcPr>
          <w:p w14:paraId="75ABFA4F" w14:textId="77777777" w:rsidR="00047A3A" w:rsidRPr="0005041D" w:rsidRDefault="00047A3A" w:rsidP="00AF3E26">
            <w:pPr>
              <w:pStyle w:val="TableText"/>
              <w:jc w:val="center"/>
            </w:pPr>
            <w:r w:rsidRPr="001B555A">
              <w:t>CSD - Seniors, Veterans, Families, and Community Services</w:t>
            </w:r>
          </w:p>
        </w:tc>
        <w:tc>
          <w:tcPr>
            <w:tcW w:w="2782" w:type="dxa"/>
          </w:tcPr>
          <w:p w14:paraId="61AE8FCC" w14:textId="77777777" w:rsidR="00047A3A" w:rsidRDefault="00047A3A" w:rsidP="00AF3E26">
            <w:pPr>
              <w:pStyle w:val="TableText"/>
            </w:pPr>
            <w:r w:rsidRPr="001B555A">
              <w:t>Food Security, OzHarvest</w:t>
            </w:r>
          </w:p>
        </w:tc>
        <w:tc>
          <w:tcPr>
            <w:tcW w:w="1222" w:type="dxa"/>
          </w:tcPr>
          <w:p w14:paraId="00CF82EB" w14:textId="77777777" w:rsidR="00047A3A" w:rsidRDefault="00047A3A" w:rsidP="00AF3E26">
            <w:pPr>
              <w:pStyle w:val="TableText"/>
              <w:jc w:val="center"/>
            </w:pPr>
          </w:p>
        </w:tc>
      </w:tr>
      <w:tr w:rsidR="00047A3A" w14:paraId="72DE031B" w14:textId="77777777" w:rsidTr="00AF3E26">
        <w:tc>
          <w:tcPr>
            <w:tcW w:w="687" w:type="dxa"/>
          </w:tcPr>
          <w:p w14:paraId="6C130C2F" w14:textId="77777777" w:rsidR="00047A3A" w:rsidRDefault="00047A3A" w:rsidP="00AF3E26">
            <w:pPr>
              <w:pStyle w:val="TableText"/>
              <w:jc w:val="center"/>
            </w:pPr>
            <w:r>
              <w:t>17</w:t>
            </w:r>
          </w:p>
        </w:tc>
        <w:tc>
          <w:tcPr>
            <w:tcW w:w="1111" w:type="dxa"/>
          </w:tcPr>
          <w:p w14:paraId="31C75B2D" w14:textId="77777777" w:rsidR="00047A3A" w:rsidRDefault="00047A3A" w:rsidP="00AF3E26">
            <w:pPr>
              <w:pStyle w:val="TableText"/>
              <w:jc w:val="center"/>
            </w:pPr>
            <w:r>
              <w:t>21.10.21</w:t>
            </w:r>
          </w:p>
        </w:tc>
        <w:tc>
          <w:tcPr>
            <w:tcW w:w="1486" w:type="dxa"/>
          </w:tcPr>
          <w:p w14:paraId="4801A563" w14:textId="77777777" w:rsidR="00047A3A" w:rsidRDefault="00047A3A" w:rsidP="00AF3E26">
            <w:pPr>
              <w:pStyle w:val="TableText"/>
              <w:jc w:val="center"/>
            </w:pPr>
            <w:r>
              <w:t>Parton</w:t>
            </w:r>
          </w:p>
        </w:tc>
        <w:tc>
          <w:tcPr>
            <w:tcW w:w="1665" w:type="dxa"/>
          </w:tcPr>
          <w:p w14:paraId="0232B138" w14:textId="77777777" w:rsidR="00047A3A" w:rsidRPr="001B555A" w:rsidRDefault="00047A3A" w:rsidP="00AF3E26">
            <w:pPr>
              <w:pStyle w:val="TableText"/>
              <w:jc w:val="center"/>
            </w:pPr>
            <w:r>
              <w:t>CSD -Homelessness and Housing Services</w:t>
            </w:r>
          </w:p>
        </w:tc>
        <w:tc>
          <w:tcPr>
            <w:tcW w:w="2782" w:type="dxa"/>
          </w:tcPr>
          <w:p w14:paraId="6DC5542F" w14:textId="77777777" w:rsidR="00047A3A" w:rsidRPr="001B555A" w:rsidRDefault="00047A3A" w:rsidP="00AF3E26">
            <w:pPr>
              <w:pStyle w:val="TableText"/>
            </w:pPr>
            <w:r>
              <w:t>Greatest need allocation</w:t>
            </w:r>
          </w:p>
        </w:tc>
        <w:tc>
          <w:tcPr>
            <w:tcW w:w="1222" w:type="dxa"/>
          </w:tcPr>
          <w:p w14:paraId="463B7AAC" w14:textId="77777777" w:rsidR="00047A3A" w:rsidRDefault="00047A3A" w:rsidP="00AF3E26">
            <w:pPr>
              <w:pStyle w:val="TableText"/>
              <w:jc w:val="center"/>
            </w:pPr>
            <w:r>
              <w:t>05.11.21</w:t>
            </w:r>
          </w:p>
        </w:tc>
      </w:tr>
      <w:tr w:rsidR="00047A3A" w14:paraId="6536E9B1"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4A2A0EDB" w14:textId="77777777" w:rsidR="00047A3A" w:rsidRDefault="00047A3A" w:rsidP="00AF3E26">
            <w:pPr>
              <w:pStyle w:val="TableText"/>
              <w:jc w:val="center"/>
            </w:pPr>
            <w:r>
              <w:t>18</w:t>
            </w:r>
          </w:p>
        </w:tc>
        <w:tc>
          <w:tcPr>
            <w:tcW w:w="1111" w:type="dxa"/>
          </w:tcPr>
          <w:p w14:paraId="4A88BEB3" w14:textId="77777777" w:rsidR="00047A3A" w:rsidRDefault="00047A3A" w:rsidP="00AF3E26">
            <w:pPr>
              <w:pStyle w:val="TableText"/>
              <w:jc w:val="center"/>
            </w:pPr>
            <w:r>
              <w:t>21.10.21</w:t>
            </w:r>
          </w:p>
        </w:tc>
        <w:tc>
          <w:tcPr>
            <w:tcW w:w="1486" w:type="dxa"/>
          </w:tcPr>
          <w:p w14:paraId="7B08BC61" w14:textId="77777777" w:rsidR="00047A3A" w:rsidRDefault="00047A3A" w:rsidP="00AF3E26">
            <w:pPr>
              <w:pStyle w:val="TableText"/>
              <w:jc w:val="center"/>
            </w:pPr>
            <w:r>
              <w:t>Davis</w:t>
            </w:r>
          </w:p>
        </w:tc>
        <w:tc>
          <w:tcPr>
            <w:tcW w:w="1665" w:type="dxa"/>
          </w:tcPr>
          <w:p w14:paraId="192FCFE6" w14:textId="77777777" w:rsidR="00047A3A" w:rsidRPr="001B555A" w:rsidRDefault="00047A3A" w:rsidP="00AF3E26">
            <w:pPr>
              <w:pStyle w:val="TableText"/>
              <w:jc w:val="center"/>
            </w:pPr>
            <w:r>
              <w:t>Health</w:t>
            </w:r>
          </w:p>
        </w:tc>
        <w:tc>
          <w:tcPr>
            <w:tcW w:w="2782" w:type="dxa"/>
          </w:tcPr>
          <w:p w14:paraId="5A476B5E" w14:textId="77777777" w:rsidR="00047A3A" w:rsidRPr="001B555A" w:rsidRDefault="00047A3A" w:rsidP="00AF3E26">
            <w:pPr>
              <w:pStyle w:val="TableText"/>
            </w:pPr>
            <w:r>
              <w:t>Commissioning Roadmap</w:t>
            </w:r>
          </w:p>
        </w:tc>
        <w:tc>
          <w:tcPr>
            <w:tcW w:w="1222" w:type="dxa"/>
          </w:tcPr>
          <w:p w14:paraId="00EED390" w14:textId="77777777" w:rsidR="00047A3A" w:rsidRDefault="00047A3A" w:rsidP="00AF3E26">
            <w:pPr>
              <w:pStyle w:val="TableText"/>
              <w:jc w:val="center"/>
            </w:pPr>
            <w:r>
              <w:t>07.11.21</w:t>
            </w:r>
          </w:p>
        </w:tc>
      </w:tr>
      <w:tr w:rsidR="00047A3A" w14:paraId="2F1627E4" w14:textId="77777777" w:rsidTr="00AF3E26">
        <w:tc>
          <w:tcPr>
            <w:tcW w:w="687" w:type="dxa"/>
          </w:tcPr>
          <w:p w14:paraId="06B015DB" w14:textId="77777777" w:rsidR="00047A3A" w:rsidRDefault="00047A3A" w:rsidP="00AF3E26">
            <w:pPr>
              <w:pStyle w:val="TableText"/>
              <w:jc w:val="center"/>
            </w:pPr>
            <w:r>
              <w:t>19</w:t>
            </w:r>
          </w:p>
        </w:tc>
        <w:tc>
          <w:tcPr>
            <w:tcW w:w="1111" w:type="dxa"/>
          </w:tcPr>
          <w:p w14:paraId="2C431660" w14:textId="77777777" w:rsidR="00047A3A" w:rsidRDefault="00047A3A" w:rsidP="00AF3E26">
            <w:pPr>
              <w:pStyle w:val="TableText"/>
              <w:jc w:val="center"/>
            </w:pPr>
            <w:r>
              <w:t>21.10.21</w:t>
            </w:r>
          </w:p>
        </w:tc>
        <w:tc>
          <w:tcPr>
            <w:tcW w:w="1486" w:type="dxa"/>
          </w:tcPr>
          <w:p w14:paraId="24BE33F9" w14:textId="77777777" w:rsidR="00047A3A" w:rsidRDefault="00047A3A" w:rsidP="00AF3E26">
            <w:pPr>
              <w:pStyle w:val="TableText"/>
              <w:jc w:val="center"/>
            </w:pPr>
            <w:r>
              <w:t>Davis</w:t>
            </w:r>
          </w:p>
        </w:tc>
        <w:tc>
          <w:tcPr>
            <w:tcW w:w="1665" w:type="dxa"/>
          </w:tcPr>
          <w:p w14:paraId="2FDC9BCB" w14:textId="77777777" w:rsidR="00047A3A" w:rsidRDefault="00047A3A" w:rsidP="00AF3E26">
            <w:pPr>
              <w:pStyle w:val="TableText"/>
              <w:jc w:val="center"/>
            </w:pPr>
            <w:r>
              <w:t>Health</w:t>
            </w:r>
          </w:p>
        </w:tc>
        <w:tc>
          <w:tcPr>
            <w:tcW w:w="2782" w:type="dxa"/>
          </w:tcPr>
          <w:p w14:paraId="3D518766" w14:textId="77777777" w:rsidR="00047A3A" w:rsidRDefault="00047A3A" w:rsidP="00AF3E26">
            <w:pPr>
              <w:pStyle w:val="TableText"/>
            </w:pPr>
            <w:r w:rsidRPr="00C66004">
              <w:t>Disability Health Strategy</w:t>
            </w:r>
          </w:p>
        </w:tc>
        <w:tc>
          <w:tcPr>
            <w:tcW w:w="1222" w:type="dxa"/>
          </w:tcPr>
          <w:p w14:paraId="7BC426EC" w14:textId="77777777" w:rsidR="00047A3A" w:rsidRDefault="00047A3A" w:rsidP="00AF3E26">
            <w:pPr>
              <w:pStyle w:val="TableText"/>
              <w:jc w:val="center"/>
            </w:pPr>
          </w:p>
        </w:tc>
      </w:tr>
      <w:tr w:rsidR="00047A3A" w14:paraId="7E3D13E9"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00052EEC" w14:textId="77777777" w:rsidR="00047A3A" w:rsidRDefault="00047A3A" w:rsidP="00AF3E26">
            <w:pPr>
              <w:pStyle w:val="TableText"/>
              <w:jc w:val="center"/>
            </w:pPr>
            <w:r>
              <w:t>20</w:t>
            </w:r>
          </w:p>
        </w:tc>
        <w:tc>
          <w:tcPr>
            <w:tcW w:w="1111" w:type="dxa"/>
          </w:tcPr>
          <w:p w14:paraId="61E5C616" w14:textId="77777777" w:rsidR="00047A3A" w:rsidRDefault="00047A3A" w:rsidP="00AF3E26">
            <w:pPr>
              <w:pStyle w:val="TableText"/>
              <w:jc w:val="center"/>
            </w:pPr>
            <w:r>
              <w:t>21.10.21</w:t>
            </w:r>
          </w:p>
        </w:tc>
        <w:tc>
          <w:tcPr>
            <w:tcW w:w="1486" w:type="dxa"/>
          </w:tcPr>
          <w:p w14:paraId="46ED163B" w14:textId="77777777" w:rsidR="00047A3A" w:rsidRDefault="00047A3A" w:rsidP="00AF3E26">
            <w:pPr>
              <w:pStyle w:val="TableText"/>
              <w:jc w:val="center"/>
            </w:pPr>
            <w:r>
              <w:t>Davis</w:t>
            </w:r>
          </w:p>
        </w:tc>
        <w:tc>
          <w:tcPr>
            <w:tcW w:w="1665" w:type="dxa"/>
          </w:tcPr>
          <w:p w14:paraId="107AADC7" w14:textId="77777777" w:rsidR="00047A3A" w:rsidRDefault="00047A3A" w:rsidP="00AF3E26">
            <w:pPr>
              <w:pStyle w:val="TableText"/>
              <w:jc w:val="center"/>
            </w:pPr>
            <w:r>
              <w:t>Health</w:t>
            </w:r>
          </w:p>
        </w:tc>
        <w:tc>
          <w:tcPr>
            <w:tcW w:w="2782" w:type="dxa"/>
          </w:tcPr>
          <w:p w14:paraId="4D6964B0" w14:textId="77777777" w:rsidR="00047A3A" w:rsidRDefault="00047A3A" w:rsidP="00AF3E26">
            <w:pPr>
              <w:pStyle w:val="TableText"/>
            </w:pPr>
            <w:r w:rsidRPr="00C66004">
              <w:t>Homebirth Trial</w:t>
            </w:r>
          </w:p>
        </w:tc>
        <w:tc>
          <w:tcPr>
            <w:tcW w:w="1222" w:type="dxa"/>
          </w:tcPr>
          <w:p w14:paraId="5F489305" w14:textId="77777777" w:rsidR="00047A3A" w:rsidRDefault="00047A3A" w:rsidP="00AF3E26">
            <w:pPr>
              <w:pStyle w:val="TableText"/>
              <w:jc w:val="center"/>
            </w:pPr>
          </w:p>
        </w:tc>
      </w:tr>
      <w:tr w:rsidR="00047A3A" w14:paraId="6DE64F7A" w14:textId="77777777" w:rsidTr="00AF3E26">
        <w:tc>
          <w:tcPr>
            <w:tcW w:w="687" w:type="dxa"/>
          </w:tcPr>
          <w:p w14:paraId="0831BD78" w14:textId="77777777" w:rsidR="00047A3A" w:rsidRDefault="00047A3A" w:rsidP="00AF3E26">
            <w:pPr>
              <w:pStyle w:val="TableText"/>
              <w:jc w:val="center"/>
            </w:pPr>
            <w:r>
              <w:t>21</w:t>
            </w:r>
          </w:p>
        </w:tc>
        <w:tc>
          <w:tcPr>
            <w:tcW w:w="1111" w:type="dxa"/>
          </w:tcPr>
          <w:p w14:paraId="773E66C1" w14:textId="77777777" w:rsidR="00047A3A" w:rsidRDefault="00047A3A" w:rsidP="00AF3E26">
            <w:pPr>
              <w:pStyle w:val="TableText"/>
              <w:jc w:val="center"/>
            </w:pPr>
            <w:r>
              <w:t>21.10.21</w:t>
            </w:r>
          </w:p>
        </w:tc>
        <w:tc>
          <w:tcPr>
            <w:tcW w:w="1486" w:type="dxa"/>
          </w:tcPr>
          <w:p w14:paraId="2FF8E2DD" w14:textId="77777777" w:rsidR="00047A3A" w:rsidRDefault="00047A3A" w:rsidP="00AF3E26">
            <w:pPr>
              <w:pStyle w:val="TableText"/>
              <w:jc w:val="center"/>
            </w:pPr>
            <w:r>
              <w:t>Davis</w:t>
            </w:r>
          </w:p>
        </w:tc>
        <w:tc>
          <w:tcPr>
            <w:tcW w:w="1665" w:type="dxa"/>
          </w:tcPr>
          <w:p w14:paraId="7A240FB9" w14:textId="77777777" w:rsidR="00047A3A" w:rsidRDefault="00047A3A" w:rsidP="00AF3E26">
            <w:pPr>
              <w:pStyle w:val="TableText"/>
              <w:jc w:val="center"/>
            </w:pPr>
            <w:r>
              <w:t>Health</w:t>
            </w:r>
          </w:p>
        </w:tc>
        <w:tc>
          <w:tcPr>
            <w:tcW w:w="2782" w:type="dxa"/>
          </w:tcPr>
          <w:p w14:paraId="547C2B6F" w14:textId="77777777" w:rsidR="00047A3A" w:rsidRDefault="00047A3A" w:rsidP="00AF3E26">
            <w:pPr>
              <w:pStyle w:val="TableText"/>
            </w:pPr>
            <w:r w:rsidRPr="00C66004">
              <w:t>ACT Drug Strategy Action Plan</w:t>
            </w:r>
          </w:p>
        </w:tc>
        <w:tc>
          <w:tcPr>
            <w:tcW w:w="1222" w:type="dxa"/>
          </w:tcPr>
          <w:p w14:paraId="3A9B2BA6" w14:textId="77777777" w:rsidR="00047A3A" w:rsidRDefault="00047A3A" w:rsidP="00AF3E26">
            <w:pPr>
              <w:pStyle w:val="TableText"/>
              <w:jc w:val="center"/>
            </w:pPr>
            <w:r>
              <w:t>03.11.21</w:t>
            </w:r>
          </w:p>
        </w:tc>
      </w:tr>
      <w:tr w:rsidR="00047A3A" w14:paraId="569E7228"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3783E2CC" w14:textId="77777777" w:rsidR="00047A3A" w:rsidRDefault="00047A3A" w:rsidP="00AF3E26">
            <w:pPr>
              <w:pStyle w:val="TableText"/>
              <w:jc w:val="center"/>
            </w:pPr>
            <w:r>
              <w:t>22</w:t>
            </w:r>
          </w:p>
        </w:tc>
        <w:tc>
          <w:tcPr>
            <w:tcW w:w="1111" w:type="dxa"/>
          </w:tcPr>
          <w:p w14:paraId="59A0801A" w14:textId="77777777" w:rsidR="00047A3A" w:rsidRDefault="00047A3A" w:rsidP="00AF3E26">
            <w:pPr>
              <w:pStyle w:val="TableText"/>
              <w:jc w:val="center"/>
            </w:pPr>
            <w:r>
              <w:t>21.10.21</w:t>
            </w:r>
          </w:p>
        </w:tc>
        <w:tc>
          <w:tcPr>
            <w:tcW w:w="1486" w:type="dxa"/>
          </w:tcPr>
          <w:p w14:paraId="7D5F5708" w14:textId="77777777" w:rsidR="00047A3A" w:rsidRDefault="00047A3A" w:rsidP="00AF3E26">
            <w:pPr>
              <w:pStyle w:val="TableText"/>
              <w:jc w:val="center"/>
            </w:pPr>
            <w:r>
              <w:t>Davis</w:t>
            </w:r>
          </w:p>
        </w:tc>
        <w:tc>
          <w:tcPr>
            <w:tcW w:w="1665" w:type="dxa"/>
          </w:tcPr>
          <w:p w14:paraId="4D9ADC32" w14:textId="77777777" w:rsidR="00047A3A" w:rsidRDefault="00047A3A" w:rsidP="00AF3E26">
            <w:pPr>
              <w:pStyle w:val="TableText"/>
              <w:jc w:val="center"/>
            </w:pPr>
            <w:r>
              <w:t>Health</w:t>
            </w:r>
          </w:p>
        </w:tc>
        <w:tc>
          <w:tcPr>
            <w:tcW w:w="2782" w:type="dxa"/>
          </w:tcPr>
          <w:p w14:paraId="48FE419B" w14:textId="77777777" w:rsidR="00047A3A" w:rsidRPr="00C66004" w:rsidRDefault="00047A3A" w:rsidP="00AF3E26">
            <w:pPr>
              <w:pStyle w:val="TableText"/>
            </w:pPr>
            <w:r>
              <w:t>AOD Services</w:t>
            </w:r>
          </w:p>
        </w:tc>
        <w:tc>
          <w:tcPr>
            <w:tcW w:w="1222" w:type="dxa"/>
          </w:tcPr>
          <w:p w14:paraId="5D27B02C" w14:textId="77777777" w:rsidR="00047A3A" w:rsidRDefault="00047A3A" w:rsidP="00AF3E26">
            <w:pPr>
              <w:pStyle w:val="TableText"/>
              <w:jc w:val="center"/>
            </w:pPr>
            <w:r>
              <w:t>03.11.21</w:t>
            </w:r>
          </w:p>
        </w:tc>
      </w:tr>
      <w:tr w:rsidR="00047A3A" w:rsidRPr="008755B7" w14:paraId="74F791F3" w14:textId="77777777" w:rsidTr="00AF3E26">
        <w:tc>
          <w:tcPr>
            <w:tcW w:w="687" w:type="dxa"/>
          </w:tcPr>
          <w:p w14:paraId="178E5122" w14:textId="77777777" w:rsidR="00047A3A" w:rsidRPr="008755B7" w:rsidRDefault="00047A3A" w:rsidP="00AF3E26">
            <w:pPr>
              <w:pStyle w:val="TableText"/>
              <w:jc w:val="center"/>
              <w:rPr>
                <w:sz w:val="20"/>
                <w:szCs w:val="20"/>
              </w:rPr>
            </w:pPr>
            <w:r w:rsidRPr="008755B7">
              <w:rPr>
                <w:sz w:val="20"/>
                <w:szCs w:val="20"/>
              </w:rPr>
              <w:t>23</w:t>
            </w:r>
          </w:p>
        </w:tc>
        <w:tc>
          <w:tcPr>
            <w:tcW w:w="1111" w:type="dxa"/>
          </w:tcPr>
          <w:p w14:paraId="49CB4EB5" w14:textId="77777777" w:rsidR="00047A3A" w:rsidRPr="008755B7" w:rsidRDefault="00047A3A" w:rsidP="00AF3E26">
            <w:pPr>
              <w:pStyle w:val="TableText"/>
              <w:jc w:val="center"/>
              <w:rPr>
                <w:sz w:val="20"/>
                <w:szCs w:val="20"/>
              </w:rPr>
            </w:pPr>
            <w:r w:rsidRPr="008755B7">
              <w:rPr>
                <w:sz w:val="20"/>
                <w:szCs w:val="20"/>
              </w:rPr>
              <w:t>21.10.21</w:t>
            </w:r>
          </w:p>
        </w:tc>
        <w:tc>
          <w:tcPr>
            <w:tcW w:w="1486" w:type="dxa"/>
          </w:tcPr>
          <w:p w14:paraId="179748ED" w14:textId="77777777" w:rsidR="00047A3A" w:rsidRPr="008755B7" w:rsidRDefault="00047A3A" w:rsidP="00AF3E26">
            <w:pPr>
              <w:pStyle w:val="TableText"/>
              <w:jc w:val="center"/>
              <w:rPr>
                <w:sz w:val="20"/>
                <w:szCs w:val="20"/>
              </w:rPr>
            </w:pPr>
            <w:r w:rsidRPr="008755B7">
              <w:rPr>
                <w:sz w:val="20"/>
                <w:szCs w:val="20"/>
              </w:rPr>
              <w:t>Jones</w:t>
            </w:r>
          </w:p>
        </w:tc>
        <w:tc>
          <w:tcPr>
            <w:tcW w:w="1665" w:type="dxa"/>
          </w:tcPr>
          <w:p w14:paraId="21D57767" w14:textId="77777777" w:rsidR="00047A3A" w:rsidRPr="008755B7" w:rsidRDefault="00047A3A" w:rsidP="00AF3E26">
            <w:pPr>
              <w:pStyle w:val="TableText"/>
              <w:jc w:val="center"/>
              <w:rPr>
                <w:sz w:val="20"/>
                <w:szCs w:val="20"/>
              </w:rPr>
            </w:pPr>
            <w:r w:rsidRPr="008755B7">
              <w:rPr>
                <w:sz w:val="20"/>
                <w:szCs w:val="20"/>
              </w:rPr>
              <w:t>Health</w:t>
            </w:r>
          </w:p>
        </w:tc>
        <w:tc>
          <w:tcPr>
            <w:tcW w:w="2782" w:type="dxa"/>
          </w:tcPr>
          <w:p w14:paraId="155272F4" w14:textId="77777777" w:rsidR="00047A3A" w:rsidRPr="008755B7" w:rsidRDefault="00047A3A" w:rsidP="008755B7">
            <w:pPr>
              <w:pStyle w:val="TableText"/>
              <w:rPr>
                <w:sz w:val="20"/>
                <w:szCs w:val="20"/>
              </w:rPr>
            </w:pPr>
            <w:r w:rsidRPr="008755B7">
              <w:rPr>
                <w:sz w:val="20"/>
                <w:szCs w:val="20"/>
              </w:rPr>
              <w:t>Calvary Staff Furloughed</w:t>
            </w:r>
          </w:p>
        </w:tc>
        <w:tc>
          <w:tcPr>
            <w:tcW w:w="1222" w:type="dxa"/>
          </w:tcPr>
          <w:p w14:paraId="1710A787" w14:textId="77777777" w:rsidR="00047A3A" w:rsidRPr="008755B7" w:rsidRDefault="00047A3A" w:rsidP="00AF3E26">
            <w:pPr>
              <w:pStyle w:val="TableText"/>
              <w:jc w:val="center"/>
              <w:rPr>
                <w:sz w:val="20"/>
                <w:szCs w:val="20"/>
              </w:rPr>
            </w:pPr>
            <w:r w:rsidRPr="008755B7">
              <w:rPr>
                <w:sz w:val="20"/>
                <w:szCs w:val="20"/>
              </w:rPr>
              <w:t>09.11.21</w:t>
            </w:r>
          </w:p>
        </w:tc>
      </w:tr>
      <w:tr w:rsidR="00047A3A" w14:paraId="155C99BC"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58A7020D" w14:textId="77777777" w:rsidR="00047A3A" w:rsidRDefault="00047A3A" w:rsidP="00AF3E26">
            <w:pPr>
              <w:pStyle w:val="TableText"/>
              <w:jc w:val="center"/>
            </w:pPr>
            <w:r>
              <w:t>24</w:t>
            </w:r>
          </w:p>
        </w:tc>
        <w:tc>
          <w:tcPr>
            <w:tcW w:w="1111" w:type="dxa"/>
          </w:tcPr>
          <w:p w14:paraId="1A06806C" w14:textId="77777777" w:rsidR="00047A3A" w:rsidRDefault="00047A3A" w:rsidP="00AF3E26">
            <w:pPr>
              <w:pStyle w:val="TableText"/>
              <w:jc w:val="center"/>
            </w:pPr>
            <w:r>
              <w:t>21.10.21</w:t>
            </w:r>
          </w:p>
        </w:tc>
        <w:tc>
          <w:tcPr>
            <w:tcW w:w="1486" w:type="dxa"/>
          </w:tcPr>
          <w:p w14:paraId="06795E98" w14:textId="77777777" w:rsidR="00047A3A" w:rsidRDefault="00047A3A" w:rsidP="00AF3E26">
            <w:pPr>
              <w:pStyle w:val="TableText"/>
              <w:jc w:val="center"/>
            </w:pPr>
            <w:r>
              <w:t xml:space="preserve">Jones </w:t>
            </w:r>
          </w:p>
        </w:tc>
        <w:tc>
          <w:tcPr>
            <w:tcW w:w="1665" w:type="dxa"/>
          </w:tcPr>
          <w:p w14:paraId="792E98E6" w14:textId="77777777" w:rsidR="00047A3A" w:rsidRDefault="00047A3A" w:rsidP="00AF3E26">
            <w:pPr>
              <w:pStyle w:val="TableText"/>
              <w:jc w:val="center"/>
            </w:pPr>
            <w:r>
              <w:t>Health</w:t>
            </w:r>
          </w:p>
        </w:tc>
        <w:tc>
          <w:tcPr>
            <w:tcW w:w="2782" w:type="dxa"/>
          </w:tcPr>
          <w:p w14:paraId="0BACABCA" w14:textId="77777777" w:rsidR="00047A3A" w:rsidRPr="00C66004" w:rsidRDefault="00047A3A" w:rsidP="00AF3E26">
            <w:pPr>
              <w:pStyle w:val="TableText"/>
            </w:pPr>
            <w:r>
              <w:t>Cross Border Health Receipts</w:t>
            </w:r>
          </w:p>
        </w:tc>
        <w:tc>
          <w:tcPr>
            <w:tcW w:w="1222" w:type="dxa"/>
          </w:tcPr>
          <w:p w14:paraId="7A471E26" w14:textId="77777777" w:rsidR="00047A3A" w:rsidRDefault="00047A3A" w:rsidP="00AF3E26">
            <w:pPr>
              <w:pStyle w:val="TableText"/>
              <w:jc w:val="center"/>
            </w:pPr>
            <w:r>
              <w:t>03.11.21</w:t>
            </w:r>
          </w:p>
        </w:tc>
      </w:tr>
      <w:tr w:rsidR="00047A3A" w14:paraId="35034D1C" w14:textId="77777777" w:rsidTr="00AF3E26">
        <w:tc>
          <w:tcPr>
            <w:tcW w:w="687" w:type="dxa"/>
          </w:tcPr>
          <w:p w14:paraId="1C827394" w14:textId="77777777" w:rsidR="00047A3A" w:rsidRDefault="00047A3A" w:rsidP="00AF3E26">
            <w:pPr>
              <w:pStyle w:val="TableText"/>
              <w:jc w:val="center"/>
            </w:pPr>
            <w:r>
              <w:t>25</w:t>
            </w:r>
          </w:p>
        </w:tc>
        <w:tc>
          <w:tcPr>
            <w:tcW w:w="1111" w:type="dxa"/>
          </w:tcPr>
          <w:p w14:paraId="5398A3AB" w14:textId="77777777" w:rsidR="00047A3A" w:rsidRDefault="00047A3A" w:rsidP="00AF3E26">
            <w:pPr>
              <w:pStyle w:val="TableText"/>
              <w:jc w:val="center"/>
            </w:pPr>
            <w:r>
              <w:t>21.10.21</w:t>
            </w:r>
          </w:p>
        </w:tc>
        <w:tc>
          <w:tcPr>
            <w:tcW w:w="1486" w:type="dxa"/>
          </w:tcPr>
          <w:p w14:paraId="21CBCC16" w14:textId="77777777" w:rsidR="00047A3A" w:rsidRDefault="00047A3A" w:rsidP="00AF3E26">
            <w:pPr>
              <w:pStyle w:val="TableText"/>
              <w:jc w:val="center"/>
            </w:pPr>
            <w:r>
              <w:t>Jones</w:t>
            </w:r>
          </w:p>
        </w:tc>
        <w:tc>
          <w:tcPr>
            <w:tcW w:w="1665" w:type="dxa"/>
          </w:tcPr>
          <w:p w14:paraId="2261303A" w14:textId="77777777" w:rsidR="00047A3A" w:rsidRDefault="00047A3A" w:rsidP="00AF3E26">
            <w:pPr>
              <w:pStyle w:val="TableText"/>
              <w:jc w:val="center"/>
            </w:pPr>
            <w:r>
              <w:t>Health</w:t>
            </w:r>
          </w:p>
        </w:tc>
        <w:tc>
          <w:tcPr>
            <w:tcW w:w="2782" w:type="dxa"/>
          </w:tcPr>
          <w:p w14:paraId="0583D872" w14:textId="77777777" w:rsidR="00047A3A" w:rsidRPr="00C66004" w:rsidRDefault="00047A3A" w:rsidP="00AF3E26">
            <w:pPr>
              <w:pStyle w:val="TableText"/>
            </w:pPr>
            <w:r>
              <w:t>Health Funding Envelope</w:t>
            </w:r>
          </w:p>
        </w:tc>
        <w:tc>
          <w:tcPr>
            <w:tcW w:w="1222" w:type="dxa"/>
          </w:tcPr>
          <w:p w14:paraId="2E1349CF" w14:textId="77777777" w:rsidR="00047A3A" w:rsidRDefault="00047A3A" w:rsidP="00AF3E26">
            <w:pPr>
              <w:pStyle w:val="TableText"/>
              <w:jc w:val="center"/>
            </w:pPr>
            <w:r>
              <w:t>07.11.21</w:t>
            </w:r>
          </w:p>
        </w:tc>
      </w:tr>
      <w:tr w:rsidR="00047A3A" w14:paraId="2DAA3287"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5AB20CE1" w14:textId="77777777" w:rsidR="00047A3A" w:rsidRDefault="00047A3A" w:rsidP="00AF3E26">
            <w:pPr>
              <w:pStyle w:val="TableText"/>
              <w:jc w:val="center"/>
            </w:pPr>
            <w:r>
              <w:t>26</w:t>
            </w:r>
          </w:p>
        </w:tc>
        <w:tc>
          <w:tcPr>
            <w:tcW w:w="1111" w:type="dxa"/>
          </w:tcPr>
          <w:p w14:paraId="7BA4E82E" w14:textId="77777777" w:rsidR="00047A3A" w:rsidRDefault="00047A3A" w:rsidP="00AF3E26">
            <w:pPr>
              <w:pStyle w:val="TableText"/>
              <w:jc w:val="center"/>
            </w:pPr>
            <w:r>
              <w:t>21.10.21</w:t>
            </w:r>
          </w:p>
        </w:tc>
        <w:tc>
          <w:tcPr>
            <w:tcW w:w="1486" w:type="dxa"/>
          </w:tcPr>
          <w:p w14:paraId="006C21C1" w14:textId="77777777" w:rsidR="00047A3A" w:rsidRDefault="00047A3A" w:rsidP="00AF3E26">
            <w:pPr>
              <w:pStyle w:val="TableText"/>
              <w:jc w:val="center"/>
            </w:pPr>
            <w:r>
              <w:t>Jones</w:t>
            </w:r>
          </w:p>
        </w:tc>
        <w:tc>
          <w:tcPr>
            <w:tcW w:w="1665" w:type="dxa"/>
          </w:tcPr>
          <w:p w14:paraId="4F579219" w14:textId="77777777" w:rsidR="00047A3A" w:rsidRDefault="00047A3A" w:rsidP="00AF3E26">
            <w:pPr>
              <w:pStyle w:val="TableText"/>
              <w:jc w:val="center"/>
            </w:pPr>
            <w:r>
              <w:t>Health</w:t>
            </w:r>
          </w:p>
        </w:tc>
        <w:tc>
          <w:tcPr>
            <w:tcW w:w="2782" w:type="dxa"/>
          </w:tcPr>
          <w:p w14:paraId="6D8CB0A2" w14:textId="77777777" w:rsidR="00047A3A" w:rsidRDefault="00047A3A" w:rsidP="00AF3E26">
            <w:pPr>
              <w:pStyle w:val="TableText"/>
            </w:pPr>
            <w:r w:rsidRPr="00C66004">
              <w:t>National Partnership on COVID-19 Public Health Response</w:t>
            </w:r>
          </w:p>
        </w:tc>
        <w:tc>
          <w:tcPr>
            <w:tcW w:w="1222" w:type="dxa"/>
          </w:tcPr>
          <w:p w14:paraId="49611D34" w14:textId="77777777" w:rsidR="00047A3A" w:rsidRDefault="00047A3A" w:rsidP="00AF3E26">
            <w:pPr>
              <w:pStyle w:val="TableText"/>
              <w:jc w:val="center"/>
            </w:pPr>
            <w:r>
              <w:t>09.11.21</w:t>
            </w:r>
          </w:p>
        </w:tc>
      </w:tr>
      <w:tr w:rsidR="00047A3A" w14:paraId="380EB532" w14:textId="77777777" w:rsidTr="00AF3E26">
        <w:tc>
          <w:tcPr>
            <w:tcW w:w="687" w:type="dxa"/>
          </w:tcPr>
          <w:p w14:paraId="75612853" w14:textId="77777777" w:rsidR="00047A3A" w:rsidRDefault="00047A3A" w:rsidP="00AF3E26">
            <w:pPr>
              <w:pStyle w:val="TableText"/>
              <w:jc w:val="center"/>
            </w:pPr>
            <w:r>
              <w:t>27</w:t>
            </w:r>
          </w:p>
        </w:tc>
        <w:tc>
          <w:tcPr>
            <w:tcW w:w="1111" w:type="dxa"/>
          </w:tcPr>
          <w:p w14:paraId="2B54FCB4" w14:textId="77777777" w:rsidR="00047A3A" w:rsidRDefault="00047A3A" w:rsidP="00AF3E26">
            <w:pPr>
              <w:pStyle w:val="TableText"/>
              <w:jc w:val="center"/>
            </w:pPr>
            <w:r>
              <w:t>21.10.21</w:t>
            </w:r>
          </w:p>
        </w:tc>
        <w:tc>
          <w:tcPr>
            <w:tcW w:w="1486" w:type="dxa"/>
          </w:tcPr>
          <w:p w14:paraId="766F454D" w14:textId="77777777" w:rsidR="00047A3A" w:rsidRDefault="00047A3A" w:rsidP="00AF3E26">
            <w:pPr>
              <w:pStyle w:val="TableText"/>
              <w:jc w:val="center"/>
            </w:pPr>
            <w:r>
              <w:t>Jones</w:t>
            </w:r>
          </w:p>
        </w:tc>
        <w:tc>
          <w:tcPr>
            <w:tcW w:w="1665" w:type="dxa"/>
          </w:tcPr>
          <w:p w14:paraId="25C298DB" w14:textId="77777777" w:rsidR="00047A3A" w:rsidRDefault="00047A3A" w:rsidP="00AF3E26">
            <w:pPr>
              <w:pStyle w:val="TableText"/>
              <w:jc w:val="center"/>
            </w:pPr>
            <w:r>
              <w:t>Mental Health</w:t>
            </w:r>
          </w:p>
        </w:tc>
        <w:tc>
          <w:tcPr>
            <w:tcW w:w="2782" w:type="dxa"/>
          </w:tcPr>
          <w:p w14:paraId="356EC308" w14:textId="77777777" w:rsidR="00047A3A" w:rsidRDefault="00047A3A" w:rsidP="00AF3E26">
            <w:pPr>
              <w:pStyle w:val="TableText"/>
            </w:pPr>
            <w:r w:rsidRPr="00C66004">
              <w:t>Mental Health Co-ordinator-General</w:t>
            </w:r>
          </w:p>
        </w:tc>
        <w:tc>
          <w:tcPr>
            <w:tcW w:w="1222" w:type="dxa"/>
          </w:tcPr>
          <w:p w14:paraId="753CC998" w14:textId="77777777" w:rsidR="00047A3A" w:rsidRDefault="00047A3A" w:rsidP="00AF3E26">
            <w:pPr>
              <w:pStyle w:val="TableText"/>
              <w:jc w:val="center"/>
            </w:pPr>
            <w:r>
              <w:t>09.11.21</w:t>
            </w:r>
          </w:p>
        </w:tc>
      </w:tr>
      <w:tr w:rsidR="00047A3A" w14:paraId="78E27409"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274A0513" w14:textId="77777777" w:rsidR="00047A3A" w:rsidRDefault="00047A3A" w:rsidP="00AF3E26">
            <w:pPr>
              <w:pStyle w:val="TableText"/>
              <w:jc w:val="center"/>
            </w:pPr>
            <w:r>
              <w:t>28</w:t>
            </w:r>
          </w:p>
        </w:tc>
        <w:tc>
          <w:tcPr>
            <w:tcW w:w="1111" w:type="dxa"/>
          </w:tcPr>
          <w:p w14:paraId="5DB16F6F" w14:textId="77777777" w:rsidR="00047A3A" w:rsidRDefault="00047A3A" w:rsidP="00AF3E26">
            <w:pPr>
              <w:pStyle w:val="TableText"/>
              <w:jc w:val="center"/>
            </w:pPr>
            <w:r>
              <w:t>21.10.21</w:t>
            </w:r>
          </w:p>
        </w:tc>
        <w:tc>
          <w:tcPr>
            <w:tcW w:w="1486" w:type="dxa"/>
          </w:tcPr>
          <w:p w14:paraId="7B0CE4BD" w14:textId="77777777" w:rsidR="00047A3A" w:rsidRDefault="00047A3A" w:rsidP="00AF3E26">
            <w:pPr>
              <w:pStyle w:val="TableText"/>
              <w:jc w:val="center"/>
            </w:pPr>
            <w:r>
              <w:t>Jones</w:t>
            </w:r>
          </w:p>
        </w:tc>
        <w:tc>
          <w:tcPr>
            <w:tcW w:w="1665" w:type="dxa"/>
          </w:tcPr>
          <w:p w14:paraId="38B02AAF" w14:textId="77777777" w:rsidR="00047A3A" w:rsidRDefault="00047A3A" w:rsidP="00AF3E26">
            <w:pPr>
              <w:pStyle w:val="TableText"/>
              <w:jc w:val="center"/>
            </w:pPr>
            <w:r>
              <w:t>Health</w:t>
            </w:r>
          </w:p>
        </w:tc>
        <w:tc>
          <w:tcPr>
            <w:tcW w:w="2782" w:type="dxa"/>
          </w:tcPr>
          <w:p w14:paraId="59625783" w14:textId="77777777" w:rsidR="00047A3A" w:rsidRDefault="00047A3A" w:rsidP="00AF3E26">
            <w:pPr>
              <w:pStyle w:val="TableText"/>
            </w:pPr>
            <w:r w:rsidRPr="00C66004">
              <w:t>Ligature Points</w:t>
            </w:r>
          </w:p>
        </w:tc>
        <w:tc>
          <w:tcPr>
            <w:tcW w:w="1222" w:type="dxa"/>
          </w:tcPr>
          <w:p w14:paraId="2CC4118F" w14:textId="77777777" w:rsidR="00047A3A" w:rsidRDefault="00047A3A" w:rsidP="00AF3E26">
            <w:pPr>
              <w:pStyle w:val="TableText"/>
              <w:jc w:val="center"/>
            </w:pPr>
          </w:p>
        </w:tc>
      </w:tr>
      <w:tr w:rsidR="00047A3A" w14:paraId="76F156D1" w14:textId="77777777" w:rsidTr="00AF3E26">
        <w:tc>
          <w:tcPr>
            <w:tcW w:w="687" w:type="dxa"/>
          </w:tcPr>
          <w:p w14:paraId="228A7C5A" w14:textId="77777777" w:rsidR="00047A3A" w:rsidRDefault="00047A3A" w:rsidP="00AF3E26">
            <w:pPr>
              <w:pStyle w:val="TableText"/>
              <w:jc w:val="center"/>
            </w:pPr>
            <w:r>
              <w:t>29</w:t>
            </w:r>
          </w:p>
        </w:tc>
        <w:tc>
          <w:tcPr>
            <w:tcW w:w="1111" w:type="dxa"/>
          </w:tcPr>
          <w:p w14:paraId="35D13E92" w14:textId="77777777" w:rsidR="00047A3A" w:rsidRDefault="00047A3A" w:rsidP="00AF3E26">
            <w:pPr>
              <w:pStyle w:val="TableText"/>
              <w:jc w:val="center"/>
            </w:pPr>
            <w:r>
              <w:t>21.10.21</w:t>
            </w:r>
          </w:p>
        </w:tc>
        <w:tc>
          <w:tcPr>
            <w:tcW w:w="1486" w:type="dxa"/>
          </w:tcPr>
          <w:p w14:paraId="375A3185" w14:textId="77777777" w:rsidR="00047A3A" w:rsidRDefault="00047A3A" w:rsidP="00AF3E26">
            <w:pPr>
              <w:pStyle w:val="TableText"/>
              <w:jc w:val="center"/>
            </w:pPr>
            <w:r>
              <w:t>Kikkert</w:t>
            </w:r>
          </w:p>
        </w:tc>
        <w:tc>
          <w:tcPr>
            <w:tcW w:w="1665" w:type="dxa"/>
          </w:tcPr>
          <w:p w14:paraId="1A2A83ED" w14:textId="77777777" w:rsidR="00047A3A" w:rsidRDefault="00047A3A" w:rsidP="00AF3E26">
            <w:pPr>
              <w:pStyle w:val="TableText"/>
              <w:jc w:val="center"/>
            </w:pPr>
            <w:r w:rsidRPr="000B7125">
              <w:t>CSD - Seniors, Veterans, Families, and Community Services</w:t>
            </w:r>
          </w:p>
        </w:tc>
        <w:tc>
          <w:tcPr>
            <w:tcW w:w="2782" w:type="dxa"/>
          </w:tcPr>
          <w:p w14:paraId="6C13CEF2" w14:textId="77777777" w:rsidR="00047A3A" w:rsidRDefault="00047A3A" w:rsidP="00AF3E26">
            <w:pPr>
              <w:pStyle w:val="TableText"/>
            </w:pPr>
            <w:r w:rsidRPr="000B7125">
              <w:t>Bimberi Youth Justice Centre</w:t>
            </w:r>
          </w:p>
        </w:tc>
        <w:tc>
          <w:tcPr>
            <w:tcW w:w="1222" w:type="dxa"/>
          </w:tcPr>
          <w:p w14:paraId="4EF70E6D" w14:textId="77777777" w:rsidR="00047A3A" w:rsidRDefault="00047A3A" w:rsidP="00AF3E26">
            <w:pPr>
              <w:pStyle w:val="TableText"/>
              <w:jc w:val="center"/>
            </w:pPr>
          </w:p>
        </w:tc>
      </w:tr>
      <w:tr w:rsidR="00047A3A" w14:paraId="4F29ABA4"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239C8D5C" w14:textId="77777777" w:rsidR="00047A3A" w:rsidRDefault="00047A3A" w:rsidP="00AF3E26">
            <w:pPr>
              <w:pStyle w:val="TableText"/>
              <w:jc w:val="center"/>
            </w:pPr>
            <w:r>
              <w:t>30</w:t>
            </w:r>
          </w:p>
        </w:tc>
        <w:tc>
          <w:tcPr>
            <w:tcW w:w="1111" w:type="dxa"/>
          </w:tcPr>
          <w:p w14:paraId="47E7B898" w14:textId="77777777" w:rsidR="00047A3A" w:rsidRDefault="00047A3A" w:rsidP="00AF3E26">
            <w:pPr>
              <w:pStyle w:val="TableText"/>
              <w:jc w:val="center"/>
            </w:pPr>
            <w:r>
              <w:t>21.10.21</w:t>
            </w:r>
          </w:p>
        </w:tc>
        <w:tc>
          <w:tcPr>
            <w:tcW w:w="1486" w:type="dxa"/>
          </w:tcPr>
          <w:p w14:paraId="1FA18593" w14:textId="77777777" w:rsidR="00047A3A" w:rsidRDefault="00047A3A" w:rsidP="00AF3E26">
            <w:pPr>
              <w:pStyle w:val="TableText"/>
              <w:jc w:val="center"/>
            </w:pPr>
            <w:r>
              <w:t>Kikkert</w:t>
            </w:r>
          </w:p>
        </w:tc>
        <w:tc>
          <w:tcPr>
            <w:tcW w:w="1665" w:type="dxa"/>
          </w:tcPr>
          <w:p w14:paraId="128E1087" w14:textId="77777777" w:rsidR="00047A3A" w:rsidRDefault="00047A3A" w:rsidP="00AF3E26">
            <w:pPr>
              <w:pStyle w:val="TableText"/>
              <w:jc w:val="center"/>
            </w:pPr>
            <w:r w:rsidRPr="000B7125">
              <w:t>CSD - Seniors, Veterans, Families, and Community Services</w:t>
            </w:r>
          </w:p>
        </w:tc>
        <w:tc>
          <w:tcPr>
            <w:tcW w:w="2782" w:type="dxa"/>
          </w:tcPr>
          <w:p w14:paraId="6F1CC064" w14:textId="77777777" w:rsidR="00047A3A" w:rsidRDefault="00047A3A" w:rsidP="00AF3E26">
            <w:pPr>
              <w:pStyle w:val="TableText"/>
            </w:pPr>
            <w:r w:rsidRPr="000B7125">
              <w:t>Functional Family Therapy - Youth Justice</w:t>
            </w:r>
          </w:p>
        </w:tc>
        <w:tc>
          <w:tcPr>
            <w:tcW w:w="1222" w:type="dxa"/>
          </w:tcPr>
          <w:p w14:paraId="3D0DA2C1" w14:textId="77777777" w:rsidR="00047A3A" w:rsidRDefault="00047A3A" w:rsidP="00AF3E26">
            <w:pPr>
              <w:pStyle w:val="TableText"/>
              <w:jc w:val="center"/>
            </w:pPr>
          </w:p>
        </w:tc>
      </w:tr>
      <w:tr w:rsidR="00047A3A" w14:paraId="7C43F86D" w14:textId="77777777" w:rsidTr="00AF3E26">
        <w:tc>
          <w:tcPr>
            <w:tcW w:w="687" w:type="dxa"/>
          </w:tcPr>
          <w:p w14:paraId="0CAA9124" w14:textId="77777777" w:rsidR="00047A3A" w:rsidRDefault="00047A3A" w:rsidP="00AF3E26">
            <w:pPr>
              <w:pStyle w:val="TableText"/>
              <w:jc w:val="center"/>
            </w:pPr>
            <w:r>
              <w:t>31</w:t>
            </w:r>
          </w:p>
        </w:tc>
        <w:tc>
          <w:tcPr>
            <w:tcW w:w="1111" w:type="dxa"/>
          </w:tcPr>
          <w:p w14:paraId="068ECE66" w14:textId="77777777" w:rsidR="00047A3A" w:rsidRDefault="00047A3A" w:rsidP="00AF3E26">
            <w:pPr>
              <w:pStyle w:val="TableText"/>
              <w:jc w:val="center"/>
            </w:pPr>
            <w:r>
              <w:t>21.10.21</w:t>
            </w:r>
          </w:p>
        </w:tc>
        <w:tc>
          <w:tcPr>
            <w:tcW w:w="1486" w:type="dxa"/>
          </w:tcPr>
          <w:p w14:paraId="2F90DB00" w14:textId="77777777" w:rsidR="00047A3A" w:rsidRDefault="00047A3A" w:rsidP="00AF3E26">
            <w:pPr>
              <w:pStyle w:val="TableText"/>
              <w:jc w:val="center"/>
            </w:pPr>
            <w:r>
              <w:t>Kikkert</w:t>
            </w:r>
          </w:p>
        </w:tc>
        <w:tc>
          <w:tcPr>
            <w:tcW w:w="1665" w:type="dxa"/>
          </w:tcPr>
          <w:p w14:paraId="632E4E76" w14:textId="77777777" w:rsidR="00047A3A" w:rsidRDefault="00047A3A" w:rsidP="00AF3E26">
            <w:pPr>
              <w:pStyle w:val="TableText"/>
              <w:jc w:val="center"/>
            </w:pPr>
            <w:r w:rsidRPr="000B7125">
              <w:t>CSD - Seniors, Veterans, Families, and Community Services</w:t>
            </w:r>
          </w:p>
        </w:tc>
        <w:tc>
          <w:tcPr>
            <w:tcW w:w="2782" w:type="dxa"/>
          </w:tcPr>
          <w:p w14:paraId="0284FF4E" w14:textId="77777777" w:rsidR="00047A3A" w:rsidRDefault="00047A3A" w:rsidP="00AF3E26">
            <w:pPr>
              <w:pStyle w:val="TableText"/>
            </w:pPr>
            <w:r w:rsidRPr="000B7125">
              <w:t>Raising the minimum age of criminal responsibility</w:t>
            </w:r>
          </w:p>
        </w:tc>
        <w:tc>
          <w:tcPr>
            <w:tcW w:w="1222" w:type="dxa"/>
          </w:tcPr>
          <w:p w14:paraId="4342FF2B" w14:textId="77777777" w:rsidR="00047A3A" w:rsidRDefault="00047A3A" w:rsidP="00AF3E26">
            <w:pPr>
              <w:pStyle w:val="TableText"/>
              <w:jc w:val="center"/>
            </w:pPr>
          </w:p>
        </w:tc>
      </w:tr>
      <w:tr w:rsidR="00047A3A" w14:paraId="4CECF32A"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569E5C57" w14:textId="77777777" w:rsidR="00047A3A" w:rsidRDefault="00047A3A" w:rsidP="00AF3E26">
            <w:pPr>
              <w:pStyle w:val="TableText"/>
              <w:jc w:val="center"/>
            </w:pPr>
            <w:r>
              <w:t>32</w:t>
            </w:r>
          </w:p>
        </w:tc>
        <w:tc>
          <w:tcPr>
            <w:tcW w:w="1111" w:type="dxa"/>
          </w:tcPr>
          <w:p w14:paraId="1449616E" w14:textId="77777777" w:rsidR="00047A3A" w:rsidRDefault="00047A3A" w:rsidP="00AF3E26">
            <w:pPr>
              <w:pStyle w:val="TableText"/>
              <w:jc w:val="center"/>
            </w:pPr>
            <w:r>
              <w:t>21.10.21</w:t>
            </w:r>
          </w:p>
        </w:tc>
        <w:tc>
          <w:tcPr>
            <w:tcW w:w="1486" w:type="dxa"/>
          </w:tcPr>
          <w:p w14:paraId="5E2B7B0C" w14:textId="77777777" w:rsidR="00047A3A" w:rsidRDefault="00047A3A" w:rsidP="00AF3E26">
            <w:pPr>
              <w:pStyle w:val="TableText"/>
              <w:jc w:val="center"/>
            </w:pPr>
            <w:r>
              <w:t>Kikkert</w:t>
            </w:r>
          </w:p>
        </w:tc>
        <w:tc>
          <w:tcPr>
            <w:tcW w:w="1665" w:type="dxa"/>
          </w:tcPr>
          <w:p w14:paraId="451C5D24" w14:textId="77777777" w:rsidR="00047A3A" w:rsidRDefault="00047A3A" w:rsidP="00AF3E26">
            <w:pPr>
              <w:pStyle w:val="TableText"/>
              <w:jc w:val="center"/>
            </w:pPr>
            <w:r w:rsidRPr="000B7125">
              <w:t>CSD - Seniors, Veterans, Families, and Community Services</w:t>
            </w:r>
          </w:p>
        </w:tc>
        <w:tc>
          <w:tcPr>
            <w:tcW w:w="2782" w:type="dxa"/>
          </w:tcPr>
          <w:p w14:paraId="6C2E097D" w14:textId="77777777" w:rsidR="00047A3A" w:rsidRDefault="00047A3A" w:rsidP="00AF3E26">
            <w:pPr>
              <w:pStyle w:val="TableText"/>
            </w:pPr>
            <w:r w:rsidRPr="000B7125">
              <w:t>Recidivism and Casement Management of those on community-based orders</w:t>
            </w:r>
          </w:p>
        </w:tc>
        <w:tc>
          <w:tcPr>
            <w:tcW w:w="1222" w:type="dxa"/>
          </w:tcPr>
          <w:p w14:paraId="3D2EF154" w14:textId="77777777" w:rsidR="00047A3A" w:rsidRDefault="00047A3A" w:rsidP="00AF3E26">
            <w:pPr>
              <w:pStyle w:val="TableText"/>
              <w:jc w:val="center"/>
            </w:pPr>
          </w:p>
        </w:tc>
      </w:tr>
      <w:tr w:rsidR="00047A3A" w14:paraId="2BBC2D68" w14:textId="77777777" w:rsidTr="00AF3E26">
        <w:tc>
          <w:tcPr>
            <w:tcW w:w="687" w:type="dxa"/>
          </w:tcPr>
          <w:p w14:paraId="39396F52" w14:textId="77777777" w:rsidR="00047A3A" w:rsidRDefault="00047A3A" w:rsidP="00AF3E26">
            <w:pPr>
              <w:pStyle w:val="TableText"/>
              <w:jc w:val="center"/>
            </w:pPr>
            <w:r>
              <w:t>33</w:t>
            </w:r>
          </w:p>
        </w:tc>
        <w:tc>
          <w:tcPr>
            <w:tcW w:w="1111" w:type="dxa"/>
          </w:tcPr>
          <w:p w14:paraId="6B706731" w14:textId="77777777" w:rsidR="00047A3A" w:rsidRDefault="00047A3A" w:rsidP="00AF3E26">
            <w:pPr>
              <w:pStyle w:val="TableText"/>
              <w:jc w:val="center"/>
            </w:pPr>
            <w:r>
              <w:t>21.10.21</w:t>
            </w:r>
          </w:p>
        </w:tc>
        <w:tc>
          <w:tcPr>
            <w:tcW w:w="1486" w:type="dxa"/>
          </w:tcPr>
          <w:p w14:paraId="5233AACD" w14:textId="77777777" w:rsidR="00047A3A" w:rsidRDefault="00047A3A" w:rsidP="00AF3E26">
            <w:pPr>
              <w:pStyle w:val="TableText"/>
              <w:jc w:val="center"/>
            </w:pPr>
            <w:r>
              <w:t>Kikkert</w:t>
            </w:r>
          </w:p>
        </w:tc>
        <w:tc>
          <w:tcPr>
            <w:tcW w:w="1665" w:type="dxa"/>
          </w:tcPr>
          <w:p w14:paraId="232C58CF" w14:textId="77777777" w:rsidR="00047A3A" w:rsidRDefault="00047A3A" w:rsidP="00AF3E26">
            <w:pPr>
              <w:pStyle w:val="TableText"/>
              <w:jc w:val="center"/>
            </w:pPr>
            <w:r w:rsidRPr="000B7125">
              <w:t>CSD - Seniors, Veterans, Families, and Community Services</w:t>
            </w:r>
          </w:p>
        </w:tc>
        <w:tc>
          <w:tcPr>
            <w:tcW w:w="2782" w:type="dxa"/>
          </w:tcPr>
          <w:p w14:paraId="7757CAF9" w14:textId="77777777" w:rsidR="00047A3A" w:rsidRDefault="00047A3A" w:rsidP="00AF3E26">
            <w:pPr>
              <w:pStyle w:val="TableText"/>
            </w:pPr>
            <w:r w:rsidRPr="000B7125">
              <w:t>Residential Youth Justice Property</w:t>
            </w:r>
          </w:p>
        </w:tc>
        <w:tc>
          <w:tcPr>
            <w:tcW w:w="1222" w:type="dxa"/>
          </w:tcPr>
          <w:p w14:paraId="7E12A11F" w14:textId="77777777" w:rsidR="00047A3A" w:rsidRDefault="00047A3A" w:rsidP="00AF3E26">
            <w:pPr>
              <w:pStyle w:val="TableText"/>
              <w:jc w:val="center"/>
            </w:pPr>
          </w:p>
        </w:tc>
      </w:tr>
      <w:tr w:rsidR="00047A3A" w14:paraId="0519D358" w14:textId="77777777" w:rsidTr="00AF3E26">
        <w:trPr>
          <w:cnfStyle w:val="000000100000" w:firstRow="0" w:lastRow="0" w:firstColumn="0" w:lastColumn="0" w:oddVBand="0" w:evenVBand="0" w:oddHBand="1" w:evenHBand="0" w:firstRowFirstColumn="0" w:firstRowLastColumn="0" w:lastRowFirstColumn="0" w:lastRowLastColumn="0"/>
        </w:trPr>
        <w:tc>
          <w:tcPr>
            <w:tcW w:w="687" w:type="dxa"/>
          </w:tcPr>
          <w:p w14:paraId="6D26AE18" w14:textId="77777777" w:rsidR="00047A3A" w:rsidRDefault="00047A3A" w:rsidP="00AF3E26">
            <w:pPr>
              <w:pStyle w:val="TableText"/>
              <w:jc w:val="center"/>
            </w:pPr>
            <w:r>
              <w:t>34</w:t>
            </w:r>
          </w:p>
        </w:tc>
        <w:tc>
          <w:tcPr>
            <w:tcW w:w="1111" w:type="dxa"/>
          </w:tcPr>
          <w:p w14:paraId="7FF1BB36" w14:textId="77777777" w:rsidR="00047A3A" w:rsidRDefault="00047A3A" w:rsidP="00AF3E26">
            <w:pPr>
              <w:pStyle w:val="TableText"/>
              <w:jc w:val="center"/>
            </w:pPr>
            <w:r>
              <w:t>21.10.21</w:t>
            </w:r>
          </w:p>
        </w:tc>
        <w:tc>
          <w:tcPr>
            <w:tcW w:w="1486" w:type="dxa"/>
          </w:tcPr>
          <w:p w14:paraId="77A8076A" w14:textId="77777777" w:rsidR="00047A3A" w:rsidRDefault="00047A3A" w:rsidP="00AF3E26">
            <w:pPr>
              <w:pStyle w:val="TableText"/>
              <w:jc w:val="center"/>
            </w:pPr>
            <w:r>
              <w:t>Kikkert</w:t>
            </w:r>
          </w:p>
        </w:tc>
        <w:tc>
          <w:tcPr>
            <w:tcW w:w="1665" w:type="dxa"/>
          </w:tcPr>
          <w:p w14:paraId="04317701" w14:textId="77777777" w:rsidR="00047A3A" w:rsidRDefault="00047A3A" w:rsidP="00AF3E26">
            <w:pPr>
              <w:pStyle w:val="TableText"/>
              <w:jc w:val="center"/>
            </w:pPr>
            <w:r w:rsidRPr="000B7125">
              <w:t>CSD - Seniors, Veterans, Families, and Community Services</w:t>
            </w:r>
          </w:p>
        </w:tc>
        <w:tc>
          <w:tcPr>
            <w:tcW w:w="2782" w:type="dxa"/>
          </w:tcPr>
          <w:p w14:paraId="78AF20D3" w14:textId="77777777" w:rsidR="00047A3A" w:rsidRDefault="00047A3A" w:rsidP="00AF3E26">
            <w:pPr>
              <w:pStyle w:val="TableText"/>
            </w:pPr>
            <w:r w:rsidRPr="000B7125">
              <w:t>Youth Justice Costs</w:t>
            </w:r>
          </w:p>
        </w:tc>
        <w:tc>
          <w:tcPr>
            <w:tcW w:w="1222" w:type="dxa"/>
          </w:tcPr>
          <w:p w14:paraId="718B3915" w14:textId="77777777" w:rsidR="00047A3A" w:rsidRDefault="00047A3A" w:rsidP="00AF3E26">
            <w:pPr>
              <w:pStyle w:val="TableText"/>
              <w:jc w:val="center"/>
            </w:pPr>
          </w:p>
        </w:tc>
      </w:tr>
    </w:tbl>
    <w:p w14:paraId="4ACD7C0F" w14:textId="77777777" w:rsidR="00047A3A" w:rsidRDefault="00047A3A" w:rsidP="00047A3A"/>
    <w:p w14:paraId="481D21EB" w14:textId="77777777" w:rsidR="00047A3A" w:rsidRDefault="00047A3A" w:rsidP="00047A3A">
      <w:pPr>
        <w:pStyle w:val="Caption"/>
      </w:pPr>
      <w:r>
        <w:t>Questions on Notice 25 October 2021</w:t>
      </w:r>
    </w:p>
    <w:tbl>
      <w:tblPr>
        <w:tblStyle w:val="CommitteeTable"/>
        <w:tblW w:w="0" w:type="auto"/>
        <w:tblInd w:w="108" w:type="dxa"/>
        <w:tblLook w:val="04A0" w:firstRow="1" w:lastRow="0" w:firstColumn="1" w:lastColumn="0" w:noHBand="0" w:noVBand="1"/>
      </w:tblPr>
      <w:tblGrid>
        <w:gridCol w:w="691"/>
        <w:gridCol w:w="1108"/>
        <w:gridCol w:w="1498"/>
        <w:gridCol w:w="1655"/>
        <w:gridCol w:w="2781"/>
        <w:gridCol w:w="1220"/>
      </w:tblGrid>
      <w:tr w:rsidR="00047A3A" w14:paraId="1014ACF1" w14:textId="77777777" w:rsidTr="00AF3E26">
        <w:trPr>
          <w:cnfStyle w:val="100000000000" w:firstRow="1" w:lastRow="0" w:firstColumn="0" w:lastColumn="0" w:oddVBand="0" w:evenVBand="0" w:oddHBand="0" w:evenHBand="0" w:firstRowFirstColumn="0" w:firstRowLastColumn="0" w:lastRowFirstColumn="0" w:lastRowLastColumn="0"/>
        </w:trPr>
        <w:tc>
          <w:tcPr>
            <w:tcW w:w="691" w:type="dxa"/>
          </w:tcPr>
          <w:p w14:paraId="20AAFF60"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No.</w:t>
            </w:r>
          </w:p>
        </w:tc>
        <w:tc>
          <w:tcPr>
            <w:tcW w:w="1108" w:type="dxa"/>
          </w:tcPr>
          <w:p w14:paraId="5B13D8E5"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Hearing date</w:t>
            </w:r>
          </w:p>
        </w:tc>
        <w:tc>
          <w:tcPr>
            <w:tcW w:w="1498" w:type="dxa"/>
          </w:tcPr>
          <w:p w14:paraId="2374ACEC"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Asked by</w:t>
            </w:r>
          </w:p>
        </w:tc>
        <w:tc>
          <w:tcPr>
            <w:tcW w:w="1655" w:type="dxa"/>
          </w:tcPr>
          <w:p w14:paraId="4E1AAA82"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2781" w:type="dxa"/>
          </w:tcPr>
          <w:p w14:paraId="700C0FB8" w14:textId="77777777" w:rsidR="00047A3A" w:rsidRPr="00640E82" w:rsidRDefault="00047A3A" w:rsidP="00AF3E26">
            <w:pPr>
              <w:spacing w:after="80" w:line="288" w:lineRule="auto"/>
              <w:rPr>
                <w:rFonts w:ascii="Arial Narrow" w:hAnsi="Arial Narrow"/>
              </w:rPr>
            </w:pPr>
            <w:r w:rsidRPr="00640E82">
              <w:rPr>
                <w:rFonts w:ascii="Arial Narrow" w:hAnsi="Arial Narrow"/>
              </w:rPr>
              <w:t>Subject</w:t>
            </w:r>
          </w:p>
        </w:tc>
        <w:tc>
          <w:tcPr>
            <w:tcW w:w="1220" w:type="dxa"/>
          </w:tcPr>
          <w:p w14:paraId="19C40586"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Answer date</w:t>
            </w:r>
          </w:p>
        </w:tc>
      </w:tr>
      <w:tr w:rsidR="00047A3A" w14:paraId="6B0E6962"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043B4311" w14:textId="77777777" w:rsidR="00047A3A" w:rsidRDefault="00047A3A" w:rsidP="00AF3E26">
            <w:pPr>
              <w:pStyle w:val="TableText"/>
              <w:jc w:val="center"/>
            </w:pPr>
            <w:r>
              <w:t>35</w:t>
            </w:r>
          </w:p>
        </w:tc>
        <w:tc>
          <w:tcPr>
            <w:tcW w:w="1108" w:type="dxa"/>
          </w:tcPr>
          <w:p w14:paraId="7088886A" w14:textId="77777777" w:rsidR="00047A3A" w:rsidRDefault="00047A3A" w:rsidP="00AF3E26">
            <w:pPr>
              <w:pStyle w:val="TableText"/>
              <w:jc w:val="center"/>
            </w:pPr>
            <w:r>
              <w:t>25.10.21</w:t>
            </w:r>
          </w:p>
        </w:tc>
        <w:tc>
          <w:tcPr>
            <w:tcW w:w="1498" w:type="dxa"/>
          </w:tcPr>
          <w:p w14:paraId="40E62EE9" w14:textId="77777777" w:rsidR="00047A3A" w:rsidRDefault="00047A3A" w:rsidP="00AF3E26">
            <w:pPr>
              <w:pStyle w:val="TableText"/>
              <w:jc w:val="center"/>
            </w:pPr>
            <w:r>
              <w:t>Clay</w:t>
            </w:r>
          </w:p>
        </w:tc>
        <w:tc>
          <w:tcPr>
            <w:tcW w:w="1655" w:type="dxa"/>
          </w:tcPr>
          <w:p w14:paraId="59A289C5" w14:textId="77777777" w:rsidR="00047A3A" w:rsidRDefault="00047A3A" w:rsidP="00AF3E26">
            <w:pPr>
              <w:pStyle w:val="TableText"/>
              <w:jc w:val="center"/>
            </w:pPr>
            <w:r w:rsidRPr="00126596">
              <w:t>CSD - Seniors, Veterans, Families, and Community Services</w:t>
            </w:r>
          </w:p>
        </w:tc>
        <w:tc>
          <w:tcPr>
            <w:tcW w:w="2781" w:type="dxa"/>
          </w:tcPr>
          <w:p w14:paraId="4B8C1E56" w14:textId="77777777" w:rsidR="00047A3A" w:rsidRDefault="00047A3A" w:rsidP="00AF3E26">
            <w:pPr>
              <w:pStyle w:val="TableText"/>
            </w:pPr>
            <w:r>
              <w:t>Families and Community Services Gender</w:t>
            </w:r>
          </w:p>
        </w:tc>
        <w:tc>
          <w:tcPr>
            <w:tcW w:w="1220" w:type="dxa"/>
          </w:tcPr>
          <w:p w14:paraId="5974A5ED" w14:textId="77777777" w:rsidR="00047A3A" w:rsidRDefault="00047A3A" w:rsidP="00AF3E26">
            <w:pPr>
              <w:pStyle w:val="TableText"/>
              <w:jc w:val="center"/>
            </w:pPr>
          </w:p>
        </w:tc>
      </w:tr>
      <w:tr w:rsidR="00047A3A" w14:paraId="2BC2D5BF" w14:textId="77777777" w:rsidTr="00AF3E26">
        <w:tc>
          <w:tcPr>
            <w:tcW w:w="691" w:type="dxa"/>
          </w:tcPr>
          <w:p w14:paraId="22EDD136" w14:textId="77777777" w:rsidR="00047A3A" w:rsidRDefault="00047A3A" w:rsidP="00AF3E26">
            <w:pPr>
              <w:pStyle w:val="TableText"/>
              <w:jc w:val="center"/>
            </w:pPr>
            <w:r>
              <w:t>42</w:t>
            </w:r>
          </w:p>
        </w:tc>
        <w:tc>
          <w:tcPr>
            <w:tcW w:w="1108" w:type="dxa"/>
          </w:tcPr>
          <w:p w14:paraId="187FBACB" w14:textId="77777777" w:rsidR="00047A3A" w:rsidRDefault="00047A3A" w:rsidP="00AF3E26">
            <w:pPr>
              <w:pStyle w:val="TableText"/>
              <w:jc w:val="center"/>
            </w:pPr>
            <w:r>
              <w:t>25.10.21</w:t>
            </w:r>
          </w:p>
        </w:tc>
        <w:tc>
          <w:tcPr>
            <w:tcW w:w="1498" w:type="dxa"/>
          </w:tcPr>
          <w:p w14:paraId="772DBDBB" w14:textId="77777777" w:rsidR="00047A3A" w:rsidRDefault="00047A3A" w:rsidP="00AF3E26">
            <w:pPr>
              <w:pStyle w:val="TableText"/>
              <w:jc w:val="center"/>
            </w:pPr>
            <w:r>
              <w:t>Kikkert</w:t>
            </w:r>
          </w:p>
        </w:tc>
        <w:tc>
          <w:tcPr>
            <w:tcW w:w="1655" w:type="dxa"/>
          </w:tcPr>
          <w:p w14:paraId="30D4B3C8" w14:textId="77777777" w:rsidR="00047A3A" w:rsidRDefault="00047A3A" w:rsidP="00AF3E26">
            <w:pPr>
              <w:pStyle w:val="TableText"/>
              <w:jc w:val="center"/>
            </w:pPr>
            <w:r w:rsidRPr="00126596">
              <w:t>CSD - Families and Community Services</w:t>
            </w:r>
          </w:p>
        </w:tc>
        <w:tc>
          <w:tcPr>
            <w:tcW w:w="2781" w:type="dxa"/>
          </w:tcPr>
          <w:p w14:paraId="6B01DB71" w14:textId="77777777" w:rsidR="00047A3A" w:rsidRDefault="00047A3A" w:rsidP="00AF3E26">
            <w:pPr>
              <w:pStyle w:val="TableText"/>
            </w:pPr>
            <w:r w:rsidRPr="00126596">
              <w:t>Building CYPS Capacity</w:t>
            </w:r>
          </w:p>
        </w:tc>
        <w:tc>
          <w:tcPr>
            <w:tcW w:w="1220" w:type="dxa"/>
          </w:tcPr>
          <w:p w14:paraId="414C6B72" w14:textId="77777777" w:rsidR="00047A3A" w:rsidRDefault="00047A3A" w:rsidP="00AF3E26">
            <w:pPr>
              <w:pStyle w:val="TableText"/>
              <w:jc w:val="center"/>
            </w:pPr>
          </w:p>
        </w:tc>
      </w:tr>
      <w:tr w:rsidR="00047A3A" w14:paraId="70D18B6A"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6C8ED85A" w14:textId="77777777" w:rsidR="00047A3A" w:rsidRDefault="00047A3A" w:rsidP="00AF3E26">
            <w:pPr>
              <w:pStyle w:val="TableText"/>
              <w:jc w:val="center"/>
            </w:pPr>
            <w:r>
              <w:t>43</w:t>
            </w:r>
          </w:p>
        </w:tc>
        <w:tc>
          <w:tcPr>
            <w:tcW w:w="1108" w:type="dxa"/>
          </w:tcPr>
          <w:p w14:paraId="3F0ED7FA" w14:textId="77777777" w:rsidR="00047A3A" w:rsidRDefault="00047A3A" w:rsidP="00AF3E26">
            <w:pPr>
              <w:pStyle w:val="TableText"/>
              <w:jc w:val="center"/>
            </w:pPr>
            <w:r>
              <w:t>25.10.21</w:t>
            </w:r>
          </w:p>
        </w:tc>
        <w:tc>
          <w:tcPr>
            <w:tcW w:w="1498" w:type="dxa"/>
            <w:vAlign w:val="top"/>
          </w:tcPr>
          <w:p w14:paraId="37805F39" w14:textId="77777777" w:rsidR="00047A3A" w:rsidRDefault="00047A3A" w:rsidP="00AF3E26">
            <w:pPr>
              <w:pStyle w:val="TableText"/>
              <w:jc w:val="center"/>
            </w:pPr>
            <w:r w:rsidRPr="00E9795E">
              <w:t>Kikkert</w:t>
            </w:r>
          </w:p>
        </w:tc>
        <w:tc>
          <w:tcPr>
            <w:tcW w:w="1655" w:type="dxa"/>
            <w:vAlign w:val="top"/>
          </w:tcPr>
          <w:p w14:paraId="52D1D989" w14:textId="77777777" w:rsidR="00047A3A" w:rsidRDefault="00047A3A" w:rsidP="00AF3E26">
            <w:pPr>
              <w:pStyle w:val="TableText"/>
              <w:jc w:val="center"/>
            </w:pPr>
            <w:r w:rsidRPr="00373CCB">
              <w:t>CSD - Families and Community Services</w:t>
            </w:r>
          </w:p>
        </w:tc>
        <w:tc>
          <w:tcPr>
            <w:tcW w:w="2781" w:type="dxa"/>
          </w:tcPr>
          <w:p w14:paraId="57932FB7" w14:textId="77777777" w:rsidR="00047A3A" w:rsidRDefault="00047A3A" w:rsidP="00AF3E26">
            <w:pPr>
              <w:pStyle w:val="TableText"/>
            </w:pPr>
            <w:r w:rsidRPr="00126596">
              <w:t>Community Services Sector Sustainability Review</w:t>
            </w:r>
          </w:p>
        </w:tc>
        <w:tc>
          <w:tcPr>
            <w:tcW w:w="1220" w:type="dxa"/>
          </w:tcPr>
          <w:p w14:paraId="449A5C3E" w14:textId="77777777" w:rsidR="00047A3A" w:rsidRDefault="00047A3A" w:rsidP="00AF3E26">
            <w:pPr>
              <w:pStyle w:val="TableText"/>
              <w:jc w:val="center"/>
            </w:pPr>
          </w:p>
        </w:tc>
      </w:tr>
      <w:tr w:rsidR="00047A3A" w14:paraId="0023231D" w14:textId="77777777" w:rsidTr="00AF3E26">
        <w:tc>
          <w:tcPr>
            <w:tcW w:w="691" w:type="dxa"/>
          </w:tcPr>
          <w:p w14:paraId="31DE59FE" w14:textId="77777777" w:rsidR="00047A3A" w:rsidRDefault="00047A3A" w:rsidP="00AF3E26">
            <w:pPr>
              <w:pStyle w:val="TableText"/>
              <w:jc w:val="center"/>
            </w:pPr>
            <w:r>
              <w:t>44</w:t>
            </w:r>
          </w:p>
        </w:tc>
        <w:tc>
          <w:tcPr>
            <w:tcW w:w="1108" w:type="dxa"/>
          </w:tcPr>
          <w:p w14:paraId="3A2F421C" w14:textId="77777777" w:rsidR="00047A3A" w:rsidRDefault="00047A3A" w:rsidP="00AF3E26">
            <w:pPr>
              <w:pStyle w:val="TableText"/>
              <w:jc w:val="center"/>
            </w:pPr>
            <w:r>
              <w:t>25.10.21</w:t>
            </w:r>
          </w:p>
        </w:tc>
        <w:tc>
          <w:tcPr>
            <w:tcW w:w="1498" w:type="dxa"/>
            <w:vAlign w:val="top"/>
          </w:tcPr>
          <w:p w14:paraId="42080809" w14:textId="77777777" w:rsidR="00047A3A" w:rsidRDefault="00047A3A" w:rsidP="00AF3E26">
            <w:pPr>
              <w:pStyle w:val="TableText"/>
              <w:jc w:val="center"/>
            </w:pPr>
            <w:r w:rsidRPr="00E9795E">
              <w:t>Kikkert</w:t>
            </w:r>
          </w:p>
        </w:tc>
        <w:tc>
          <w:tcPr>
            <w:tcW w:w="1655" w:type="dxa"/>
            <w:vAlign w:val="top"/>
          </w:tcPr>
          <w:p w14:paraId="49290F45" w14:textId="77777777" w:rsidR="00047A3A" w:rsidRDefault="00047A3A" w:rsidP="00AF3E26">
            <w:pPr>
              <w:pStyle w:val="TableText"/>
              <w:jc w:val="center"/>
            </w:pPr>
            <w:r w:rsidRPr="00373CCB">
              <w:t>CSD - Families and Community Services</w:t>
            </w:r>
          </w:p>
        </w:tc>
        <w:tc>
          <w:tcPr>
            <w:tcW w:w="2781" w:type="dxa"/>
          </w:tcPr>
          <w:p w14:paraId="473BA747" w14:textId="77777777" w:rsidR="00047A3A" w:rsidRDefault="00047A3A" w:rsidP="00AF3E26">
            <w:pPr>
              <w:pStyle w:val="TableText"/>
            </w:pPr>
            <w:r w:rsidRPr="00126596">
              <w:t>CYPS New Initiatives</w:t>
            </w:r>
          </w:p>
        </w:tc>
        <w:tc>
          <w:tcPr>
            <w:tcW w:w="1220" w:type="dxa"/>
          </w:tcPr>
          <w:p w14:paraId="568D2722" w14:textId="77777777" w:rsidR="00047A3A" w:rsidRDefault="00047A3A" w:rsidP="00AF3E26">
            <w:pPr>
              <w:pStyle w:val="TableText"/>
              <w:jc w:val="center"/>
            </w:pPr>
          </w:p>
        </w:tc>
      </w:tr>
      <w:tr w:rsidR="00047A3A" w14:paraId="46CB9533"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5F06C841" w14:textId="77777777" w:rsidR="00047A3A" w:rsidRDefault="00047A3A" w:rsidP="00AF3E26">
            <w:pPr>
              <w:pStyle w:val="TableText"/>
              <w:jc w:val="center"/>
            </w:pPr>
            <w:r>
              <w:t>45</w:t>
            </w:r>
          </w:p>
        </w:tc>
        <w:tc>
          <w:tcPr>
            <w:tcW w:w="1108" w:type="dxa"/>
          </w:tcPr>
          <w:p w14:paraId="223D52B6" w14:textId="77777777" w:rsidR="00047A3A" w:rsidRDefault="00047A3A" w:rsidP="00AF3E26">
            <w:pPr>
              <w:pStyle w:val="TableText"/>
              <w:jc w:val="center"/>
            </w:pPr>
            <w:r>
              <w:t>25.10.21</w:t>
            </w:r>
          </w:p>
        </w:tc>
        <w:tc>
          <w:tcPr>
            <w:tcW w:w="1498" w:type="dxa"/>
            <w:vAlign w:val="top"/>
          </w:tcPr>
          <w:p w14:paraId="259AE3F7" w14:textId="77777777" w:rsidR="00047A3A" w:rsidRDefault="00047A3A" w:rsidP="00AF3E26">
            <w:pPr>
              <w:pStyle w:val="TableText"/>
              <w:jc w:val="center"/>
            </w:pPr>
            <w:r w:rsidRPr="00E9795E">
              <w:t>Kikkert</w:t>
            </w:r>
          </w:p>
        </w:tc>
        <w:tc>
          <w:tcPr>
            <w:tcW w:w="1655" w:type="dxa"/>
            <w:vAlign w:val="top"/>
          </w:tcPr>
          <w:p w14:paraId="42283806" w14:textId="77777777" w:rsidR="00047A3A" w:rsidRDefault="00047A3A" w:rsidP="00AF3E26">
            <w:pPr>
              <w:pStyle w:val="TableText"/>
              <w:jc w:val="center"/>
            </w:pPr>
            <w:r w:rsidRPr="00373CCB">
              <w:t>CSD - Families and Community Services</w:t>
            </w:r>
          </w:p>
        </w:tc>
        <w:tc>
          <w:tcPr>
            <w:tcW w:w="2781" w:type="dxa"/>
          </w:tcPr>
          <w:p w14:paraId="1BFA07FD" w14:textId="77777777" w:rsidR="00047A3A" w:rsidRDefault="00047A3A" w:rsidP="00AF3E26">
            <w:pPr>
              <w:pStyle w:val="TableText"/>
            </w:pPr>
            <w:r w:rsidRPr="00126596">
              <w:t>CYPS Quality Insurance and Improvement Initiative</w:t>
            </w:r>
          </w:p>
        </w:tc>
        <w:tc>
          <w:tcPr>
            <w:tcW w:w="1220" w:type="dxa"/>
          </w:tcPr>
          <w:p w14:paraId="6211252A" w14:textId="77777777" w:rsidR="00047A3A" w:rsidRDefault="00047A3A" w:rsidP="00AF3E26">
            <w:pPr>
              <w:pStyle w:val="TableText"/>
              <w:jc w:val="center"/>
            </w:pPr>
          </w:p>
        </w:tc>
      </w:tr>
      <w:tr w:rsidR="00047A3A" w14:paraId="06725592" w14:textId="77777777" w:rsidTr="00AF3E26">
        <w:tc>
          <w:tcPr>
            <w:tcW w:w="691" w:type="dxa"/>
          </w:tcPr>
          <w:p w14:paraId="0B27904F" w14:textId="77777777" w:rsidR="00047A3A" w:rsidRDefault="00047A3A" w:rsidP="00AF3E26">
            <w:pPr>
              <w:pStyle w:val="TableText"/>
              <w:jc w:val="center"/>
            </w:pPr>
            <w:r>
              <w:t>46</w:t>
            </w:r>
          </w:p>
        </w:tc>
        <w:tc>
          <w:tcPr>
            <w:tcW w:w="1108" w:type="dxa"/>
          </w:tcPr>
          <w:p w14:paraId="07D7E4D2" w14:textId="77777777" w:rsidR="00047A3A" w:rsidRDefault="00047A3A" w:rsidP="00AF3E26">
            <w:pPr>
              <w:pStyle w:val="TableText"/>
              <w:jc w:val="center"/>
            </w:pPr>
            <w:r>
              <w:t>25.10.21</w:t>
            </w:r>
          </w:p>
        </w:tc>
        <w:tc>
          <w:tcPr>
            <w:tcW w:w="1498" w:type="dxa"/>
            <w:vAlign w:val="top"/>
          </w:tcPr>
          <w:p w14:paraId="0071EFA9" w14:textId="77777777" w:rsidR="00047A3A" w:rsidRDefault="00047A3A" w:rsidP="00AF3E26">
            <w:pPr>
              <w:pStyle w:val="TableText"/>
              <w:jc w:val="center"/>
            </w:pPr>
            <w:r w:rsidRPr="00E9795E">
              <w:t>Kikkert</w:t>
            </w:r>
          </w:p>
        </w:tc>
        <w:tc>
          <w:tcPr>
            <w:tcW w:w="1655" w:type="dxa"/>
            <w:vAlign w:val="top"/>
          </w:tcPr>
          <w:p w14:paraId="2E03CFAE" w14:textId="77777777" w:rsidR="00047A3A" w:rsidRDefault="00047A3A" w:rsidP="00AF3E26">
            <w:pPr>
              <w:pStyle w:val="TableText"/>
              <w:jc w:val="center"/>
            </w:pPr>
            <w:r w:rsidRPr="00373CCB">
              <w:t>CSD - Families and Community Services</w:t>
            </w:r>
          </w:p>
        </w:tc>
        <w:tc>
          <w:tcPr>
            <w:tcW w:w="2781" w:type="dxa"/>
          </w:tcPr>
          <w:p w14:paraId="63432345" w14:textId="77777777" w:rsidR="00047A3A" w:rsidRDefault="00047A3A" w:rsidP="00AF3E26">
            <w:pPr>
              <w:pStyle w:val="TableText"/>
            </w:pPr>
            <w:r w:rsidRPr="00126596">
              <w:t>External Merits Review for Child Protection Decisions</w:t>
            </w:r>
          </w:p>
        </w:tc>
        <w:tc>
          <w:tcPr>
            <w:tcW w:w="1220" w:type="dxa"/>
          </w:tcPr>
          <w:p w14:paraId="21AD0A56" w14:textId="77777777" w:rsidR="00047A3A" w:rsidRDefault="00047A3A" w:rsidP="00AF3E26">
            <w:pPr>
              <w:pStyle w:val="TableText"/>
              <w:jc w:val="center"/>
            </w:pPr>
          </w:p>
        </w:tc>
      </w:tr>
      <w:tr w:rsidR="00047A3A" w14:paraId="67F0C1D6"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6B496AB9" w14:textId="77777777" w:rsidR="00047A3A" w:rsidRDefault="00047A3A" w:rsidP="00AF3E26">
            <w:pPr>
              <w:pStyle w:val="TableText"/>
              <w:jc w:val="center"/>
            </w:pPr>
            <w:r>
              <w:t>47</w:t>
            </w:r>
          </w:p>
        </w:tc>
        <w:tc>
          <w:tcPr>
            <w:tcW w:w="1108" w:type="dxa"/>
          </w:tcPr>
          <w:p w14:paraId="7A902D3F" w14:textId="77777777" w:rsidR="00047A3A" w:rsidRDefault="00047A3A" w:rsidP="00AF3E26">
            <w:pPr>
              <w:pStyle w:val="TableText"/>
              <w:jc w:val="center"/>
            </w:pPr>
            <w:r>
              <w:t>25.10.21</w:t>
            </w:r>
          </w:p>
        </w:tc>
        <w:tc>
          <w:tcPr>
            <w:tcW w:w="1498" w:type="dxa"/>
            <w:vAlign w:val="top"/>
          </w:tcPr>
          <w:p w14:paraId="0824B56A" w14:textId="77777777" w:rsidR="00047A3A" w:rsidRDefault="00047A3A" w:rsidP="00AF3E26">
            <w:pPr>
              <w:pStyle w:val="TableText"/>
              <w:jc w:val="center"/>
            </w:pPr>
            <w:r w:rsidRPr="00E9795E">
              <w:t>Kikkert</w:t>
            </w:r>
          </w:p>
        </w:tc>
        <w:tc>
          <w:tcPr>
            <w:tcW w:w="1655" w:type="dxa"/>
            <w:vAlign w:val="top"/>
          </w:tcPr>
          <w:p w14:paraId="035049CD" w14:textId="77777777" w:rsidR="00047A3A" w:rsidRDefault="00047A3A" w:rsidP="00AF3E26">
            <w:pPr>
              <w:pStyle w:val="TableText"/>
              <w:jc w:val="center"/>
            </w:pPr>
            <w:r w:rsidRPr="00373CCB">
              <w:t>CSD - Families and Community Services</w:t>
            </w:r>
          </w:p>
        </w:tc>
        <w:tc>
          <w:tcPr>
            <w:tcW w:w="2781" w:type="dxa"/>
          </w:tcPr>
          <w:p w14:paraId="3A2BE9FB" w14:textId="77777777" w:rsidR="00047A3A" w:rsidRDefault="00047A3A" w:rsidP="00AF3E26">
            <w:pPr>
              <w:pStyle w:val="TableText"/>
            </w:pPr>
            <w:r w:rsidRPr="00126596">
              <w:t>Foster and Kinship Carers</w:t>
            </w:r>
          </w:p>
        </w:tc>
        <w:tc>
          <w:tcPr>
            <w:tcW w:w="1220" w:type="dxa"/>
          </w:tcPr>
          <w:p w14:paraId="41BC17FB" w14:textId="77777777" w:rsidR="00047A3A" w:rsidRDefault="00047A3A" w:rsidP="00AF3E26">
            <w:pPr>
              <w:pStyle w:val="TableText"/>
              <w:jc w:val="center"/>
            </w:pPr>
          </w:p>
        </w:tc>
      </w:tr>
      <w:tr w:rsidR="00047A3A" w14:paraId="13B856F2" w14:textId="77777777" w:rsidTr="00AF3E26">
        <w:tc>
          <w:tcPr>
            <w:tcW w:w="691" w:type="dxa"/>
          </w:tcPr>
          <w:p w14:paraId="1A491DCA" w14:textId="77777777" w:rsidR="00047A3A" w:rsidRDefault="00047A3A" w:rsidP="00AF3E26">
            <w:pPr>
              <w:pStyle w:val="TableText"/>
              <w:jc w:val="center"/>
            </w:pPr>
            <w:r>
              <w:t>48</w:t>
            </w:r>
          </w:p>
        </w:tc>
        <w:tc>
          <w:tcPr>
            <w:tcW w:w="1108" w:type="dxa"/>
          </w:tcPr>
          <w:p w14:paraId="02088935" w14:textId="77777777" w:rsidR="00047A3A" w:rsidRDefault="00047A3A" w:rsidP="00AF3E26">
            <w:pPr>
              <w:pStyle w:val="TableText"/>
              <w:jc w:val="center"/>
            </w:pPr>
            <w:r>
              <w:t>25.10.21</w:t>
            </w:r>
          </w:p>
        </w:tc>
        <w:tc>
          <w:tcPr>
            <w:tcW w:w="1498" w:type="dxa"/>
            <w:vAlign w:val="top"/>
          </w:tcPr>
          <w:p w14:paraId="1C8459EC" w14:textId="77777777" w:rsidR="00047A3A" w:rsidRDefault="00047A3A" w:rsidP="00AF3E26">
            <w:pPr>
              <w:pStyle w:val="TableText"/>
              <w:jc w:val="center"/>
            </w:pPr>
            <w:r w:rsidRPr="00E9795E">
              <w:t>Kikkert</w:t>
            </w:r>
          </w:p>
        </w:tc>
        <w:tc>
          <w:tcPr>
            <w:tcW w:w="1655" w:type="dxa"/>
            <w:vAlign w:val="top"/>
          </w:tcPr>
          <w:p w14:paraId="1C7A77E6" w14:textId="77777777" w:rsidR="00047A3A" w:rsidRDefault="00047A3A" w:rsidP="00AF3E26">
            <w:pPr>
              <w:pStyle w:val="TableText"/>
              <w:jc w:val="center"/>
            </w:pPr>
            <w:r w:rsidRPr="00373CCB">
              <w:t>CSD - Families and Community Services</w:t>
            </w:r>
          </w:p>
        </w:tc>
        <w:tc>
          <w:tcPr>
            <w:tcW w:w="2781" w:type="dxa"/>
          </w:tcPr>
          <w:p w14:paraId="21566FC6" w14:textId="77777777" w:rsidR="00047A3A" w:rsidRDefault="00047A3A" w:rsidP="00AF3E26">
            <w:pPr>
              <w:pStyle w:val="TableText"/>
            </w:pPr>
            <w:r w:rsidRPr="00126596">
              <w:t>Modernising the Children and Young People Act</w:t>
            </w:r>
          </w:p>
        </w:tc>
        <w:tc>
          <w:tcPr>
            <w:tcW w:w="1220" w:type="dxa"/>
          </w:tcPr>
          <w:p w14:paraId="0C0AC1C5" w14:textId="77777777" w:rsidR="00047A3A" w:rsidRDefault="00047A3A" w:rsidP="00AF3E26">
            <w:pPr>
              <w:pStyle w:val="TableText"/>
              <w:jc w:val="center"/>
            </w:pPr>
          </w:p>
        </w:tc>
      </w:tr>
      <w:tr w:rsidR="00047A3A" w14:paraId="27D8D364"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21EC341E" w14:textId="77777777" w:rsidR="00047A3A" w:rsidRDefault="00047A3A" w:rsidP="00AF3E26">
            <w:pPr>
              <w:pStyle w:val="TableText"/>
              <w:jc w:val="center"/>
            </w:pPr>
            <w:r>
              <w:t>49</w:t>
            </w:r>
          </w:p>
        </w:tc>
        <w:tc>
          <w:tcPr>
            <w:tcW w:w="1108" w:type="dxa"/>
          </w:tcPr>
          <w:p w14:paraId="7D983132" w14:textId="77777777" w:rsidR="00047A3A" w:rsidRDefault="00047A3A" w:rsidP="00AF3E26">
            <w:pPr>
              <w:pStyle w:val="TableText"/>
              <w:jc w:val="center"/>
            </w:pPr>
            <w:r>
              <w:t>25.10.21</w:t>
            </w:r>
          </w:p>
        </w:tc>
        <w:tc>
          <w:tcPr>
            <w:tcW w:w="1498" w:type="dxa"/>
            <w:vAlign w:val="top"/>
          </w:tcPr>
          <w:p w14:paraId="52A4443F" w14:textId="77777777" w:rsidR="00047A3A" w:rsidRDefault="00047A3A" w:rsidP="00AF3E26">
            <w:pPr>
              <w:pStyle w:val="TableText"/>
              <w:jc w:val="center"/>
            </w:pPr>
            <w:r w:rsidRPr="00E9795E">
              <w:t>Kikkert</w:t>
            </w:r>
          </w:p>
        </w:tc>
        <w:tc>
          <w:tcPr>
            <w:tcW w:w="1655" w:type="dxa"/>
            <w:vAlign w:val="top"/>
          </w:tcPr>
          <w:p w14:paraId="02DB131C" w14:textId="77777777" w:rsidR="00047A3A" w:rsidRDefault="00047A3A" w:rsidP="00AF3E26">
            <w:pPr>
              <w:pStyle w:val="TableText"/>
              <w:jc w:val="center"/>
            </w:pPr>
            <w:r w:rsidRPr="00373CCB">
              <w:t>CSD - Families and Community Services</w:t>
            </w:r>
          </w:p>
        </w:tc>
        <w:tc>
          <w:tcPr>
            <w:tcW w:w="2781" w:type="dxa"/>
          </w:tcPr>
          <w:p w14:paraId="2978D411" w14:textId="77777777" w:rsidR="00047A3A" w:rsidRDefault="00047A3A" w:rsidP="00AF3E26">
            <w:pPr>
              <w:pStyle w:val="TableText"/>
            </w:pPr>
            <w:r w:rsidRPr="00126596">
              <w:t>More Support for Out of Home Care</w:t>
            </w:r>
          </w:p>
        </w:tc>
        <w:tc>
          <w:tcPr>
            <w:tcW w:w="1220" w:type="dxa"/>
          </w:tcPr>
          <w:p w14:paraId="1B6C612E" w14:textId="77777777" w:rsidR="00047A3A" w:rsidRDefault="00047A3A" w:rsidP="00AF3E26">
            <w:pPr>
              <w:pStyle w:val="TableText"/>
              <w:jc w:val="center"/>
            </w:pPr>
          </w:p>
        </w:tc>
      </w:tr>
      <w:tr w:rsidR="00047A3A" w14:paraId="470B4430" w14:textId="77777777" w:rsidTr="00AF3E26">
        <w:tc>
          <w:tcPr>
            <w:tcW w:w="691" w:type="dxa"/>
          </w:tcPr>
          <w:p w14:paraId="44326737" w14:textId="77777777" w:rsidR="00047A3A" w:rsidRDefault="00047A3A" w:rsidP="00AF3E26">
            <w:pPr>
              <w:pStyle w:val="TableText"/>
              <w:jc w:val="center"/>
            </w:pPr>
            <w:r>
              <w:t>50</w:t>
            </w:r>
          </w:p>
        </w:tc>
        <w:tc>
          <w:tcPr>
            <w:tcW w:w="1108" w:type="dxa"/>
          </w:tcPr>
          <w:p w14:paraId="5CAE722F" w14:textId="77777777" w:rsidR="00047A3A" w:rsidRDefault="00047A3A" w:rsidP="00AF3E26">
            <w:pPr>
              <w:pStyle w:val="TableText"/>
              <w:jc w:val="center"/>
            </w:pPr>
            <w:r>
              <w:t>25.10.21</w:t>
            </w:r>
          </w:p>
        </w:tc>
        <w:tc>
          <w:tcPr>
            <w:tcW w:w="1498" w:type="dxa"/>
            <w:vAlign w:val="top"/>
          </w:tcPr>
          <w:p w14:paraId="2B5F60AC" w14:textId="77777777" w:rsidR="00047A3A" w:rsidRDefault="00047A3A" w:rsidP="00AF3E26">
            <w:pPr>
              <w:pStyle w:val="TableText"/>
              <w:jc w:val="center"/>
            </w:pPr>
            <w:r w:rsidRPr="00E9795E">
              <w:t>Kikkert</w:t>
            </w:r>
          </w:p>
        </w:tc>
        <w:tc>
          <w:tcPr>
            <w:tcW w:w="1655" w:type="dxa"/>
            <w:vAlign w:val="top"/>
          </w:tcPr>
          <w:p w14:paraId="050C7A09" w14:textId="77777777" w:rsidR="00047A3A" w:rsidRDefault="00047A3A" w:rsidP="00AF3E26">
            <w:pPr>
              <w:pStyle w:val="TableText"/>
              <w:jc w:val="center"/>
            </w:pPr>
            <w:r w:rsidRPr="00373CCB">
              <w:t>CSD - Families and Community Services</w:t>
            </w:r>
          </w:p>
        </w:tc>
        <w:tc>
          <w:tcPr>
            <w:tcW w:w="2781" w:type="dxa"/>
          </w:tcPr>
          <w:p w14:paraId="4AB24CB0" w14:textId="77777777" w:rsidR="00047A3A" w:rsidRDefault="00047A3A" w:rsidP="00AF3E26">
            <w:pPr>
              <w:pStyle w:val="TableText"/>
            </w:pPr>
            <w:r w:rsidRPr="00126596">
              <w:t>Permanency Placements</w:t>
            </w:r>
          </w:p>
        </w:tc>
        <w:tc>
          <w:tcPr>
            <w:tcW w:w="1220" w:type="dxa"/>
          </w:tcPr>
          <w:p w14:paraId="3534D63A" w14:textId="77777777" w:rsidR="00047A3A" w:rsidRDefault="00047A3A" w:rsidP="00AF3E26">
            <w:pPr>
              <w:pStyle w:val="TableText"/>
              <w:jc w:val="center"/>
            </w:pPr>
          </w:p>
        </w:tc>
      </w:tr>
      <w:tr w:rsidR="00047A3A" w14:paraId="7604613B"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1643CC77" w14:textId="77777777" w:rsidR="00047A3A" w:rsidRDefault="00047A3A" w:rsidP="00AF3E26">
            <w:pPr>
              <w:pStyle w:val="TableText"/>
              <w:jc w:val="center"/>
            </w:pPr>
            <w:r>
              <w:t>51</w:t>
            </w:r>
          </w:p>
        </w:tc>
        <w:tc>
          <w:tcPr>
            <w:tcW w:w="1108" w:type="dxa"/>
          </w:tcPr>
          <w:p w14:paraId="4207C1B4" w14:textId="77777777" w:rsidR="00047A3A" w:rsidRDefault="00047A3A" w:rsidP="00AF3E26">
            <w:pPr>
              <w:pStyle w:val="TableText"/>
              <w:jc w:val="center"/>
            </w:pPr>
            <w:r>
              <w:t>25.10.21</w:t>
            </w:r>
          </w:p>
        </w:tc>
        <w:tc>
          <w:tcPr>
            <w:tcW w:w="1498" w:type="dxa"/>
            <w:vAlign w:val="top"/>
          </w:tcPr>
          <w:p w14:paraId="3E9EF361" w14:textId="77777777" w:rsidR="00047A3A" w:rsidRDefault="00047A3A" w:rsidP="00AF3E26">
            <w:pPr>
              <w:pStyle w:val="TableText"/>
              <w:jc w:val="center"/>
            </w:pPr>
            <w:r w:rsidRPr="00E9795E">
              <w:t>Kikkert</w:t>
            </w:r>
          </w:p>
        </w:tc>
        <w:tc>
          <w:tcPr>
            <w:tcW w:w="1655" w:type="dxa"/>
            <w:vAlign w:val="top"/>
          </w:tcPr>
          <w:p w14:paraId="72EB93AC" w14:textId="77777777" w:rsidR="00047A3A" w:rsidRDefault="00047A3A" w:rsidP="00AF3E26">
            <w:pPr>
              <w:pStyle w:val="TableText"/>
              <w:jc w:val="center"/>
            </w:pPr>
            <w:r w:rsidRPr="00373CCB">
              <w:t>CSD - Families and Community Services</w:t>
            </w:r>
          </w:p>
        </w:tc>
        <w:tc>
          <w:tcPr>
            <w:tcW w:w="2781" w:type="dxa"/>
          </w:tcPr>
          <w:p w14:paraId="528D199B" w14:textId="77777777" w:rsidR="00047A3A" w:rsidRDefault="00047A3A" w:rsidP="00AF3E26">
            <w:pPr>
              <w:pStyle w:val="TableText"/>
            </w:pPr>
            <w:r w:rsidRPr="00126596">
              <w:t>Reforming A Step Up for Our Kids</w:t>
            </w:r>
          </w:p>
        </w:tc>
        <w:tc>
          <w:tcPr>
            <w:tcW w:w="1220" w:type="dxa"/>
          </w:tcPr>
          <w:p w14:paraId="0A1C2D59" w14:textId="77777777" w:rsidR="00047A3A" w:rsidRDefault="00047A3A" w:rsidP="00AF3E26">
            <w:pPr>
              <w:pStyle w:val="TableText"/>
              <w:jc w:val="center"/>
            </w:pPr>
          </w:p>
        </w:tc>
      </w:tr>
      <w:tr w:rsidR="00047A3A" w14:paraId="7FADA6CB" w14:textId="77777777" w:rsidTr="00AF3E26">
        <w:tc>
          <w:tcPr>
            <w:tcW w:w="691" w:type="dxa"/>
          </w:tcPr>
          <w:p w14:paraId="21131397" w14:textId="77777777" w:rsidR="00047A3A" w:rsidRDefault="00047A3A" w:rsidP="00AF3E26">
            <w:pPr>
              <w:pStyle w:val="TableText"/>
              <w:jc w:val="center"/>
            </w:pPr>
            <w:r>
              <w:t>52</w:t>
            </w:r>
          </w:p>
        </w:tc>
        <w:tc>
          <w:tcPr>
            <w:tcW w:w="1108" w:type="dxa"/>
          </w:tcPr>
          <w:p w14:paraId="73E344C5" w14:textId="77777777" w:rsidR="00047A3A" w:rsidRDefault="00047A3A" w:rsidP="00AF3E26">
            <w:pPr>
              <w:pStyle w:val="TableText"/>
              <w:jc w:val="center"/>
            </w:pPr>
            <w:r>
              <w:t>25.10.21</w:t>
            </w:r>
          </w:p>
        </w:tc>
        <w:tc>
          <w:tcPr>
            <w:tcW w:w="1498" w:type="dxa"/>
            <w:vAlign w:val="top"/>
          </w:tcPr>
          <w:p w14:paraId="70D22D41" w14:textId="77777777" w:rsidR="00047A3A" w:rsidRDefault="00047A3A" w:rsidP="00AF3E26">
            <w:pPr>
              <w:pStyle w:val="TableText"/>
              <w:jc w:val="center"/>
            </w:pPr>
            <w:r w:rsidRPr="00E9795E">
              <w:t>Kikkert</w:t>
            </w:r>
          </w:p>
        </w:tc>
        <w:tc>
          <w:tcPr>
            <w:tcW w:w="1655" w:type="dxa"/>
            <w:vAlign w:val="top"/>
          </w:tcPr>
          <w:p w14:paraId="4A1F01D6" w14:textId="77777777" w:rsidR="00047A3A" w:rsidRDefault="00047A3A" w:rsidP="00AF3E26">
            <w:pPr>
              <w:pStyle w:val="TableText"/>
              <w:jc w:val="center"/>
            </w:pPr>
            <w:r w:rsidRPr="00373CCB">
              <w:t>CSD - Families and Community Services</w:t>
            </w:r>
          </w:p>
        </w:tc>
        <w:tc>
          <w:tcPr>
            <w:tcW w:w="2781" w:type="dxa"/>
          </w:tcPr>
          <w:p w14:paraId="229645E3" w14:textId="77777777" w:rsidR="00047A3A" w:rsidRDefault="00047A3A" w:rsidP="00AF3E26">
            <w:pPr>
              <w:pStyle w:val="TableText"/>
            </w:pPr>
            <w:r w:rsidRPr="00126596">
              <w:t>Safe and Connected Youth</w:t>
            </w:r>
          </w:p>
        </w:tc>
        <w:tc>
          <w:tcPr>
            <w:tcW w:w="1220" w:type="dxa"/>
          </w:tcPr>
          <w:p w14:paraId="7A03D274" w14:textId="77777777" w:rsidR="00047A3A" w:rsidRDefault="00047A3A" w:rsidP="00AF3E26">
            <w:pPr>
              <w:pStyle w:val="TableText"/>
              <w:jc w:val="center"/>
            </w:pPr>
          </w:p>
        </w:tc>
      </w:tr>
      <w:tr w:rsidR="00047A3A" w14:paraId="40517F60"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43E4C749" w14:textId="77777777" w:rsidR="00047A3A" w:rsidRDefault="00047A3A" w:rsidP="00AF3E26">
            <w:pPr>
              <w:pStyle w:val="TableText"/>
              <w:jc w:val="center"/>
            </w:pPr>
            <w:r>
              <w:t>53</w:t>
            </w:r>
          </w:p>
        </w:tc>
        <w:tc>
          <w:tcPr>
            <w:tcW w:w="1108" w:type="dxa"/>
          </w:tcPr>
          <w:p w14:paraId="3ABE1A01" w14:textId="77777777" w:rsidR="00047A3A" w:rsidRDefault="00047A3A" w:rsidP="00AF3E26">
            <w:pPr>
              <w:pStyle w:val="TableText"/>
              <w:jc w:val="center"/>
            </w:pPr>
            <w:r>
              <w:t>25.10.21</w:t>
            </w:r>
          </w:p>
        </w:tc>
        <w:tc>
          <w:tcPr>
            <w:tcW w:w="1498" w:type="dxa"/>
            <w:vAlign w:val="top"/>
          </w:tcPr>
          <w:p w14:paraId="29F87414" w14:textId="77777777" w:rsidR="00047A3A" w:rsidRDefault="00047A3A" w:rsidP="00AF3E26">
            <w:pPr>
              <w:pStyle w:val="TableText"/>
              <w:jc w:val="center"/>
            </w:pPr>
            <w:r w:rsidRPr="00E9795E">
              <w:t>Kikkert</w:t>
            </w:r>
          </w:p>
        </w:tc>
        <w:tc>
          <w:tcPr>
            <w:tcW w:w="1655" w:type="dxa"/>
            <w:vAlign w:val="top"/>
          </w:tcPr>
          <w:p w14:paraId="3B89E354" w14:textId="77777777" w:rsidR="00047A3A" w:rsidRDefault="00047A3A" w:rsidP="00AF3E26">
            <w:pPr>
              <w:pStyle w:val="TableText"/>
              <w:jc w:val="center"/>
            </w:pPr>
            <w:r w:rsidRPr="00373CCB">
              <w:t>CSD - Families and Community Services</w:t>
            </w:r>
          </w:p>
        </w:tc>
        <w:tc>
          <w:tcPr>
            <w:tcW w:w="2781" w:type="dxa"/>
          </w:tcPr>
          <w:p w14:paraId="33E2F2F8" w14:textId="77777777" w:rsidR="00047A3A" w:rsidRDefault="00047A3A" w:rsidP="00AF3E26">
            <w:pPr>
              <w:pStyle w:val="TableText"/>
            </w:pPr>
            <w:r w:rsidRPr="00126596">
              <w:t>Supporting smarter working in the new ACT Government office projects</w:t>
            </w:r>
          </w:p>
        </w:tc>
        <w:tc>
          <w:tcPr>
            <w:tcW w:w="1220" w:type="dxa"/>
          </w:tcPr>
          <w:p w14:paraId="248FEBB0" w14:textId="77777777" w:rsidR="00047A3A" w:rsidRDefault="00047A3A" w:rsidP="00AF3E26">
            <w:pPr>
              <w:pStyle w:val="TableText"/>
              <w:jc w:val="center"/>
            </w:pPr>
          </w:p>
        </w:tc>
      </w:tr>
      <w:tr w:rsidR="00047A3A" w14:paraId="2ED17201" w14:textId="77777777" w:rsidTr="00AF3E26">
        <w:tc>
          <w:tcPr>
            <w:tcW w:w="691" w:type="dxa"/>
          </w:tcPr>
          <w:p w14:paraId="119067CF" w14:textId="77777777" w:rsidR="00047A3A" w:rsidRDefault="00047A3A" w:rsidP="00AF3E26">
            <w:pPr>
              <w:pStyle w:val="TableText"/>
              <w:jc w:val="center"/>
            </w:pPr>
            <w:r>
              <w:t>54</w:t>
            </w:r>
          </w:p>
        </w:tc>
        <w:tc>
          <w:tcPr>
            <w:tcW w:w="1108" w:type="dxa"/>
          </w:tcPr>
          <w:p w14:paraId="6BEB332F" w14:textId="77777777" w:rsidR="00047A3A" w:rsidRDefault="00047A3A" w:rsidP="00AF3E26">
            <w:pPr>
              <w:pStyle w:val="TableText"/>
              <w:jc w:val="center"/>
            </w:pPr>
            <w:r>
              <w:t>25.10.21</w:t>
            </w:r>
          </w:p>
        </w:tc>
        <w:tc>
          <w:tcPr>
            <w:tcW w:w="1498" w:type="dxa"/>
            <w:vAlign w:val="top"/>
          </w:tcPr>
          <w:p w14:paraId="39177AC0" w14:textId="77777777" w:rsidR="00047A3A" w:rsidRDefault="00047A3A" w:rsidP="00AF3E26">
            <w:pPr>
              <w:pStyle w:val="TableText"/>
              <w:jc w:val="center"/>
            </w:pPr>
            <w:r w:rsidRPr="00E9795E">
              <w:t>Kikkert</w:t>
            </w:r>
          </w:p>
        </w:tc>
        <w:tc>
          <w:tcPr>
            <w:tcW w:w="1655" w:type="dxa"/>
            <w:vAlign w:val="top"/>
          </w:tcPr>
          <w:p w14:paraId="54CCE826" w14:textId="77777777" w:rsidR="00047A3A" w:rsidRDefault="00047A3A" w:rsidP="00AF3E26">
            <w:pPr>
              <w:pStyle w:val="TableText"/>
              <w:jc w:val="center"/>
            </w:pPr>
            <w:r w:rsidRPr="00373CCB">
              <w:t>CSD - Families and Community Services</w:t>
            </w:r>
          </w:p>
        </w:tc>
        <w:tc>
          <w:tcPr>
            <w:tcW w:w="2781" w:type="dxa"/>
          </w:tcPr>
          <w:p w14:paraId="53F2CFD2" w14:textId="77777777" w:rsidR="00047A3A" w:rsidRDefault="00047A3A" w:rsidP="00AF3E26">
            <w:pPr>
              <w:pStyle w:val="TableText"/>
            </w:pPr>
            <w:r w:rsidRPr="00126596">
              <w:t>Strategic Policy New Initiatives</w:t>
            </w:r>
          </w:p>
        </w:tc>
        <w:tc>
          <w:tcPr>
            <w:tcW w:w="1220" w:type="dxa"/>
          </w:tcPr>
          <w:p w14:paraId="251B9936" w14:textId="77777777" w:rsidR="00047A3A" w:rsidRDefault="00047A3A" w:rsidP="00AF3E26">
            <w:pPr>
              <w:pStyle w:val="TableText"/>
              <w:jc w:val="center"/>
            </w:pPr>
          </w:p>
        </w:tc>
      </w:tr>
      <w:tr w:rsidR="00047A3A" w14:paraId="4566E7FF" w14:textId="77777777" w:rsidTr="00AF3E26">
        <w:trPr>
          <w:cnfStyle w:val="000000100000" w:firstRow="0" w:lastRow="0" w:firstColumn="0" w:lastColumn="0" w:oddVBand="0" w:evenVBand="0" w:oddHBand="1" w:evenHBand="0" w:firstRowFirstColumn="0" w:firstRowLastColumn="0" w:lastRowFirstColumn="0" w:lastRowLastColumn="0"/>
        </w:trPr>
        <w:tc>
          <w:tcPr>
            <w:tcW w:w="691" w:type="dxa"/>
          </w:tcPr>
          <w:p w14:paraId="340F4B7C" w14:textId="77777777" w:rsidR="00047A3A" w:rsidRDefault="00047A3A" w:rsidP="00AF3E26">
            <w:pPr>
              <w:pStyle w:val="TableText"/>
              <w:jc w:val="center"/>
            </w:pPr>
            <w:r>
              <w:t>55</w:t>
            </w:r>
          </w:p>
        </w:tc>
        <w:tc>
          <w:tcPr>
            <w:tcW w:w="1108" w:type="dxa"/>
          </w:tcPr>
          <w:p w14:paraId="49CF9396" w14:textId="77777777" w:rsidR="00047A3A" w:rsidRDefault="00047A3A" w:rsidP="00AF3E26">
            <w:pPr>
              <w:pStyle w:val="TableText"/>
              <w:jc w:val="center"/>
            </w:pPr>
            <w:r>
              <w:t>25.10.21</w:t>
            </w:r>
          </w:p>
        </w:tc>
        <w:tc>
          <w:tcPr>
            <w:tcW w:w="1498" w:type="dxa"/>
            <w:vAlign w:val="top"/>
          </w:tcPr>
          <w:p w14:paraId="3B5DBC88" w14:textId="77777777" w:rsidR="00047A3A" w:rsidRDefault="00047A3A" w:rsidP="00AF3E26">
            <w:pPr>
              <w:pStyle w:val="TableText"/>
              <w:jc w:val="center"/>
            </w:pPr>
            <w:r w:rsidRPr="00E9795E">
              <w:t>Kikkert</w:t>
            </w:r>
          </w:p>
        </w:tc>
        <w:tc>
          <w:tcPr>
            <w:tcW w:w="1655" w:type="dxa"/>
            <w:vAlign w:val="top"/>
          </w:tcPr>
          <w:p w14:paraId="16167B7C" w14:textId="77777777" w:rsidR="00047A3A" w:rsidRDefault="00047A3A" w:rsidP="00AF3E26">
            <w:pPr>
              <w:pStyle w:val="TableText"/>
              <w:jc w:val="center"/>
            </w:pPr>
            <w:r w:rsidRPr="00373CCB">
              <w:t>CSD - Families and Community Services</w:t>
            </w:r>
          </w:p>
        </w:tc>
        <w:tc>
          <w:tcPr>
            <w:tcW w:w="2781" w:type="dxa"/>
          </w:tcPr>
          <w:p w14:paraId="778C01DC" w14:textId="77777777" w:rsidR="00047A3A" w:rsidRDefault="00047A3A" w:rsidP="00AF3E26">
            <w:pPr>
              <w:pStyle w:val="TableText"/>
            </w:pPr>
            <w:r w:rsidRPr="00126596">
              <w:t>Therapeutic Care Court</w:t>
            </w:r>
          </w:p>
        </w:tc>
        <w:tc>
          <w:tcPr>
            <w:tcW w:w="1220" w:type="dxa"/>
          </w:tcPr>
          <w:p w14:paraId="51304F81" w14:textId="77777777" w:rsidR="00047A3A" w:rsidRDefault="00047A3A" w:rsidP="00AF3E26">
            <w:pPr>
              <w:pStyle w:val="TableText"/>
              <w:jc w:val="center"/>
            </w:pPr>
          </w:p>
        </w:tc>
      </w:tr>
    </w:tbl>
    <w:p w14:paraId="17DEFD34" w14:textId="77777777" w:rsidR="00047A3A" w:rsidRDefault="00047A3A" w:rsidP="00047A3A"/>
    <w:p w14:paraId="60A46604" w14:textId="77777777" w:rsidR="00047A3A" w:rsidRDefault="00047A3A" w:rsidP="00047A3A">
      <w:pPr>
        <w:pStyle w:val="Caption"/>
      </w:pPr>
      <w:r>
        <w:t>Questions on Notice 29 October 2021</w:t>
      </w:r>
    </w:p>
    <w:tbl>
      <w:tblPr>
        <w:tblStyle w:val="CommitteeTable"/>
        <w:tblW w:w="0" w:type="auto"/>
        <w:tblInd w:w="108" w:type="dxa"/>
        <w:tblLook w:val="04A0" w:firstRow="1" w:lastRow="0" w:firstColumn="1" w:lastColumn="0" w:noHBand="0" w:noVBand="1"/>
      </w:tblPr>
      <w:tblGrid>
        <w:gridCol w:w="692"/>
        <w:gridCol w:w="1110"/>
        <w:gridCol w:w="1497"/>
        <w:gridCol w:w="1655"/>
        <w:gridCol w:w="2779"/>
        <w:gridCol w:w="1220"/>
      </w:tblGrid>
      <w:tr w:rsidR="00047A3A" w14:paraId="7938817F" w14:textId="77777777" w:rsidTr="00AF3E26">
        <w:trPr>
          <w:cnfStyle w:val="100000000000" w:firstRow="1" w:lastRow="0" w:firstColumn="0" w:lastColumn="0" w:oddVBand="0" w:evenVBand="0" w:oddHBand="0" w:evenHBand="0" w:firstRowFirstColumn="0" w:firstRowLastColumn="0" w:lastRowFirstColumn="0" w:lastRowLastColumn="0"/>
        </w:trPr>
        <w:tc>
          <w:tcPr>
            <w:tcW w:w="692" w:type="dxa"/>
          </w:tcPr>
          <w:p w14:paraId="1DEA9527"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No.</w:t>
            </w:r>
          </w:p>
        </w:tc>
        <w:tc>
          <w:tcPr>
            <w:tcW w:w="1110" w:type="dxa"/>
          </w:tcPr>
          <w:p w14:paraId="4B68A9A5"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Hearing date</w:t>
            </w:r>
          </w:p>
        </w:tc>
        <w:tc>
          <w:tcPr>
            <w:tcW w:w="1497" w:type="dxa"/>
          </w:tcPr>
          <w:p w14:paraId="09410CCA"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Asked by</w:t>
            </w:r>
          </w:p>
        </w:tc>
        <w:tc>
          <w:tcPr>
            <w:tcW w:w="1655" w:type="dxa"/>
          </w:tcPr>
          <w:p w14:paraId="1F945FCD"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Directorate/</w:t>
            </w:r>
            <w:r w:rsidRPr="00640E82">
              <w:rPr>
                <w:rFonts w:ascii="Arial Narrow" w:hAnsi="Arial Narrow"/>
              </w:rPr>
              <w:br/>
              <w:t>Portfolio</w:t>
            </w:r>
          </w:p>
        </w:tc>
        <w:tc>
          <w:tcPr>
            <w:tcW w:w="2779" w:type="dxa"/>
          </w:tcPr>
          <w:p w14:paraId="1A2BFAB7" w14:textId="77777777" w:rsidR="00047A3A" w:rsidRPr="00640E82" w:rsidRDefault="00047A3A" w:rsidP="00AF3E26">
            <w:pPr>
              <w:spacing w:after="80" w:line="288" w:lineRule="auto"/>
              <w:rPr>
                <w:rFonts w:ascii="Arial Narrow" w:hAnsi="Arial Narrow"/>
              </w:rPr>
            </w:pPr>
            <w:r w:rsidRPr="00640E82">
              <w:rPr>
                <w:rFonts w:ascii="Arial Narrow" w:hAnsi="Arial Narrow"/>
              </w:rPr>
              <w:t>Subject</w:t>
            </w:r>
          </w:p>
        </w:tc>
        <w:tc>
          <w:tcPr>
            <w:tcW w:w="1220" w:type="dxa"/>
          </w:tcPr>
          <w:p w14:paraId="243DFDA6" w14:textId="77777777" w:rsidR="00047A3A" w:rsidRPr="00640E82" w:rsidRDefault="00047A3A" w:rsidP="00AF3E26">
            <w:pPr>
              <w:spacing w:after="80" w:line="288" w:lineRule="auto"/>
              <w:jc w:val="center"/>
              <w:rPr>
                <w:rFonts w:ascii="Arial Narrow" w:hAnsi="Arial Narrow"/>
              </w:rPr>
            </w:pPr>
            <w:r w:rsidRPr="00640E82">
              <w:rPr>
                <w:rFonts w:ascii="Arial Narrow" w:hAnsi="Arial Narrow"/>
              </w:rPr>
              <w:t>Answer date</w:t>
            </w:r>
          </w:p>
        </w:tc>
      </w:tr>
      <w:tr w:rsidR="00047A3A" w14:paraId="6755F2F2"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07CCEE2F" w14:textId="77777777" w:rsidR="00047A3A" w:rsidRDefault="00047A3A" w:rsidP="00AF3E26">
            <w:pPr>
              <w:pStyle w:val="TableText"/>
              <w:jc w:val="center"/>
            </w:pPr>
            <w:r>
              <w:t>36</w:t>
            </w:r>
          </w:p>
        </w:tc>
        <w:tc>
          <w:tcPr>
            <w:tcW w:w="1110" w:type="dxa"/>
          </w:tcPr>
          <w:p w14:paraId="5BDA3D17" w14:textId="77777777" w:rsidR="00047A3A" w:rsidRDefault="00047A3A" w:rsidP="00AF3E26">
            <w:pPr>
              <w:pStyle w:val="TableText"/>
              <w:jc w:val="center"/>
            </w:pPr>
            <w:r>
              <w:t>29.10.21</w:t>
            </w:r>
          </w:p>
        </w:tc>
        <w:tc>
          <w:tcPr>
            <w:tcW w:w="1497" w:type="dxa"/>
          </w:tcPr>
          <w:p w14:paraId="5E668826" w14:textId="77777777" w:rsidR="00047A3A" w:rsidRDefault="00047A3A" w:rsidP="00AF3E26">
            <w:pPr>
              <w:pStyle w:val="TableText"/>
              <w:jc w:val="center"/>
            </w:pPr>
            <w:r>
              <w:t>Parton</w:t>
            </w:r>
          </w:p>
        </w:tc>
        <w:tc>
          <w:tcPr>
            <w:tcW w:w="1655" w:type="dxa"/>
          </w:tcPr>
          <w:p w14:paraId="1E82101E" w14:textId="77777777" w:rsidR="00047A3A" w:rsidRDefault="00047A3A" w:rsidP="00AF3E26">
            <w:pPr>
              <w:pStyle w:val="TableText"/>
              <w:jc w:val="center"/>
            </w:pPr>
            <w:r w:rsidRPr="00BC41A8">
              <w:t>CSD - Housing and Suburban</w:t>
            </w:r>
          </w:p>
        </w:tc>
        <w:tc>
          <w:tcPr>
            <w:tcW w:w="2779" w:type="dxa"/>
          </w:tcPr>
          <w:p w14:paraId="7EB12177" w14:textId="77777777" w:rsidR="00047A3A" w:rsidRDefault="00047A3A" w:rsidP="00AF3E26">
            <w:pPr>
              <w:pStyle w:val="TableText"/>
            </w:pPr>
            <w:r w:rsidRPr="00BC41A8">
              <w:t xml:space="preserve">80 million </w:t>
            </w:r>
            <w:proofErr w:type="gramStart"/>
            <w:r w:rsidRPr="00BC41A8">
              <w:t>allocation</w:t>
            </w:r>
            <w:proofErr w:type="gramEnd"/>
          </w:p>
        </w:tc>
        <w:tc>
          <w:tcPr>
            <w:tcW w:w="1220" w:type="dxa"/>
          </w:tcPr>
          <w:p w14:paraId="6C5DD8E0" w14:textId="77777777" w:rsidR="00047A3A" w:rsidRDefault="00047A3A" w:rsidP="00AF3E26">
            <w:pPr>
              <w:pStyle w:val="TableText"/>
              <w:jc w:val="center"/>
            </w:pPr>
          </w:p>
        </w:tc>
      </w:tr>
      <w:tr w:rsidR="00047A3A" w14:paraId="3F1D1E2B" w14:textId="77777777" w:rsidTr="00AF3E26">
        <w:tc>
          <w:tcPr>
            <w:tcW w:w="692" w:type="dxa"/>
          </w:tcPr>
          <w:p w14:paraId="67562B91" w14:textId="77777777" w:rsidR="00047A3A" w:rsidRDefault="00047A3A" w:rsidP="00AF3E26">
            <w:pPr>
              <w:pStyle w:val="TableText"/>
              <w:jc w:val="center"/>
            </w:pPr>
            <w:r>
              <w:t>37</w:t>
            </w:r>
          </w:p>
        </w:tc>
        <w:tc>
          <w:tcPr>
            <w:tcW w:w="1110" w:type="dxa"/>
          </w:tcPr>
          <w:p w14:paraId="6FD24AF7" w14:textId="77777777" w:rsidR="00047A3A" w:rsidRDefault="00047A3A" w:rsidP="00AF3E26">
            <w:pPr>
              <w:pStyle w:val="TableText"/>
              <w:jc w:val="center"/>
            </w:pPr>
            <w:r>
              <w:t>29.10.21</w:t>
            </w:r>
          </w:p>
        </w:tc>
        <w:tc>
          <w:tcPr>
            <w:tcW w:w="1497" w:type="dxa"/>
          </w:tcPr>
          <w:p w14:paraId="7192D825" w14:textId="77777777" w:rsidR="00047A3A" w:rsidRDefault="00047A3A" w:rsidP="00AF3E26">
            <w:pPr>
              <w:pStyle w:val="TableText"/>
              <w:jc w:val="center"/>
            </w:pPr>
            <w:r>
              <w:t>Parton</w:t>
            </w:r>
          </w:p>
        </w:tc>
        <w:tc>
          <w:tcPr>
            <w:tcW w:w="1655" w:type="dxa"/>
          </w:tcPr>
          <w:p w14:paraId="297AEB5E" w14:textId="77777777" w:rsidR="00047A3A" w:rsidRDefault="00047A3A" w:rsidP="00AF3E26">
            <w:pPr>
              <w:pStyle w:val="TableText"/>
              <w:jc w:val="center"/>
            </w:pPr>
            <w:r w:rsidRPr="00BC41A8">
              <w:t>CSD - Housing and Suburban</w:t>
            </w:r>
          </w:p>
        </w:tc>
        <w:tc>
          <w:tcPr>
            <w:tcW w:w="2779" w:type="dxa"/>
          </w:tcPr>
          <w:p w14:paraId="6BA44C96" w14:textId="77777777" w:rsidR="00047A3A" w:rsidRDefault="00047A3A" w:rsidP="00AF3E26">
            <w:pPr>
              <w:pStyle w:val="TableText"/>
            </w:pPr>
            <w:r w:rsidRPr="00BC41A8">
              <w:t>Average cost per dwelling</w:t>
            </w:r>
          </w:p>
        </w:tc>
        <w:tc>
          <w:tcPr>
            <w:tcW w:w="1220" w:type="dxa"/>
          </w:tcPr>
          <w:p w14:paraId="191B15B9" w14:textId="77777777" w:rsidR="00047A3A" w:rsidRDefault="00047A3A" w:rsidP="00AF3E26">
            <w:pPr>
              <w:pStyle w:val="TableText"/>
              <w:jc w:val="center"/>
            </w:pPr>
          </w:p>
        </w:tc>
      </w:tr>
      <w:tr w:rsidR="00047A3A" w14:paraId="5E89A895"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5B1B27CB" w14:textId="77777777" w:rsidR="00047A3A" w:rsidRDefault="00047A3A" w:rsidP="00AF3E26">
            <w:pPr>
              <w:pStyle w:val="TableText"/>
              <w:jc w:val="center"/>
            </w:pPr>
            <w:r>
              <w:t>38</w:t>
            </w:r>
          </w:p>
        </w:tc>
        <w:tc>
          <w:tcPr>
            <w:tcW w:w="1110" w:type="dxa"/>
          </w:tcPr>
          <w:p w14:paraId="3BD27E39" w14:textId="77777777" w:rsidR="00047A3A" w:rsidRDefault="00047A3A" w:rsidP="00AF3E26">
            <w:pPr>
              <w:pStyle w:val="TableText"/>
              <w:jc w:val="center"/>
            </w:pPr>
            <w:r>
              <w:t>29.10.21</w:t>
            </w:r>
          </w:p>
        </w:tc>
        <w:tc>
          <w:tcPr>
            <w:tcW w:w="1497" w:type="dxa"/>
          </w:tcPr>
          <w:p w14:paraId="154124A1" w14:textId="77777777" w:rsidR="00047A3A" w:rsidRDefault="00047A3A" w:rsidP="00AF3E26">
            <w:pPr>
              <w:pStyle w:val="TableText"/>
              <w:jc w:val="center"/>
            </w:pPr>
            <w:r>
              <w:t>Parton</w:t>
            </w:r>
          </w:p>
        </w:tc>
        <w:tc>
          <w:tcPr>
            <w:tcW w:w="1655" w:type="dxa"/>
          </w:tcPr>
          <w:p w14:paraId="7F26F8BF" w14:textId="77777777" w:rsidR="00047A3A" w:rsidRDefault="00047A3A" w:rsidP="00AF3E26">
            <w:pPr>
              <w:pStyle w:val="TableText"/>
              <w:jc w:val="center"/>
            </w:pPr>
            <w:r w:rsidRPr="00BC41A8">
              <w:t>CSD - Housing and Suburban</w:t>
            </w:r>
          </w:p>
        </w:tc>
        <w:tc>
          <w:tcPr>
            <w:tcW w:w="2779" w:type="dxa"/>
          </w:tcPr>
          <w:p w14:paraId="1521A370" w14:textId="77777777" w:rsidR="00047A3A" w:rsidRDefault="00047A3A" w:rsidP="00AF3E26">
            <w:pPr>
              <w:pStyle w:val="TableText"/>
            </w:pPr>
            <w:r>
              <w:t>Common Ground</w:t>
            </w:r>
          </w:p>
        </w:tc>
        <w:tc>
          <w:tcPr>
            <w:tcW w:w="1220" w:type="dxa"/>
          </w:tcPr>
          <w:p w14:paraId="4687B077" w14:textId="77777777" w:rsidR="00047A3A" w:rsidRDefault="00047A3A" w:rsidP="00AF3E26">
            <w:pPr>
              <w:pStyle w:val="TableText"/>
              <w:jc w:val="center"/>
            </w:pPr>
          </w:p>
        </w:tc>
      </w:tr>
      <w:tr w:rsidR="00047A3A" w14:paraId="3B17911E" w14:textId="77777777" w:rsidTr="00AF3E26">
        <w:tc>
          <w:tcPr>
            <w:tcW w:w="692" w:type="dxa"/>
          </w:tcPr>
          <w:p w14:paraId="621556C9" w14:textId="77777777" w:rsidR="00047A3A" w:rsidRDefault="00047A3A" w:rsidP="00AF3E26">
            <w:pPr>
              <w:pStyle w:val="TableText"/>
              <w:jc w:val="center"/>
            </w:pPr>
            <w:r>
              <w:t>39</w:t>
            </w:r>
          </w:p>
        </w:tc>
        <w:tc>
          <w:tcPr>
            <w:tcW w:w="1110" w:type="dxa"/>
          </w:tcPr>
          <w:p w14:paraId="67AF441E" w14:textId="77777777" w:rsidR="00047A3A" w:rsidRDefault="00047A3A" w:rsidP="00AF3E26">
            <w:pPr>
              <w:pStyle w:val="TableText"/>
              <w:jc w:val="center"/>
            </w:pPr>
            <w:r>
              <w:t>29.10.21</w:t>
            </w:r>
          </w:p>
        </w:tc>
        <w:tc>
          <w:tcPr>
            <w:tcW w:w="1497" w:type="dxa"/>
          </w:tcPr>
          <w:p w14:paraId="49D530B4" w14:textId="77777777" w:rsidR="00047A3A" w:rsidRDefault="00047A3A" w:rsidP="00AF3E26">
            <w:pPr>
              <w:pStyle w:val="TableText"/>
              <w:jc w:val="center"/>
            </w:pPr>
            <w:r>
              <w:t>Parton</w:t>
            </w:r>
          </w:p>
        </w:tc>
        <w:tc>
          <w:tcPr>
            <w:tcW w:w="1655" w:type="dxa"/>
          </w:tcPr>
          <w:p w14:paraId="12BA4242" w14:textId="77777777" w:rsidR="00047A3A" w:rsidRDefault="00047A3A" w:rsidP="00AF3E26">
            <w:pPr>
              <w:pStyle w:val="TableText"/>
              <w:jc w:val="center"/>
            </w:pPr>
            <w:r w:rsidRPr="00BC41A8">
              <w:t>CSD - Housing and Suburban</w:t>
            </w:r>
          </w:p>
        </w:tc>
        <w:tc>
          <w:tcPr>
            <w:tcW w:w="2779" w:type="dxa"/>
          </w:tcPr>
          <w:p w14:paraId="0E8CA1CA" w14:textId="77777777" w:rsidR="00047A3A" w:rsidRDefault="00047A3A" w:rsidP="00AF3E26">
            <w:pPr>
              <w:pStyle w:val="TableText"/>
            </w:pPr>
            <w:r w:rsidRPr="00BC41A8">
              <w:t>Housing Strategy</w:t>
            </w:r>
          </w:p>
        </w:tc>
        <w:tc>
          <w:tcPr>
            <w:tcW w:w="1220" w:type="dxa"/>
          </w:tcPr>
          <w:p w14:paraId="4427849F" w14:textId="77777777" w:rsidR="00047A3A" w:rsidRDefault="00047A3A" w:rsidP="00AF3E26">
            <w:pPr>
              <w:pStyle w:val="TableText"/>
              <w:jc w:val="center"/>
            </w:pPr>
          </w:p>
        </w:tc>
      </w:tr>
      <w:tr w:rsidR="00047A3A" w14:paraId="734659F4"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1226FF12" w14:textId="77777777" w:rsidR="00047A3A" w:rsidRDefault="00047A3A" w:rsidP="00AF3E26">
            <w:pPr>
              <w:pStyle w:val="TableText"/>
              <w:jc w:val="center"/>
            </w:pPr>
            <w:r>
              <w:t>40</w:t>
            </w:r>
          </w:p>
        </w:tc>
        <w:tc>
          <w:tcPr>
            <w:tcW w:w="1110" w:type="dxa"/>
          </w:tcPr>
          <w:p w14:paraId="7D1420D7" w14:textId="77777777" w:rsidR="00047A3A" w:rsidRDefault="00047A3A" w:rsidP="00AF3E26">
            <w:pPr>
              <w:pStyle w:val="TableText"/>
              <w:jc w:val="center"/>
            </w:pPr>
            <w:r>
              <w:t>29.10.21</w:t>
            </w:r>
          </w:p>
        </w:tc>
        <w:tc>
          <w:tcPr>
            <w:tcW w:w="1497" w:type="dxa"/>
          </w:tcPr>
          <w:p w14:paraId="083CC701" w14:textId="77777777" w:rsidR="00047A3A" w:rsidRDefault="00047A3A" w:rsidP="00AF3E26">
            <w:pPr>
              <w:pStyle w:val="TableText"/>
              <w:jc w:val="center"/>
            </w:pPr>
            <w:r>
              <w:t>Parton</w:t>
            </w:r>
          </w:p>
        </w:tc>
        <w:tc>
          <w:tcPr>
            <w:tcW w:w="1655" w:type="dxa"/>
          </w:tcPr>
          <w:p w14:paraId="1EAB1E3F" w14:textId="77777777" w:rsidR="00047A3A" w:rsidRDefault="00047A3A" w:rsidP="00AF3E26">
            <w:pPr>
              <w:pStyle w:val="TableText"/>
              <w:jc w:val="center"/>
            </w:pPr>
            <w:r w:rsidRPr="00BC41A8">
              <w:t>CSD - Housing and Suburban</w:t>
            </w:r>
          </w:p>
        </w:tc>
        <w:tc>
          <w:tcPr>
            <w:tcW w:w="2779" w:type="dxa"/>
          </w:tcPr>
          <w:p w14:paraId="25B42929" w14:textId="77777777" w:rsidR="00047A3A" w:rsidRDefault="00047A3A" w:rsidP="00AF3E26">
            <w:pPr>
              <w:pStyle w:val="TableText"/>
            </w:pPr>
            <w:r w:rsidRPr="00BC41A8">
              <w:t>Property increase expectation</w:t>
            </w:r>
          </w:p>
        </w:tc>
        <w:tc>
          <w:tcPr>
            <w:tcW w:w="1220" w:type="dxa"/>
          </w:tcPr>
          <w:p w14:paraId="0B9BCE4F" w14:textId="77777777" w:rsidR="00047A3A" w:rsidRDefault="00047A3A" w:rsidP="00AF3E26">
            <w:pPr>
              <w:pStyle w:val="TableText"/>
              <w:jc w:val="center"/>
            </w:pPr>
          </w:p>
        </w:tc>
      </w:tr>
      <w:tr w:rsidR="00047A3A" w14:paraId="4AD5FDC1" w14:textId="77777777" w:rsidTr="00AF3E26">
        <w:tc>
          <w:tcPr>
            <w:tcW w:w="692" w:type="dxa"/>
          </w:tcPr>
          <w:p w14:paraId="6CF5DAC0" w14:textId="77777777" w:rsidR="00047A3A" w:rsidRDefault="00047A3A" w:rsidP="00AF3E26">
            <w:pPr>
              <w:pStyle w:val="TableText"/>
              <w:jc w:val="center"/>
            </w:pPr>
            <w:r>
              <w:t>41</w:t>
            </w:r>
          </w:p>
        </w:tc>
        <w:tc>
          <w:tcPr>
            <w:tcW w:w="1110" w:type="dxa"/>
          </w:tcPr>
          <w:p w14:paraId="2ED5F45B" w14:textId="77777777" w:rsidR="00047A3A" w:rsidRDefault="00047A3A" w:rsidP="00AF3E26">
            <w:pPr>
              <w:pStyle w:val="TableText"/>
              <w:jc w:val="center"/>
            </w:pPr>
            <w:r>
              <w:t>29.10.21</w:t>
            </w:r>
          </w:p>
        </w:tc>
        <w:tc>
          <w:tcPr>
            <w:tcW w:w="1497" w:type="dxa"/>
          </w:tcPr>
          <w:p w14:paraId="610C2398" w14:textId="77777777" w:rsidR="00047A3A" w:rsidRDefault="00047A3A" w:rsidP="00AF3E26">
            <w:pPr>
              <w:pStyle w:val="TableText"/>
              <w:jc w:val="center"/>
            </w:pPr>
            <w:r>
              <w:t>Parton</w:t>
            </w:r>
          </w:p>
        </w:tc>
        <w:tc>
          <w:tcPr>
            <w:tcW w:w="1655" w:type="dxa"/>
          </w:tcPr>
          <w:p w14:paraId="29BE6493" w14:textId="77777777" w:rsidR="00047A3A" w:rsidRDefault="00047A3A" w:rsidP="00AF3E26">
            <w:pPr>
              <w:pStyle w:val="TableText"/>
              <w:jc w:val="center"/>
            </w:pPr>
            <w:r w:rsidRPr="00BC41A8">
              <w:t>CSD - Housing and Suburban</w:t>
            </w:r>
          </w:p>
        </w:tc>
        <w:tc>
          <w:tcPr>
            <w:tcW w:w="2779" w:type="dxa"/>
          </w:tcPr>
          <w:p w14:paraId="08251387" w14:textId="77777777" w:rsidR="00047A3A" w:rsidRDefault="00047A3A" w:rsidP="00AF3E26">
            <w:pPr>
              <w:pStyle w:val="TableText"/>
            </w:pPr>
            <w:r>
              <w:t>Property Sale Prices</w:t>
            </w:r>
          </w:p>
        </w:tc>
        <w:tc>
          <w:tcPr>
            <w:tcW w:w="1220" w:type="dxa"/>
          </w:tcPr>
          <w:p w14:paraId="116AD765" w14:textId="77777777" w:rsidR="00047A3A" w:rsidRDefault="00047A3A" w:rsidP="00AF3E26">
            <w:pPr>
              <w:pStyle w:val="TableText"/>
              <w:jc w:val="center"/>
            </w:pPr>
          </w:p>
        </w:tc>
      </w:tr>
      <w:tr w:rsidR="00047A3A" w14:paraId="3DB2B604"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0E74BA92" w14:textId="77777777" w:rsidR="00047A3A" w:rsidRDefault="00047A3A" w:rsidP="00AF3E26">
            <w:pPr>
              <w:pStyle w:val="TableText"/>
              <w:jc w:val="center"/>
            </w:pPr>
            <w:r>
              <w:t>56</w:t>
            </w:r>
          </w:p>
        </w:tc>
        <w:tc>
          <w:tcPr>
            <w:tcW w:w="1110" w:type="dxa"/>
          </w:tcPr>
          <w:p w14:paraId="2F262445" w14:textId="77777777" w:rsidR="00047A3A" w:rsidRDefault="00047A3A" w:rsidP="00AF3E26">
            <w:pPr>
              <w:pStyle w:val="TableText"/>
              <w:jc w:val="center"/>
            </w:pPr>
            <w:r>
              <w:t>29.10.21</w:t>
            </w:r>
          </w:p>
        </w:tc>
        <w:tc>
          <w:tcPr>
            <w:tcW w:w="1497" w:type="dxa"/>
          </w:tcPr>
          <w:p w14:paraId="654A2B81" w14:textId="77777777" w:rsidR="00047A3A" w:rsidRDefault="00047A3A" w:rsidP="00AF3E26">
            <w:pPr>
              <w:pStyle w:val="TableText"/>
              <w:jc w:val="center"/>
            </w:pPr>
            <w:r>
              <w:t>Kikkert</w:t>
            </w:r>
          </w:p>
        </w:tc>
        <w:tc>
          <w:tcPr>
            <w:tcW w:w="1655" w:type="dxa"/>
          </w:tcPr>
          <w:p w14:paraId="6973D5CB" w14:textId="77777777" w:rsidR="00047A3A" w:rsidRDefault="00047A3A" w:rsidP="00AF3E26">
            <w:pPr>
              <w:pStyle w:val="TableText"/>
              <w:jc w:val="center"/>
            </w:pPr>
            <w:r w:rsidRPr="00BB2057">
              <w:t>CSD - Prevention of Domestic and Family Violence</w:t>
            </w:r>
          </w:p>
        </w:tc>
        <w:tc>
          <w:tcPr>
            <w:tcW w:w="2779" w:type="dxa"/>
          </w:tcPr>
          <w:p w14:paraId="1BDDB619" w14:textId="77777777" w:rsidR="00047A3A" w:rsidRDefault="00047A3A" w:rsidP="00AF3E26">
            <w:pPr>
              <w:pStyle w:val="TableText"/>
            </w:pPr>
            <w:r w:rsidRPr="00BB2057">
              <w:t>Health Justice Partnership</w:t>
            </w:r>
          </w:p>
        </w:tc>
        <w:tc>
          <w:tcPr>
            <w:tcW w:w="1220" w:type="dxa"/>
          </w:tcPr>
          <w:p w14:paraId="239F9F65" w14:textId="77777777" w:rsidR="00047A3A" w:rsidRDefault="00047A3A" w:rsidP="00AF3E26">
            <w:pPr>
              <w:pStyle w:val="TableText"/>
              <w:jc w:val="center"/>
            </w:pPr>
          </w:p>
        </w:tc>
      </w:tr>
      <w:tr w:rsidR="00047A3A" w14:paraId="61EE1254" w14:textId="77777777" w:rsidTr="00AF3E26">
        <w:tc>
          <w:tcPr>
            <w:tcW w:w="692" w:type="dxa"/>
          </w:tcPr>
          <w:p w14:paraId="0BFD8682" w14:textId="77777777" w:rsidR="00047A3A" w:rsidRDefault="00047A3A" w:rsidP="00AF3E26">
            <w:pPr>
              <w:pStyle w:val="TableText"/>
              <w:jc w:val="center"/>
            </w:pPr>
            <w:r>
              <w:t>57</w:t>
            </w:r>
          </w:p>
        </w:tc>
        <w:tc>
          <w:tcPr>
            <w:tcW w:w="1110" w:type="dxa"/>
          </w:tcPr>
          <w:p w14:paraId="181DCE8B" w14:textId="77777777" w:rsidR="00047A3A" w:rsidRDefault="00047A3A" w:rsidP="00AF3E26">
            <w:pPr>
              <w:pStyle w:val="TableText"/>
              <w:jc w:val="center"/>
            </w:pPr>
            <w:r>
              <w:t>29.10.21</w:t>
            </w:r>
          </w:p>
        </w:tc>
        <w:tc>
          <w:tcPr>
            <w:tcW w:w="1497" w:type="dxa"/>
            <w:vAlign w:val="top"/>
          </w:tcPr>
          <w:p w14:paraId="4A896F81" w14:textId="77777777" w:rsidR="00047A3A" w:rsidRDefault="00047A3A" w:rsidP="00AF3E26">
            <w:pPr>
              <w:pStyle w:val="TableText"/>
              <w:jc w:val="center"/>
            </w:pPr>
            <w:r w:rsidRPr="0013279B">
              <w:t>Kikkert</w:t>
            </w:r>
          </w:p>
        </w:tc>
        <w:tc>
          <w:tcPr>
            <w:tcW w:w="1655" w:type="dxa"/>
            <w:vAlign w:val="top"/>
          </w:tcPr>
          <w:p w14:paraId="15878CDF" w14:textId="77777777" w:rsidR="00047A3A" w:rsidRDefault="00047A3A" w:rsidP="00AF3E26">
            <w:pPr>
              <w:pStyle w:val="TableText"/>
              <w:jc w:val="center"/>
            </w:pPr>
            <w:r w:rsidRPr="0046734D">
              <w:t>CSD - Prevention of Domestic and Family Violence</w:t>
            </w:r>
          </w:p>
        </w:tc>
        <w:tc>
          <w:tcPr>
            <w:tcW w:w="2779" w:type="dxa"/>
          </w:tcPr>
          <w:p w14:paraId="0C33F4CC" w14:textId="77777777" w:rsidR="00047A3A" w:rsidRDefault="00047A3A" w:rsidP="00AF3E26">
            <w:pPr>
              <w:pStyle w:val="TableText"/>
            </w:pPr>
            <w:r>
              <w:t>Women’s Safety</w:t>
            </w:r>
          </w:p>
        </w:tc>
        <w:tc>
          <w:tcPr>
            <w:tcW w:w="1220" w:type="dxa"/>
          </w:tcPr>
          <w:p w14:paraId="4042E8E9" w14:textId="77777777" w:rsidR="00047A3A" w:rsidRDefault="00047A3A" w:rsidP="00AF3E26">
            <w:pPr>
              <w:pStyle w:val="TableText"/>
              <w:jc w:val="center"/>
            </w:pPr>
          </w:p>
        </w:tc>
      </w:tr>
      <w:tr w:rsidR="00047A3A" w14:paraId="51182794"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0541F8A3" w14:textId="77777777" w:rsidR="00047A3A" w:rsidRDefault="00047A3A" w:rsidP="00AF3E26">
            <w:pPr>
              <w:pStyle w:val="TableText"/>
              <w:jc w:val="center"/>
            </w:pPr>
            <w:r>
              <w:t>58</w:t>
            </w:r>
          </w:p>
        </w:tc>
        <w:tc>
          <w:tcPr>
            <w:tcW w:w="1110" w:type="dxa"/>
          </w:tcPr>
          <w:p w14:paraId="4EEC29B4" w14:textId="77777777" w:rsidR="00047A3A" w:rsidRDefault="00047A3A" w:rsidP="00AF3E26">
            <w:pPr>
              <w:pStyle w:val="TableText"/>
              <w:jc w:val="center"/>
            </w:pPr>
            <w:r>
              <w:t>29.10.21</w:t>
            </w:r>
          </w:p>
        </w:tc>
        <w:tc>
          <w:tcPr>
            <w:tcW w:w="1497" w:type="dxa"/>
            <w:vAlign w:val="top"/>
          </w:tcPr>
          <w:p w14:paraId="5508C9D6" w14:textId="77777777" w:rsidR="00047A3A" w:rsidRDefault="00047A3A" w:rsidP="00AF3E26">
            <w:pPr>
              <w:pStyle w:val="TableText"/>
              <w:jc w:val="center"/>
            </w:pPr>
            <w:r w:rsidRPr="0013279B">
              <w:t>Kikkert</w:t>
            </w:r>
          </w:p>
        </w:tc>
        <w:tc>
          <w:tcPr>
            <w:tcW w:w="1655" w:type="dxa"/>
            <w:vAlign w:val="top"/>
          </w:tcPr>
          <w:p w14:paraId="4D3402B7" w14:textId="77777777" w:rsidR="00047A3A" w:rsidRDefault="00047A3A" w:rsidP="00AF3E26">
            <w:pPr>
              <w:pStyle w:val="TableText"/>
              <w:jc w:val="center"/>
            </w:pPr>
            <w:r w:rsidRPr="0046734D">
              <w:t>CSD - Prevention of Domestic and Family Violence</w:t>
            </w:r>
          </w:p>
        </w:tc>
        <w:tc>
          <w:tcPr>
            <w:tcW w:w="2779" w:type="dxa"/>
          </w:tcPr>
          <w:p w14:paraId="5F58F681" w14:textId="77777777" w:rsidR="00047A3A" w:rsidRDefault="00047A3A" w:rsidP="00AF3E26">
            <w:pPr>
              <w:pStyle w:val="TableText"/>
            </w:pPr>
            <w:r w:rsidRPr="00BB2057">
              <w:t>ATSI Reference Group consulting report</w:t>
            </w:r>
          </w:p>
        </w:tc>
        <w:tc>
          <w:tcPr>
            <w:tcW w:w="1220" w:type="dxa"/>
          </w:tcPr>
          <w:p w14:paraId="72F58C66" w14:textId="77777777" w:rsidR="00047A3A" w:rsidRDefault="00047A3A" w:rsidP="00AF3E26">
            <w:pPr>
              <w:pStyle w:val="TableText"/>
              <w:jc w:val="center"/>
            </w:pPr>
          </w:p>
        </w:tc>
      </w:tr>
      <w:tr w:rsidR="00047A3A" w14:paraId="347A0ABF" w14:textId="77777777" w:rsidTr="00AF3E26">
        <w:tc>
          <w:tcPr>
            <w:tcW w:w="692" w:type="dxa"/>
          </w:tcPr>
          <w:p w14:paraId="26B342CB" w14:textId="77777777" w:rsidR="00047A3A" w:rsidRDefault="00047A3A" w:rsidP="00AF3E26">
            <w:pPr>
              <w:pStyle w:val="TableText"/>
              <w:jc w:val="center"/>
            </w:pPr>
            <w:r>
              <w:t>59</w:t>
            </w:r>
          </w:p>
        </w:tc>
        <w:tc>
          <w:tcPr>
            <w:tcW w:w="1110" w:type="dxa"/>
          </w:tcPr>
          <w:p w14:paraId="46161A0C" w14:textId="77777777" w:rsidR="00047A3A" w:rsidRDefault="00047A3A" w:rsidP="00AF3E26">
            <w:pPr>
              <w:pStyle w:val="TableText"/>
              <w:jc w:val="center"/>
            </w:pPr>
            <w:r>
              <w:t>29.10.21</w:t>
            </w:r>
          </w:p>
        </w:tc>
        <w:tc>
          <w:tcPr>
            <w:tcW w:w="1497" w:type="dxa"/>
            <w:vAlign w:val="top"/>
          </w:tcPr>
          <w:p w14:paraId="58F20FF5" w14:textId="77777777" w:rsidR="00047A3A" w:rsidRDefault="00047A3A" w:rsidP="00AF3E26">
            <w:pPr>
              <w:pStyle w:val="TableText"/>
              <w:jc w:val="center"/>
            </w:pPr>
            <w:r w:rsidRPr="0013279B">
              <w:t>Kikkert</w:t>
            </w:r>
          </w:p>
        </w:tc>
        <w:tc>
          <w:tcPr>
            <w:tcW w:w="1655" w:type="dxa"/>
            <w:vAlign w:val="top"/>
          </w:tcPr>
          <w:p w14:paraId="595AFC6C" w14:textId="77777777" w:rsidR="00047A3A" w:rsidRDefault="00047A3A" w:rsidP="00AF3E26">
            <w:pPr>
              <w:pStyle w:val="TableText"/>
              <w:jc w:val="center"/>
            </w:pPr>
            <w:r w:rsidRPr="0046734D">
              <w:t>CSD - Prevention of Domestic and Family Violence</w:t>
            </w:r>
          </w:p>
        </w:tc>
        <w:tc>
          <w:tcPr>
            <w:tcW w:w="2779" w:type="dxa"/>
          </w:tcPr>
          <w:p w14:paraId="1292B3F2" w14:textId="77777777" w:rsidR="00047A3A" w:rsidRDefault="00047A3A" w:rsidP="00AF3E26">
            <w:pPr>
              <w:pStyle w:val="TableText"/>
            </w:pPr>
            <w:r w:rsidRPr="00BB2057">
              <w:t>Domestic and family violence risk assessment model</w:t>
            </w:r>
          </w:p>
        </w:tc>
        <w:tc>
          <w:tcPr>
            <w:tcW w:w="1220" w:type="dxa"/>
          </w:tcPr>
          <w:p w14:paraId="210E164B" w14:textId="77777777" w:rsidR="00047A3A" w:rsidRDefault="00047A3A" w:rsidP="00AF3E26">
            <w:pPr>
              <w:pStyle w:val="TableText"/>
              <w:jc w:val="center"/>
            </w:pPr>
          </w:p>
        </w:tc>
      </w:tr>
      <w:tr w:rsidR="00047A3A" w14:paraId="6F027AE5"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48FB1083" w14:textId="77777777" w:rsidR="00047A3A" w:rsidRDefault="00047A3A" w:rsidP="00AF3E26">
            <w:pPr>
              <w:pStyle w:val="TableText"/>
              <w:jc w:val="center"/>
            </w:pPr>
            <w:r>
              <w:t>60</w:t>
            </w:r>
          </w:p>
        </w:tc>
        <w:tc>
          <w:tcPr>
            <w:tcW w:w="1110" w:type="dxa"/>
          </w:tcPr>
          <w:p w14:paraId="62B5443C" w14:textId="77777777" w:rsidR="00047A3A" w:rsidRDefault="00047A3A" w:rsidP="00AF3E26">
            <w:pPr>
              <w:pStyle w:val="TableText"/>
              <w:jc w:val="center"/>
            </w:pPr>
            <w:r>
              <w:t>29.10.21</w:t>
            </w:r>
          </w:p>
        </w:tc>
        <w:tc>
          <w:tcPr>
            <w:tcW w:w="1497" w:type="dxa"/>
            <w:vAlign w:val="top"/>
          </w:tcPr>
          <w:p w14:paraId="5F07990C" w14:textId="77777777" w:rsidR="00047A3A" w:rsidRDefault="00047A3A" w:rsidP="00AF3E26">
            <w:pPr>
              <w:pStyle w:val="TableText"/>
              <w:jc w:val="center"/>
            </w:pPr>
            <w:r w:rsidRPr="0013279B">
              <w:t>Kikkert</w:t>
            </w:r>
          </w:p>
        </w:tc>
        <w:tc>
          <w:tcPr>
            <w:tcW w:w="1655" w:type="dxa"/>
            <w:vAlign w:val="top"/>
          </w:tcPr>
          <w:p w14:paraId="418746BD" w14:textId="77777777" w:rsidR="00047A3A" w:rsidRDefault="00047A3A" w:rsidP="00AF3E26">
            <w:pPr>
              <w:pStyle w:val="TableText"/>
              <w:jc w:val="center"/>
            </w:pPr>
            <w:r w:rsidRPr="0046734D">
              <w:t>CSD - Prevention of Domestic and Family Violence</w:t>
            </w:r>
          </w:p>
        </w:tc>
        <w:tc>
          <w:tcPr>
            <w:tcW w:w="2779" w:type="dxa"/>
          </w:tcPr>
          <w:p w14:paraId="7DB19148" w14:textId="77777777" w:rsidR="00047A3A" w:rsidRDefault="00047A3A" w:rsidP="00AF3E26">
            <w:pPr>
              <w:pStyle w:val="TableText"/>
            </w:pPr>
            <w:r>
              <w:t>DV Response Training</w:t>
            </w:r>
          </w:p>
        </w:tc>
        <w:tc>
          <w:tcPr>
            <w:tcW w:w="1220" w:type="dxa"/>
          </w:tcPr>
          <w:p w14:paraId="201F6215" w14:textId="77777777" w:rsidR="00047A3A" w:rsidRDefault="00047A3A" w:rsidP="00AF3E26">
            <w:pPr>
              <w:pStyle w:val="TableText"/>
              <w:jc w:val="center"/>
            </w:pPr>
          </w:p>
        </w:tc>
      </w:tr>
      <w:tr w:rsidR="00047A3A" w14:paraId="64C4B605" w14:textId="77777777" w:rsidTr="00AF3E26">
        <w:tc>
          <w:tcPr>
            <w:tcW w:w="692" w:type="dxa"/>
          </w:tcPr>
          <w:p w14:paraId="4D319708" w14:textId="77777777" w:rsidR="00047A3A" w:rsidRDefault="00047A3A" w:rsidP="00AF3E26">
            <w:pPr>
              <w:pStyle w:val="TableText"/>
              <w:jc w:val="center"/>
            </w:pPr>
            <w:r>
              <w:t>61</w:t>
            </w:r>
          </w:p>
        </w:tc>
        <w:tc>
          <w:tcPr>
            <w:tcW w:w="1110" w:type="dxa"/>
          </w:tcPr>
          <w:p w14:paraId="027BE0DB" w14:textId="77777777" w:rsidR="00047A3A" w:rsidRDefault="00047A3A" w:rsidP="00AF3E26">
            <w:pPr>
              <w:pStyle w:val="TableText"/>
              <w:jc w:val="center"/>
            </w:pPr>
            <w:r>
              <w:t>29.10.21</w:t>
            </w:r>
          </w:p>
        </w:tc>
        <w:tc>
          <w:tcPr>
            <w:tcW w:w="1497" w:type="dxa"/>
            <w:vAlign w:val="top"/>
          </w:tcPr>
          <w:p w14:paraId="656DE7F4" w14:textId="77777777" w:rsidR="00047A3A" w:rsidRDefault="00047A3A" w:rsidP="00AF3E26">
            <w:pPr>
              <w:pStyle w:val="TableText"/>
              <w:jc w:val="center"/>
            </w:pPr>
            <w:r w:rsidRPr="0013279B">
              <w:t>Kikkert</w:t>
            </w:r>
          </w:p>
        </w:tc>
        <w:tc>
          <w:tcPr>
            <w:tcW w:w="1655" w:type="dxa"/>
            <w:vAlign w:val="top"/>
          </w:tcPr>
          <w:p w14:paraId="446876E6" w14:textId="77777777" w:rsidR="00047A3A" w:rsidRDefault="00047A3A" w:rsidP="00AF3E26">
            <w:pPr>
              <w:pStyle w:val="TableText"/>
              <w:jc w:val="center"/>
            </w:pPr>
            <w:r w:rsidRPr="0046734D">
              <w:t>CSD - Prevention of Domestic and Family Violence</w:t>
            </w:r>
          </w:p>
        </w:tc>
        <w:tc>
          <w:tcPr>
            <w:tcW w:w="2779" w:type="dxa"/>
          </w:tcPr>
          <w:p w14:paraId="76A63EAD" w14:textId="77777777" w:rsidR="00047A3A" w:rsidRDefault="00047A3A" w:rsidP="00AF3E26">
            <w:pPr>
              <w:pStyle w:val="TableText"/>
            </w:pPr>
            <w:r w:rsidRPr="00BB2057">
              <w:t>Family Violence Safety Action Pilot</w:t>
            </w:r>
          </w:p>
        </w:tc>
        <w:tc>
          <w:tcPr>
            <w:tcW w:w="1220" w:type="dxa"/>
          </w:tcPr>
          <w:p w14:paraId="62BF6CFB" w14:textId="77777777" w:rsidR="00047A3A" w:rsidRDefault="00047A3A" w:rsidP="00AF3E26">
            <w:pPr>
              <w:pStyle w:val="TableText"/>
              <w:jc w:val="center"/>
            </w:pPr>
          </w:p>
        </w:tc>
      </w:tr>
      <w:tr w:rsidR="00047A3A" w14:paraId="04C4BBD3"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6987B9AD" w14:textId="77777777" w:rsidR="00047A3A" w:rsidRDefault="00047A3A" w:rsidP="00AF3E26">
            <w:pPr>
              <w:pStyle w:val="TableText"/>
              <w:jc w:val="center"/>
            </w:pPr>
            <w:r>
              <w:t>62</w:t>
            </w:r>
          </w:p>
        </w:tc>
        <w:tc>
          <w:tcPr>
            <w:tcW w:w="1110" w:type="dxa"/>
          </w:tcPr>
          <w:p w14:paraId="16EB1637" w14:textId="77777777" w:rsidR="00047A3A" w:rsidRDefault="00047A3A" w:rsidP="00AF3E26">
            <w:pPr>
              <w:pStyle w:val="TableText"/>
              <w:jc w:val="center"/>
            </w:pPr>
            <w:r>
              <w:t>29.10.21</w:t>
            </w:r>
          </w:p>
        </w:tc>
        <w:tc>
          <w:tcPr>
            <w:tcW w:w="1497" w:type="dxa"/>
            <w:vAlign w:val="top"/>
          </w:tcPr>
          <w:p w14:paraId="53BFF2D4" w14:textId="77777777" w:rsidR="00047A3A" w:rsidRDefault="00047A3A" w:rsidP="00AF3E26">
            <w:pPr>
              <w:pStyle w:val="TableText"/>
              <w:jc w:val="center"/>
            </w:pPr>
            <w:r w:rsidRPr="0013279B">
              <w:t>Kikkert</w:t>
            </w:r>
          </w:p>
        </w:tc>
        <w:tc>
          <w:tcPr>
            <w:tcW w:w="1655" w:type="dxa"/>
            <w:vAlign w:val="top"/>
          </w:tcPr>
          <w:p w14:paraId="05D3875C" w14:textId="77777777" w:rsidR="00047A3A" w:rsidRDefault="00047A3A" w:rsidP="00AF3E26">
            <w:pPr>
              <w:pStyle w:val="TableText"/>
              <w:jc w:val="center"/>
            </w:pPr>
            <w:r w:rsidRPr="0046734D">
              <w:t>CSD - Prevention of Domestic and Family Violence</w:t>
            </w:r>
          </w:p>
        </w:tc>
        <w:tc>
          <w:tcPr>
            <w:tcW w:w="2779" w:type="dxa"/>
          </w:tcPr>
          <w:p w14:paraId="1EFC8DD2" w14:textId="77777777" w:rsidR="00047A3A" w:rsidRDefault="00047A3A" w:rsidP="00AF3E26">
            <w:pPr>
              <w:pStyle w:val="TableText"/>
            </w:pPr>
            <w:r w:rsidRPr="00BB2057">
              <w:t>Funding for counselling services</w:t>
            </w:r>
          </w:p>
        </w:tc>
        <w:tc>
          <w:tcPr>
            <w:tcW w:w="1220" w:type="dxa"/>
          </w:tcPr>
          <w:p w14:paraId="59D96A02" w14:textId="77777777" w:rsidR="00047A3A" w:rsidRDefault="00047A3A" w:rsidP="00AF3E26">
            <w:pPr>
              <w:pStyle w:val="TableText"/>
              <w:jc w:val="center"/>
            </w:pPr>
          </w:p>
        </w:tc>
      </w:tr>
      <w:tr w:rsidR="00047A3A" w14:paraId="4A53598A" w14:textId="77777777" w:rsidTr="00AF3E26">
        <w:tc>
          <w:tcPr>
            <w:tcW w:w="692" w:type="dxa"/>
          </w:tcPr>
          <w:p w14:paraId="0A66531D" w14:textId="77777777" w:rsidR="00047A3A" w:rsidRDefault="00047A3A" w:rsidP="00AF3E26">
            <w:pPr>
              <w:pStyle w:val="TableText"/>
              <w:jc w:val="center"/>
            </w:pPr>
            <w:r>
              <w:t>63</w:t>
            </w:r>
          </w:p>
        </w:tc>
        <w:tc>
          <w:tcPr>
            <w:tcW w:w="1110" w:type="dxa"/>
          </w:tcPr>
          <w:p w14:paraId="128F41A0" w14:textId="77777777" w:rsidR="00047A3A" w:rsidRDefault="00047A3A" w:rsidP="00AF3E26">
            <w:pPr>
              <w:pStyle w:val="TableText"/>
              <w:jc w:val="center"/>
            </w:pPr>
            <w:r>
              <w:t>29.10.21</w:t>
            </w:r>
          </w:p>
        </w:tc>
        <w:tc>
          <w:tcPr>
            <w:tcW w:w="1497" w:type="dxa"/>
            <w:vAlign w:val="top"/>
          </w:tcPr>
          <w:p w14:paraId="1CD5528C" w14:textId="77777777" w:rsidR="00047A3A" w:rsidRDefault="00047A3A" w:rsidP="00AF3E26">
            <w:pPr>
              <w:pStyle w:val="TableText"/>
              <w:jc w:val="center"/>
            </w:pPr>
            <w:r w:rsidRPr="0013279B">
              <w:t>Kikkert</w:t>
            </w:r>
          </w:p>
        </w:tc>
        <w:tc>
          <w:tcPr>
            <w:tcW w:w="1655" w:type="dxa"/>
            <w:vAlign w:val="top"/>
          </w:tcPr>
          <w:p w14:paraId="3ECC79E9" w14:textId="77777777" w:rsidR="00047A3A" w:rsidRDefault="00047A3A" w:rsidP="00AF3E26">
            <w:pPr>
              <w:pStyle w:val="TableText"/>
              <w:jc w:val="center"/>
            </w:pPr>
            <w:r w:rsidRPr="0046734D">
              <w:t>CSD - Prevention of Domestic and Family Violence</w:t>
            </w:r>
          </w:p>
        </w:tc>
        <w:tc>
          <w:tcPr>
            <w:tcW w:w="2779" w:type="dxa"/>
          </w:tcPr>
          <w:p w14:paraId="456DAA33" w14:textId="77777777" w:rsidR="00047A3A" w:rsidRDefault="00047A3A" w:rsidP="00AF3E26">
            <w:pPr>
              <w:pStyle w:val="TableText"/>
            </w:pPr>
            <w:r>
              <w:t>Levy increase consultations</w:t>
            </w:r>
          </w:p>
        </w:tc>
        <w:tc>
          <w:tcPr>
            <w:tcW w:w="1220" w:type="dxa"/>
          </w:tcPr>
          <w:p w14:paraId="1B27361B" w14:textId="77777777" w:rsidR="00047A3A" w:rsidRDefault="00047A3A" w:rsidP="00AF3E26">
            <w:pPr>
              <w:pStyle w:val="TableText"/>
              <w:jc w:val="center"/>
            </w:pPr>
          </w:p>
        </w:tc>
      </w:tr>
      <w:tr w:rsidR="00047A3A" w14:paraId="5FA16C9B"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7A9ED1A8" w14:textId="77777777" w:rsidR="00047A3A" w:rsidRDefault="00047A3A" w:rsidP="00AF3E26">
            <w:pPr>
              <w:pStyle w:val="TableText"/>
              <w:jc w:val="center"/>
            </w:pPr>
            <w:r>
              <w:t>64</w:t>
            </w:r>
          </w:p>
        </w:tc>
        <w:tc>
          <w:tcPr>
            <w:tcW w:w="1110" w:type="dxa"/>
          </w:tcPr>
          <w:p w14:paraId="39DE01A8" w14:textId="77777777" w:rsidR="00047A3A" w:rsidRDefault="00047A3A" w:rsidP="00AF3E26">
            <w:pPr>
              <w:pStyle w:val="TableText"/>
              <w:jc w:val="center"/>
            </w:pPr>
            <w:r>
              <w:t>29.10.21</w:t>
            </w:r>
          </w:p>
        </w:tc>
        <w:tc>
          <w:tcPr>
            <w:tcW w:w="1497" w:type="dxa"/>
            <w:vAlign w:val="top"/>
          </w:tcPr>
          <w:p w14:paraId="14F26BF7" w14:textId="77777777" w:rsidR="00047A3A" w:rsidRDefault="00047A3A" w:rsidP="00AF3E26">
            <w:pPr>
              <w:pStyle w:val="TableText"/>
              <w:jc w:val="center"/>
            </w:pPr>
            <w:r w:rsidRPr="0013279B">
              <w:t>Kikkert</w:t>
            </w:r>
          </w:p>
        </w:tc>
        <w:tc>
          <w:tcPr>
            <w:tcW w:w="1655" w:type="dxa"/>
            <w:vAlign w:val="top"/>
          </w:tcPr>
          <w:p w14:paraId="3324A5B8" w14:textId="77777777" w:rsidR="00047A3A" w:rsidRDefault="00047A3A" w:rsidP="00AF3E26">
            <w:pPr>
              <w:pStyle w:val="TableText"/>
              <w:jc w:val="center"/>
            </w:pPr>
            <w:r w:rsidRPr="0046734D">
              <w:t>CSD - Prevention of Domestic and Family Violence</w:t>
            </w:r>
          </w:p>
        </w:tc>
        <w:tc>
          <w:tcPr>
            <w:tcW w:w="2779" w:type="dxa"/>
          </w:tcPr>
          <w:p w14:paraId="1FF64628" w14:textId="77777777" w:rsidR="00047A3A" w:rsidRDefault="00047A3A" w:rsidP="00AF3E26">
            <w:pPr>
              <w:pStyle w:val="TableText"/>
            </w:pPr>
            <w:r w:rsidRPr="00BB2057">
              <w:t>Male victims of domestic violence statistics</w:t>
            </w:r>
          </w:p>
        </w:tc>
        <w:tc>
          <w:tcPr>
            <w:tcW w:w="1220" w:type="dxa"/>
          </w:tcPr>
          <w:p w14:paraId="45EE3CDB" w14:textId="77777777" w:rsidR="00047A3A" w:rsidRDefault="00047A3A" w:rsidP="00AF3E26">
            <w:pPr>
              <w:pStyle w:val="TableText"/>
              <w:jc w:val="center"/>
            </w:pPr>
          </w:p>
        </w:tc>
      </w:tr>
      <w:tr w:rsidR="00047A3A" w14:paraId="56362DD8" w14:textId="77777777" w:rsidTr="00AF3E26">
        <w:tc>
          <w:tcPr>
            <w:tcW w:w="692" w:type="dxa"/>
          </w:tcPr>
          <w:p w14:paraId="4ED06859" w14:textId="77777777" w:rsidR="00047A3A" w:rsidRDefault="00047A3A" w:rsidP="00AF3E26">
            <w:pPr>
              <w:pStyle w:val="TableText"/>
              <w:jc w:val="center"/>
            </w:pPr>
            <w:r>
              <w:t>65</w:t>
            </w:r>
          </w:p>
        </w:tc>
        <w:tc>
          <w:tcPr>
            <w:tcW w:w="1110" w:type="dxa"/>
          </w:tcPr>
          <w:p w14:paraId="2C4009B5" w14:textId="77777777" w:rsidR="00047A3A" w:rsidRDefault="00047A3A" w:rsidP="00AF3E26">
            <w:pPr>
              <w:pStyle w:val="TableText"/>
              <w:jc w:val="center"/>
            </w:pPr>
            <w:r>
              <w:t>29.10.21</w:t>
            </w:r>
          </w:p>
        </w:tc>
        <w:tc>
          <w:tcPr>
            <w:tcW w:w="1497" w:type="dxa"/>
            <w:vAlign w:val="top"/>
          </w:tcPr>
          <w:p w14:paraId="2FC12365" w14:textId="77777777" w:rsidR="00047A3A" w:rsidRDefault="00047A3A" w:rsidP="00AF3E26">
            <w:pPr>
              <w:pStyle w:val="TableText"/>
              <w:jc w:val="center"/>
            </w:pPr>
            <w:r w:rsidRPr="0013279B">
              <w:t>Kikkert</w:t>
            </w:r>
          </w:p>
        </w:tc>
        <w:tc>
          <w:tcPr>
            <w:tcW w:w="1655" w:type="dxa"/>
            <w:vAlign w:val="top"/>
          </w:tcPr>
          <w:p w14:paraId="1F77ADD7" w14:textId="77777777" w:rsidR="00047A3A" w:rsidRDefault="00047A3A" w:rsidP="00AF3E26">
            <w:pPr>
              <w:pStyle w:val="TableText"/>
              <w:jc w:val="center"/>
            </w:pPr>
            <w:r w:rsidRPr="0046734D">
              <w:t>CSD - Prevention of Domestic and Family Violence</w:t>
            </w:r>
          </w:p>
        </w:tc>
        <w:tc>
          <w:tcPr>
            <w:tcW w:w="2779" w:type="dxa"/>
          </w:tcPr>
          <w:p w14:paraId="4D54C3E8" w14:textId="77777777" w:rsidR="00047A3A" w:rsidRDefault="00047A3A" w:rsidP="00AF3E26">
            <w:pPr>
              <w:pStyle w:val="TableText"/>
            </w:pPr>
            <w:r w:rsidRPr="00BB2057">
              <w:t>Now You Have Head Us</w:t>
            </w:r>
          </w:p>
        </w:tc>
        <w:tc>
          <w:tcPr>
            <w:tcW w:w="1220" w:type="dxa"/>
          </w:tcPr>
          <w:p w14:paraId="47EC7AF7" w14:textId="77777777" w:rsidR="00047A3A" w:rsidRDefault="00047A3A" w:rsidP="00AF3E26">
            <w:pPr>
              <w:pStyle w:val="TableText"/>
              <w:jc w:val="center"/>
            </w:pPr>
          </w:p>
        </w:tc>
      </w:tr>
      <w:tr w:rsidR="00047A3A" w14:paraId="22359818"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7789A8AF" w14:textId="77777777" w:rsidR="00047A3A" w:rsidRDefault="00047A3A" w:rsidP="00AF3E26">
            <w:pPr>
              <w:pStyle w:val="TableText"/>
              <w:jc w:val="center"/>
            </w:pPr>
            <w:r>
              <w:t>66</w:t>
            </w:r>
          </w:p>
        </w:tc>
        <w:tc>
          <w:tcPr>
            <w:tcW w:w="1110" w:type="dxa"/>
          </w:tcPr>
          <w:p w14:paraId="77192D05" w14:textId="77777777" w:rsidR="00047A3A" w:rsidRDefault="00047A3A" w:rsidP="00AF3E26">
            <w:pPr>
              <w:pStyle w:val="TableText"/>
              <w:jc w:val="center"/>
            </w:pPr>
            <w:r>
              <w:t>29.10.21</w:t>
            </w:r>
          </w:p>
        </w:tc>
        <w:tc>
          <w:tcPr>
            <w:tcW w:w="1497" w:type="dxa"/>
            <w:vAlign w:val="top"/>
          </w:tcPr>
          <w:p w14:paraId="1BE104F1" w14:textId="77777777" w:rsidR="00047A3A" w:rsidRDefault="00047A3A" w:rsidP="00AF3E26">
            <w:pPr>
              <w:pStyle w:val="TableText"/>
              <w:jc w:val="center"/>
            </w:pPr>
            <w:r w:rsidRPr="0013279B">
              <w:t>Kikkert</w:t>
            </w:r>
          </w:p>
        </w:tc>
        <w:tc>
          <w:tcPr>
            <w:tcW w:w="1655" w:type="dxa"/>
            <w:vAlign w:val="top"/>
          </w:tcPr>
          <w:p w14:paraId="2287493A" w14:textId="77777777" w:rsidR="00047A3A" w:rsidRDefault="00047A3A" w:rsidP="00AF3E26">
            <w:pPr>
              <w:pStyle w:val="TableText"/>
              <w:jc w:val="center"/>
            </w:pPr>
            <w:r w:rsidRPr="0046734D">
              <w:t>CSD - Prevention of Domestic and Family Violence</w:t>
            </w:r>
          </w:p>
        </w:tc>
        <w:tc>
          <w:tcPr>
            <w:tcW w:w="2779" w:type="dxa"/>
          </w:tcPr>
          <w:p w14:paraId="3B10E7F9" w14:textId="77777777" w:rsidR="00047A3A" w:rsidRDefault="00047A3A" w:rsidP="00AF3E26">
            <w:pPr>
              <w:pStyle w:val="TableText"/>
            </w:pPr>
            <w:r w:rsidRPr="00BB2057">
              <w:t>Room4Change program</w:t>
            </w:r>
          </w:p>
        </w:tc>
        <w:tc>
          <w:tcPr>
            <w:tcW w:w="1220" w:type="dxa"/>
          </w:tcPr>
          <w:p w14:paraId="12A01440" w14:textId="77777777" w:rsidR="00047A3A" w:rsidRDefault="00047A3A" w:rsidP="00AF3E26">
            <w:pPr>
              <w:pStyle w:val="TableText"/>
              <w:jc w:val="center"/>
            </w:pPr>
          </w:p>
        </w:tc>
      </w:tr>
      <w:tr w:rsidR="00047A3A" w14:paraId="0A4C46AA" w14:textId="77777777" w:rsidTr="00AF3E26">
        <w:tc>
          <w:tcPr>
            <w:tcW w:w="692" w:type="dxa"/>
          </w:tcPr>
          <w:p w14:paraId="7D189713" w14:textId="77777777" w:rsidR="00047A3A" w:rsidRDefault="00047A3A" w:rsidP="00AF3E26">
            <w:pPr>
              <w:pStyle w:val="TableText"/>
              <w:jc w:val="center"/>
            </w:pPr>
            <w:r>
              <w:t>67</w:t>
            </w:r>
          </w:p>
        </w:tc>
        <w:tc>
          <w:tcPr>
            <w:tcW w:w="1110" w:type="dxa"/>
          </w:tcPr>
          <w:p w14:paraId="3368A33F" w14:textId="77777777" w:rsidR="00047A3A" w:rsidRDefault="00047A3A" w:rsidP="00AF3E26">
            <w:pPr>
              <w:pStyle w:val="TableText"/>
              <w:jc w:val="center"/>
            </w:pPr>
            <w:r>
              <w:t>29.10.21</w:t>
            </w:r>
          </w:p>
        </w:tc>
        <w:tc>
          <w:tcPr>
            <w:tcW w:w="1497" w:type="dxa"/>
            <w:vAlign w:val="top"/>
          </w:tcPr>
          <w:p w14:paraId="504B7EBA" w14:textId="77777777" w:rsidR="00047A3A" w:rsidRDefault="00047A3A" w:rsidP="00AF3E26">
            <w:pPr>
              <w:pStyle w:val="TableText"/>
              <w:jc w:val="center"/>
            </w:pPr>
            <w:r w:rsidRPr="0013279B">
              <w:t>Kikkert</w:t>
            </w:r>
          </w:p>
        </w:tc>
        <w:tc>
          <w:tcPr>
            <w:tcW w:w="1655" w:type="dxa"/>
            <w:vAlign w:val="top"/>
          </w:tcPr>
          <w:p w14:paraId="7B499369" w14:textId="77777777" w:rsidR="00047A3A" w:rsidRDefault="00047A3A" w:rsidP="00AF3E26">
            <w:pPr>
              <w:pStyle w:val="TableText"/>
              <w:jc w:val="center"/>
            </w:pPr>
            <w:r w:rsidRPr="0046734D">
              <w:t>CSD - Prevention of Domestic and Family Violence</w:t>
            </w:r>
          </w:p>
        </w:tc>
        <w:tc>
          <w:tcPr>
            <w:tcW w:w="2779" w:type="dxa"/>
          </w:tcPr>
          <w:p w14:paraId="50A92E49" w14:textId="77777777" w:rsidR="00047A3A" w:rsidRDefault="00047A3A" w:rsidP="00AF3E26">
            <w:pPr>
              <w:pStyle w:val="TableText"/>
            </w:pPr>
            <w:r w:rsidRPr="00BB2057">
              <w:t>Room4Change program</w:t>
            </w:r>
          </w:p>
        </w:tc>
        <w:tc>
          <w:tcPr>
            <w:tcW w:w="1220" w:type="dxa"/>
          </w:tcPr>
          <w:p w14:paraId="05618C33" w14:textId="77777777" w:rsidR="00047A3A" w:rsidRDefault="00047A3A" w:rsidP="00AF3E26">
            <w:pPr>
              <w:pStyle w:val="TableText"/>
              <w:jc w:val="center"/>
            </w:pPr>
          </w:p>
        </w:tc>
      </w:tr>
      <w:tr w:rsidR="00047A3A" w14:paraId="61FBF257" w14:textId="77777777" w:rsidTr="00AF3E26">
        <w:trPr>
          <w:cnfStyle w:val="000000100000" w:firstRow="0" w:lastRow="0" w:firstColumn="0" w:lastColumn="0" w:oddVBand="0" w:evenVBand="0" w:oddHBand="1" w:evenHBand="0" w:firstRowFirstColumn="0" w:firstRowLastColumn="0" w:lastRowFirstColumn="0" w:lastRowLastColumn="0"/>
        </w:trPr>
        <w:tc>
          <w:tcPr>
            <w:tcW w:w="692" w:type="dxa"/>
          </w:tcPr>
          <w:p w14:paraId="2B3F9BD6" w14:textId="77777777" w:rsidR="00047A3A" w:rsidRDefault="00047A3A" w:rsidP="00AF3E26">
            <w:pPr>
              <w:pStyle w:val="TableText"/>
              <w:jc w:val="center"/>
            </w:pPr>
            <w:r>
              <w:t>68</w:t>
            </w:r>
          </w:p>
        </w:tc>
        <w:tc>
          <w:tcPr>
            <w:tcW w:w="1110" w:type="dxa"/>
          </w:tcPr>
          <w:p w14:paraId="424A1D6F" w14:textId="77777777" w:rsidR="00047A3A" w:rsidRDefault="00047A3A" w:rsidP="00AF3E26">
            <w:pPr>
              <w:pStyle w:val="TableText"/>
              <w:jc w:val="center"/>
            </w:pPr>
            <w:r>
              <w:t>29.10.21</w:t>
            </w:r>
          </w:p>
        </w:tc>
        <w:tc>
          <w:tcPr>
            <w:tcW w:w="1497" w:type="dxa"/>
            <w:vAlign w:val="top"/>
          </w:tcPr>
          <w:p w14:paraId="30580A1C" w14:textId="77777777" w:rsidR="00047A3A" w:rsidRDefault="00047A3A" w:rsidP="00AF3E26">
            <w:pPr>
              <w:pStyle w:val="TableText"/>
              <w:jc w:val="center"/>
            </w:pPr>
            <w:r w:rsidRPr="0013279B">
              <w:t>Kikkert</w:t>
            </w:r>
          </w:p>
        </w:tc>
        <w:tc>
          <w:tcPr>
            <w:tcW w:w="1655" w:type="dxa"/>
            <w:vAlign w:val="top"/>
          </w:tcPr>
          <w:p w14:paraId="3C88A565" w14:textId="77777777" w:rsidR="00047A3A" w:rsidRDefault="00047A3A" w:rsidP="00AF3E26">
            <w:pPr>
              <w:pStyle w:val="TableText"/>
              <w:jc w:val="center"/>
            </w:pPr>
            <w:r w:rsidRPr="0046734D">
              <w:t>CSD - Prevention of Domestic and Family Violence</w:t>
            </w:r>
          </w:p>
        </w:tc>
        <w:tc>
          <w:tcPr>
            <w:tcW w:w="2779" w:type="dxa"/>
          </w:tcPr>
          <w:p w14:paraId="613DE9A2" w14:textId="77777777" w:rsidR="00047A3A" w:rsidRDefault="00047A3A" w:rsidP="00AF3E26">
            <w:pPr>
              <w:pStyle w:val="TableText"/>
            </w:pPr>
            <w:r w:rsidRPr="00BB2057">
              <w:t>Watch Your Back pilot program</w:t>
            </w:r>
          </w:p>
        </w:tc>
        <w:tc>
          <w:tcPr>
            <w:tcW w:w="1220" w:type="dxa"/>
          </w:tcPr>
          <w:p w14:paraId="1F38D2CE" w14:textId="77777777" w:rsidR="00047A3A" w:rsidRDefault="00047A3A" w:rsidP="00AF3E26">
            <w:pPr>
              <w:pStyle w:val="TableText"/>
              <w:jc w:val="center"/>
            </w:pPr>
          </w:p>
        </w:tc>
      </w:tr>
      <w:bookmarkEnd w:id="1"/>
    </w:tbl>
    <w:p w14:paraId="0EC81977" w14:textId="77777777" w:rsidR="00EE4717" w:rsidRPr="0084071B" w:rsidRDefault="00EE4717" w:rsidP="00806444">
      <w:pPr>
        <w:pStyle w:val="BodyText"/>
        <w:numPr>
          <w:ilvl w:val="0"/>
          <w:numId w:val="0"/>
        </w:numPr>
        <w:rPr>
          <w:b/>
          <w:bCs/>
        </w:rPr>
      </w:pPr>
    </w:p>
    <w:sectPr w:rsidR="00EE4717" w:rsidRPr="0084071B" w:rsidSect="00AF3E26">
      <w:headerReference w:type="even" r:id="rId30"/>
      <w:headerReference w:type="default" r:id="rId31"/>
      <w:footerReference w:type="even" r:id="rId32"/>
      <w:footerReference w:type="default" r:id="rId33"/>
      <w:headerReference w:type="first" r:id="rId34"/>
      <w:type w:val="oddPage"/>
      <w:pgSz w:w="11907" w:h="16840" w:code="9"/>
      <w:pgMar w:top="1588" w:right="1418" w:bottom="1418" w:left="1418"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6D48" w14:textId="77777777" w:rsidR="00167B9D" w:rsidRDefault="00167B9D" w:rsidP="00F25118">
      <w:pPr>
        <w:spacing w:before="0" w:after="0" w:line="240" w:lineRule="auto"/>
      </w:pPr>
      <w:r>
        <w:separator/>
      </w:r>
    </w:p>
  </w:endnote>
  <w:endnote w:type="continuationSeparator" w:id="0">
    <w:p w14:paraId="0A028AB0" w14:textId="77777777" w:rsidR="00167B9D" w:rsidRDefault="00167B9D" w:rsidP="00F251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Roboto Condensed">
    <w:altName w:val="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7637" w14:textId="77777777" w:rsidR="00F25118" w:rsidRDefault="00F25118" w:rsidP="00AF3E2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68E1" w14:textId="77777777" w:rsidR="00F25118" w:rsidRDefault="00F25118">
    <w:pPr>
      <w:pStyle w:val="Footer"/>
    </w:pP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0BCA" w14:textId="77777777" w:rsidR="00F25118" w:rsidRDefault="00F25118" w:rsidP="00C56407">
    <w:pPr>
      <w:pStyle w:val="Footer"/>
      <w:jc w:val="center"/>
    </w:pPr>
    <w:r>
      <w:fldChar w:fldCharType="begin"/>
    </w:r>
    <w:r>
      <w:instrText xml:space="preserve"> PAGE   \* MERGEFORMAT </w:instrText>
    </w:r>
    <w:r>
      <w:fldChar w:fldCharType="separate"/>
    </w:r>
    <w:r>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84B6" w14:textId="77777777" w:rsidR="00F25118" w:rsidRDefault="00F25118">
    <w:pPr>
      <w:pStyle w:val="Footer"/>
      <w:jc w:val="right"/>
    </w:pPr>
    <w:r>
      <w:fldChar w:fldCharType="begin"/>
    </w:r>
    <w:r>
      <w:instrText xml:space="preserve"> PAGE   \* MERGEFORMAT </w:instrText>
    </w:r>
    <w:r>
      <w:fldChar w:fldCharType="separate"/>
    </w:r>
    <w:r>
      <w:rPr>
        <w:noProof/>
      </w:rPr>
      <w:t>v</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B710" w14:textId="77777777" w:rsidR="00F25118" w:rsidRDefault="00F25118" w:rsidP="00EA075F">
    <w:pPr>
      <w:pStyle w:val="Footer"/>
      <w:jc w:val="center"/>
    </w:pPr>
    <w:r>
      <w:fldChar w:fldCharType="begin"/>
    </w:r>
    <w:r>
      <w:instrText xml:space="preserve"> PAGE   \* MERGEFORMAT </w:instrText>
    </w:r>
    <w:r>
      <w:fldChar w:fldCharType="separate"/>
    </w:r>
    <w:r>
      <w:rPr>
        <w:noProof/>
      </w:rPr>
      <w:t>15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1776" w14:textId="77777777" w:rsidR="00AF3E26" w:rsidRPr="004D2594" w:rsidRDefault="00AF3E26" w:rsidP="00AF3E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1677" w14:textId="56B7E8DF" w:rsidR="00AF3E26" w:rsidRDefault="00497077" w:rsidP="004970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27423" w14:textId="77777777" w:rsidR="00167B9D" w:rsidRDefault="00167B9D" w:rsidP="00F25118">
      <w:pPr>
        <w:spacing w:before="0" w:after="0" w:line="240" w:lineRule="auto"/>
      </w:pPr>
      <w:r>
        <w:separator/>
      </w:r>
    </w:p>
  </w:footnote>
  <w:footnote w:type="continuationSeparator" w:id="0">
    <w:p w14:paraId="7F0D0DE8" w14:textId="77777777" w:rsidR="00167B9D" w:rsidRDefault="00167B9D" w:rsidP="00F25118">
      <w:pPr>
        <w:spacing w:before="0" w:after="0" w:line="240" w:lineRule="auto"/>
      </w:pPr>
      <w:r>
        <w:continuationSeparator/>
      </w:r>
    </w:p>
  </w:footnote>
  <w:footnote w:id="1">
    <w:p w14:paraId="18D09878" w14:textId="77777777" w:rsidR="00F25118" w:rsidRDefault="00F25118" w:rsidP="00F25118">
      <w:pPr>
        <w:pStyle w:val="FootnoteText"/>
      </w:pPr>
      <w:r w:rsidRPr="00017666">
        <w:rPr>
          <w:rStyle w:val="FootnoteReference"/>
        </w:rPr>
        <w:footnoteRef/>
      </w:r>
      <w:r w:rsidRPr="00017666">
        <w:t xml:space="preserve"> </w:t>
      </w:r>
      <w:r w:rsidRPr="00017666">
        <w:rPr>
          <w:szCs w:val="18"/>
        </w:rPr>
        <w:t xml:space="preserve">ACT Legislative Assembly, </w:t>
      </w:r>
      <w:r w:rsidRPr="00017666">
        <w:rPr>
          <w:i/>
          <w:szCs w:val="18"/>
        </w:rPr>
        <w:t xml:space="preserve">Minutes of Proceedings, </w:t>
      </w:r>
      <w:proofErr w:type="gramStart"/>
      <w:r w:rsidRPr="00017666">
        <w:rPr>
          <w:i/>
          <w:szCs w:val="18"/>
        </w:rPr>
        <w:t>No</w:t>
      </w:r>
      <w:proofErr w:type="gramEnd"/>
      <w:r w:rsidRPr="00017666">
        <w:rPr>
          <w:i/>
          <w:szCs w:val="18"/>
        </w:rPr>
        <w:t xml:space="preserve"> 2</w:t>
      </w:r>
      <w:r w:rsidRPr="00017666">
        <w:rPr>
          <w:szCs w:val="18"/>
        </w:rPr>
        <w:t>, 2 December 2020, p 17 (as amended 11 Feb 21, 30 Mar 21, 22 Apr 21, and 16 Sept 21).</w:t>
      </w:r>
    </w:p>
  </w:footnote>
  <w:footnote w:id="2">
    <w:p w14:paraId="1575E56D" w14:textId="77777777" w:rsidR="00F25118" w:rsidRPr="008755B7" w:rsidRDefault="00F25118" w:rsidP="00F25118">
      <w:pPr>
        <w:pStyle w:val="FootnoteText"/>
      </w:pPr>
      <w:r w:rsidRPr="008755B7">
        <w:rPr>
          <w:rStyle w:val="FootnoteReference"/>
        </w:rPr>
        <w:footnoteRef/>
      </w:r>
      <w:r w:rsidRPr="008755B7">
        <w:t xml:space="preserve"> </w:t>
      </w:r>
      <w:r w:rsidRPr="008755B7">
        <w:rPr>
          <w:szCs w:val="18"/>
        </w:rPr>
        <w:t xml:space="preserve">ACT Legislative Assembly, </w:t>
      </w:r>
      <w:r w:rsidRPr="008755B7">
        <w:rPr>
          <w:i/>
          <w:szCs w:val="18"/>
        </w:rPr>
        <w:t xml:space="preserve">Minutes of Proceedings, </w:t>
      </w:r>
      <w:proofErr w:type="gramStart"/>
      <w:r w:rsidRPr="008755B7">
        <w:rPr>
          <w:iCs/>
          <w:szCs w:val="18"/>
        </w:rPr>
        <w:t>No</w:t>
      </w:r>
      <w:proofErr w:type="gramEnd"/>
      <w:r w:rsidRPr="008755B7">
        <w:rPr>
          <w:iCs/>
          <w:szCs w:val="18"/>
        </w:rPr>
        <w:t xml:space="preserve"> 2,</w:t>
      </w:r>
      <w:r w:rsidRPr="008755B7">
        <w:rPr>
          <w:szCs w:val="18"/>
        </w:rPr>
        <w:t xml:space="preserve"> 2 December 2020, p 17 (as amended 11 Feb 21, 30 Mar 21, 22 Apr 21, and 16 Sept 21).</w:t>
      </w:r>
    </w:p>
  </w:footnote>
  <w:footnote w:id="3">
    <w:p w14:paraId="66EF320E" w14:textId="77FD7516" w:rsidR="00F25118" w:rsidRDefault="00F25118" w:rsidP="00F25118">
      <w:pPr>
        <w:pStyle w:val="FootnoteText"/>
      </w:pPr>
      <w:r w:rsidRPr="008755B7">
        <w:rPr>
          <w:rStyle w:val="FootnoteReference"/>
        </w:rPr>
        <w:footnoteRef/>
      </w:r>
      <w:r w:rsidRPr="008755B7">
        <w:t xml:space="preserve"> ACT Legislative Assembly, </w:t>
      </w:r>
      <w:r w:rsidRPr="008755B7">
        <w:rPr>
          <w:i/>
          <w:iCs/>
        </w:rPr>
        <w:t>Minutes of Proceedings</w:t>
      </w:r>
      <w:r w:rsidRPr="008755B7">
        <w:t>, No 28, 9 November 2021</w:t>
      </w:r>
      <w:r w:rsidR="00DE7950" w:rsidRPr="008755B7">
        <w:t>.</w:t>
      </w:r>
    </w:p>
  </w:footnote>
  <w:footnote w:id="4">
    <w:p w14:paraId="54B3D393" w14:textId="77777777" w:rsidR="00DC6BB4" w:rsidRDefault="00DC6BB4" w:rsidP="00DC6BB4">
      <w:pPr>
        <w:pStyle w:val="FootnoteText"/>
      </w:pPr>
      <w:r>
        <w:rPr>
          <w:rStyle w:val="FootnoteReference"/>
        </w:rPr>
        <w:footnoteRef/>
      </w:r>
      <w:r>
        <w:t xml:space="preserve"> </w:t>
      </w:r>
      <w:r w:rsidRPr="006C4A16">
        <w:rPr>
          <w:szCs w:val="18"/>
        </w:rPr>
        <w:t xml:space="preserve">ACT Legislative Assembly, </w:t>
      </w:r>
      <w:r w:rsidRPr="006C4A16">
        <w:rPr>
          <w:i/>
          <w:szCs w:val="18"/>
        </w:rPr>
        <w:t xml:space="preserve">Minutes of Proceedings, </w:t>
      </w:r>
      <w:r w:rsidRPr="00900038">
        <w:rPr>
          <w:iCs/>
          <w:szCs w:val="18"/>
        </w:rPr>
        <w:t>No 25,</w:t>
      </w:r>
      <w:r w:rsidRPr="006C4A16">
        <w:rPr>
          <w:szCs w:val="18"/>
        </w:rPr>
        <w:t xml:space="preserve"> </w:t>
      </w:r>
      <w:r>
        <w:rPr>
          <w:szCs w:val="18"/>
        </w:rPr>
        <w:t>6</w:t>
      </w:r>
      <w:r w:rsidRPr="006C4A16">
        <w:rPr>
          <w:szCs w:val="18"/>
        </w:rPr>
        <w:t xml:space="preserve"> </w:t>
      </w:r>
      <w:r>
        <w:rPr>
          <w:szCs w:val="18"/>
        </w:rPr>
        <w:t>Octo</w:t>
      </w:r>
      <w:r w:rsidRPr="006C4A16">
        <w:rPr>
          <w:szCs w:val="18"/>
        </w:rPr>
        <w:t>ber 202</w:t>
      </w:r>
      <w:r>
        <w:rPr>
          <w:szCs w:val="18"/>
        </w:rPr>
        <w:t>1</w:t>
      </w:r>
      <w:r w:rsidRPr="006C4A16">
        <w:rPr>
          <w:szCs w:val="18"/>
        </w:rPr>
        <w:t>, p</w:t>
      </w:r>
      <w:r>
        <w:rPr>
          <w:szCs w:val="18"/>
        </w:rPr>
        <w:t>p</w:t>
      </w:r>
      <w:r w:rsidRPr="006C4A16">
        <w:rPr>
          <w:szCs w:val="18"/>
        </w:rPr>
        <w:t xml:space="preserve"> </w:t>
      </w:r>
      <w:r>
        <w:rPr>
          <w:szCs w:val="18"/>
        </w:rPr>
        <w:t>306–309.</w:t>
      </w:r>
    </w:p>
  </w:footnote>
  <w:footnote w:id="5">
    <w:p w14:paraId="11C8810D" w14:textId="77777777" w:rsidR="00DC6BB4" w:rsidRDefault="00DC6BB4" w:rsidP="00DC6BB4">
      <w:pPr>
        <w:pStyle w:val="FootnoteText"/>
      </w:pPr>
      <w:r>
        <w:rPr>
          <w:rStyle w:val="FootnoteReference"/>
        </w:rPr>
        <w:footnoteRef/>
      </w:r>
      <w:r>
        <w:t xml:space="preserve"> Chief Minister, Treasury and Economic Development Directorate, </w:t>
      </w:r>
      <w:r w:rsidRPr="000337E2">
        <w:rPr>
          <w:i/>
          <w:iCs/>
        </w:rPr>
        <w:t>Budget Papers</w:t>
      </w:r>
      <w:r>
        <w:t xml:space="preserve"> (Web Page, 6 October 2021)</w:t>
      </w:r>
      <w:r>
        <w:br/>
        <w:t>&lt;</w:t>
      </w:r>
      <w:r w:rsidRPr="000337E2">
        <w:t>https://www.treasury.act.gov.au/budget/budget-2021-22/budget-papers</w:t>
      </w:r>
      <w:r>
        <w:t>&gt;.</w:t>
      </w:r>
    </w:p>
  </w:footnote>
  <w:footnote w:id="6">
    <w:p w14:paraId="38A66431" w14:textId="5CDCD5D2" w:rsidR="00F25118" w:rsidRDefault="00F25118" w:rsidP="00F25118">
      <w:pPr>
        <w:pStyle w:val="FootnoteText"/>
      </w:pPr>
      <w:r>
        <w:rPr>
          <w:rStyle w:val="FootnoteReference"/>
        </w:rPr>
        <w:footnoteRef/>
      </w:r>
      <w:r>
        <w:t xml:space="preserve"> </w:t>
      </w:r>
      <w:r w:rsidR="00155F44">
        <w:t xml:space="preserve">ACTCOSS, </w:t>
      </w:r>
      <w:r>
        <w:rPr>
          <w:i/>
          <w:iCs/>
          <w:szCs w:val="18"/>
        </w:rPr>
        <w:t xml:space="preserve">Proof </w:t>
      </w:r>
      <w:r w:rsidR="00155F44">
        <w:rPr>
          <w:i/>
          <w:iCs/>
          <w:szCs w:val="18"/>
        </w:rPr>
        <w:t xml:space="preserve">Committee </w:t>
      </w:r>
      <w:proofErr w:type="gramStart"/>
      <w:r w:rsidR="00155F44">
        <w:rPr>
          <w:i/>
          <w:iCs/>
          <w:szCs w:val="18"/>
        </w:rPr>
        <w:t xml:space="preserve">Hansard </w:t>
      </w:r>
      <w:r>
        <w:rPr>
          <w:szCs w:val="18"/>
        </w:rPr>
        <w:t>,</w:t>
      </w:r>
      <w:proofErr w:type="gramEnd"/>
      <w:r>
        <w:rPr>
          <w:szCs w:val="18"/>
        </w:rPr>
        <w:t xml:space="preserve"> </w:t>
      </w:r>
      <w:r w:rsidR="00393592">
        <w:rPr>
          <w:szCs w:val="18"/>
        </w:rPr>
        <w:t>15</w:t>
      </w:r>
      <w:r>
        <w:rPr>
          <w:szCs w:val="18"/>
        </w:rPr>
        <w:t xml:space="preserve"> October 2021, </w:t>
      </w:r>
      <w:r w:rsidR="00393592">
        <w:rPr>
          <w:szCs w:val="18"/>
        </w:rPr>
        <w:t>p</w:t>
      </w:r>
      <w:r>
        <w:rPr>
          <w:szCs w:val="18"/>
        </w:rPr>
        <w:t xml:space="preserve">p </w:t>
      </w:r>
      <w:r w:rsidR="00393592">
        <w:rPr>
          <w:szCs w:val="18"/>
        </w:rPr>
        <w:t>1-5.</w:t>
      </w:r>
      <w:r>
        <w:rPr>
          <w:szCs w:val="18"/>
        </w:rPr>
        <w:t>.</w:t>
      </w:r>
    </w:p>
  </w:footnote>
  <w:footnote w:id="7">
    <w:p w14:paraId="7F3FEBDD" w14:textId="77777777" w:rsidR="007C0A09" w:rsidRPr="00155F44" w:rsidRDefault="007C0A09" w:rsidP="007C0A09">
      <w:pPr>
        <w:pStyle w:val="FootnoteText"/>
        <w:rPr>
          <w:i/>
          <w:iCs/>
        </w:rPr>
      </w:pPr>
      <w:r>
        <w:rPr>
          <w:rStyle w:val="FootnoteReference"/>
        </w:rPr>
        <w:footnoteRef/>
      </w:r>
      <w:r>
        <w:t xml:space="preserve"> HCCA, </w:t>
      </w:r>
      <w:r>
        <w:rPr>
          <w:i/>
          <w:iCs/>
        </w:rPr>
        <w:t xml:space="preserve">Proof Committee Hansard, 15 October, </w:t>
      </w:r>
      <w:r w:rsidRPr="00155F44">
        <w:t>pp. 6-11</w:t>
      </w:r>
    </w:p>
  </w:footnote>
  <w:footnote w:id="8">
    <w:p w14:paraId="6488A814" w14:textId="3CB9A14C" w:rsidR="00BE7878" w:rsidRPr="00BE7878" w:rsidRDefault="00BE7878">
      <w:pPr>
        <w:pStyle w:val="FootnoteText"/>
        <w:rPr>
          <w:i/>
          <w:iCs/>
        </w:rPr>
      </w:pPr>
      <w:r>
        <w:rPr>
          <w:rStyle w:val="FootnoteReference"/>
        </w:rPr>
        <w:footnoteRef/>
      </w:r>
      <w:r>
        <w:t xml:space="preserve"> SHaFP, </w:t>
      </w:r>
      <w:r>
        <w:rPr>
          <w:i/>
          <w:iCs/>
        </w:rPr>
        <w:t xml:space="preserve">Proof Committee Hansard, 15 October 2021, </w:t>
      </w:r>
      <w:r w:rsidRPr="00BE7878">
        <w:t>pp. 12-17</w:t>
      </w:r>
    </w:p>
  </w:footnote>
  <w:footnote w:id="9">
    <w:p w14:paraId="47D12026" w14:textId="1E63A9F8" w:rsidR="00021209" w:rsidRDefault="00021209">
      <w:pPr>
        <w:pStyle w:val="FootnoteText"/>
      </w:pPr>
      <w:r>
        <w:rPr>
          <w:rStyle w:val="FootnoteReference"/>
        </w:rPr>
        <w:footnoteRef/>
      </w:r>
      <w:r>
        <w:t xml:space="preserve"> HCW, </w:t>
      </w:r>
      <w:r w:rsidRPr="00021209">
        <w:rPr>
          <w:i/>
          <w:iCs/>
        </w:rPr>
        <w:t>Proof Committee Hansard, 20 October 2021</w:t>
      </w:r>
      <w:r>
        <w:t>, pp. 18-4</w:t>
      </w:r>
      <w:r w:rsidR="00CB6FA4">
        <w:t>6</w:t>
      </w:r>
    </w:p>
  </w:footnote>
  <w:footnote w:id="10">
    <w:p w14:paraId="578A1793" w14:textId="60B50854" w:rsidR="00735212" w:rsidRDefault="00735212">
      <w:pPr>
        <w:pStyle w:val="FootnoteText"/>
      </w:pPr>
      <w:r>
        <w:rPr>
          <w:rStyle w:val="FootnoteReference"/>
        </w:rPr>
        <w:footnoteRef/>
      </w:r>
      <w:r>
        <w:t xml:space="preserve"> HCW, </w:t>
      </w:r>
      <w:r w:rsidRPr="00735212">
        <w:rPr>
          <w:i/>
          <w:iCs/>
        </w:rPr>
        <w:t>Proof Committee Hansard, 21 October 2021</w:t>
      </w:r>
      <w:r>
        <w:t>, pp. 48-61</w:t>
      </w:r>
    </w:p>
  </w:footnote>
  <w:footnote w:id="11">
    <w:p w14:paraId="02D8FE1A" w14:textId="74AA263F" w:rsidR="00735212" w:rsidRDefault="00735212">
      <w:pPr>
        <w:pStyle w:val="FootnoteText"/>
      </w:pPr>
      <w:r>
        <w:rPr>
          <w:rStyle w:val="FootnoteReference"/>
        </w:rPr>
        <w:footnoteRef/>
      </w:r>
      <w:r>
        <w:t xml:space="preserve"> HCW, </w:t>
      </w:r>
      <w:r w:rsidRPr="00735212">
        <w:rPr>
          <w:i/>
          <w:iCs/>
        </w:rPr>
        <w:t>Committee Proof Hansard, 21 October 2021</w:t>
      </w:r>
      <w:r>
        <w:t>, pp. 62-76</w:t>
      </w:r>
    </w:p>
  </w:footnote>
  <w:footnote w:id="12">
    <w:p w14:paraId="1FB6DF23" w14:textId="4E32DABD" w:rsidR="00735212" w:rsidRDefault="00735212">
      <w:pPr>
        <w:pStyle w:val="FootnoteText"/>
      </w:pPr>
      <w:r>
        <w:rPr>
          <w:rStyle w:val="FootnoteReference"/>
        </w:rPr>
        <w:footnoteRef/>
      </w:r>
      <w:r>
        <w:t xml:space="preserve"> HCW, </w:t>
      </w:r>
      <w:r w:rsidRPr="00735212">
        <w:rPr>
          <w:i/>
          <w:iCs/>
        </w:rPr>
        <w:t>Proof Committee Hansard, 21 October 2021</w:t>
      </w:r>
      <w:r>
        <w:t>, pp. 77-122.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7DC6" w14:textId="57D88F9E" w:rsidR="00F25118" w:rsidRPr="002046E5" w:rsidRDefault="00F25118" w:rsidP="00AF3E26">
    <w:pPr>
      <w:pStyle w:val="Header"/>
      <w:pBdr>
        <w:bottom w:val="single" w:sz="4" w:space="1" w:color="A6A6A6"/>
      </w:pBdr>
      <w:rPr>
        <w:caps w:val="0"/>
        <w:smallCaps/>
      </w:rPr>
    </w:pPr>
    <w:r w:rsidRPr="002046E5">
      <w:rPr>
        <w:caps w:val="0"/>
        <w:smallCaps/>
      </w:rPr>
      <w:fldChar w:fldCharType="begin"/>
    </w:r>
    <w:r w:rsidRPr="002046E5">
      <w:rPr>
        <w:caps w:val="0"/>
        <w:smallCaps/>
      </w:rPr>
      <w:instrText xml:space="preserve"> STYLEREF  "Committee Name"  \* MERGEFORMAT </w:instrText>
    </w:r>
    <w:r w:rsidRPr="002046E5">
      <w:rPr>
        <w:caps w:val="0"/>
        <w:smallCaps/>
      </w:rPr>
      <w:fldChar w:fldCharType="separate"/>
    </w:r>
    <w:r w:rsidR="00403045">
      <w:rPr>
        <w:caps w:val="0"/>
        <w:smallCaps/>
        <w:noProof/>
      </w:rPr>
      <w:t>Standing Committee on Health and Community Wellbeing</w:t>
    </w:r>
    <w:r w:rsidRPr="002046E5">
      <w:rPr>
        <w:caps w:val="0"/>
        <w:smallCaps/>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429A" w14:textId="2DF3D502" w:rsidR="00290FD2" w:rsidRDefault="00290FD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E8CC" w14:textId="778B0FD6" w:rsidR="007B0C82" w:rsidRPr="002046E5" w:rsidRDefault="007B0C82" w:rsidP="007B0C82">
    <w:pPr>
      <w:pStyle w:val="Header"/>
      <w:pBdr>
        <w:bottom w:val="single" w:sz="4" w:space="1" w:color="A6A6A6"/>
      </w:pBdr>
      <w:jc w:val="right"/>
      <w:rPr>
        <w:caps w:val="0"/>
        <w:smallCaps/>
      </w:rPr>
    </w:pPr>
    <w:r w:rsidRPr="002046E5">
      <w:rPr>
        <w:caps w:val="0"/>
        <w:smallCaps/>
      </w:rPr>
      <w:fldChar w:fldCharType="begin"/>
    </w:r>
    <w:r w:rsidRPr="002046E5">
      <w:rPr>
        <w:caps w:val="0"/>
        <w:smallCaps/>
      </w:rPr>
      <w:instrText xml:space="preserve"> STYLEREF  "Heading 1"  \* MERGEFORMAT </w:instrText>
    </w:r>
    <w:r w:rsidRPr="002046E5">
      <w:rPr>
        <w:caps w:val="0"/>
        <w:smallCaps/>
      </w:rPr>
      <w:fldChar w:fldCharType="separate"/>
    </w:r>
    <w:r w:rsidR="008B2761">
      <w:rPr>
        <w:caps w:val="0"/>
        <w:smallCaps/>
        <w:noProof/>
      </w:rPr>
      <w:t>Appropriation Bill 2021-2022 and</w:t>
    </w:r>
    <w:r w:rsidR="008B2761">
      <w:rPr>
        <w:caps w:val="0"/>
        <w:smallCaps/>
        <w:noProof/>
      </w:rPr>
      <w:br/>
      <w:t>Appropriation (Office of the Legislative Assembly) Bill 2021-2022</w:t>
    </w:r>
    <w:r w:rsidRPr="002046E5">
      <w:rPr>
        <w:caps w:val="0"/>
        <w:smallCaps/>
        <w:noProof/>
      </w:rPr>
      <w:fldChar w:fldCharType="end"/>
    </w:r>
  </w:p>
  <w:p w14:paraId="259C83EC" w14:textId="7E3F8B9C" w:rsidR="00290FD2" w:rsidRDefault="00290F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0187" w14:textId="7037F661" w:rsidR="00290FD2" w:rsidRDefault="00290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0D63" w14:textId="69CAF56F" w:rsidR="00F25118" w:rsidRPr="002046E5" w:rsidRDefault="00F25118" w:rsidP="00AF3E26">
    <w:pPr>
      <w:pStyle w:val="Header"/>
      <w:pBdr>
        <w:bottom w:val="single" w:sz="4" w:space="1" w:color="A6A6A6"/>
      </w:pBdr>
      <w:jc w:val="right"/>
      <w:rPr>
        <w:caps w:val="0"/>
        <w:smallCaps/>
      </w:rPr>
    </w:pPr>
    <w:r w:rsidRPr="002046E5">
      <w:rPr>
        <w:caps w:val="0"/>
        <w:smallCaps/>
      </w:rPr>
      <w:fldChar w:fldCharType="begin"/>
    </w:r>
    <w:r w:rsidRPr="002046E5">
      <w:rPr>
        <w:caps w:val="0"/>
        <w:smallCaps/>
      </w:rPr>
      <w:instrText xml:space="preserve"> STYLEREF  "Heading 1"  \* MERGEFORMAT </w:instrText>
    </w:r>
    <w:r w:rsidRPr="002046E5">
      <w:rPr>
        <w:caps w:val="0"/>
        <w:smallCaps/>
      </w:rPr>
      <w:fldChar w:fldCharType="separate"/>
    </w:r>
    <w:r w:rsidR="0032316B">
      <w:rPr>
        <w:caps w:val="0"/>
        <w:smallCaps/>
        <w:noProof/>
      </w:rPr>
      <w:t>Appropriation Bill 2021-2022 and</w:t>
    </w:r>
    <w:r w:rsidR="0032316B">
      <w:rPr>
        <w:caps w:val="0"/>
        <w:smallCaps/>
        <w:noProof/>
      </w:rPr>
      <w:br/>
      <w:t>Appropriation (Office of the Legislative Assembly) Bill 2021-2022</w:t>
    </w:r>
    <w:r w:rsidRPr="002046E5">
      <w:rPr>
        <w:caps w:val="0"/>
        <w:smallCap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0709" w14:textId="0EA6A8B8" w:rsidR="00290FD2" w:rsidRDefault="00290F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22CB" w14:textId="073083C1" w:rsidR="00290FD2" w:rsidRDefault="00290F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EE81" w14:textId="03FE9E95" w:rsidR="007B0C82" w:rsidRPr="002046E5" w:rsidRDefault="007B0C82" w:rsidP="007B0C82">
    <w:pPr>
      <w:pStyle w:val="Header"/>
      <w:pBdr>
        <w:bottom w:val="single" w:sz="4" w:space="1" w:color="A6A6A6"/>
      </w:pBdr>
      <w:jc w:val="right"/>
      <w:rPr>
        <w:caps w:val="0"/>
        <w:smallCaps/>
      </w:rPr>
    </w:pPr>
    <w:r w:rsidRPr="002046E5">
      <w:rPr>
        <w:caps w:val="0"/>
        <w:smallCaps/>
      </w:rPr>
      <w:fldChar w:fldCharType="begin"/>
    </w:r>
    <w:r w:rsidRPr="002046E5">
      <w:rPr>
        <w:caps w:val="0"/>
        <w:smallCaps/>
      </w:rPr>
      <w:instrText xml:space="preserve"> STYLEREF  "Heading 1"  \* MERGEFORMAT </w:instrText>
    </w:r>
    <w:r w:rsidRPr="002046E5">
      <w:rPr>
        <w:caps w:val="0"/>
        <w:smallCaps/>
      </w:rPr>
      <w:fldChar w:fldCharType="separate"/>
    </w:r>
    <w:r w:rsidR="0032316B">
      <w:rPr>
        <w:caps w:val="0"/>
        <w:smallCaps/>
        <w:noProof/>
      </w:rPr>
      <w:t>Appropriation Bill 2021-2022 and</w:t>
    </w:r>
    <w:r w:rsidR="0032316B">
      <w:rPr>
        <w:caps w:val="0"/>
        <w:smallCaps/>
        <w:noProof/>
      </w:rPr>
      <w:br/>
      <w:t>Appropriation (Office of the Legislative Assembly) Bill 2021-2022</w:t>
    </w:r>
    <w:r w:rsidRPr="002046E5">
      <w:rPr>
        <w:caps w:val="0"/>
        <w:smallCaps/>
        <w:noProof/>
      </w:rPr>
      <w:fldChar w:fldCharType="end"/>
    </w:r>
  </w:p>
  <w:p w14:paraId="75F502C9" w14:textId="6B3B2ECB" w:rsidR="00290FD2" w:rsidRDefault="00290F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EC77" w14:textId="586A75A8" w:rsidR="00290FD2" w:rsidRDefault="00290F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16F5" w14:textId="1FADDFF5" w:rsidR="00290FD2" w:rsidRDefault="00290F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FF7B" w14:textId="6BDC32B5" w:rsidR="007B0C82" w:rsidRPr="002046E5" w:rsidRDefault="007B0C82" w:rsidP="007B0C82">
    <w:pPr>
      <w:pStyle w:val="Header"/>
      <w:pBdr>
        <w:bottom w:val="single" w:sz="4" w:space="1" w:color="A6A6A6"/>
      </w:pBdr>
      <w:jc w:val="right"/>
      <w:rPr>
        <w:caps w:val="0"/>
        <w:smallCaps/>
      </w:rPr>
    </w:pPr>
    <w:r w:rsidRPr="002046E5">
      <w:rPr>
        <w:caps w:val="0"/>
        <w:smallCaps/>
      </w:rPr>
      <w:fldChar w:fldCharType="begin"/>
    </w:r>
    <w:r w:rsidRPr="002046E5">
      <w:rPr>
        <w:caps w:val="0"/>
        <w:smallCaps/>
      </w:rPr>
      <w:instrText xml:space="preserve"> STYLEREF  "Heading 1"  \* MERGEFORMAT </w:instrText>
    </w:r>
    <w:r w:rsidRPr="002046E5">
      <w:rPr>
        <w:caps w:val="0"/>
        <w:smallCaps/>
      </w:rPr>
      <w:fldChar w:fldCharType="separate"/>
    </w:r>
    <w:r w:rsidR="0032316B">
      <w:rPr>
        <w:caps w:val="0"/>
        <w:smallCaps/>
        <w:noProof/>
      </w:rPr>
      <w:t>Appropriation Bill 2021-2022 and</w:t>
    </w:r>
    <w:r w:rsidR="0032316B">
      <w:rPr>
        <w:caps w:val="0"/>
        <w:smallCaps/>
        <w:noProof/>
      </w:rPr>
      <w:br/>
      <w:t>Appropriation (Office of the Legislative Assembly) Bill 2021-2022</w:t>
    </w:r>
    <w:r w:rsidRPr="002046E5">
      <w:rPr>
        <w:caps w:val="0"/>
        <w:smallCaps/>
        <w:noProof/>
      </w:rPr>
      <w:fldChar w:fldCharType="end"/>
    </w:r>
  </w:p>
  <w:p w14:paraId="2197AA85" w14:textId="6C756F33" w:rsidR="00290FD2" w:rsidRDefault="00290F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863A" w14:textId="587F1DFA" w:rsidR="00290FD2" w:rsidRDefault="00290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846232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15F0EC40"/>
    <w:lvl w:ilvl="0">
      <w:start w:val="1"/>
      <w:numFmt w:val="decimal"/>
      <w:pStyle w:val="ListNumber"/>
      <w:lvlText w:val="%1."/>
      <w:lvlJc w:val="left"/>
      <w:pPr>
        <w:tabs>
          <w:tab w:val="num" w:pos="360"/>
        </w:tabs>
        <w:ind w:left="360" w:hanging="360"/>
      </w:pPr>
    </w:lvl>
  </w:abstractNum>
  <w:abstractNum w:abstractNumId="2" w15:restartNumberingAfterBreak="0">
    <w:nsid w:val="0A6F7859"/>
    <w:multiLevelType w:val="multilevel"/>
    <w:tmpl w:val="0C09001D"/>
    <w:styleLink w:val="CommitteeNumberedPar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304FB4"/>
    <w:multiLevelType w:val="hybridMultilevel"/>
    <w:tmpl w:val="9E801158"/>
    <w:lvl w:ilvl="0" w:tplc="D9CAB118">
      <w:start w:val="1"/>
      <w:numFmt w:val="bullet"/>
      <w:pStyle w:val="ListWitnesses"/>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53A0124"/>
    <w:multiLevelType w:val="hybridMultilevel"/>
    <w:tmpl w:val="D1D690A4"/>
    <w:lvl w:ilvl="0" w:tplc="7AE28D48">
      <w:start w:val="7"/>
      <w:numFmt w:val="decimal"/>
      <w:lvlText w:val="(%1)"/>
      <w:lvlJc w:val="left"/>
      <w:pPr>
        <w:ind w:left="1107"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0A32FA"/>
    <w:multiLevelType w:val="hybridMultilevel"/>
    <w:tmpl w:val="D4569880"/>
    <w:lvl w:ilvl="0" w:tplc="8DA683F0">
      <w:start w:val="1"/>
      <w:numFmt w:val="decimal"/>
      <w:pStyle w:val="Body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7067CD"/>
    <w:multiLevelType w:val="hybridMultilevel"/>
    <w:tmpl w:val="0338DC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B11FB6"/>
    <w:multiLevelType w:val="multilevel"/>
    <w:tmpl w:val="10AC1822"/>
    <w:styleLink w:val="test1"/>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lvlText w:val=""/>
      <w:lvlJc w:val="left"/>
      <w:pPr>
        <w:tabs>
          <w:tab w:val="num" w:pos="720"/>
        </w:tabs>
        <w:ind w:left="454" w:hanging="454"/>
      </w:pPr>
      <w:rPr>
        <w:rFonts w:hint="default"/>
      </w:rPr>
    </w:lvl>
    <w:lvl w:ilvl="3">
      <w:start w:val="1"/>
      <w:numFmt w:val="none"/>
      <w:lvlRestart w:val="0"/>
      <w:lvlText w:val=""/>
      <w:lvlJc w:val="left"/>
      <w:pPr>
        <w:tabs>
          <w:tab w:val="num" w:pos="864"/>
        </w:tabs>
        <w:ind w:left="340" w:hanging="340"/>
      </w:pPr>
      <w:rPr>
        <w:rFonts w:hint="default"/>
      </w:rPr>
    </w:lvl>
    <w:lvl w:ilvl="4">
      <w:start w:val="1"/>
      <w:numFmt w:val="none"/>
      <w:lvlRestart w:val="0"/>
      <w:lvlText w:val=""/>
      <w:lvlJc w:val="left"/>
      <w:pPr>
        <w:tabs>
          <w:tab w:val="num" w:pos="1008"/>
        </w:tabs>
        <w:ind w:left="340" w:hanging="340"/>
      </w:pPr>
      <w:rPr>
        <w:rFonts w:hint="default"/>
      </w:rPr>
    </w:lvl>
    <w:lvl w:ilvl="5">
      <w:start w:val="1"/>
      <w:numFmt w:val="decimal"/>
      <w:lvlRestart w:val="1"/>
      <w:lvlText w:val="%1.%6"/>
      <w:lvlJc w:val="left"/>
      <w:pPr>
        <w:ind w:left="567" w:hanging="567"/>
      </w:pPr>
      <w:rPr>
        <w:rFonts w:ascii="Calibri" w:hAnsi="Calibri" w:hint="default"/>
        <w:sz w:val="22"/>
      </w:rPr>
    </w:lvl>
    <w:lvl w:ilvl="6">
      <w:start w:val="1"/>
      <w:numFmt w:val="decimal"/>
      <w:lvlRestart w:val="0"/>
      <w:lvlText w:val="Recommendation %7"/>
      <w:lvlJc w:val="left"/>
      <w:pPr>
        <w:ind w:left="142" w:firstLine="0"/>
      </w:pPr>
      <w:rPr>
        <w:rFonts w:ascii="Arial Narrow" w:hAnsi="Arial Narrow" w:hint="default"/>
        <w:b/>
        <w:i w:val="0"/>
        <w:sz w:val="28"/>
      </w:rPr>
    </w:lvl>
    <w:lvl w:ilvl="7">
      <w:start w:val="1"/>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84A7D40"/>
    <w:multiLevelType w:val="hybridMultilevel"/>
    <w:tmpl w:val="ACACBE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BAD4BCC"/>
    <w:multiLevelType w:val="multilevel"/>
    <w:tmpl w:val="780CECF8"/>
    <w:lvl w:ilvl="0">
      <w:start w:val="1"/>
      <w:numFmt w:val="decimal"/>
      <w:lvlText w:val="%1"/>
      <w:lvlJc w:val="left"/>
      <w:pPr>
        <w:tabs>
          <w:tab w:val="num" w:pos="9610"/>
        </w:tabs>
        <w:ind w:left="9497" w:hanging="567"/>
      </w:pPr>
      <w:rPr>
        <w:rFonts w:ascii="Arial Narrow" w:hAnsi="Arial Narrow" w:hint="default"/>
        <w:b/>
        <w:i w:val="0"/>
        <w:sz w:val="44"/>
      </w:rPr>
    </w:lvl>
    <w:lvl w:ilvl="1">
      <w:start w:val="1"/>
      <w:numFmt w:val="bullet"/>
      <w:lvlText w:val=""/>
      <w:lvlJc w:val="left"/>
      <w:pPr>
        <w:ind w:left="992" w:hanging="567"/>
      </w:pPr>
      <w:rPr>
        <w:rFonts w:ascii="Symbol" w:hAnsi="Symbol" w:hint="default"/>
        <w:color w:val="auto"/>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284"/>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A346BF"/>
    <w:multiLevelType w:val="multilevel"/>
    <w:tmpl w:val="B8AAE9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7B14041"/>
    <w:multiLevelType w:val="hybridMultilevel"/>
    <w:tmpl w:val="394EC116"/>
    <w:lvl w:ilvl="0" w:tplc="0DDC1AC8">
      <w:start w:val="1"/>
      <w:numFmt w:val="bullet"/>
      <w:pStyle w:val="ListNoBullet"/>
      <w:suff w:val="nothing"/>
      <w:lvlText w:val=""/>
      <w:lvlJc w:val="left"/>
      <w:pPr>
        <w:ind w:left="0" w:firstLine="0"/>
      </w:pPr>
      <w:rPr>
        <w:rFonts w:ascii="Symbol" w:hAnsi="Symbol" w:hint="default"/>
        <w:spacing w:val="-10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643713"/>
    <w:multiLevelType w:val="hybridMultilevel"/>
    <w:tmpl w:val="402E8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473A86"/>
    <w:multiLevelType w:val="hybridMultilevel"/>
    <w:tmpl w:val="538C9DB4"/>
    <w:lvl w:ilvl="0" w:tplc="7E446434">
      <w:start w:val="1"/>
      <w:numFmt w:val="bullet"/>
      <w:pStyle w:val="QuoteListBullet"/>
      <w:lvlText w:val=""/>
      <w:lvlJc w:val="left"/>
      <w:pPr>
        <w:ind w:left="1559" w:hanging="283"/>
      </w:pPr>
      <w:rPr>
        <w:rFonts w:ascii="Wingdings" w:hAnsi="Wingdings" w:hint="default"/>
      </w:rPr>
    </w:lvl>
    <w:lvl w:ilvl="1" w:tplc="B31CAA4A">
      <w:start w:val="1"/>
      <w:numFmt w:val="bullet"/>
      <w:pStyle w:val="QuoteListBullet2"/>
      <w:lvlText w:val=""/>
      <w:lvlJc w:val="left"/>
      <w:pPr>
        <w:ind w:left="1843" w:hanging="284"/>
      </w:pPr>
      <w:rPr>
        <w:rFonts w:ascii="Symbol" w:hAnsi="Symbol" w:hint="default"/>
        <w:color w:val="808080" w:themeColor="background1" w:themeShade="80"/>
        <w:sz w:val="22"/>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9A03C4"/>
    <w:multiLevelType w:val="hybridMultilevel"/>
    <w:tmpl w:val="49187AC4"/>
    <w:lvl w:ilvl="0" w:tplc="CDDE55B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E7707B"/>
    <w:multiLevelType w:val="hybridMultilevel"/>
    <w:tmpl w:val="27729904"/>
    <w:lvl w:ilvl="0" w:tplc="6116F4E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8F20CB2"/>
    <w:multiLevelType w:val="hybridMultilevel"/>
    <w:tmpl w:val="728A84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982F6A"/>
    <w:multiLevelType w:val="multilevel"/>
    <w:tmpl w:val="780CECF8"/>
    <w:lvl w:ilvl="0">
      <w:start w:val="1"/>
      <w:numFmt w:val="decimal"/>
      <w:lvlText w:val="%1"/>
      <w:lvlJc w:val="left"/>
      <w:pPr>
        <w:tabs>
          <w:tab w:val="num" w:pos="9610"/>
        </w:tabs>
        <w:ind w:left="9497" w:hanging="567"/>
      </w:pPr>
      <w:rPr>
        <w:rFonts w:ascii="Arial Narrow" w:hAnsi="Arial Narrow" w:hint="default"/>
        <w:b/>
        <w:i w:val="0"/>
        <w:sz w:val="44"/>
      </w:rPr>
    </w:lvl>
    <w:lvl w:ilvl="1">
      <w:start w:val="1"/>
      <w:numFmt w:val="bullet"/>
      <w:lvlText w:val=""/>
      <w:lvlJc w:val="left"/>
      <w:pPr>
        <w:ind w:left="992" w:hanging="567"/>
      </w:pPr>
      <w:rPr>
        <w:rFonts w:ascii="Symbol" w:hAnsi="Symbol" w:hint="default"/>
        <w:color w:val="auto"/>
        <w:sz w:val="22"/>
      </w:rPr>
    </w:lvl>
    <w:lvl w:ilvl="2">
      <w:start w:val="1"/>
      <w:numFmt w:val="bullet"/>
      <w:lvlRestart w:val="0"/>
      <w:lvlText w:val=""/>
      <w:lvlJc w:val="left"/>
      <w:pPr>
        <w:ind w:left="964" w:hanging="397"/>
      </w:pPr>
      <w:rPr>
        <w:rFonts w:ascii="Wingdings" w:hAnsi="Wingdings" w:hint="default"/>
        <w:sz w:val="24"/>
      </w:rPr>
    </w:lvl>
    <w:lvl w:ilvl="3">
      <w:start w:val="1"/>
      <w:numFmt w:val="bullet"/>
      <w:lvlRestart w:val="0"/>
      <w:lvlText w:val=""/>
      <w:lvlJc w:val="left"/>
      <w:pPr>
        <w:ind w:left="1276" w:hanging="284"/>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2D0CCC"/>
    <w:multiLevelType w:val="hybridMultilevel"/>
    <w:tmpl w:val="1CF07B6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6D34480"/>
    <w:multiLevelType w:val="hybridMultilevel"/>
    <w:tmpl w:val="695C828A"/>
    <w:lvl w:ilvl="0" w:tplc="A96ABCC8">
      <w:start w:val="1"/>
      <w:numFmt w:val="decimal"/>
      <w:lvlText w:val="%1"/>
      <w:lvlJc w:val="left"/>
      <w:pPr>
        <w:ind w:left="720" w:hanging="360"/>
      </w:pPr>
      <w:rPr>
        <w:rFonts w:ascii="Arial Narrow" w:hAnsi="Arial Narrow" w:hint="default"/>
        <w:b/>
        <w:i w:val="0"/>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7"/>
  </w:num>
  <w:num w:numId="3">
    <w:abstractNumId w:val="0"/>
  </w:num>
  <w:num w:numId="4">
    <w:abstractNumId w:val="1"/>
  </w:num>
  <w:num w:numId="5">
    <w:abstractNumId w:val="11"/>
  </w:num>
  <w:num w:numId="6">
    <w:abstractNumId w:val="2"/>
  </w:num>
  <w:num w:numId="7">
    <w:abstractNumId w:val="13"/>
  </w:num>
  <w:num w:numId="8">
    <w:abstractNumId w:val="3"/>
  </w:num>
  <w:num w:numId="9">
    <w:abstractNumId w:val="4"/>
  </w:num>
  <w:num w:numId="10">
    <w:abstractNumId w:val="15"/>
  </w:num>
  <w:num w:numId="11">
    <w:abstractNumId w:val="17"/>
  </w:num>
  <w:num w:numId="12">
    <w:abstractNumId w:val="9"/>
  </w:num>
  <w:num w:numId="13">
    <w:abstractNumId w:val="19"/>
  </w:num>
  <w:num w:numId="14">
    <w:abstractNumId w:val="10"/>
  </w:num>
  <w:num w:numId="15">
    <w:abstractNumId w:val="14"/>
  </w:num>
  <w:num w:numId="16">
    <w:abstractNumId w:val="5"/>
  </w:num>
  <w:num w:numId="17">
    <w:abstractNumId w:val="12"/>
  </w:num>
  <w:num w:numId="18">
    <w:abstractNumId w:val="5"/>
    <w:lvlOverride w:ilvl="0">
      <w:startOverride w:val="1"/>
    </w:lvlOverride>
  </w:num>
  <w:num w:numId="19">
    <w:abstractNumId w:val="8"/>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16"/>
  </w:num>
  <w:num w:numId="27">
    <w:abstractNumId w:val="18"/>
  </w:num>
  <w:num w:numId="28">
    <w:abstractNumId w:val="6"/>
  </w:num>
  <w:num w:numId="29">
    <w:abstractNumId w:val="5"/>
  </w:num>
  <w:num w:numId="30">
    <w:abstractNumId w:val="5"/>
  </w:num>
  <w:num w:numId="31">
    <w:abstractNumId w:val="5"/>
  </w:num>
  <w:num w:numId="3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18"/>
    <w:rsid w:val="00017666"/>
    <w:rsid w:val="00021209"/>
    <w:rsid w:val="00037939"/>
    <w:rsid w:val="00046D52"/>
    <w:rsid w:val="00047A3A"/>
    <w:rsid w:val="00062A22"/>
    <w:rsid w:val="00064B51"/>
    <w:rsid w:val="0007204D"/>
    <w:rsid w:val="00076F2C"/>
    <w:rsid w:val="00077D16"/>
    <w:rsid w:val="00080255"/>
    <w:rsid w:val="00084A87"/>
    <w:rsid w:val="00085705"/>
    <w:rsid w:val="00090AF7"/>
    <w:rsid w:val="000927C9"/>
    <w:rsid w:val="000A64FE"/>
    <w:rsid w:val="000C6AB4"/>
    <w:rsid w:val="000D6B0B"/>
    <w:rsid w:val="000F221B"/>
    <w:rsid w:val="000F260D"/>
    <w:rsid w:val="000F4CA0"/>
    <w:rsid w:val="00103304"/>
    <w:rsid w:val="00106AFD"/>
    <w:rsid w:val="00112015"/>
    <w:rsid w:val="001344B6"/>
    <w:rsid w:val="00134F79"/>
    <w:rsid w:val="00155F44"/>
    <w:rsid w:val="0016223D"/>
    <w:rsid w:val="00167B9D"/>
    <w:rsid w:val="00177A74"/>
    <w:rsid w:val="001834F8"/>
    <w:rsid w:val="00185553"/>
    <w:rsid w:val="00193B72"/>
    <w:rsid w:val="00196AF0"/>
    <w:rsid w:val="001A65DC"/>
    <w:rsid w:val="001B4EFB"/>
    <w:rsid w:val="001C0D1E"/>
    <w:rsid w:val="001D4145"/>
    <w:rsid w:val="001D50B4"/>
    <w:rsid w:val="001D7463"/>
    <w:rsid w:val="001E12B1"/>
    <w:rsid w:val="001E3656"/>
    <w:rsid w:val="001F7E5B"/>
    <w:rsid w:val="002174D9"/>
    <w:rsid w:val="002238CE"/>
    <w:rsid w:val="00224CDD"/>
    <w:rsid w:val="00226E6F"/>
    <w:rsid w:val="002275D5"/>
    <w:rsid w:val="0023626A"/>
    <w:rsid w:val="00237642"/>
    <w:rsid w:val="00246DE9"/>
    <w:rsid w:val="002537D9"/>
    <w:rsid w:val="00254A72"/>
    <w:rsid w:val="0025761D"/>
    <w:rsid w:val="00264ABA"/>
    <w:rsid w:val="00265093"/>
    <w:rsid w:val="00267BDA"/>
    <w:rsid w:val="00290FD2"/>
    <w:rsid w:val="002A5D5E"/>
    <w:rsid w:val="002B424A"/>
    <w:rsid w:val="002B454B"/>
    <w:rsid w:val="002C6B55"/>
    <w:rsid w:val="002E00DB"/>
    <w:rsid w:val="002E179F"/>
    <w:rsid w:val="002E4D2E"/>
    <w:rsid w:val="002F20E2"/>
    <w:rsid w:val="003059B9"/>
    <w:rsid w:val="0032316B"/>
    <w:rsid w:val="00323E53"/>
    <w:rsid w:val="0032488E"/>
    <w:rsid w:val="00341ABE"/>
    <w:rsid w:val="0034308A"/>
    <w:rsid w:val="0035434B"/>
    <w:rsid w:val="00362631"/>
    <w:rsid w:val="00370C8C"/>
    <w:rsid w:val="00377254"/>
    <w:rsid w:val="00393592"/>
    <w:rsid w:val="003973E9"/>
    <w:rsid w:val="003A4223"/>
    <w:rsid w:val="003B2242"/>
    <w:rsid w:val="003B3BBD"/>
    <w:rsid w:val="003C00EC"/>
    <w:rsid w:val="003C3287"/>
    <w:rsid w:val="003C6F08"/>
    <w:rsid w:val="003E06C8"/>
    <w:rsid w:val="003E4A51"/>
    <w:rsid w:val="003E68AB"/>
    <w:rsid w:val="003E7F83"/>
    <w:rsid w:val="003F1533"/>
    <w:rsid w:val="003F32D5"/>
    <w:rsid w:val="003F57B0"/>
    <w:rsid w:val="00403045"/>
    <w:rsid w:val="00404129"/>
    <w:rsid w:val="00431D41"/>
    <w:rsid w:val="00440D3C"/>
    <w:rsid w:val="00444135"/>
    <w:rsid w:val="004517B1"/>
    <w:rsid w:val="0045362D"/>
    <w:rsid w:val="0046128D"/>
    <w:rsid w:val="004743C1"/>
    <w:rsid w:val="00476792"/>
    <w:rsid w:val="004825E5"/>
    <w:rsid w:val="00482982"/>
    <w:rsid w:val="00487A4F"/>
    <w:rsid w:val="00497077"/>
    <w:rsid w:val="004A4932"/>
    <w:rsid w:val="004B5056"/>
    <w:rsid w:val="004C0F4C"/>
    <w:rsid w:val="004C72EF"/>
    <w:rsid w:val="004D552A"/>
    <w:rsid w:val="004E015B"/>
    <w:rsid w:val="004E05BB"/>
    <w:rsid w:val="004F2272"/>
    <w:rsid w:val="00501CB1"/>
    <w:rsid w:val="00506860"/>
    <w:rsid w:val="005170B8"/>
    <w:rsid w:val="005231D5"/>
    <w:rsid w:val="005304B6"/>
    <w:rsid w:val="0053571E"/>
    <w:rsid w:val="005374C2"/>
    <w:rsid w:val="00551C27"/>
    <w:rsid w:val="00584047"/>
    <w:rsid w:val="005A183B"/>
    <w:rsid w:val="005C087D"/>
    <w:rsid w:val="005C182A"/>
    <w:rsid w:val="005E5F3A"/>
    <w:rsid w:val="00605B61"/>
    <w:rsid w:val="00611AF8"/>
    <w:rsid w:val="00612185"/>
    <w:rsid w:val="00612A41"/>
    <w:rsid w:val="00625C9E"/>
    <w:rsid w:val="006376BE"/>
    <w:rsid w:val="00641A7C"/>
    <w:rsid w:val="006451BC"/>
    <w:rsid w:val="00645DC2"/>
    <w:rsid w:val="00650B87"/>
    <w:rsid w:val="0067216B"/>
    <w:rsid w:val="00672813"/>
    <w:rsid w:val="006732AC"/>
    <w:rsid w:val="006829D3"/>
    <w:rsid w:val="00685B28"/>
    <w:rsid w:val="006A3AE5"/>
    <w:rsid w:val="006A6A2B"/>
    <w:rsid w:val="006B3CAC"/>
    <w:rsid w:val="006C38AB"/>
    <w:rsid w:val="006D159A"/>
    <w:rsid w:val="006D528E"/>
    <w:rsid w:val="006E7738"/>
    <w:rsid w:val="006F382E"/>
    <w:rsid w:val="006F538B"/>
    <w:rsid w:val="00707208"/>
    <w:rsid w:val="00714062"/>
    <w:rsid w:val="007142DD"/>
    <w:rsid w:val="00722954"/>
    <w:rsid w:val="00735212"/>
    <w:rsid w:val="00744B24"/>
    <w:rsid w:val="00756AA2"/>
    <w:rsid w:val="007809D3"/>
    <w:rsid w:val="00785526"/>
    <w:rsid w:val="0078696C"/>
    <w:rsid w:val="00787717"/>
    <w:rsid w:val="007A2422"/>
    <w:rsid w:val="007A63C1"/>
    <w:rsid w:val="007B0C82"/>
    <w:rsid w:val="007B6461"/>
    <w:rsid w:val="007C0A09"/>
    <w:rsid w:val="007D0858"/>
    <w:rsid w:val="007D1959"/>
    <w:rsid w:val="007D1BE1"/>
    <w:rsid w:val="007D428A"/>
    <w:rsid w:val="007E1B9F"/>
    <w:rsid w:val="007E42C4"/>
    <w:rsid w:val="007F1AA7"/>
    <w:rsid w:val="00806444"/>
    <w:rsid w:val="00810E67"/>
    <w:rsid w:val="008214FD"/>
    <w:rsid w:val="00822982"/>
    <w:rsid w:val="00830B9C"/>
    <w:rsid w:val="0084071B"/>
    <w:rsid w:val="00860004"/>
    <w:rsid w:val="00860D45"/>
    <w:rsid w:val="0087261F"/>
    <w:rsid w:val="008755B7"/>
    <w:rsid w:val="00882A0E"/>
    <w:rsid w:val="0089353E"/>
    <w:rsid w:val="008A7DA5"/>
    <w:rsid w:val="008B007B"/>
    <w:rsid w:val="008B15E4"/>
    <w:rsid w:val="008B2761"/>
    <w:rsid w:val="008C0D99"/>
    <w:rsid w:val="008C2DC9"/>
    <w:rsid w:val="008D4E6C"/>
    <w:rsid w:val="008D67F9"/>
    <w:rsid w:val="008D7C00"/>
    <w:rsid w:val="008E0FC6"/>
    <w:rsid w:val="008E10C8"/>
    <w:rsid w:val="008E6312"/>
    <w:rsid w:val="008F52A7"/>
    <w:rsid w:val="008F7BE7"/>
    <w:rsid w:val="00903710"/>
    <w:rsid w:val="00922DF8"/>
    <w:rsid w:val="00933315"/>
    <w:rsid w:val="0093754B"/>
    <w:rsid w:val="0093770D"/>
    <w:rsid w:val="00943564"/>
    <w:rsid w:val="0094698A"/>
    <w:rsid w:val="00954D3A"/>
    <w:rsid w:val="00971ED4"/>
    <w:rsid w:val="0099062B"/>
    <w:rsid w:val="009B03AF"/>
    <w:rsid w:val="009B17C0"/>
    <w:rsid w:val="009B6C87"/>
    <w:rsid w:val="009B78E1"/>
    <w:rsid w:val="009D1914"/>
    <w:rsid w:val="009D2547"/>
    <w:rsid w:val="009D3C49"/>
    <w:rsid w:val="009E366C"/>
    <w:rsid w:val="009E37EF"/>
    <w:rsid w:val="009F2443"/>
    <w:rsid w:val="009F7967"/>
    <w:rsid w:val="00A0436E"/>
    <w:rsid w:val="00A04816"/>
    <w:rsid w:val="00A067BE"/>
    <w:rsid w:val="00A1115A"/>
    <w:rsid w:val="00A17F8A"/>
    <w:rsid w:val="00A21BE3"/>
    <w:rsid w:val="00A36BFC"/>
    <w:rsid w:val="00A40AA3"/>
    <w:rsid w:val="00A765C2"/>
    <w:rsid w:val="00A96E1A"/>
    <w:rsid w:val="00AA1FC3"/>
    <w:rsid w:val="00AB3074"/>
    <w:rsid w:val="00AB384A"/>
    <w:rsid w:val="00AB4F65"/>
    <w:rsid w:val="00AC7621"/>
    <w:rsid w:val="00AD4086"/>
    <w:rsid w:val="00AE1FC8"/>
    <w:rsid w:val="00AF3E26"/>
    <w:rsid w:val="00B0452B"/>
    <w:rsid w:val="00B0578C"/>
    <w:rsid w:val="00B22FF9"/>
    <w:rsid w:val="00B23C55"/>
    <w:rsid w:val="00B30681"/>
    <w:rsid w:val="00B32C3C"/>
    <w:rsid w:val="00B53F12"/>
    <w:rsid w:val="00B659C7"/>
    <w:rsid w:val="00B76172"/>
    <w:rsid w:val="00BA5770"/>
    <w:rsid w:val="00BB1F75"/>
    <w:rsid w:val="00BC6465"/>
    <w:rsid w:val="00BD5274"/>
    <w:rsid w:val="00BE25BE"/>
    <w:rsid w:val="00BE7878"/>
    <w:rsid w:val="00BF2693"/>
    <w:rsid w:val="00C018F4"/>
    <w:rsid w:val="00C25CEB"/>
    <w:rsid w:val="00C27B1E"/>
    <w:rsid w:val="00C41BBE"/>
    <w:rsid w:val="00C53990"/>
    <w:rsid w:val="00C56407"/>
    <w:rsid w:val="00C66182"/>
    <w:rsid w:val="00C73EB3"/>
    <w:rsid w:val="00C74F39"/>
    <w:rsid w:val="00C8613E"/>
    <w:rsid w:val="00C868F1"/>
    <w:rsid w:val="00C9472F"/>
    <w:rsid w:val="00CB6FA4"/>
    <w:rsid w:val="00CC0563"/>
    <w:rsid w:val="00CC793D"/>
    <w:rsid w:val="00CD4E17"/>
    <w:rsid w:val="00CD58BE"/>
    <w:rsid w:val="00CE192C"/>
    <w:rsid w:val="00CE2A05"/>
    <w:rsid w:val="00CE3D03"/>
    <w:rsid w:val="00CF76F4"/>
    <w:rsid w:val="00D14282"/>
    <w:rsid w:val="00D175A7"/>
    <w:rsid w:val="00D35096"/>
    <w:rsid w:val="00D45BF7"/>
    <w:rsid w:val="00D51DA5"/>
    <w:rsid w:val="00D572F9"/>
    <w:rsid w:val="00D61455"/>
    <w:rsid w:val="00D628D4"/>
    <w:rsid w:val="00D96E32"/>
    <w:rsid w:val="00D97643"/>
    <w:rsid w:val="00DA2469"/>
    <w:rsid w:val="00DA2868"/>
    <w:rsid w:val="00DB7F29"/>
    <w:rsid w:val="00DC3F93"/>
    <w:rsid w:val="00DC6BB4"/>
    <w:rsid w:val="00DD042C"/>
    <w:rsid w:val="00DD7AA8"/>
    <w:rsid w:val="00DE0ABF"/>
    <w:rsid w:val="00DE4788"/>
    <w:rsid w:val="00DE753F"/>
    <w:rsid w:val="00DE7950"/>
    <w:rsid w:val="00DF3C86"/>
    <w:rsid w:val="00DF6CB2"/>
    <w:rsid w:val="00E2572F"/>
    <w:rsid w:val="00E31074"/>
    <w:rsid w:val="00E32AA1"/>
    <w:rsid w:val="00E416C9"/>
    <w:rsid w:val="00E67082"/>
    <w:rsid w:val="00E670EE"/>
    <w:rsid w:val="00E771A4"/>
    <w:rsid w:val="00E95F6F"/>
    <w:rsid w:val="00EA075F"/>
    <w:rsid w:val="00EB203F"/>
    <w:rsid w:val="00ED69BB"/>
    <w:rsid w:val="00EE4717"/>
    <w:rsid w:val="00F20CAF"/>
    <w:rsid w:val="00F25118"/>
    <w:rsid w:val="00F3233A"/>
    <w:rsid w:val="00F336AA"/>
    <w:rsid w:val="00F433DA"/>
    <w:rsid w:val="00F806FE"/>
    <w:rsid w:val="00F82691"/>
    <w:rsid w:val="00F85181"/>
    <w:rsid w:val="00F92C6A"/>
    <w:rsid w:val="00FA40B9"/>
    <w:rsid w:val="00FE1BFC"/>
    <w:rsid w:val="00FE5AE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A061E"/>
  <w15:chartTrackingRefBased/>
  <w15:docId w15:val="{4F8D69E6-D881-49E2-A3D4-CF1BAC18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18"/>
    <w:pPr>
      <w:spacing w:before="240" w:after="100" w:line="312" w:lineRule="auto"/>
    </w:pPr>
    <w:rPr>
      <w:rFonts w:ascii="Calibri" w:eastAsia="Times New Roman" w:hAnsi="Calibri" w:cs="Times New Roman"/>
      <w:szCs w:val="24"/>
    </w:rPr>
  </w:style>
  <w:style w:type="paragraph" w:styleId="Heading1">
    <w:name w:val="heading 1"/>
    <w:aliases w:val="numbered,h1"/>
    <w:basedOn w:val="Normal"/>
    <w:next w:val="Normal"/>
    <w:link w:val="Heading1Char"/>
    <w:qFormat/>
    <w:rsid w:val="00F25118"/>
    <w:pPr>
      <w:spacing w:before="9000" w:after="600" w:line="500" w:lineRule="exact"/>
      <w:jc w:val="right"/>
      <w:outlineLvl w:val="0"/>
    </w:pPr>
    <w:rPr>
      <w:rFonts w:ascii="Arial Narrow" w:hAnsi="Arial Narrow"/>
      <w:smallCaps/>
      <w:spacing w:val="4"/>
      <w:kern w:val="42"/>
      <w:sz w:val="42"/>
      <w:szCs w:val="36"/>
    </w:rPr>
  </w:style>
  <w:style w:type="paragraph" w:styleId="Heading2">
    <w:name w:val="heading 2"/>
    <w:next w:val="BodyText"/>
    <w:link w:val="Heading2Char"/>
    <w:qFormat/>
    <w:rsid w:val="00B32C3C"/>
    <w:pPr>
      <w:keepNext/>
      <w:pageBreakBefore/>
      <w:widowControl w:val="0"/>
      <w:tabs>
        <w:tab w:val="left" w:pos="680"/>
      </w:tabs>
      <w:spacing w:before="360" w:after="0" w:line="312" w:lineRule="auto"/>
      <w:outlineLvl w:val="1"/>
    </w:pPr>
    <w:rPr>
      <w:rFonts w:ascii="Arial Narrow" w:eastAsia="Times New Roman" w:hAnsi="Arial Narrow" w:cs="Arial"/>
      <w:bCs/>
      <w:smallCaps/>
      <w:spacing w:val="40"/>
      <w:kern w:val="32"/>
      <w:sz w:val="44"/>
      <w:szCs w:val="36"/>
    </w:rPr>
  </w:style>
  <w:style w:type="paragraph" w:styleId="Heading3">
    <w:name w:val="heading 3"/>
    <w:basedOn w:val="Normal"/>
    <w:next w:val="BodyText"/>
    <w:link w:val="Heading3Char"/>
    <w:qFormat/>
    <w:rsid w:val="00F25118"/>
    <w:pPr>
      <w:keepNext/>
      <w:widowControl w:val="0"/>
      <w:spacing w:before="480" w:after="60"/>
      <w:ind w:left="567"/>
      <w:outlineLvl w:val="2"/>
    </w:pPr>
    <w:rPr>
      <w:rFonts w:ascii="Arial Narrow" w:hAnsi="Arial Narrow" w:cs="Arial"/>
      <w:iCs/>
      <w:smallCaps/>
      <w:spacing w:val="20"/>
      <w:sz w:val="36"/>
      <w:szCs w:val="34"/>
    </w:rPr>
  </w:style>
  <w:style w:type="paragraph" w:styleId="Heading4">
    <w:name w:val="heading 4"/>
    <w:basedOn w:val="Normal"/>
    <w:next w:val="BodyText"/>
    <w:link w:val="Heading4Char"/>
    <w:qFormat/>
    <w:rsid w:val="00F25118"/>
    <w:pPr>
      <w:keepNext/>
      <w:widowControl w:val="0"/>
      <w:spacing w:before="320"/>
      <w:ind w:left="567"/>
      <w:outlineLvl w:val="3"/>
    </w:pPr>
    <w:rPr>
      <w:rFonts w:ascii="Arial Narrow" w:hAnsi="Arial Narrow" w:cs="Arial"/>
      <w:smallCaps/>
      <w:spacing w:val="20"/>
      <w:sz w:val="30"/>
      <w:szCs w:val="28"/>
    </w:rPr>
  </w:style>
  <w:style w:type="paragraph" w:styleId="Heading5">
    <w:name w:val="heading 5"/>
    <w:basedOn w:val="Normal"/>
    <w:next w:val="BodyText"/>
    <w:link w:val="Heading5Char"/>
    <w:unhideWhenUsed/>
    <w:qFormat/>
    <w:rsid w:val="00F25118"/>
    <w:pPr>
      <w:keepNext/>
      <w:widowControl w:val="0"/>
      <w:spacing w:before="280" w:after="80"/>
      <w:ind w:left="567"/>
      <w:outlineLvl w:val="4"/>
    </w:pPr>
    <w:rPr>
      <w:rFonts w:ascii="Arial Narrow" w:hAnsi="Arial Narrow" w:cs="Arial"/>
      <w:smallCaps/>
      <w:spacing w:val="20"/>
      <w:sz w:val="26"/>
    </w:rPr>
  </w:style>
  <w:style w:type="paragraph" w:styleId="Heading6">
    <w:name w:val="heading 6"/>
    <w:basedOn w:val="Normal"/>
    <w:next w:val="Normal"/>
    <w:link w:val="Heading6Char"/>
    <w:unhideWhenUsed/>
    <w:qFormat/>
    <w:rsid w:val="00F25118"/>
    <w:pPr>
      <w:keepNext/>
      <w:widowControl w:val="0"/>
      <w:spacing w:before="280" w:after="80"/>
      <w:ind w:left="567"/>
      <w:outlineLvl w:val="5"/>
    </w:pPr>
    <w:rPr>
      <w:rFonts w:ascii="Arial Narrow" w:hAnsi="Arial Narrow" w:cs="Arial"/>
      <w:smallCaps/>
      <w:spacing w:val="20"/>
      <w:szCs w:val="22"/>
    </w:rPr>
  </w:style>
  <w:style w:type="paragraph" w:styleId="Heading8">
    <w:name w:val="heading 8"/>
    <w:basedOn w:val="Normal"/>
    <w:next w:val="Normal"/>
    <w:link w:val="Heading8Char"/>
    <w:semiHidden/>
    <w:unhideWhenUsed/>
    <w:qFormat/>
    <w:rsid w:val="00F25118"/>
    <w:pPr>
      <w:spacing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Char,h1 Char"/>
    <w:basedOn w:val="DefaultParagraphFont"/>
    <w:link w:val="Heading1"/>
    <w:rsid w:val="00F25118"/>
    <w:rPr>
      <w:rFonts w:ascii="Arial Narrow" w:eastAsia="Times New Roman" w:hAnsi="Arial Narrow" w:cs="Times New Roman"/>
      <w:smallCaps/>
      <w:spacing w:val="4"/>
      <w:kern w:val="42"/>
      <w:sz w:val="42"/>
      <w:szCs w:val="36"/>
    </w:rPr>
  </w:style>
  <w:style w:type="character" w:customStyle="1" w:styleId="Heading2Char">
    <w:name w:val="Heading 2 Char"/>
    <w:basedOn w:val="DefaultParagraphFont"/>
    <w:link w:val="Heading2"/>
    <w:rsid w:val="00B32C3C"/>
    <w:rPr>
      <w:rFonts w:ascii="Arial Narrow" w:eastAsia="Times New Roman" w:hAnsi="Arial Narrow" w:cs="Arial"/>
      <w:bCs/>
      <w:smallCaps/>
      <w:spacing w:val="40"/>
      <w:kern w:val="32"/>
      <w:sz w:val="44"/>
      <w:szCs w:val="36"/>
    </w:rPr>
  </w:style>
  <w:style w:type="character" w:customStyle="1" w:styleId="Heading3Char">
    <w:name w:val="Heading 3 Char"/>
    <w:basedOn w:val="DefaultParagraphFont"/>
    <w:link w:val="Heading3"/>
    <w:rsid w:val="00F25118"/>
    <w:rPr>
      <w:rFonts w:ascii="Arial Narrow" w:eastAsia="Times New Roman" w:hAnsi="Arial Narrow" w:cs="Arial"/>
      <w:iCs/>
      <w:smallCaps/>
      <w:spacing w:val="20"/>
      <w:sz w:val="36"/>
      <w:szCs w:val="34"/>
    </w:rPr>
  </w:style>
  <w:style w:type="character" w:customStyle="1" w:styleId="Heading4Char">
    <w:name w:val="Heading 4 Char"/>
    <w:basedOn w:val="DefaultParagraphFont"/>
    <w:link w:val="Heading4"/>
    <w:rsid w:val="00F25118"/>
    <w:rPr>
      <w:rFonts w:ascii="Arial Narrow" w:eastAsia="Times New Roman" w:hAnsi="Arial Narrow" w:cs="Arial"/>
      <w:smallCaps/>
      <w:spacing w:val="20"/>
      <w:sz w:val="30"/>
      <w:szCs w:val="28"/>
    </w:rPr>
  </w:style>
  <w:style w:type="character" w:customStyle="1" w:styleId="Heading5Char">
    <w:name w:val="Heading 5 Char"/>
    <w:basedOn w:val="DefaultParagraphFont"/>
    <w:link w:val="Heading5"/>
    <w:rsid w:val="00F25118"/>
    <w:rPr>
      <w:rFonts w:ascii="Arial Narrow" w:eastAsia="Times New Roman" w:hAnsi="Arial Narrow" w:cs="Arial"/>
      <w:smallCaps/>
      <w:spacing w:val="20"/>
      <w:sz w:val="26"/>
      <w:szCs w:val="24"/>
    </w:rPr>
  </w:style>
  <w:style w:type="character" w:customStyle="1" w:styleId="Heading6Char">
    <w:name w:val="Heading 6 Char"/>
    <w:basedOn w:val="DefaultParagraphFont"/>
    <w:link w:val="Heading6"/>
    <w:rsid w:val="00F25118"/>
    <w:rPr>
      <w:rFonts w:ascii="Arial Narrow" w:eastAsia="Times New Roman" w:hAnsi="Arial Narrow" w:cs="Arial"/>
      <w:smallCaps/>
      <w:spacing w:val="20"/>
    </w:rPr>
  </w:style>
  <w:style w:type="character" w:customStyle="1" w:styleId="Heading8Char">
    <w:name w:val="Heading 8 Char"/>
    <w:basedOn w:val="DefaultParagraphFont"/>
    <w:link w:val="Heading8"/>
    <w:semiHidden/>
    <w:rsid w:val="00F25118"/>
    <w:rPr>
      <w:rFonts w:ascii="Calibri" w:eastAsia="Times New Roman" w:hAnsi="Calibri" w:cs="Times New Roman"/>
      <w:i/>
      <w:iCs/>
      <w:sz w:val="24"/>
      <w:szCs w:val="24"/>
    </w:rPr>
  </w:style>
  <w:style w:type="paragraph" w:customStyle="1" w:styleId="CommitteeName">
    <w:name w:val="Committee Name"/>
    <w:basedOn w:val="Normal"/>
    <w:rsid w:val="00F25118"/>
    <w:pPr>
      <w:spacing w:before="600"/>
      <w:jc w:val="right"/>
    </w:pPr>
    <w:rPr>
      <w:rFonts w:ascii="Arial Narrow" w:hAnsi="Arial Narrow"/>
      <w:smallCaps/>
      <w:spacing w:val="40"/>
      <w:sz w:val="28"/>
      <w:szCs w:val="28"/>
    </w:rPr>
  </w:style>
  <w:style w:type="paragraph" w:styleId="ListNumber3">
    <w:name w:val="List Number 3"/>
    <w:basedOn w:val="Normal"/>
    <w:rsid w:val="00F25118"/>
    <w:pPr>
      <w:numPr>
        <w:ilvl w:val="1"/>
        <w:numId w:val="1"/>
      </w:numPr>
      <w:tabs>
        <w:tab w:val="clear" w:pos="284"/>
        <w:tab w:val="num" w:pos="964"/>
      </w:tabs>
      <w:spacing w:before="40" w:after="60" w:line="288" w:lineRule="auto"/>
      <w:ind w:left="964"/>
    </w:pPr>
  </w:style>
  <w:style w:type="paragraph" w:styleId="TOCHeading">
    <w:name w:val="TOC Heading"/>
    <w:basedOn w:val="Normal"/>
    <w:next w:val="Normal"/>
    <w:uiPriority w:val="39"/>
    <w:unhideWhenUsed/>
    <w:rsid w:val="00F25118"/>
    <w:pPr>
      <w:spacing w:before="320" w:after="480" w:line="500" w:lineRule="exact"/>
      <w:outlineLvl w:val="1"/>
    </w:pPr>
    <w:rPr>
      <w:rFonts w:ascii="Arial Narrow" w:hAnsi="Arial Narrow"/>
      <w:smallCaps/>
      <w:spacing w:val="20"/>
      <w:kern w:val="42"/>
      <w:sz w:val="44"/>
      <w:szCs w:val="44"/>
    </w:rPr>
  </w:style>
  <w:style w:type="paragraph" w:styleId="ListBullet">
    <w:name w:val="List Bullet"/>
    <w:link w:val="ListBulletChar"/>
    <w:autoRedefine/>
    <w:qFormat/>
    <w:rsid w:val="002C6B55"/>
    <w:pPr>
      <w:spacing w:before="40" w:after="60" w:line="288" w:lineRule="auto"/>
    </w:pPr>
    <w:rPr>
      <w:rFonts w:ascii="Calibri" w:eastAsia="Times New Roman" w:hAnsi="Calibri" w:cs="Times New Roman"/>
    </w:rPr>
  </w:style>
  <w:style w:type="paragraph" w:styleId="ListBullet2">
    <w:name w:val="List Bullet 2"/>
    <w:autoRedefine/>
    <w:rsid w:val="00F25118"/>
    <w:pPr>
      <w:spacing w:before="40" w:after="60" w:line="288" w:lineRule="auto"/>
    </w:pPr>
    <w:rPr>
      <w:rFonts w:ascii="Calibri" w:eastAsia="Times New Roman" w:hAnsi="Calibri" w:cs="Times New Roman"/>
      <w:szCs w:val="24"/>
    </w:rPr>
  </w:style>
  <w:style w:type="paragraph" w:styleId="Caption">
    <w:name w:val="caption"/>
    <w:next w:val="Normal"/>
    <w:qFormat/>
    <w:rsid w:val="00F25118"/>
    <w:pPr>
      <w:keepNext/>
      <w:spacing w:before="400" w:after="60" w:line="312" w:lineRule="auto"/>
      <w:ind w:left="567"/>
    </w:pPr>
    <w:rPr>
      <w:rFonts w:ascii="Arial Narrow" w:eastAsia="Times New Roman" w:hAnsi="Arial Narrow" w:cs="Times New Roman"/>
      <w:bCs/>
      <w:kern w:val="26"/>
      <w:sz w:val="26"/>
      <w:szCs w:val="20"/>
    </w:rPr>
  </w:style>
  <w:style w:type="paragraph" w:styleId="TOC4">
    <w:name w:val="toc 4"/>
    <w:basedOn w:val="Normal"/>
    <w:next w:val="Normal"/>
    <w:autoRedefine/>
    <w:semiHidden/>
    <w:rsid w:val="00F25118"/>
    <w:pPr>
      <w:ind w:left="660"/>
    </w:pPr>
    <w:rPr>
      <w:sz w:val="18"/>
      <w:szCs w:val="18"/>
    </w:rPr>
  </w:style>
  <w:style w:type="character" w:styleId="Hyperlink">
    <w:name w:val="Hyperlink"/>
    <w:uiPriority w:val="99"/>
    <w:rsid w:val="00F25118"/>
    <w:rPr>
      <w:color w:val="0000FF"/>
      <w:u w:val="single"/>
    </w:rPr>
  </w:style>
  <w:style w:type="paragraph" w:styleId="TOC1">
    <w:name w:val="toc 1"/>
    <w:next w:val="Normal"/>
    <w:autoRedefine/>
    <w:uiPriority w:val="39"/>
    <w:rsid w:val="00F25118"/>
    <w:pPr>
      <w:tabs>
        <w:tab w:val="right" w:leader="dot" w:pos="9061"/>
      </w:tabs>
      <w:spacing w:before="180" w:after="40" w:line="312" w:lineRule="auto"/>
      <w:ind w:left="425" w:hanging="425"/>
    </w:pPr>
    <w:rPr>
      <w:rFonts w:ascii="Calibri" w:eastAsia="Times New Roman" w:hAnsi="Calibri" w:cs="Times New Roman"/>
      <w:b/>
      <w:bCs/>
      <w:smallCaps/>
      <w:spacing w:val="40"/>
      <w:sz w:val="24"/>
      <w:szCs w:val="20"/>
    </w:rPr>
  </w:style>
  <w:style w:type="paragraph" w:styleId="TOC2">
    <w:name w:val="toc 2"/>
    <w:autoRedefine/>
    <w:uiPriority w:val="39"/>
    <w:rsid w:val="00F25118"/>
    <w:pPr>
      <w:tabs>
        <w:tab w:val="right" w:leader="dot" w:pos="9061"/>
      </w:tabs>
      <w:spacing w:before="40" w:after="0" w:line="312" w:lineRule="auto"/>
      <w:ind w:left="992" w:hanging="567"/>
    </w:pPr>
    <w:rPr>
      <w:rFonts w:ascii="Calibri" w:eastAsia="Times New Roman" w:hAnsi="Calibri" w:cs="Times New Roman"/>
      <w:b/>
      <w:sz w:val="20"/>
      <w:szCs w:val="20"/>
    </w:rPr>
  </w:style>
  <w:style w:type="paragraph" w:styleId="Header">
    <w:name w:val="header"/>
    <w:link w:val="HeaderChar"/>
    <w:uiPriority w:val="99"/>
    <w:rsid w:val="00F25118"/>
    <w:pPr>
      <w:tabs>
        <w:tab w:val="right" w:pos="8640"/>
      </w:tabs>
      <w:spacing w:after="0" w:line="240" w:lineRule="auto"/>
      <w:ind w:left="680" w:hanging="680"/>
    </w:pPr>
    <w:rPr>
      <w:rFonts w:ascii="Calibri" w:eastAsia="Times New Roman" w:hAnsi="Calibri" w:cs="Times New Roman"/>
      <w:caps/>
      <w:spacing w:val="40"/>
      <w:sz w:val="20"/>
      <w:szCs w:val="14"/>
    </w:rPr>
  </w:style>
  <w:style w:type="character" w:customStyle="1" w:styleId="HeaderChar">
    <w:name w:val="Header Char"/>
    <w:basedOn w:val="DefaultParagraphFont"/>
    <w:link w:val="Header"/>
    <w:uiPriority w:val="99"/>
    <w:rsid w:val="00F25118"/>
    <w:rPr>
      <w:rFonts w:ascii="Calibri" w:eastAsia="Times New Roman" w:hAnsi="Calibri" w:cs="Times New Roman"/>
      <w:caps/>
      <w:spacing w:val="40"/>
      <w:sz w:val="20"/>
      <w:szCs w:val="14"/>
    </w:rPr>
  </w:style>
  <w:style w:type="paragraph" w:styleId="TableofFigures">
    <w:name w:val="table of figures"/>
    <w:next w:val="Normal"/>
    <w:semiHidden/>
    <w:rsid w:val="00F25118"/>
    <w:pPr>
      <w:spacing w:before="240" w:after="0" w:line="240" w:lineRule="auto"/>
      <w:ind w:left="1162" w:hanging="482"/>
    </w:pPr>
    <w:rPr>
      <w:rFonts w:ascii="Arial" w:eastAsia="Times New Roman" w:hAnsi="Arial" w:cs="Times New Roman"/>
      <w:b/>
      <w:sz w:val="20"/>
      <w:szCs w:val="20"/>
    </w:rPr>
  </w:style>
  <w:style w:type="paragraph" w:styleId="Footer">
    <w:name w:val="footer"/>
    <w:basedOn w:val="Normal"/>
    <w:link w:val="FooterChar"/>
    <w:uiPriority w:val="99"/>
    <w:rsid w:val="00F25118"/>
    <w:pPr>
      <w:tabs>
        <w:tab w:val="center" w:pos="4320"/>
        <w:tab w:val="right" w:pos="8640"/>
      </w:tabs>
    </w:pPr>
    <w:rPr>
      <w:sz w:val="20"/>
    </w:rPr>
  </w:style>
  <w:style w:type="character" w:customStyle="1" w:styleId="FooterChar">
    <w:name w:val="Footer Char"/>
    <w:basedOn w:val="DefaultParagraphFont"/>
    <w:link w:val="Footer"/>
    <w:uiPriority w:val="99"/>
    <w:rsid w:val="00F25118"/>
    <w:rPr>
      <w:rFonts w:ascii="Calibri" w:eastAsia="Times New Roman" w:hAnsi="Calibri" w:cs="Times New Roman"/>
      <w:sz w:val="20"/>
      <w:szCs w:val="24"/>
    </w:rPr>
  </w:style>
  <w:style w:type="character" w:styleId="PageNumber">
    <w:name w:val="page number"/>
    <w:rsid w:val="00F25118"/>
    <w:rPr>
      <w:rFonts w:ascii="Calibri" w:hAnsi="Calibri"/>
      <w:sz w:val="20"/>
      <w:szCs w:val="18"/>
    </w:rPr>
  </w:style>
  <w:style w:type="paragraph" w:styleId="TOC5">
    <w:name w:val="toc 5"/>
    <w:basedOn w:val="Normal"/>
    <w:next w:val="Normal"/>
    <w:autoRedefine/>
    <w:semiHidden/>
    <w:rsid w:val="00F25118"/>
    <w:pPr>
      <w:ind w:left="880"/>
    </w:pPr>
    <w:rPr>
      <w:sz w:val="18"/>
      <w:szCs w:val="18"/>
    </w:rPr>
  </w:style>
  <w:style w:type="paragraph" w:styleId="Quote">
    <w:name w:val="Quote"/>
    <w:basedOn w:val="Normal"/>
    <w:link w:val="QuoteChar"/>
    <w:qFormat/>
    <w:rsid w:val="00F25118"/>
    <w:pPr>
      <w:spacing w:before="60" w:after="80" w:line="288" w:lineRule="auto"/>
      <w:ind w:left="1247"/>
    </w:pPr>
    <w:rPr>
      <w:rFonts w:cs="Arial"/>
      <w:iCs/>
    </w:rPr>
  </w:style>
  <w:style w:type="character" w:customStyle="1" w:styleId="QuoteChar">
    <w:name w:val="Quote Char"/>
    <w:basedOn w:val="DefaultParagraphFont"/>
    <w:link w:val="Quote"/>
    <w:rsid w:val="00F25118"/>
    <w:rPr>
      <w:rFonts w:ascii="Calibri" w:eastAsia="Times New Roman" w:hAnsi="Calibri" w:cs="Arial"/>
      <w:iCs/>
      <w:szCs w:val="24"/>
    </w:rPr>
  </w:style>
  <w:style w:type="paragraph" w:styleId="FootnoteText">
    <w:name w:val="footnote text"/>
    <w:basedOn w:val="Normal"/>
    <w:link w:val="FootnoteTextChar"/>
    <w:semiHidden/>
    <w:rsid w:val="00F25118"/>
    <w:pPr>
      <w:spacing w:before="80" w:after="80" w:line="160" w:lineRule="exact"/>
      <w:ind w:left="170" w:hanging="170"/>
    </w:pPr>
    <w:rPr>
      <w:sz w:val="18"/>
      <w:szCs w:val="20"/>
    </w:rPr>
  </w:style>
  <w:style w:type="character" w:customStyle="1" w:styleId="FootnoteTextChar">
    <w:name w:val="Footnote Text Char"/>
    <w:basedOn w:val="DefaultParagraphFont"/>
    <w:link w:val="FootnoteText"/>
    <w:semiHidden/>
    <w:rsid w:val="00F25118"/>
    <w:rPr>
      <w:rFonts w:ascii="Calibri" w:eastAsia="Times New Roman" w:hAnsi="Calibri" w:cs="Times New Roman"/>
      <w:sz w:val="18"/>
      <w:szCs w:val="20"/>
    </w:rPr>
  </w:style>
  <w:style w:type="character" w:styleId="FootnoteReference">
    <w:name w:val="footnote reference"/>
    <w:semiHidden/>
    <w:rsid w:val="00F25118"/>
    <w:rPr>
      <w:vertAlign w:val="superscript"/>
    </w:rPr>
  </w:style>
  <w:style w:type="paragraph" w:styleId="TOC3">
    <w:name w:val="toc 3"/>
    <w:basedOn w:val="Normal"/>
    <w:next w:val="Normal"/>
    <w:autoRedefine/>
    <w:uiPriority w:val="39"/>
    <w:rsid w:val="00F25118"/>
    <w:pPr>
      <w:tabs>
        <w:tab w:val="right" w:leader="dot" w:pos="9061"/>
      </w:tabs>
      <w:spacing w:before="40"/>
      <w:ind w:left="1276" w:hanging="425"/>
    </w:pPr>
    <w:rPr>
      <w:b/>
      <w:iCs/>
      <w:noProof/>
      <w:sz w:val="20"/>
      <w:szCs w:val="22"/>
      <w:lang w:eastAsia="en-AU"/>
    </w:rPr>
  </w:style>
  <w:style w:type="paragraph" w:customStyle="1" w:styleId="RecommendationHeading">
    <w:name w:val="Recommendation Heading"/>
    <w:basedOn w:val="Normal"/>
    <w:next w:val="RecommendationText"/>
    <w:qFormat/>
    <w:rsid w:val="00F25118"/>
    <w:pPr>
      <w:spacing w:before="400"/>
    </w:pPr>
    <w:rPr>
      <w:rFonts w:ascii="Arial Narrow" w:hAnsi="Arial Narrow"/>
      <w:b/>
      <w:spacing w:val="20"/>
      <w:sz w:val="28"/>
      <w:szCs w:val="28"/>
    </w:rPr>
  </w:style>
  <w:style w:type="character" w:styleId="FollowedHyperlink">
    <w:name w:val="FollowedHyperlink"/>
    <w:rsid w:val="00F25118"/>
    <w:rPr>
      <w:color w:val="800080"/>
      <w:u w:val="single"/>
    </w:rPr>
  </w:style>
  <w:style w:type="table" w:styleId="TableGrid">
    <w:name w:val="Table Grid"/>
    <w:basedOn w:val="TableNormal"/>
    <w:rsid w:val="00F2511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semiHidden/>
    <w:rsid w:val="00F25118"/>
    <w:pPr>
      <w:ind w:left="1100"/>
    </w:pPr>
    <w:rPr>
      <w:sz w:val="18"/>
      <w:szCs w:val="18"/>
    </w:rPr>
  </w:style>
  <w:style w:type="paragraph" w:styleId="TOC7">
    <w:name w:val="toc 7"/>
    <w:basedOn w:val="Normal"/>
    <w:next w:val="Normal"/>
    <w:autoRedefine/>
    <w:semiHidden/>
    <w:rsid w:val="00F25118"/>
    <w:pPr>
      <w:ind w:left="1320"/>
    </w:pPr>
    <w:rPr>
      <w:sz w:val="18"/>
      <w:szCs w:val="18"/>
    </w:rPr>
  </w:style>
  <w:style w:type="paragraph" w:styleId="TOC8">
    <w:name w:val="toc 8"/>
    <w:basedOn w:val="Normal"/>
    <w:next w:val="Normal"/>
    <w:autoRedefine/>
    <w:semiHidden/>
    <w:rsid w:val="00F25118"/>
    <w:pPr>
      <w:ind w:left="1540"/>
    </w:pPr>
    <w:rPr>
      <w:sz w:val="18"/>
      <w:szCs w:val="18"/>
    </w:rPr>
  </w:style>
  <w:style w:type="paragraph" w:styleId="TOC9">
    <w:name w:val="toc 9"/>
    <w:basedOn w:val="Normal"/>
    <w:next w:val="Normal"/>
    <w:autoRedefine/>
    <w:semiHidden/>
    <w:rsid w:val="00F25118"/>
    <w:pPr>
      <w:ind w:left="1760"/>
    </w:pPr>
    <w:rPr>
      <w:sz w:val="18"/>
      <w:szCs w:val="18"/>
    </w:rPr>
  </w:style>
  <w:style w:type="numbering" w:customStyle="1" w:styleId="test1">
    <w:name w:val="test1"/>
    <w:uiPriority w:val="99"/>
    <w:rsid w:val="00F25118"/>
    <w:pPr>
      <w:numPr>
        <w:numId w:val="2"/>
      </w:numPr>
    </w:pPr>
  </w:style>
  <w:style w:type="paragraph" w:customStyle="1" w:styleId="RecommendationText">
    <w:name w:val="Recommendation Text"/>
    <w:basedOn w:val="BodyText"/>
    <w:next w:val="BodyText"/>
    <w:link w:val="RecommendationTextChar"/>
    <w:qFormat/>
    <w:rsid w:val="00F25118"/>
    <w:pPr>
      <w:spacing w:before="120"/>
    </w:pPr>
    <w:rPr>
      <w:b/>
    </w:rPr>
  </w:style>
  <w:style w:type="character" w:customStyle="1" w:styleId="RecommendationTextChar">
    <w:name w:val="Recommendation Text Char"/>
    <w:link w:val="RecommendationText"/>
    <w:rsid w:val="00F25118"/>
    <w:rPr>
      <w:rFonts w:ascii="Calibri" w:eastAsia="Times New Roman" w:hAnsi="Calibri" w:cs="Times New Roman"/>
      <w:b/>
      <w:szCs w:val="24"/>
    </w:rPr>
  </w:style>
  <w:style w:type="table" w:customStyle="1" w:styleId="CommitteeTable">
    <w:name w:val="Committee Table"/>
    <w:basedOn w:val="TableNormal"/>
    <w:uiPriority w:val="99"/>
    <w:rsid w:val="00F25118"/>
    <w:pPr>
      <w:spacing w:before="160" w:after="80" w:line="240" w:lineRule="auto"/>
    </w:pPr>
    <w:rPr>
      <w:rFonts w:ascii="Calibri" w:eastAsia="Times New Roman" w:hAnsi="Calibri" w:cs="Times New Roman"/>
      <w:szCs w:val="20"/>
      <w:lang w:eastAsia="en-AU"/>
    </w:rPr>
    <w:tblPr>
      <w:tblStyleRowBandSize w:val="1"/>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vAlign w:val="center"/>
    </w:tcPr>
    <w:tblStylePr w:type="firstRow">
      <w:pPr>
        <w:wordWrap/>
        <w:spacing w:beforeLines="0" w:before="160" w:beforeAutospacing="0" w:afterLines="0" w:after="80" w:afterAutospacing="0" w:line="288" w:lineRule="auto"/>
      </w:pPr>
      <w:rPr>
        <w:rFonts w:ascii="Arial Narrow" w:hAnsi="Arial Narrow"/>
        <w:b/>
        <w:sz w:val="22"/>
      </w:rPr>
      <w:tblPr/>
      <w:trPr>
        <w:tblHeader/>
      </w:trPr>
    </w:tblStylePr>
    <w:tblStylePr w:type="band1Horz">
      <w:rPr>
        <w:rFonts w:ascii="Arial Narrow" w:hAnsi="Arial Narrow"/>
        <w:sz w:val="20"/>
      </w:rPr>
      <w:tblPr/>
      <w:tcPr>
        <w:shd w:val="clear" w:color="auto" w:fill="F2F2F2"/>
      </w:tcPr>
    </w:tblStylePr>
  </w:style>
  <w:style w:type="paragraph" w:customStyle="1" w:styleId="RecommendationBullet">
    <w:name w:val="Recommendation Bullet"/>
    <w:basedOn w:val="ListBullet"/>
    <w:link w:val="RecommendationBulletChar"/>
    <w:qFormat/>
    <w:rsid w:val="00F25118"/>
    <w:rPr>
      <w:b/>
    </w:rPr>
  </w:style>
  <w:style w:type="character" w:customStyle="1" w:styleId="ListBulletChar">
    <w:name w:val="List Bullet Char"/>
    <w:link w:val="ListBullet"/>
    <w:rsid w:val="002C6B55"/>
    <w:rPr>
      <w:rFonts w:ascii="Calibri" w:eastAsia="Times New Roman" w:hAnsi="Calibri" w:cs="Times New Roman"/>
    </w:rPr>
  </w:style>
  <w:style w:type="character" w:customStyle="1" w:styleId="RecommendationBulletChar">
    <w:name w:val="Recommendation Bullet Char"/>
    <w:link w:val="RecommendationBullet"/>
    <w:rsid w:val="00F25118"/>
    <w:rPr>
      <w:rFonts w:ascii="Calibri" w:eastAsia="Times New Roman" w:hAnsi="Calibri" w:cs="Times New Roman"/>
      <w:b/>
    </w:rPr>
  </w:style>
  <w:style w:type="paragraph" w:styleId="BalloonText">
    <w:name w:val="Balloon Text"/>
    <w:basedOn w:val="Normal"/>
    <w:link w:val="BalloonTextChar"/>
    <w:semiHidden/>
    <w:unhideWhenUsed/>
    <w:rsid w:val="00F25118"/>
    <w:rPr>
      <w:rFonts w:ascii="Segoe UI" w:hAnsi="Segoe UI" w:cs="Segoe UI"/>
      <w:sz w:val="18"/>
      <w:szCs w:val="18"/>
    </w:rPr>
  </w:style>
  <w:style w:type="character" w:customStyle="1" w:styleId="BalloonTextChar">
    <w:name w:val="Balloon Text Char"/>
    <w:basedOn w:val="DefaultParagraphFont"/>
    <w:link w:val="BalloonText"/>
    <w:semiHidden/>
    <w:rsid w:val="00F25118"/>
    <w:rPr>
      <w:rFonts w:ascii="Segoe UI" w:eastAsia="Times New Roman" w:hAnsi="Segoe UI" w:cs="Segoe UI"/>
      <w:sz w:val="18"/>
      <w:szCs w:val="18"/>
    </w:rPr>
  </w:style>
  <w:style w:type="paragraph" w:styleId="BodyText">
    <w:name w:val="Body Text"/>
    <w:basedOn w:val="Normal"/>
    <w:link w:val="BodyTextChar"/>
    <w:unhideWhenUsed/>
    <w:rsid w:val="004C72EF"/>
    <w:pPr>
      <w:numPr>
        <w:numId w:val="16"/>
      </w:numPr>
      <w:spacing w:line="288" w:lineRule="auto"/>
    </w:pPr>
  </w:style>
  <w:style w:type="character" w:customStyle="1" w:styleId="BodyTextChar">
    <w:name w:val="Body Text Char"/>
    <w:basedOn w:val="DefaultParagraphFont"/>
    <w:link w:val="BodyText"/>
    <w:rsid w:val="00F25118"/>
    <w:rPr>
      <w:rFonts w:ascii="Calibri" w:eastAsia="Times New Roman" w:hAnsi="Calibri" w:cs="Times New Roman"/>
      <w:szCs w:val="24"/>
    </w:rPr>
  </w:style>
  <w:style w:type="paragraph" w:styleId="ListNumber">
    <w:name w:val="List Number"/>
    <w:basedOn w:val="Normal"/>
    <w:rsid w:val="00F25118"/>
    <w:pPr>
      <w:numPr>
        <w:numId w:val="4"/>
      </w:numPr>
      <w:contextualSpacing/>
    </w:pPr>
  </w:style>
  <w:style w:type="paragraph" w:styleId="ListParagraph">
    <w:name w:val="List Paragraph"/>
    <w:basedOn w:val="Normal"/>
    <w:uiPriority w:val="34"/>
    <w:qFormat/>
    <w:rsid w:val="00F25118"/>
    <w:pPr>
      <w:spacing w:before="40" w:after="60" w:line="288" w:lineRule="auto"/>
      <w:ind w:left="567"/>
    </w:pPr>
    <w:rPr>
      <w:rFonts w:eastAsia="Calibri"/>
      <w:szCs w:val="22"/>
    </w:rPr>
  </w:style>
  <w:style w:type="character" w:styleId="CommentReference">
    <w:name w:val="annotation reference"/>
    <w:semiHidden/>
    <w:unhideWhenUsed/>
    <w:rsid w:val="00F25118"/>
    <w:rPr>
      <w:sz w:val="16"/>
      <w:szCs w:val="16"/>
    </w:rPr>
  </w:style>
  <w:style w:type="paragraph" w:styleId="CommentText">
    <w:name w:val="annotation text"/>
    <w:basedOn w:val="Normal"/>
    <w:link w:val="CommentTextChar"/>
    <w:semiHidden/>
    <w:unhideWhenUsed/>
    <w:rsid w:val="00F25118"/>
    <w:rPr>
      <w:sz w:val="20"/>
      <w:szCs w:val="20"/>
    </w:rPr>
  </w:style>
  <w:style w:type="character" w:customStyle="1" w:styleId="CommentTextChar">
    <w:name w:val="Comment Text Char"/>
    <w:basedOn w:val="DefaultParagraphFont"/>
    <w:link w:val="CommentText"/>
    <w:semiHidden/>
    <w:rsid w:val="00F2511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F25118"/>
    <w:rPr>
      <w:b/>
      <w:bCs/>
    </w:rPr>
  </w:style>
  <w:style w:type="character" w:customStyle="1" w:styleId="CommentSubjectChar">
    <w:name w:val="Comment Subject Char"/>
    <w:basedOn w:val="CommentTextChar"/>
    <w:link w:val="CommentSubject"/>
    <w:semiHidden/>
    <w:rsid w:val="00F25118"/>
    <w:rPr>
      <w:rFonts w:ascii="Calibri" w:eastAsia="Times New Roman" w:hAnsi="Calibri" w:cs="Times New Roman"/>
      <w:b/>
      <w:bCs/>
      <w:sz w:val="20"/>
      <w:szCs w:val="20"/>
    </w:rPr>
  </w:style>
  <w:style w:type="paragraph" w:styleId="Signature">
    <w:name w:val="Signature"/>
    <w:basedOn w:val="Normal"/>
    <w:next w:val="Normal"/>
    <w:link w:val="SignatureChar"/>
    <w:unhideWhenUsed/>
    <w:rsid w:val="00F25118"/>
    <w:pPr>
      <w:spacing w:before="1800"/>
    </w:pPr>
  </w:style>
  <w:style w:type="character" w:customStyle="1" w:styleId="SignatureChar">
    <w:name w:val="Signature Char"/>
    <w:basedOn w:val="DefaultParagraphFont"/>
    <w:link w:val="Signature"/>
    <w:rsid w:val="00F25118"/>
    <w:rPr>
      <w:rFonts w:ascii="Calibri" w:eastAsia="Times New Roman" w:hAnsi="Calibri" w:cs="Times New Roman"/>
      <w:szCs w:val="24"/>
    </w:rPr>
  </w:style>
  <w:style w:type="paragraph" w:customStyle="1" w:styleId="TableHeading">
    <w:name w:val="Table Heading"/>
    <w:basedOn w:val="Normal"/>
    <w:qFormat/>
    <w:rsid w:val="00F25118"/>
    <w:pPr>
      <w:spacing w:before="160" w:after="80" w:line="288" w:lineRule="auto"/>
    </w:pPr>
    <w:rPr>
      <w:rFonts w:ascii="Arial Narrow" w:hAnsi="Arial Narrow"/>
      <w:b/>
    </w:rPr>
  </w:style>
  <w:style w:type="paragraph" w:customStyle="1" w:styleId="TableText">
    <w:name w:val="Table Text"/>
    <w:basedOn w:val="Normal"/>
    <w:qFormat/>
    <w:rsid w:val="00F25118"/>
    <w:pPr>
      <w:spacing w:before="160" w:after="80" w:line="288" w:lineRule="auto"/>
    </w:pPr>
  </w:style>
  <w:style w:type="paragraph" w:customStyle="1" w:styleId="ListNoBullet">
    <w:name w:val="List NoBullet"/>
    <w:basedOn w:val="Normal"/>
    <w:qFormat/>
    <w:rsid w:val="00F25118"/>
    <w:pPr>
      <w:numPr>
        <w:numId w:val="5"/>
      </w:numPr>
      <w:spacing w:before="40" w:after="60" w:line="288" w:lineRule="auto"/>
    </w:pPr>
  </w:style>
  <w:style w:type="paragraph" w:styleId="ListBullet3">
    <w:name w:val="List Bullet 3"/>
    <w:basedOn w:val="Normal"/>
    <w:unhideWhenUsed/>
    <w:rsid w:val="00F25118"/>
    <w:pPr>
      <w:numPr>
        <w:numId w:val="3"/>
      </w:numPr>
      <w:contextualSpacing/>
    </w:pPr>
  </w:style>
  <w:style w:type="paragraph" w:customStyle="1" w:styleId="FindingHeading">
    <w:name w:val="Finding Heading"/>
    <w:basedOn w:val="RecommendationHeading"/>
    <w:next w:val="FindingText"/>
    <w:qFormat/>
    <w:rsid w:val="00F25118"/>
  </w:style>
  <w:style w:type="paragraph" w:customStyle="1" w:styleId="FindingText">
    <w:name w:val="Finding Text"/>
    <w:basedOn w:val="RecommendationText"/>
    <w:next w:val="BodyText"/>
    <w:qFormat/>
    <w:rsid w:val="00F25118"/>
  </w:style>
  <w:style w:type="paragraph" w:customStyle="1" w:styleId="FindingBullet">
    <w:name w:val="Finding Bullet"/>
    <w:basedOn w:val="RecommendationBullet"/>
    <w:qFormat/>
    <w:rsid w:val="00F25118"/>
  </w:style>
  <w:style w:type="numbering" w:customStyle="1" w:styleId="CommitteeNumberedPara">
    <w:name w:val="Committee Numbered Para"/>
    <w:uiPriority w:val="99"/>
    <w:rsid w:val="00F25118"/>
    <w:pPr>
      <w:numPr>
        <w:numId w:val="6"/>
      </w:numPr>
    </w:pPr>
  </w:style>
  <w:style w:type="paragraph" w:styleId="Date">
    <w:name w:val="Date"/>
    <w:basedOn w:val="Normal"/>
    <w:next w:val="Normal"/>
    <w:link w:val="DateChar"/>
    <w:rsid w:val="00F25118"/>
    <w:pPr>
      <w:spacing w:before="600"/>
      <w:jc w:val="right"/>
    </w:pPr>
    <w:rPr>
      <w:rFonts w:ascii="Arial Narrow" w:hAnsi="Arial Narrow"/>
      <w:smallCaps/>
      <w:spacing w:val="60"/>
    </w:rPr>
  </w:style>
  <w:style w:type="character" w:customStyle="1" w:styleId="DateChar">
    <w:name w:val="Date Char"/>
    <w:basedOn w:val="DefaultParagraphFont"/>
    <w:link w:val="Date"/>
    <w:rsid w:val="00F25118"/>
    <w:rPr>
      <w:rFonts w:ascii="Arial Narrow" w:eastAsia="Times New Roman" w:hAnsi="Arial Narrow" w:cs="Times New Roman"/>
      <w:smallCaps/>
      <w:spacing w:val="60"/>
      <w:szCs w:val="24"/>
    </w:rPr>
  </w:style>
  <w:style w:type="paragraph" w:customStyle="1" w:styleId="QuoteListBullet">
    <w:name w:val="Quote List Bullet"/>
    <w:qFormat/>
    <w:rsid w:val="00F25118"/>
    <w:pPr>
      <w:numPr>
        <w:numId w:val="7"/>
      </w:numPr>
      <w:spacing w:before="40" w:after="60" w:line="288" w:lineRule="auto"/>
    </w:pPr>
    <w:rPr>
      <w:rFonts w:ascii="Calibri" w:eastAsia="Times New Roman" w:hAnsi="Calibri" w:cs="Times New Roman"/>
    </w:rPr>
  </w:style>
  <w:style w:type="paragraph" w:customStyle="1" w:styleId="QuoteListBullet2">
    <w:name w:val="Quote List Bullet 2"/>
    <w:qFormat/>
    <w:rsid w:val="00F25118"/>
    <w:pPr>
      <w:numPr>
        <w:ilvl w:val="1"/>
        <w:numId w:val="7"/>
      </w:numPr>
      <w:spacing w:before="40" w:after="60" w:line="288" w:lineRule="auto"/>
    </w:pPr>
    <w:rPr>
      <w:rFonts w:ascii="Calibri" w:eastAsia="Times New Roman" w:hAnsi="Calibri" w:cs="Times New Roman"/>
    </w:rPr>
  </w:style>
  <w:style w:type="paragraph" w:customStyle="1" w:styleId="ListWitnesses">
    <w:name w:val="List Witnesses"/>
    <w:qFormat/>
    <w:rsid w:val="00F25118"/>
    <w:pPr>
      <w:numPr>
        <w:numId w:val="8"/>
      </w:numPr>
      <w:spacing w:after="0" w:line="288"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F25118"/>
    <w:rPr>
      <w:color w:val="605E5C"/>
      <w:shd w:val="clear" w:color="auto" w:fill="E1DFDD"/>
    </w:rPr>
  </w:style>
  <w:style w:type="paragraph" w:customStyle="1" w:styleId="Default">
    <w:name w:val="Default"/>
    <w:rsid w:val="00F25118"/>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Bodytextnonumbering">
    <w:name w:val="Body text no numbering"/>
    <w:basedOn w:val="Normal"/>
    <w:rsid w:val="00290FD2"/>
    <w:pPr>
      <w:keepNext/>
      <w:spacing w:before="160" w:after="80" w:line="288" w:lineRule="auto"/>
      <w:outlineLvl w:val="1"/>
    </w:pPr>
    <w:rPr>
      <w:rFonts w:cs="Arial"/>
      <w:iCs/>
    </w:rPr>
  </w:style>
  <w:style w:type="paragraph" w:customStyle="1" w:styleId="TableText10">
    <w:name w:val="TableText10"/>
    <w:basedOn w:val="Normal"/>
    <w:uiPriority w:val="99"/>
    <w:rsid w:val="00DD7AA8"/>
    <w:pPr>
      <w:tabs>
        <w:tab w:val="left" w:pos="0"/>
      </w:tabs>
      <w:spacing w:before="60" w:after="60" w:line="240" w:lineRule="auto"/>
    </w:pPr>
    <w:rPr>
      <w:rFonts w:ascii="Times New Roman" w:hAnsi="Times New Roman"/>
      <w:sz w:val="20"/>
      <w:szCs w:val="20"/>
    </w:rPr>
  </w:style>
  <w:style w:type="character" w:customStyle="1" w:styleId="normaltextrun">
    <w:name w:val="normaltextrun"/>
    <w:basedOn w:val="DefaultParagraphFont"/>
    <w:rsid w:val="00E416C9"/>
  </w:style>
  <w:style w:type="character" w:styleId="Strong">
    <w:name w:val="Strong"/>
    <w:basedOn w:val="DefaultParagraphFont"/>
    <w:uiPriority w:val="22"/>
    <w:qFormat/>
    <w:rsid w:val="00E67082"/>
    <w:rPr>
      <w:b/>
      <w:bCs/>
    </w:rPr>
  </w:style>
  <w:style w:type="paragraph" w:customStyle="1" w:styleId="Headinglevel3">
    <w:name w:val="Heading level 3"/>
    <w:basedOn w:val="Headinglevel2"/>
    <w:next w:val="BodyText1"/>
    <w:rsid w:val="00922DF8"/>
    <w:pPr>
      <w:tabs>
        <w:tab w:val="clear" w:pos="680"/>
        <w:tab w:val="num" w:pos="720"/>
      </w:tabs>
      <w:spacing w:before="320" w:after="100"/>
    </w:pPr>
    <w:rPr>
      <w:iCs w:val="0"/>
      <w:sz w:val="30"/>
      <w:szCs w:val="28"/>
    </w:rPr>
  </w:style>
  <w:style w:type="paragraph" w:customStyle="1" w:styleId="AppendixHeading1">
    <w:name w:val="Appendix Heading 1"/>
    <w:next w:val="Bodytextnonumbering"/>
    <w:rsid w:val="00922DF8"/>
    <w:pPr>
      <w:keepNext/>
      <w:pageBreakBefore/>
      <w:tabs>
        <w:tab w:val="num" w:pos="1440"/>
      </w:tabs>
      <w:spacing w:before="720" w:after="180" w:line="312" w:lineRule="auto"/>
      <w:ind w:left="1440" w:hanging="1440"/>
    </w:pPr>
    <w:rPr>
      <w:rFonts w:ascii="Arial Narrow" w:eastAsia="Times New Roman" w:hAnsi="Arial Narrow" w:cs="Times New Roman"/>
      <w:b/>
      <w:smallCaps/>
      <w:sz w:val="36"/>
      <w:szCs w:val="24"/>
    </w:rPr>
  </w:style>
  <w:style w:type="paragraph" w:customStyle="1" w:styleId="Recommendation">
    <w:name w:val="Recommendation"/>
    <w:basedOn w:val="Caption"/>
    <w:next w:val="RecommendationText"/>
    <w:rsid w:val="00922DF8"/>
    <w:pPr>
      <w:ind w:left="142"/>
    </w:pPr>
    <w:rPr>
      <w:b/>
      <w:smallCaps/>
      <w:spacing w:val="20"/>
      <w:sz w:val="44"/>
    </w:rPr>
  </w:style>
  <w:style w:type="paragraph" w:customStyle="1" w:styleId="Headinglevel2">
    <w:name w:val="Heading level 2"/>
    <w:next w:val="BodyText1"/>
    <w:qFormat/>
    <w:rsid w:val="00922DF8"/>
    <w:pPr>
      <w:keepNext/>
      <w:widowControl w:val="0"/>
      <w:tabs>
        <w:tab w:val="left" w:pos="567"/>
        <w:tab w:val="num" w:pos="680"/>
      </w:tabs>
      <w:spacing w:before="480" w:after="60" w:line="312" w:lineRule="auto"/>
      <w:ind w:left="454" w:hanging="454"/>
    </w:pPr>
    <w:rPr>
      <w:rFonts w:ascii="Arial Narrow" w:eastAsia="Times New Roman" w:hAnsi="Arial Narrow" w:cs="Arial"/>
      <w:iCs/>
      <w:smallCaps/>
      <w:spacing w:val="20"/>
      <w:sz w:val="36"/>
      <w:szCs w:val="34"/>
    </w:rPr>
  </w:style>
  <w:style w:type="paragraph" w:customStyle="1" w:styleId="BodyText1">
    <w:name w:val="Body Text1"/>
    <w:basedOn w:val="Normal"/>
    <w:link w:val="BodytextChar0"/>
    <w:rsid w:val="00922DF8"/>
    <w:pPr>
      <w:spacing w:line="288" w:lineRule="auto"/>
      <w:ind w:left="567" w:hanging="567"/>
    </w:pPr>
  </w:style>
  <w:style w:type="paragraph" w:customStyle="1" w:styleId="Headinglevel4">
    <w:name w:val="Heading level 4"/>
    <w:basedOn w:val="Headinglevel3"/>
    <w:next w:val="BodyText1"/>
    <w:rsid w:val="00922DF8"/>
    <w:pPr>
      <w:tabs>
        <w:tab w:val="clear" w:pos="720"/>
        <w:tab w:val="num" w:pos="864"/>
      </w:tabs>
      <w:spacing w:before="280" w:after="80"/>
      <w:ind w:left="340" w:hanging="340"/>
    </w:pPr>
    <w:rPr>
      <w:sz w:val="26"/>
      <w:szCs w:val="24"/>
    </w:rPr>
  </w:style>
  <w:style w:type="paragraph" w:customStyle="1" w:styleId="Headinglevel5">
    <w:name w:val="Heading level 5"/>
    <w:basedOn w:val="Headinglevel4"/>
    <w:next w:val="BodyText1"/>
    <w:qFormat/>
    <w:rsid w:val="00922DF8"/>
    <w:pPr>
      <w:tabs>
        <w:tab w:val="clear" w:pos="864"/>
        <w:tab w:val="num" w:pos="1008"/>
      </w:tabs>
    </w:pPr>
    <w:rPr>
      <w:sz w:val="22"/>
    </w:rPr>
  </w:style>
  <w:style w:type="character" w:customStyle="1" w:styleId="BodytextChar0">
    <w:name w:val="Body text Char"/>
    <w:link w:val="BodyText1"/>
    <w:rsid w:val="00922DF8"/>
    <w:rPr>
      <w:rFonts w:ascii="Calibri" w:eastAsia="Times New Roman" w:hAnsi="Calibri" w:cs="Times New Roman"/>
      <w:szCs w:val="24"/>
    </w:rPr>
  </w:style>
  <w:style w:type="paragraph" w:styleId="Index1">
    <w:name w:val="index 1"/>
    <w:basedOn w:val="Normal"/>
    <w:next w:val="Normal"/>
    <w:autoRedefine/>
    <w:uiPriority w:val="99"/>
    <w:rsid w:val="0084071B"/>
    <w:pPr>
      <w:widowControl w:val="0"/>
      <w:spacing w:before="0" w:after="0" w:line="240" w:lineRule="auto"/>
      <w:ind w:left="240" w:hanging="240"/>
      <w:jc w:val="both"/>
    </w:pPr>
    <w:rPr>
      <w:rFonts w:ascii="Times New Roman" w:eastAsia="MS Mincho" w:hAnsi="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476270">
      <w:bodyDiv w:val="1"/>
      <w:marLeft w:val="0"/>
      <w:marRight w:val="0"/>
      <w:marTop w:val="0"/>
      <w:marBottom w:val="0"/>
      <w:divBdr>
        <w:top w:val="none" w:sz="0" w:space="0" w:color="auto"/>
        <w:left w:val="none" w:sz="0" w:space="0" w:color="auto"/>
        <w:bottom w:val="none" w:sz="0" w:space="0" w:color="auto"/>
        <w:right w:val="none" w:sz="0" w:space="0" w:color="auto"/>
      </w:divBdr>
    </w:div>
    <w:div w:id="14130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legislation.act.gov.au/b/db_65112/" TargetMode="Externa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hansard.act.gov.au/hansard/2021/comms/hcw09.pdf"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legislation.act.gov.au/b/db_65111/"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hansard.act.gov.au/hansard/2021/comms/hcw08.pdf"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hansard.act.gov.au/hansard/2021/comms/hcw07.pdf"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www.parliament.act.gov.au" TargetMode="Externa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mailto:LAcommitteeHCW@parliament.act.gov.au" TargetMode="External"/><Relationship Id="rId14" Type="http://schemas.openxmlformats.org/officeDocument/2006/relationships/footer" Target="footer3.xml"/><Relationship Id="rId22" Type="http://schemas.openxmlformats.org/officeDocument/2006/relationships/hyperlink" Target="https://www.hansard.act.gov.au/hansard/2021/comms/hcw06.pdf"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02790-625E-456A-9AAE-33B22B28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78</Pages>
  <Words>21242</Words>
  <Characters>121080</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Chung, Lydia</cp:lastModifiedBy>
  <cp:revision>5</cp:revision>
  <cp:lastPrinted>2021-11-10T00:12:00Z</cp:lastPrinted>
  <dcterms:created xsi:type="dcterms:W3CDTF">2021-11-11T23:04:00Z</dcterms:created>
  <dcterms:modified xsi:type="dcterms:W3CDTF">2021-11-12T00:08:00Z</dcterms:modified>
</cp:coreProperties>
</file>