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7FE" w:rsidRPr="00104A8B" w:rsidRDefault="009517FE" w:rsidP="009517FE">
      <w:pPr>
        <w:spacing w:before="7560" w:after="240" w:line="259" w:lineRule="auto"/>
        <w:jc w:val="right"/>
        <w:rPr>
          <w:rFonts w:ascii="Arial Narrow" w:hAnsi="Arial Narrow"/>
          <w:sz w:val="42"/>
          <w:szCs w:val="42"/>
        </w:rPr>
      </w:pPr>
      <w:bookmarkStart w:id="0" w:name="_Toc500938167"/>
      <w:bookmarkStart w:id="1" w:name="_Toc500947015"/>
      <w:bookmarkStart w:id="2" w:name="_Toc501547024"/>
      <w:bookmarkStart w:id="3" w:name="_Toc501547379"/>
      <w:bookmarkStart w:id="4" w:name="_Toc505005664"/>
      <w:bookmarkStart w:id="5" w:name="_Toc505153755"/>
      <w:bookmarkStart w:id="6" w:name="_Toc508283423"/>
      <w:bookmarkStart w:id="7" w:name="_Toc510081779"/>
      <w:bookmarkStart w:id="8" w:name="_Toc511812216"/>
      <w:bookmarkStart w:id="9" w:name="_Toc512240154"/>
      <w:bookmarkStart w:id="10" w:name="_Toc513192151"/>
      <w:bookmarkStart w:id="11" w:name="_Toc514832413"/>
      <w:bookmarkStart w:id="12" w:name="_Toc514837957"/>
      <w:r w:rsidRPr="00104A8B">
        <w:rPr>
          <w:rFonts w:ascii="Arial Narrow" w:hAnsi="Arial Narrow"/>
          <w:sz w:val="42"/>
          <w:szCs w:val="42"/>
        </w:rPr>
        <w:t>Standing Committee on Justice and Community Safety (Legislative Scrutiny Role)</w:t>
      </w:r>
    </w:p>
    <w:p w:rsidR="000B0846" w:rsidRPr="00104A8B" w:rsidRDefault="000B0846" w:rsidP="001F1D6D">
      <w:pPr>
        <w:pStyle w:val="Heading1"/>
        <w:spacing w:before="2200"/>
      </w:pPr>
      <w:r w:rsidRPr="00104A8B">
        <w:t>S</w:t>
      </w:r>
      <w:r w:rsidR="00907785" w:rsidRPr="00104A8B">
        <w:t xml:space="preserve">crutiny Report </w:t>
      </w:r>
      <w:bookmarkEnd w:id="0"/>
      <w:bookmarkEnd w:id="1"/>
      <w:bookmarkEnd w:id="2"/>
      <w:bookmarkEnd w:id="3"/>
      <w:bookmarkEnd w:id="4"/>
      <w:bookmarkEnd w:id="5"/>
      <w:bookmarkEnd w:id="6"/>
      <w:bookmarkEnd w:id="7"/>
      <w:bookmarkEnd w:id="8"/>
      <w:bookmarkEnd w:id="9"/>
      <w:bookmarkEnd w:id="10"/>
      <w:bookmarkEnd w:id="11"/>
      <w:bookmarkEnd w:id="12"/>
      <w:r w:rsidR="00AE0C07">
        <w:t>7</w:t>
      </w:r>
    </w:p>
    <w:p w:rsidR="00D4210F" w:rsidRPr="00104A8B" w:rsidRDefault="00AE0C07" w:rsidP="003D000F">
      <w:pPr>
        <w:spacing w:before="1800" w:after="240"/>
        <w:jc w:val="right"/>
        <w:rPr>
          <w:sz w:val="24"/>
          <w:szCs w:val="24"/>
        </w:rPr>
      </w:pPr>
      <w:r>
        <w:rPr>
          <w:sz w:val="24"/>
          <w:szCs w:val="24"/>
        </w:rPr>
        <w:t xml:space="preserve">27 JULY </w:t>
      </w:r>
      <w:r w:rsidR="00107EEA">
        <w:rPr>
          <w:sz w:val="24"/>
          <w:szCs w:val="24"/>
        </w:rPr>
        <w:t>2021</w:t>
      </w:r>
    </w:p>
    <w:p w:rsidR="00D4210F" w:rsidRPr="00104A8B" w:rsidRDefault="00D4210F" w:rsidP="00D4210F">
      <w:r w:rsidRPr="00104A8B">
        <w:br w:type="page"/>
      </w:r>
    </w:p>
    <w:p w:rsidR="000B0846" w:rsidRPr="00104A8B" w:rsidRDefault="000B0846" w:rsidP="00AE7C71">
      <w:pPr>
        <w:tabs>
          <w:tab w:val="right" w:pos="9026"/>
        </w:tabs>
        <w:spacing w:before="1800" w:after="240"/>
      </w:pPr>
    </w:p>
    <w:p w:rsidR="00AE4D51" w:rsidRPr="00104A8B" w:rsidRDefault="00AE4D51" w:rsidP="008C0BE9">
      <w:pPr>
        <w:pStyle w:val="Heading2"/>
        <w:sectPr w:rsidR="00AE4D51" w:rsidRPr="00104A8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bookmarkStart w:id="13" w:name="_Toc500938168"/>
      <w:bookmarkStart w:id="14" w:name="_Toc500947016"/>
    </w:p>
    <w:p w:rsidR="002A185D" w:rsidRPr="00104A8B" w:rsidRDefault="002A185D" w:rsidP="008C0BE9">
      <w:pPr>
        <w:pStyle w:val="Heading2"/>
      </w:pPr>
      <w:bookmarkStart w:id="15" w:name="_Toc502671580"/>
      <w:bookmarkStart w:id="16" w:name="_Toc502671759"/>
      <w:bookmarkStart w:id="17" w:name="_Toc502671864"/>
      <w:bookmarkStart w:id="18" w:name="_Toc502672797"/>
      <w:bookmarkStart w:id="19" w:name="_Toc514768035"/>
      <w:bookmarkStart w:id="20" w:name="_Toc514837958"/>
      <w:bookmarkStart w:id="21" w:name="_Toc518297244"/>
      <w:bookmarkStart w:id="22" w:name="_Toc519069302"/>
      <w:bookmarkStart w:id="23" w:name="_Toc519069363"/>
      <w:bookmarkStart w:id="24" w:name="_Toc519520730"/>
      <w:bookmarkStart w:id="25" w:name="_Toc520188709"/>
      <w:bookmarkStart w:id="26" w:name="_Toc521054226"/>
      <w:bookmarkStart w:id="27" w:name="_Toc521054313"/>
      <w:bookmarkStart w:id="28" w:name="_Toc521054385"/>
      <w:bookmarkStart w:id="29" w:name="_Toc523753608"/>
      <w:bookmarkStart w:id="30" w:name="_Toc523814157"/>
      <w:bookmarkStart w:id="31" w:name="_Toc523900448"/>
      <w:bookmarkStart w:id="32" w:name="_Toc526855809"/>
      <w:bookmarkStart w:id="33" w:name="_Toc528155835"/>
      <w:bookmarkStart w:id="34" w:name="_Toc528157194"/>
      <w:bookmarkStart w:id="35" w:name="_Toc528310847"/>
      <w:bookmarkStart w:id="36" w:name="_Toc529974526"/>
      <w:bookmarkStart w:id="37" w:name="_Toc530039421"/>
      <w:bookmarkStart w:id="38" w:name="_Toc536527669"/>
      <w:bookmarkStart w:id="39" w:name="_Toc536527832"/>
      <w:bookmarkStart w:id="40" w:name="_Toc536615370"/>
      <w:bookmarkStart w:id="41" w:name="_Toc172148"/>
      <w:bookmarkStart w:id="42" w:name="_Toc506073"/>
      <w:bookmarkStart w:id="43" w:name="_Toc945917"/>
      <w:bookmarkStart w:id="44" w:name="_Toc965807"/>
      <w:bookmarkStart w:id="45" w:name="_Toc2839571"/>
      <w:bookmarkStart w:id="46" w:name="_Toc2850231"/>
      <w:bookmarkStart w:id="47" w:name="_Toc3271208"/>
      <w:bookmarkStart w:id="48" w:name="_Toc4588269"/>
      <w:bookmarkStart w:id="49" w:name="_Toc4652915"/>
      <w:bookmarkStart w:id="50" w:name="_Toc5003657"/>
      <w:bookmarkStart w:id="51" w:name="_Toc6211030"/>
      <w:bookmarkStart w:id="52" w:name="_Toc9499988"/>
      <w:bookmarkStart w:id="53" w:name="_Toc14266110"/>
      <w:bookmarkStart w:id="54" w:name="_Toc14334599"/>
      <w:bookmarkStart w:id="55" w:name="_Toc14775949"/>
      <w:bookmarkStart w:id="56" w:name="_Toc15285027"/>
      <w:bookmarkStart w:id="57" w:name="_Toc15630647"/>
      <w:bookmarkStart w:id="58" w:name="_Toc18415319"/>
      <w:bookmarkStart w:id="59" w:name="_Toc18487687"/>
      <w:bookmarkStart w:id="60" w:name="_Toc19708390"/>
      <w:bookmarkStart w:id="61" w:name="_Toc20131679"/>
      <w:bookmarkStart w:id="62" w:name="_Toc21595437"/>
      <w:bookmarkStart w:id="63" w:name="_Toc22025438"/>
      <w:bookmarkStart w:id="64" w:name="_Toc24463701"/>
      <w:bookmarkStart w:id="65" w:name="_Toc24617698"/>
      <w:bookmarkStart w:id="66" w:name="_Toc25050770"/>
      <w:bookmarkStart w:id="67" w:name="_Toc31202134"/>
      <w:bookmarkStart w:id="68" w:name="_Toc31202255"/>
      <w:bookmarkStart w:id="69" w:name="_Toc32390195"/>
      <w:bookmarkStart w:id="70" w:name="_Toc32566836"/>
      <w:bookmarkStart w:id="71" w:name="_Toc35437926"/>
      <w:bookmarkStart w:id="72" w:name="_Toc38270536"/>
      <w:bookmarkStart w:id="73" w:name="_Toc38362387"/>
      <w:bookmarkStart w:id="74" w:name="_Toc38441868"/>
      <w:bookmarkStart w:id="75" w:name="_Toc38442375"/>
      <w:bookmarkStart w:id="76" w:name="_Toc38976313"/>
      <w:bookmarkStart w:id="77" w:name="_Toc40693084"/>
      <w:bookmarkStart w:id="78" w:name="_Toc40693225"/>
      <w:bookmarkStart w:id="79" w:name="_Toc41570911"/>
      <w:bookmarkStart w:id="80" w:name="_Toc42874993"/>
      <w:bookmarkStart w:id="81" w:name="_Toc44074210"/>
      <w:bookmarkStart w:id="82" w:name="_Toc44317221"/>
      <w:bookmarkStart w:id="83" w:name="_Toc44323924"/>
      <w:bookmarkStart w:id="84" w:name="_Toc74301929"/>
      <w:bookmarkStart w:id="85" w:name="_Toc77751304"/>
      <w:bookmarkStart w:id="86" w:name="_Toc500938169"/>
      <w:bookmarkStart w:id="87" w:name="_Toc500947017"/>
      <w:bookmarkStart w:id="88" w:name="_Toc501547026"/>
      <w:bookmarkStart w:id="89" w:name="_Toc501547381"/>
      <w:bookmarkStart w:id="90" w:name="_Toc505005665"/>
      <w:bookmarkStart w:id="91" w:name="_Toc505153756"/>
      <w:bookmarkStart w:id="92" w:name="_Toc508283424"/>
      <w:bookmarkStart w:id="93" w:name="_Toc510081780"/>
      <w:bookmarkStart w:id="94" w:name="_Toc511812217"/>
      <w:bookmarkStart w:id="95" w:name="_Toc512240155"/>
      <w:bookmarkStart w:id="96" w:name="_Toc513192152"/>
      <w:bookmarkStart w:id="97" w:name="_Toc514832414"/>
      <w:bookmarkEnd w:id="13"/>
      <w:bookmarkEnd w:id="14"/>
      <w:r w:rsidRPr="00104A8B">
        <w:lastRenderedPageBreak/>
        <w:t>The Committee</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0B0846" w:rsidRPr="00104A8B" w:rsidRDefault="000B0846" w:rsidP="002A185D">
      <w:pPr>
        <w:pStyle w:val="Heading3"/>
        <w:rPr>
          <w:rFonts w:asciiTheme="minorHAnsi" w:hAnsiTheme="minorHAnsi"/>
        </w:rPr>
      </w:pPr>
      <w:bookmarkStart w:id="98" w:name="_Toc514837959"/>
      <w:bookmarkStart w:id="99" w:name="_Toc514943593"/>
      <w:bookmarkStart w:id="100" w:name="_Toc515352036"/>
      <w:bookmarkStart w:id="101" w:name="_Toc518297245"/>
      <w:bookmarkStart w:id="102" w:name="_Toc519069303"/>
      <w:bookmarkStart w:id="103" w:name="_Toc519069364"/>
      <w:bookmarkStart w:id="104" w:name="_Toc519520731"/>
      <w:bookmarkStart w:id="105" w:name="_Toc520188710"/>
      <w:bookmarkStart w:id="106" w:name="_Toc521054227"/>
      <w:bookmarkStart w:id="107" w:name="_Toc521054314"/>
      <w:bookmarkStart w:id="108" w:name="_Toc521054386"/>
      <w:bookmarkStart w:id="109" w:name="_Toc523753609"/>
      <w:bookmarkStart w:id="110" w:name="_Toc523814158"/>
      <w:bookmarkStart w:id="111" w:name="_Toc523900449"/>
      <w:bookmarkStart w:id="112" w:name="_Toc526855810"/>
      <w:bookmarkStart w:id="113" w:name="_Toc528155836"/>
      <w:bookmarkStart w:id="114" w:name="_Toc528157195"/>
      <w:bookmarkStart w:id="115" w:name="_Toc528310848"/>
      <w:bookmarkStart w:id="116" w:name="_Toc529974527"/>
      <w:bookmarkStart w:id="117" w:name="_Toc530039422"/>
      <w:bookmarkStart w:id="118" w:name="_Toc536527670"/>
      <w:bookmarkStart w:id="119" w:name="_Toc536527833"/>
      <w:bookmarkStart w:id="120" w:name="_Toc536615371"/>
      <w:bookmarkStart w:id="121" w:name="_Toc172149"/>
      <w:bookmarkStart w:id="122" w:name="_Toc506074"/>
      <w:bookmarkStart w:id="123" w:name="_Toc945918"/>
      <w:bookmarkStart w:id="124" w:name="_Toc965808"/>
      <w:bookmarkStart w:id="125" w:name="_Toc2839572"/>
      <w:bookmarkStart w:id="126" w:name="_Toc2850232"/>
      <w:bookmarkStart w:id="127" w:name="_Toc3271209"/>
      <w:bookmarkStart w:id="128" w:name="_Toc4588270"/>
      <w:bookmarkStart w:id="129" w:name="_Toc4652916"/>
      <w:bookmarkStart w:id="130" w:name="_Toc5003658"/>
      <w:bookmarkStart w:id="131" w:name="_Toc6211031"/>
      <w:bookmarkStart w:id="132" w:name="_Toc9499989"/>
      <w:bookmarkStart w:id="133" w:name="_Toc14266111"/>
      <w:bookmarkStart w:id="134" w:name="_Toc14334600"/>
      <w:bookmarkStart w:id="135" w:name="_Toc14775950"/>
      <w:bookmarkStart w:id="136" w:name="_Toc15285028"/>
      <w:bookmarkStart w:id="137" w:name="_Toc15630648"/>
      <w:bookmarkStart w:id="138" w:name="_Toc18415320"/>
      <w:bookmarkStart w:id="139" w:name="_Toc18487688"/>
      <w:bookmarkStart w:id="140" w:name="_Toc19708391"/>
      <w:bookmarkStart w:id="141" w:name="_Toc20131680"/>
      <w:bookmarkStart w:id="142" w:name="_Toc21595438"/>
      <w:bookmarkStart w:id="143" w:name="_Toc22025439"/>
      <w:bookmarkStart w:id="144" w:name="_Toc24463702"/>
      <w:bookmarkStart w:id="145" w:name="_Toc24617699"/>
      <w:bookmarkStart w:id="146" w:name="_Toc25050771"/>
      <w:bookmarkStart w:id="147" w:name="_Toc31202135"/>
      <w:bookmarkStart w:id="148" w:name="_Toc31202256"/>
      <w:bookmarkStart w:id="149" w:name="_Toc32390196"/>
      <w:bookmarkStart w:id="150" w:name="_Toc32566837"/>
      <w:bookmarkStart w:id="151" w:name="_Toc35437927"/>
      <w:bookmarkStart w:id="152" w:name="_Toc38270537"/>
      <w:bookmarkStart w:id="153" w:name="_Toc38362388"/>
      <w:bookmarkStart w:id="154" w:name="_Toc38441869"/>
      <w:bookmarkStart w:id="155" w:name="_Toc38442376"/>
      <w:bookmarkStart w:id="156" w:name="_Toc38976314"/>
      <w:bookmarkStart w:id="157" w:name="_Toc40693085"/>
      <w:bookmarkStart w:id="158" w:name="_Toc40693226"/>
      <w:bookmarkStart w:id="159" w:name="_Toc41570912"/>
      <w:bookmarkStart w:id="160" w:name="_Toc42874994"/>
      <w:bookmarkStart w:id="161" w:name="_Toc44074211"/>
      <w:bookmarkStart w:id="162" w:name="_Toc44317222"/>
      <w:bookmarkStart w:id="163" w:name="_Toc44323925"/>
      <w:bookmarkStart w:id="164" w:name="_Toc74301930"/>
      <w:bookmarkStart w:id="165" w:name="_Toc77751305"/>
      <w:r w:rsidRPr="00104A8B">
        <w:rPr>
          <w:rFonts w:asciiTheme="minorHAnsi" w:hAnsiTheme="minorHAnsi"/>
        </w:rPr>
        <w:t>C</w:t>
      </w:r>
      <w:r w:rsidR="00474136" w:rsidRPr="00104A8B">
        <w:rPr>
          <w:rFonts w:asciiTheme="minorHAnsi" w:hAnsiTheme="minorHAnsi"/>
        </w:rPr>
        <w:t>ommittee Membership</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rsidR="000B0846" w:rsidRPr="00104A8B" w:rsidRDefault="00E41D9C" w:rsidP="009C4F5B">
      <w:pPr>
        <w:pStyle w:val="ListParagraph"/>
        <w:ind w:left="0"/>
      </w:pPr>
      <w:r>
        <w:t>Mr Jeremy Hanson MLA</w:t>
      </w:r>
      <w:r w:rsidR="00A919BD" w:rsidRPr="00104A8B">
        <w:t xml:space="preserve"> </w:t>
      </w:r>
      <w:r w:rsidR="000B0846" w:rsidRPr="00104A8B">
        <w:t>(Chair)</w:t>
      </w:r>
    </w:p>
    <w:p w:rsidR="000B0846" w:rsidRPr="00104A8B" w:rsidRDefault="00E41D9C" w:rsidP="009C4F5B">
      <w:pPr>
        <w:pStyle w:val="ListParagraph"/>
        <w:ind w:left="0"/>
      </w:pPr>
      <w:r>
        <w:t>Dr Marisa Pa</w:t>
      </w:r>
      <w:r w:rsidR="00F825FE">
        <w:t>t</w:t>
      </w:r>
      <w:r>
        <w:t>erson</w:t>
      </w:r>
      <w:r w:rsidR="0009718B">
        <w:t xml:space="preserve"> MLA</w:t>
      </w:r>
      <w:r w:rsidR="000B0846" w:rsidRPr="00104A8B">
        <w:t xml:space="preserve"> (Deputy Chair)</w:t>
      </w:r>
    </w:p>
    <w:p w:rsidR="000B0846" w:rsidRPr="00104A8B" w:rsidRDefault="00E41D9C" w:rsidP="009C4F5B">
      <w:pPr>
        <w:pStyle w:val="ListParagraph"/>
        <w:spacing w:after="360"/>
        <w:ind w:left="0"/>
      </w:pPr>
      <w:r>
        <w:t>Ms Jo Clay</w:t>
      </w:r>
      <w:r w:rsidR="003C4A44">
        <w:t xml:space="preserve"> ML</w:t>
      </w:r>
      <w:r w:rsidR="000B0846" w:rsidRPr="00104A8B">
        <w:t>A</w:t>
      </w:r>
    </w:p>
    <w:p w:rsidR="000B0846" w:rsidRPr="00104A8B" w:rsidRDefault="000B0846" w:rsidP="002A185D">
      <w:pPr>
        <w:pStyle w:val="Heading3"/>
        <w:rPr>
          <w:rFonts w:asciiTheme="minorHAnsi" w:hAnsiTheme="minorHAnsi"/>
        </w:rPr>
      </w:pPr>
      <w:bookmarkStart w:id="166" w:name="_Toc500938170"/>
      <w:bookmarkStart w:id="167" w:name="_Toc500947018"/>
      <w:bookmarkStart w:id="168" w:name="_Toc501547027"/>
      <w:bookmarkStart w:id="169" w:name="_Toc501547382"/>
      <w:bookmarkStart w:id="170" w:name="_Toc505005666"/>
      <w:bookmarkStart w:id="171" w:name="_Toc505153757"/>
      <w:bookmarkStart w:id="172" w:name="_Toc508283425"/>
      <w:bookmarkStart w:id="173" w:name="_Toc510081781"/>
      <w:bookmarkStart w:id="174" w:name="_Toc511812218"/>
      <w:bookmarkStart w:id="175" w:name="_Toc512240156"/>
      <w:bookmarkStart w:id="176" w:name="_Toc513192153"/>
      <w:bookmarkStart w:id="177" w:name="_Toc514832415"/>
      <w:bookmarkStart w:id="178" w:name="_Toc514837960"/>
      <w:bookmarkStart w:id="179" w:name="_Toc514943594"/>
      <w:bookmarkStart w:id="180" w:name="_Toc515352037"/>
      <w:bookmarkStart w:id="181" w:name="_Toc518297246"/>
      <w:bookmarkStart w:id="182" w:name="_Toc519069304"/>
      <w:bookmarkStart w:id="183" w:name="_Toc519069365"/>
      <w:bookmarkStart w:id="184" w:name="_Toc519520732"/>
      <w:bookmarkStart w:id="185" w:name="_Toc520188711"/>
      <w:bookmarkStart w:id="186" w:name="_Toc521054228"/>
      <w:bookmarkStart w:id="187" w:name="_Toc521054315"/>
      <w:bookmarkStart w:id="188" w:name="_Toc521054387"/>
      <w:bookmarkStart w:id="189" w:name="_Toc523753610"/>
      <w:bookmarkStart w:id="190" w:name="_Toc523814159"/>
      <w:bookmarkStart w:id="191" w:name="_Toc523900450"/>
      <w:bookmarkStart w:id="192" w:name="_Toc526855811"/>
      <w:bookmarkStart w:id="193" w:name="_Toc528155837"/>
      <w:bookmarkStart w:id="194" w:name="_Toc528157196"/>
      <w:bookmarkStart w:id="195" w:name="_Toc528310849"/>
      <w:bookmarkStart w:id="196" w:name="_Toc529974528"/>
      <w:bookmarkStart w:id="197" w:name="_Toc530039423"/>
      <w:bookmarkStart w:id="198" w:name="_Toc536527671"/>
      <w:bookmarkStart w:id="199" w:name="_Toc536527834"/>
      <w:bookmarkStart w:id="200" w:name="_Toc536615372"/>
      <w:bookmarkStart w:id="201" w:name="_Toc172150"/>
      <w:bookmarkStart w:id="202" w:name="_Toc506075"/>
      <w:bookmarkStart w:id="203" w:name="_Toc945919"/>
      <w:bookmarkStart w:id="204" w:name="_Toc965809"/>
      <w:bookmarkStart w:id="205" w:name="_Toc2839573"/>
      <w:bookmarkStart w:id="206" w:name="_Toc2850233"/>
      <w:bookmarkStart w:id="207" w:name="_Toc3271210"/>
      <w:bookmarkStart w:id="208" w:name="_Toc4588271"/>
      <w:bookmarkStart w:id="209" w:name="_Toc4652917"/>
      <w:bookmarkStart w:id="210" w:name="_Toc5003659"/>
      <w:bookmarkStart w:id="211" w:name="_Toc6211032"/>
      <w:bookmarkStart w:id="212" w:name="_Toc9499990"/>
      <w:bookmarkStart w:id="213" w:name="_Toc14266112"/>
      <w:bookmarkStart w:id="214" w:name="_Toc14334601"/>
      <w:bookmarkStart w:id="215" w:name="_Toc14775951"/>
      <w:bookmarkStart w:id="216" w:name="_Toc15285029"/>
      <w:bookmarkStart w:id="217" w:name="_Toc15630649"/>
      <w:bookmarkStart w:id="218" w:name="_Toc18415321"/>
      <w:bookmarkStart w:id="219" w:name="_Toc18487689"/>
      <w:bookmarkStart w:id="220" w:name="_Toc19708392"/>
      <w:bookmarkStart w:id="221" w:name="_Toc20131681"/>
      <w:bookmarkStart w:id="222" w:name="_Toc21595439"/>
      <w:bookmarkStart w:id="223" w:name="_Toc22025440"/>
      <w:bookmarkStart w:id="224" w:name="_Toc24463703"/>
      <w:bookmarkStart w:id="225" w:name="_Toc24617700"/>
      <w:bookmarkStart w:id="226" w:name="_Toc25050772"/>
      <w:bookmarkStart w:id="227" w:name="_Toc31202136"/>
      <w:bookmarkStart w:id="228" w:name="_Toc31202257"/>
      <w:bookmarkStart w:id="229" w:name="_Toc32390197"/>
      <w:bookmarkStart w:id="230" w:name="_Toc32566838"/>
      <w:bookmarkStart w:id="231" w:name="_Toc35437928"/>
      <w:bookmarkStart w:id="232" w:name="_Toc38270538"/>
      <w:bookmarkStart w:id="233" w:name="_Toc38362389"/>
      <w:bookmarkStart w:id="234" w:name="_Toc38441870"/>
      <w:bookmarkStart w:id="235" w:name="_Toc38442377"/>
      <w:bookmarkStart w:id="236" w:name="_Toc38976315"/>
      <w:bookmarkStart w:id="237" w:name="_Toc40693086"/>
      <w:bookmarkStart w:id="238" w:name="_Toc40693227"/>
      <w:bookmarkStart w:id="239" w:name="_Toc41570913"/>
      <w:bookmarkStart w:id="240" w:name="_Toc42874995"/>
      <w:bookmarkStart w:id="241" w:name="_Toc44074212"/>
      <w:bookmarkStart w:id="242" w:name="_Toc44317223"/>
      <w:bookmarkStart w:id="243" w:name="_Toc44323926"/>
      <w:bookmarkStart w:id="244" w:name="_Toc74301931"/>
      <w:bookmarkStart w:id="245" w:name="_Toc77751306"/>
      <w:r w:rsidRPr="00104A8B">
        <w:rPr>
          <w:rFonts w:asciiTheme="minorHAnsi" w:hAnsiTheme="minorHAnsi"/>
        </w:rPr>
        <w:t>S</w:t>
      </w:r>
      <w:bookmarkEnd w:id="166"/>
      <w:r w:rsidR="00474136" w:rsidRPr="00104A8B">
        <w:rPr>
          <w:rFonts w:asciiTheme="minorHAnsi" w:hAnsiTheme="minorHAnsi"/>
        </w:rPr>
        <w:t>ecretariat</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rsidR="005D7839" w:rsidRDefault="00E41D9C" w:rsidP="009C4F5B">
      <w:pPr>
        <w:pStyle w:val="ListParagraph"/>
        <w:ind w:left="0"/>
      </w:pPr>
      <w:r>
        <w:t xml:space="preserve">Ms Julia Agostino </w:t>
      </w:r>
      <w:r w:rsidR="005D7839">
        <w:t>(Secretary)</w:t>
      </w:r>
    </w:p>
    <w:p w:rsidR="000B0846" w:rsidRPr="00104A8B" w:rsidRDefault="00BA64E2" w:rsidP="009C4F5B">
      <w:pPr>
        <w:pStyle w:val="ListParagraph"/>
        <w:ind w:left="0"/>
      </w:pPr>
      <w:r>
        <w:t xml:space="preserve">Ms </w:t>
      </w:r>
      <w:r w:rsidR="00AE0C07">
        <w:t>Anne Shannon</w:t>
      </w:r>
      <w:r>
        <w:t xml:space="preserve"> </w:t>
      </w:r>
      <w:r w:rsidR="000B0846" w:rsidRPr="00104A8B">
        <w:t>(Assistant Secretary)</w:t>
      </w:r>
    </w:p>
    <w:p w:rsidR="000B0846" w:rsidRPr="00104A8B" w:rsidRDefault="000B0846" w:rsidP="009C4F5B">
      <w:pPr>
        <w:pStyle w:val="ListParagraph"/>
        <w:ind w:left="0"/>
      </w:pPr>
      <w:r w:rsidRPr="00104A8B">
        <w:t>Mr Stephen Argument (Legal Adviser—Subordinate Legislation)</w:t>
      </w:r>
    </w:p>
    <w:p w:rsidR="000B0846" w:rsidRDefault="000B0846" w:rsidP="009C4F5B">
      <w:pPr>
        <w:pStyle w:val="ListParagraph"/>
        <w:spacing w:after="360"/>
        <w:ind w:left="0"/>
      </w:pPr>
      <w:r w:rsidRPr="00104A8B">
        <w:t>Mr Daniel Stewart (Legal Adviser—Bills)</w:t>
      </w:r>
    </w:p>
    <w:p w:rsidR="000B0846" w:rsidRPr="00104A8B" w:rsidRDefault="000B0846" w:rsidP="002A185D">
      <w:pPr>
        <w:pStyle w:val="Heading3"/>
        <w:rPr>
          <w:rFonts w:asciiTheme="minorHAnsi" w:hAnsiTheme="minorHAnsi"/>
        </w:rPr>
      </w:pPr>
      <w:bookmarkStart w:id="246" w:name="_Toc500938171"/>
      <w:bookmarkStart w:id="247" w:name="_Toc500947019"/>
      <w:bookmarkStart w:id="248" w:name="_Toc501547028"/>
      <w:bookmarkStart w:id="249" w:name="_Toc501547383"/>
      <w:bookmarkStart w:id="250" w:name="_Toc505005667"/>
      <w:bookmarkStart w:id="251" w:name="_Toc505153758"/>
      <w:bookmarkStart w:id="252" w:name="_Toc508283426"/>
      <w:bookmarkStart w:id="253" w:name="_Toc510081782"/>
      <w:bookmarkStart w:id="254" w:name="_Toc511812219"/>
      <w:bookmarkStart w:id="255" w:name="_Toc512240157"/>
      <w:bookmarkStart w:id="256" w:name="_Toc513192154"/>
      <w:bookmarkStart w:id="257" w:name="_Toc514832416"/>
      <w:bookmarkStart w:id="258" w:name="_Toc514837961"/>
      <w:bookmarkStart w:id="259" w:name="_Toc514943595"/>
      <w:bookmarkStart w:id="260" w:name="_Toc515352038"/>
      <w:bookmarkStart w:id="261" w:name="_Toc518297247"/>
      <w:bookmarkStart w:id="262" w:name="_Toc519069305"/>
      <w:bookmarkStart w:id="263" w:name="_Toc519069366"/>
      <w:bookmarkStart w:id="264" w:name="_Toc519520733"/>
      <w:bookmarkStart w:id="265" w:name="_Toc520188712"/>
      <w:bookmarkStart w:id="266" w:name="_Toc521054229"/>
      <w:bookmarkStart w:id="267" w:name="_Toc521054316"/>
      <w:bookmarkStart w:id="268" w:name="_Toc521054388"/>
      <w:bookmarkStart w:id="269" w:name="_Toc523753611"/>
      <w:bookmarkStart w:id="270" w:name="_Toc523814160"/>
      <w:bookmarkStart w:id="271" w:name="_Toc523900451"/>
      <w:bookmarkStart w:id="272" w:name="_Toc526855812"/>
      <w:bookmarkStart w:id="273" w:name="_Toc528155838"/>
      <w:bookmarkStart w:id="274" w:name="_Toc528157197"/>
      <w:bookmarkStart w:id="275" w:name="_Toc528310850"/>
      <w:bookmarkStart w:id="276" w:name="_Toc529974529"/>
      <w:bookmarkStart w:id="277" w:name="_Toc530039424"/>
      <w:bookmarkStart w:id="278" w:name="_Toc536527672"/>
      <w:bookmarkStart w:id="279" w:name="_Toc536527835"/>
      <w:bookmarkStart w:id="280" w:name="_Toc536615373"/>
      <w:bookmarkStart w:id="281" w:name="_Toc172151"/>
      <w:bookmarkStart w:id="282" w:name="_Toc506076"/>
      <w:bookmarkStart w:id="283" w:name="_Toc945920"/>
      <w:bookmarkStart w:id="284" w:name="_Toc965810"/>
      <w:bookmarkStart w:id="285" w:name="_Toc2839574"/>
      <w:bookmarkStart w:id="286" w:name="_Toc2850234"/>
      <w:bookmarkStart w:id="287" w:name="_Toc3271211"/>
      <w:bookmarkStart w:id="288" w:name="_Toc4588272"/>
      <w:bookmarkStart w:id="289" w:name="_Toc4652918"/>
      <w:bookmarkStart w:id="290" w:name="_Toc5003660"/>
      <w:bookmarkStart w:id="291" w:name="_Toc6211033"/>
      <w:bookmarkStart w:id="292" w:name="_Toc9499991"/>
      <w:bookmarkStart w:id="293" w:name="_Toc14266113"/>
      <w:bookmarkStart w:id="294" w:name="_Toc14334602"/>
      <w:bookmarkStart w:id="295" w:name="_Toc14775952"/>
      <w:bookmarkStart w:id="296" w:name="_Toc15285030"/>
      <w:bookmarkStart w:id="297" w:name="_Toc15630650"/>
      <w:bookmarkStart w:id="298" w:name="_Toc18415322"/>
      <w:bookmarkStart w:id="299" w:name="_Toc18487690"/>
      <w:bookmarkStart w:id="300" w:name="_Toc19708393"/>
      <w:bookmarkStart w:id="301" w:name="_Toc20131682"/>
      <w:bookmarkStart w:id="302" w:name="_Toc21595440"/>
      <w:bookmarkStart w:id="303" w:name="_Toc22025441"/>
      <w:bookmarkStart w:id="304" w:name="_Toc24463704"/>
      <w:bookmarkStart w:id="305" w:name="_Toc24617701"/>
      <w:bookmarkStart w:id="306" w:name="_Toc25050773"/>
      <w:bookmarkStart w:id="307" w:name="_Toc31202137"/>
      <w:bookmarkStart w:id="308" w:name="_Toc31202258"/>
      <w:bookmarkStart w:id="309" w:name="_Toc32390198"/>
      <w:bookmarkStart w:id="310" w:name="_Toc32566839"/>
      <w:bookmarkStart w:id="311" w:name="_Toc35437929"/>
      <w:bookmarkStart w:id="312" w:name="_Toc38270539"/>
      <w:bookmarkStart w:id="313" w:name="_Toc38362390"/>
      <w:bookmarkStart w:id="314" w:name="_Toc38441871"/>
      <w:bookmarkStart w:id="315" w:name="_Toc38442378"/>
      <w:bookmarkStart w:id="316" w:name="_Toc38976316"/>
      <w:bookmarkStart w:id="317" w:name="_Toc40693087"/>
      <w:bookmarkStart w:id="318" w:name="_Toc40693228"/>
      <w:bookmarkStart w:id="319" w:name="_Toc41570914"/>
      <w:bookmarkStart w:id="320" w:name="_Toc42874996"/>
      <w:bookmarkStart w:id="321" w:name="_Toc44074213"/>
      <w:bookmarkStart w:id="322" w:name="_Toc44317224"/>
      <w:bookmarkStart w:id="323" w:name="_Toc44323927"/>
      <w:bookmarkStart w:id="324" w:name="_Toc74301932"/>
      <w:bookmarkStart w:id="325" w:name="_Toc77751307"/>
      <w:r w:rsidRPr="00104A8B">
        <w:rPr>
          <w:rFonts w:asciiTheme="minorHAnsi" w:hAnsiTheme="minorHAnsi"/>
        </w:rPr>
        <w:t>C</w:t>
      </w:r>
      <w:r w:rsidR="00474136" w:rsidRPr="00104A8B">
        <w:rPr>
          <w:rFonts w:asciiTheme="minorHAnsi" w:hAnsiTheme="minorHAnsi"/>
        </w:rPr>
        <w:t>ontact Information</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rsidR="000B0846" w:rsidRPr="00104A8B" w:rsidRDefault="000B0846" w:rsidP="009C4F5B">
      <w:pPr>
        <w:pStyle w:val="ListParagraph"/>
        <w:tabs>
          <w:tab w:val="left" w:pos="1260"/>
        </w:tabs>
        <w:ind w:left="0"/>
      </w:pPr>
      <w:r w:rsidRPr="00104A8B">
        <w:t>Telephone</w:t>
      </w:r>
      <w:r w:rsidRPr="00104A8B">
        <w:tab/>
        <w:t xml:space="preserve">02 6205 </w:t>
      </w:r>
      <w:r w:rsidR="00415478">
        <w:t>0</w:t>
      </w:r>
      <w:r w:rsidR="00BE6460">
        <w:t>171</w:t>
      </w:r>
    </w:p>
    <w:p w:rsidR="000B0846" w:rsidRPr="00104A8B" w:rsidRDefault="000B0846" w:rsidP="009C4F5B">
      <w:pPr>
        <w:pStyle w:val="ListParagraph"/>
        <w:tabs>
          <w:tab w:val="left" w:pos="1260"/>
        </w:tabs>
        <w:ind w:left="0"/>
      </w:pPr>
      <w:r w:rsidRPr="00104A8B">
        <w:t>Facsimile</w:t>
      </w:r>
      <w:r w:rsidRPr="00104A8B">
        <w:tab/>
        <w:t>02 6205 3109</w:t>
      </w:r>
    </w:p>
    <w:p w:rsidR="000B0846" w:rsidRPr="00104A8B" w:rsidRDefault="000B0846" w:rsidP="009C4F5B">
      <w:pPr>
        <w:pStyle w:val="ListParagraph"/>
        <w:tabs>
          <w:tab w:val="left" w:pos="1260"/>
        </w:tabs>
        <w:ind w:left="0"/>
      </w:pPr>
      <w:r w:rsidRPr="00104A8B">
        <w:t>Post</w:t>
      </w:r>
      <w:r w:rsidRPr="00104A8B">
        <w:tab/>
        <w:t>GPO Box 1020, CANBERRA ACT 2601</w:t>
      </w:r>
    </w:p>
    <w:p w:rsidR="000B0846" w:rsidRPr="00104A8B" w:rsidRDefault="000B0846" w:rsidP="009C4F5B">
      <w:pPr>
        <w:pStyle w:val="ListParagraph"/>
        <w:tabs>
          <w:tab w:val="left" w:pos="1260"/>
        </w:tabs>
        <w:ind w:left="0"/>
      </w:pPr>
      <w:r w:rsidRPr="00104A8B">
        <w:t>Email</w:t>
      </w:r>
      <w:r w:rsidRPr="00104A8B">
        <w:tab/>
        <w:t>scrutiny@parliament.act.gov.au</w:t>
      </w:r>
    </w:p>
    <w:p w:rsidR="000B0846" w:rsidRPr="00104A8B" w:rsidRDefault="000B0846" w:rsidP="009C4F5B">
      <w:pPr>
        <w:pStyle w:val="ListParagraph"/>
        <w:tabs>
          <w:tab w:val="left" w:pos="1260"/>
        </w:tabs>
        <w:spacing w:after="360"/>
        <w:ind w:left="0"/>
      </w:pPr>
      <w:r w:rsidRPr="00104A8B">
        <w:t>Website</w:t>
      </w:r>
      <w:r w:rsidRPr="00104A8B">
        <w:tab/>
        <w:t>www.parliament.act.gov.au</w:t>
      </w:r>
    </w:p>
    <w:p w:rsidR="000B0846" w:rsidRPr="00104A8B" w:rsidRDefault="000B0846" w:rsidP="002A185D">
      <w:pPr>
        <w:pStyle w:val="Heading3"/>
        <w:rPr>
          <w:rFonts w:asciiTheme="minorHAnsi" w:hAnsiTheme="minorHAnsi"/>
        </w:rPr>
      </w:pPr>
      <w:bookmarkStart w:id="326" w:name="_Toc500938172"/>
      <w:bookmarkStart w:id="327" w:name="_Toc500947020"/>
      <w:bookmarkStart w:id="328" w:name="_Toc501547029"/>
      <w:bookmarkStart w:id="329" w:name="_Toc501547384"/>
      <w:bookmarkStart w:id="330" w:name="_Toc505005668"/>
      <w:bookmarkStart w:id="331" w:name="_Toc505153759"/>
      <w:bookmarkStart w:id="332" w:name="_Toc508283427"/>
      <w:bookmarkStart w:id="333" w:name="_Toc510081783"/>
      <w:bookmarkStart w:id="334" w:name="_Toc511812220"/>
      <w:bookmarkStart w:id="335" w:name="_Toc512240158"/>
      <w:bookmarkStart w:id="336" w:name="_Toc513192155"/>
      <w:bookmarkStart w:id="337" w:name="_Toc514832417"/>
      <w:bookmarkStart w:id="338" w:name="_Toc514837962"/>
      <w:bookmarkStart w:id="339" w:name="_Toc514943596"/>
      <w:bookmarkStart w:id="340" w:name="_Toc515352039"/>
      <w:bookmarkStart w:id="341" w:name="_Toc518297248"/>
      <w:bookmarkStart w:id="342" w:name="_Toc519069306"/>
      <w:bookmarkStart w:id="343" w:name="_Toc519069367"/>
      <w:bookmarkStart w:id="344" w:name="_Toc519520734"/>
      <w:bookmarkStart w:id="345" w:name="_Toc520188713"/>
      <w:bookmarkStart w:id="346" w:name="_Toc521054230"/>
      <w:bookmarkStart w:id="347" w:name="_Toc521054317"/>
      <w:bookmarkStart w:id="348" w:name="_Toc521054389"/>
      <w:bookmarkStart w:id="349" w:name="_Toc523753612"/>
      <w:bookmarkStart w:id="350" w:name="_Toc523814161"/>
      <w:bookmarkStart w:id="351" w:name="_Toc523900452"/>
      <w:bookmarkStart w:id="352" w:name="_Toc526855813"/>
      <w:bookmarkStart w:id="353" w:name="_Toc528155839"/>
      <w:bookmarkStart w:id="354" w:name="_Toc528157198"/>
      <w:bookmarkStart w:id="355" w:name="_Toc528310851"/>
      <w:bookmarkStart w:id="356" w:name="_Toc529974530"/>
      <w:bookmarkStart w:id="357" w:name="_Toc530039425"/>
      <w:bookmarkStart w:id="358" w:name="_Toc536527673"/>
      <w:bookmarkStart w:id="359" w:name="_Toc536527836"/>
      <w:bookmarkStart w:id="360" w:name="_Toc536615374"/>
      <w:bookmarkStart w:id="361" w:name="_Toc172152"/>
      <w:bookmarkStart w:id="362" w:name="_Toc506077"/>
      <w:bookmarkStart w:id="363" w:name="_Toc945921"/>
      <w:bookmarkStart w:id="364" w:name="_Toc965811"/>
      <w:bookmarkStart w:id="365" w:name="_Toc2839575"/>
      <w:bookmarkStart w:id="366" w:name="_Toc2850235"/>
      <w:bookmarkStart w:id="367" w:name="_Toc3271212"/>
      <w:bookmarkStart w:id="368" w:name="_Toc4588273"/>
      <w:bookmarkStart w:id="369" w:name="_Toc4652919"/>
      <w:bookmarkStart w:id="370" w:name="_Toc5003661"/>
      <w:bookmarkStart w:id="371" w:name="_Toc6211034"/>
      <w:bookmarkStart w:id="372" w:name="_Toc9499992"/>
      <w:bookmarkStart w:id="373" w:name="_Toc14266114"/>
      <w:bookmarkStart w:id="374" w:name="_Toc14334603"/>
      <w:bookmarkStart w:id="375" w:name="_Toc14775953"/>
      <w:bookmarkStart w:id="376" w:name="_Toc15285031"/>
      <w:bookmarkStart w:id="377" w:name="_Toc15630651"/>
      <w:bookmarkStart w:id="378" w:name="_Toc18415323"/>
      <w:bookmarkStart w:id="379" w:name="_Toc18487691"/>
      <w:bookmarkStart w:id="380" w:name="_Toc19708394"/>
      <w:bookmarkStart w:id="381" w:name="_Toc20131683"/>
      <w:bookmarkStart w:id="382" w:name="_Toc21595441"/>
      <w:bookmarkStart w:id="383" w:name="_Toc22025442"/>
      <w:bookmarkStart w:id="384" w:name="_Toc24463705"/>
      <w:bookmarkStart w:id="385" w:name="_Toc24617702"/>
      <w:bookmarkStart w:id="386" w:name="_Toc25050774"/>
      <w:bookmarkStart w:id="387" w:name="_Toc31202138"/>
      <w:bookmarkStart w:id="388" w:name="_Toc31202259"/>
      <w:bookmarkStart w:id="389" w:name="_Toc32390199"/>
      <w:bookmarkStart w:id="390" w:name="_Toc32566840"/>
      <w:bookmarkStart w:id="391" w:name="_Toc35437930"/>
      <w:bookmarkStart w:id="392" w:name="_Toc38270540"/>
      <w:bookmarkStart w:id="393" w:name="_Toc38362391"/>
      <w:bookmarkStart w:id="394" w:name="_Toc38441872"/>
      <w:bookmarkStart w:id="395" w:name="_Toc38442379"/>
      <w:bookmarkStart w:id="396" w:name="_Toc38976317"/>
      <w:bookmarkStart w:id="397" w:name="_Toc40693088"/>
      <w:bookmarkStart w:id="398" w:name="_Toc40693229"/>
      <w:bookmarkStart w:id="399" w:name="_Toc41570915"/>
      <w:bookmarkStart w:id="400" w:name="_Toc42874997"/>
      <w:bookmarkStart w:id="401" w:name="_Toc44074214"/>
      <w:bookmarkStart w:id="402" w:name="_Toc44317225"/>
      <w:bookmarkStart w:id="403" w:name="_Toc44323928"/>
      <w:bookmarkStart w:id="404" w:name="_Toc74301933"/>
      <w:bookmarkStart w:id="405" w:name="_Toc77751308"/>
      <w:r w:rsidRPr="00104A8B">
        <w:rPr>
          <w:rFonts w:asciiTheme="minorHAnsi" w:hAnsiTheme="minorHAnsi"/>
        </w:rPr>
        <w:t>R</w:t>
      </w:r>
      <w:r w:rsidR="00474136" w:rsidRPr="00104A8B">
        <w:rPr>
          <w:rFonts w:asciiTheme="minorHAnsi" w:hAnsiTheme="minorHAnsi"/>
        </w:rPr>
        <w:t>ole of Committee</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rsidR="000B0846" w:rsidRPr="00104A8B" w:rsidRDefault="000B0846" w:rsidP="000B0846">
      <w:r w:rsidRPr="00104A8B">
        <w:t>The Committee examines all Bills and subordinate legislation presented to the Assembly. It does not make any comments on the policy aspects of the legislation. The Committee’s terms of reference contain principles of scrutiny that enable it to operate in the best traditions of totally non-partisan, non-political technical scrutiny of legislation. These traditions have been adopted, without exception, by all scrutiny committees in Australia. Non-partisan, non-policy scrutiny allows the Committee to help the Assembly pass into law Acts and subordinate legislation which comply with the ideals set out in its terms of reference.</w:t>
      </w:r>
    </w:p>
    <w:p w:rsidR="00045F75" w:rsidRPr="00104A8B" w:rsidRDefault="00652A64" w:rsidP="008C0BE9">
      <w:pPr>
        <w:pStyle w:val="Heading2"/>
      </w:pPr>
      <w:r w:rsidRPr="00104A8B">
        <w:br w:type="page"/>
      </w:r>
      <w:bookmarkStart w:id="406" w:name="_Toc500938173"/>
      <w:bookmarkStart w:id="407" w:name="_Toc500947021"/>
      <w:bookmarkStart w:id="408" w:name="_Toc501547030"/>
      <w:bookmarkStart w:id="409" w:name="_Toc501547385"/>
      <w:bookmarkStart w:id="410" w:name="_Toc505005669"/>
      <w:bookmarkStart w:id="411" w:name="_Toc505153760"/>
      <w:bookmarkStart w:id="412" w:name="_Toc508283428"/>
      <w:bookmarkStart w:id="413" w:name="_Toc510081784"/>
      <w:bookmarkStart w:id="414" w:name="_Toc511812221"/>
      <w:bookmarkStart w:id="415" w:name="_Toc512240159"/>
      <w:bookmarkStart w:id="416" w:name="_Toc513192156"/>
      <w:bookmarkStart w:id="417" w:name="_Toc514832418"/>
      <w:bookmarkStart w:id="418" w:name="_Toc514837963"/>
      <w:bookmarkStart w:id="419" w:name="_Toc518297249"/>
      <w:bookmarkStart w:id="420" w:name="_Toc519069307"/>
      <w:bookmarkStart w:id="421" w:name="_Toc519069368"/>
      <w:bookmarkStart w:id="422" w:name="_Toc519520735"/>
      <w:bookmarkStart w:id="423" w:name="_Toc520188714"/>
      <w:bookmarkStart w:id="424" w:name="_Toc521054231"/>
      <w:bookmarkStart w:id="425" w:name="_Toc521054318"/>
      <w:bookmarkStart w:id="426" w:name="_Toc521054390"/>
      <w:bookmarkStart w:id="427" w:name="_Toc523753613"/>
      <w:bookmarkStart w:id="428" w:name="_Toc523814162"/>
      <w:bookmarkStart w:id="429" w:name="_Toc523900453"/>
      <w:bookmarkStart w:id="430" w:name="_Toc526855814"/>
      <w:bookmarkStart w:id="431" w:name="_Toc528155840"/>
      <w:bookmarkStart w:id="432" w:name="_Toc528157199"/>
      <w:bookmarkStart w:id="433" w:name="_Toc528310852"/>
      <w:bookmarkStart w:id="434" w:name="_Toc529974531"/>
      <w:bookmarkStart w:id="435" w:name="_Toc530039426"/>
      <w:bookmarkStart w:id="436" w:name="_Toc536527674"/>
      <w:bookmarkStart w:id="437" w:name="_Toc536527837"/>
      <w:bookmarkStart w:id="438" w:name="_Toc536615375"/>
      <w:bookmarkStart w:id="439" w:name="_Toc172153"/>
      <w:bookmarkStart w:id="440" w:name="_Toc506078"/>
      <w:bookmarkStart w:id="441" w:name="_Toc945922"/>
      <w:bookmarkStart w:id="442" w:name="_Toc965812"/>
      <w:bookmarkStart w:id="443" w:name="_Toc2839576"/>
      <w:bookmarkStart w:id="444" w:name="_Toc2850236"/>
      <w:bookmarkStart w:id="445" w:name="_Toc3271213"/>
      <w:bookmarkStart w:id="446" w:name="_Toc4588274"/>
      <w:bookmarkStart w:id="447" w:name="_Toc4652920"/>
      <w:bookmarkStart w:id="448" w:name="_Toc5003662"/>
      <w:bookmarkStart w:id="449" w:name="_Toc6211035"/>
      <w:bookmarkStart w:id="450" w:name="_Toc9499993"/>
      <w:bookmarkStart w:id="451" w:name="_Toc14266115"/>
      <w:bookmarkStart w:id="452" w:name="_Toc14334604"/>
      <w:bookmarkStart w:id="453" w:name="_Toc14775954"/>
      <w:bookmarkStart w:id="454" w:name="_Toc15285032"/>
      <w:bookmarkStart w:id="455" w:name="_Toc15630652"/>
      <w:bookmarkStart w:id="456" w:name="_Toc18415324"/>
      <w:bookmarkStart w:id="457" w:name="_Toc18487692"/>
      <w:bookmarkStart w:id="458" w:name="_Toc19708395"/>
      <w:bookmarkStart w:id="459" w:name="_Toc20131684"/>
      <w:bookmarkStart w:id="460" w:name="_Toc21595442"/>
      <w:bookmarkStart w:id="461" w:name="_Toc22025443"/>
      <w:bookmarkStart w:id="462" w:name="_Toc24463706"/>
      <w:bookmarkStart w:id="463" w:name="_Toc24617703"/>
      <w:bookmarkStart w:id="464" w:name="_Toc25050775"/>
      <w:bookmarkStart w:id="465" w:name="_Toc31202139"/>
      <w:bookmarkStart w:id="466" w:name="_Toc31202260"/>
      <w:bookmarkStart w:id="467" w:name="_Toc32390200"/>
      <w:bookmarkStart w:id="468" w:name="_Toc32566841"/>
      <w:bookmarkStart w:id="469" w:name="_Toc35437931"/>
      <w:bookmarkStart w:id="470" w:name="_Toc38270541"/>
      <w:bookmarkStart w:id="471" w:name="_Toc38362392"/>
      <w:bookmarkStart w:id="472" w:name="_Toc38441873"/>
      <w:bookmarkStart w:id="473" w:name="_Toc38442380"/>
      <w:bookmarkStart w:id="474" w:name="_Toc38976318"/>
      <w:bookmarkStart w:id="475" w:name="_Toc40693089"/>
      <w:bookmarkStart w:id="476" w:name="_Toc40693230"/>
      <w:bookmarkStart w:id="477" w:name="_Toc41570916"/>
      <w:bookmarkStart w:id="478" w:name="_Toc42874998"/>
      <w:bookmarkStart w:id="479" w:name="_Toc44074215"/>
      <w:bookmarkStart w:id="480" w:name="_Toc44317226"/>
      <w:bookmarkStart w:id="481" w:name="_Toc44323929"/>
      <w:bookmarkStart w:id="482" w:name="_Toc74301934"/>
      <w:bookmarkStart w:id="483" w:name="_Toc77751309"/>
      <w:r w:rsidR="00045F75" w:rsidRPr="00104A8B">
        <w:lastRenderedPageBreak/>
        <w:t>Resolution of Appointment</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rsidR="001D271A" w:rsidRPr="00697120" w:rsidRDefault="001D271A" w:rsidP="00AE0C07">
      <w:pPr>
        <w:keepNext/>
        <w:keepLines/>
        <w:tabs>
          <w:tab w:val="left" w:pos="567"/>
        </w:tabs>
        <w:spacing w:before="60" w:after="60"/>
        <w:ind w:left="1260" w:hanging="540"/>
        <w:rPr>
          <w:rFonts w:ascii="Calibri" w:hAnsi="Calibri"/>
        </w:rPr>
      </w:pPr>
      <w:r w:rsidRPr="00697120">
        <w:rPr>
          <w:rFonts w:ascii="Calibri" w:hAnsi="Calibri"/>
        </w:rPr>
        <w:t>(10)</w:t>
      </w:r>
      <w:r w:rsidRPr="00697120">
        <w:rPr>
          <w:rFonts w:ascii="Calibri" w:hAnsi="Calibri"/>
        </w:rPr>
        <w:tab/>
      </w:r>
      <w:proofErr w:type="gramStart"/>
      <w:r w:rsidRPr="00697120">
        <w:rPr>
          <w:rFonts w:ascii="Calibri" w:hAnsi="Calibri"/>
        </w:rPr>
        <w:t>the</w:t>
      </w:r>
      <w:proofErr w:type="gramEnd"/>
      <w:r w:rsidRPr="00697120">
        <w:rPr>
          <w:rFonts w:ascii="Calibri" w:hAnsi="Calibri"/>
        </w:rPr>
        <w:t xml:space="preserve"> Standing Committee on Justice and Community Safety is also to perform a legislative scrutiny role of bills and subordinate legislation by:</w:t>
      </w:r>
    </w:p>
    <w:p w:rsidR="001D271A" w:rsidRPr="00697120" w:rsidRDefault="001D271A" w:rsidP="00AE0C07">
      <w:pPr>
        <w:keepNext/>
        <w:keepLines/>
        <w:tabs>
          <w:tab w:val="left" w:pos="567"/>
        </w:tabs>
        <w:spacing w:before="60" w:after="60"/>
        <w:ind w:left="1800" w:hanging="540"/>
        <w:rPr>
          <w:rFonts w:ascii="Calibri" w:hAnsi="Calibri"/>
        </w:rPr>
      </w:pPr>
      <w:r w:rsidRPr="00697120">
        <w:rPr>
          <w:rFonts w:ascii="Calibri" w:hAnsi="Calibri"/>
        </w:rPr>
        <w:t>(a)</w:t>
      </w:r>
      <w:r w:rsidRPr="00697120">
        <w:rPr>
          <w:rFonts w:ascii="Calibri" w:hAnsi="Calibri"/>
        </w:rPr>
        <w:tab/>
      </w:r>
      <w:proofErr w:type="gramStart"/>
      <w:r w:rsidRPr="00697120">
        <w:rPr>
          <w:rFonts w:ascii="Calibri" w:hAnsi="Calibri"/>
        </w:rPr>
        <w:t>considering</w:t>
      </w:r>
      <w:proofErr w:type="gramEnd"/>
      <w:r w:rsidRPr="00697120">
        <w:rPr>
          <w:rFonts w:ascii="Calibri" w:hAnsi="Calibri"/>
        </w:rPr>
        <w:t xml:space="preserve"> whether the clauses of bills (and amendments proposed by the Government to its own bills) introduced into the Assembly:</w:t>
      </w:r>
    </w:p>
    <w:p w:rsidR="001D271A" w:rsidRPr="00697120" w:rsidRDefault="00AE0C07" w:rsidP="00AE0C07">
      <w:pPr>
        <w:keepNext/>
        <w:keepLines/>
        <w:tabs>
          <w:tab w:val="right" w:pos="2160"/>
          <w:tab w:val="left" w:pos="2520"/>
          <w:tab w:val="left" w:pos="9000"/>
        </w:tabs>
        <w:spacing w:before="60" w:after="60"/>
        <w:ind w:left="2520" w:hanging="720"/>
        <w:rPr>
          <w:rFonts w:ascii="Calibri" w:hAnsi="Calibri"/>
        </w:rPr>
      </w:pPr>
      <w:r>
        <w:rPr>
          <w:rFonts w:ascii="Calibri" w:hAnsi="Calibri"/>
        </w:rPr>
        <w:tab/>
      </w:r>
      <w:r w:rsidR="001D271A" w:rsidRPr="00697120">
        <w:rPr>
          <w:rFonts w:ascii="Calibri" w:hAnsi="Calibri"/>
        </w:rPr>
        <w:t>(</w:t>
      </w:r>
      <w:proofErr w:type="spellStart"/>
      <w:r w:rsidR="001D271A" w:rsidRPr="00697120">
        <w:rPr>
          <w:rFonts w:ascii="Calibri" w:hAnsi="Calibri"/>
        </w:rPr>
        <w:t>i</w:t>
      </w:r>
      <w:proofErr w:type="spellEnd"/>
      <w:r w:rsidR="001D271A" w:rsidRPr="00697120">
        <w:rPr>
          <w:rFonts w:ascii="Calibri" w:hAnsi="Calibri"/>
        </w:rPr>
        <w:t>)</w:t>
      </w:r>
      <w:r w:rsidR="001D271A" w:rsidRPr="00697120">
        <w:rPr>
          <w:rFonts w:ascii="Calibri" w:hAnsi="Calibri"/>
        </w:rPr>
        <w:tab/>
      </w:r>
      <w:proofErr w:type="gramStart"/>
      <w:r w:rsidR="001D271A" w:rsidRPr="00697120">
        <w:rPr>
          <w:rFonts w:ascii="Calibri" w:hAnsi="Calibri"/>
        </w:rPr>
        <w:t>unduly</w:t>
      </w:r>
      <w:proofErr w:type="gramEnd"/>
      <w:r w:rsidR="001D271A" w:rsidRPr="00697120">
        <w:rPr>
          <w:rFonts w:ascii="Calibri" w:hAnsi="Calibri"/>
        </w:rPr>
        <w:t xml:space="preserve"> trespass on personal rights and liberties;</w:t>
      </w:r>
    </w:p>
    <w:p w:rsidR="001D271A" w:rsidRPr="00697120" w:rsidRDefault="00AE0C07" w:rsidP="00AE0C07">
      <w:pPr>
        <w:tabs>
          <w:tab w:val="right" w:pos="2160"/>
          <w:tab w:val="left" w:pos="2520"/>
          <w:tab w:val="left" w:pos="9000"/>
        </w:tabs>
        <w:spacing w:before="60" w:after="60"/>
        <w:ind w:left="2520" w:hanging="720"/>
        <w:rPr>
          <w:rFonts w:ascii="Calibri" w:hAnsi="Calibri"/>
        </w:rPr>
      </w:pPr>
      <w:r>
        <w:rPr>
          <w:rFonts w:ascii="Calibri" w:hAnsi="Calibri"/>
        </w:rPr>
        <w:tab/>
      </w:r>
      <w:r w:rsidR="001D271A" w:rsidRPr="00697120">
        <w:rPr>
          <w:rFonts w:ascii="Calibri" w:hAnsi="Calibri"/>
        </w:rPr>
        <w:t>(ii)</w:t>
      </w:r>
      <w:r w:rsidR="001D271A" w:rsidRPr="00697120">
        <w:rPr>
          <w:rFonts w:ascii="Calibri" w:hAnsi="Calibri"/>
        </w:rPr>
        <w:tab/>
      </w:r>
      <w:proofErr w:type="gramStart"/>
      <w:r w:rsidR="001D271A" w:rsidRPr="00697120">
        <w:rPr>
          <w:rFonts w:ascii="Calibri" w:hAnsi="Calibri"/>
        </w:rPr>
        <w:t>make</w:t>
      </w:r>
      <w:proofErr w:type="gramEnd"/>
      <w:r w:rsidR="001D271A" w:rsidRPr="00697120">
        <w:rPr>
          <w:rFonts w:ascii="Calibri" w:hAnsi="Calibri"/>
        </w:rPr>
        <w:t xml:space="preserve"> rights, liberties and/or obligations unduly dependent upon insufficiently defined administrative powers;</w:t>
      </w:r>
    </w:p>
    <w:p w:rsidR="001D271A" w:rsidRPr="00697120" w:rsidRDefault="00AE0C07" w:rsidP="00AE0C07">
      <w:pPr>
        <w:tabs>
          <w:tab w:val="right" w:pos="2160"/>
          <w:tab w:val="left" w:pos="2520"/>
          <w:tab w:val="left" w:pos="9000"/>
        </w:tabs>
        <w:spacing w:before="60" w:after="60"/>
        <w:ind w:left="2520" w:hanging="720"/>
        <w:rPr>
          <w:rFonts w:ascii="Calibri" w:hAnsi="Calibri"/>
        </w:rPr>
      </w:pPr>
      <w:r>
        <w:rPr>
          <w:rFonts w:ascii="Calibri" w:hAnsi="Calibri"/>
        </w:rPr>
        <w:tab/>
      </w:r>
      <w:r w:rsidR="001D271A" w:rsidRPr="00697120">
        <w:rPr>
          <w:rFonts w:ascii="Calibri" w:hAnsi="Calibri"/>
        </w:rPr>
        <w:t>(iii)</w:t>
      </w:r>
      <w:r w:rsidR="001D271A" w:rsidRPr="00697120">
        <w:rPr>
          <w:rFonts w:ascii="Calibri" w:hAnsi="Calibri"/>
        </w:rPr>
        <w:tab/>
      </w:r>
      <w:proofErr w:type="gramStart"/>
      <w:r w:rsidR="001D271A" w:rsidRPr="00697120">
        <w:rPr>
          <w:rFonts w:ascii="Calibri" w:hAnsi="Calibri"/>
        </w:rPr>
        <w:t>make</w:t>
      </w:r>
      <w:proofErr w:type="gramEnd"/>
      <w:r w:rsidR="001D271A" w:rsidRPr="00697120">
        <w:rPr>
          <w:rFonts w:ascii="Calibri" w:hAnsi="Calibri"/>
        </w:rPr>
        <w:t xml:space="preserve"> rights, liberties and/or obligations unduly dependent upon non-reviewable decisions;</w:t>
      </w:r>
    </w:p>
    <w:p w:rsidR="001D271A" w:rsidRPr="00697120" w:rsidRDefault="00AE0C07" w:rsidP="00AE0C07">
      <w:pPr>
        <w:tabs>
          <w:tab w:val="right" w:pos="2160"/>
          <w:tab w:val="left" w:pos="2520"/>
          <w:tab w:val="left" w:pos="9000"/>
        </w:tabs>
        <w:spacing w:before="60" w:after="60"/>
        <w:ind w:left="2520" w:hanging="720"/>
        <w:rPr>
          <w:rFonts w:ascii="Calibri" w:hAnsi="Calibri"/>
        </w:rPr>
      </w:pPr>
      <w:r>
        <w:rPr>
          <w:rFonts w:ascii="Calibri" w:hAnsi="Calibri"/>
        </w:rPr>
        <w:tab/>
      </w:r>
      <w:r w:rsidR="001D271A" w:rsidRPr="00697120">
        <w:rPr>
          <w:rFonts w:ascii="Calibri" w:hAnsi="Calibri"/>
        </w:rPr>
        <w:t>(iv)</w:t>
      </w:r>
      <w:r w:rsidR="001D271A" w:rsidRPr="00697120">
        <w:rPr>
          <w:rFonts w:ascii="Calibri" w:hAnsi="Calibri"/>
        </w:rPr>
        <w:tab/>
      </w:r>
      <w:proofErr w:type="gramStart"/>
      <w:r w:rsidR="001D271A" w:rsidRPr="00697120">
        <w:rPr>
          <w:rFonts w:ascii="Calibri" w:hAnsi="Calibri"/>
        </w:rPr>
        <w:t>inappropriately</w:t>
      </w:r>
      <w:proofErr w:type="gramEnd"/>
      <w:r w:rsidR="001D271A" w:rsidRPr="00697120">
        <w:rPr>
          <w:rFonts w:ascii="Calibri" w:hAnsi="Calibri"/>
        </w:rPr>
        <w:t xml:space="preserve"> delegate legislative powers; or</w:t>
      </w:r>
    </w:p>
    <w:p w:rsidR="001D271A" w:rsidRPr="00697120" w:rsidRDefault="00AE0C07" w:rsidP="00AE0C07">
      <w:pPr>
        <w:tabs>
          <w:tab w:val="right" w:pos="2160"/>
          <w:tab w:val="left" w:pos="2520"/>
          <w:tab w:val="left" w:pos="9000"/>
        </w:tabs>
        <w:spacing w:before="60" w:after="60"/>
        <w:ind w:left="2520" w:hanging="720"/>
        <w:rPr>
          <w:rFonts w:ascii="Calibri" w:hAnsi="Calibri"/>
        </w:rPr>
      </w:pPr>
      <w:r>
        <w:rPr>
          <w:rFonts w:ascii="Calibri" w:hAnsi="Calibri"/>
        </w:rPr>
        <w:tab/>
      </w:r>
      <w:r w:rsidR="001D271A" w:rsidRPr="00697120">
        <w:rPr>
          <w:rFonts w:ascii="Calibri" w:hAnsi="Calibri"/>
        </w:rPr>
        <w:t>(v)</w:t>
      </w:r>
      <w:r w:rsidR="001D271A" w:rsidRPr="00697120">
        <w:rPr>
          <w:rFonts w:ascii="Calibri" w:hAnsi="Calibri"/>
        </w:rPr>
        <w:tab/>
      </w:r>
      <w:proofErr w:type="gramStart"/>
      <w:r w:rsidR="001D271A" w:rsidRPr="00697120">
        <w:rPr>
          <w:rFonts w:ascii="Calibri" w:hAnsi="Calibri"/>
        </w:rPr>
        <w:t>insufficiently</w:t>
      </w:r>
      <w:proofErr w:type="gramEnd"/>
      <w:r w:rsidR="001D271A" w:rsidRPr="00697120">
        <w:rPr>
          <w:rFonts w:ascii="Calibri" w:hAnsi="Calibri"/>
        </w:rPr>
        <w:t xml:space="preserve"> subject the exercise of legislative power to parliamentary scrutiny; and</w:t>
      </w:r>
    </w:p>
    <w:p w:rsidR="001D271A" w:rsidRPr="00697120" w:rsidRDefault="00AE0C07" w:rsidP="00AE0C07">
      <w:pPr>
        <w:tabs>
          <w:tab w:val="right" w:pos="2160"/>
          <w:tab w:val="left" w:pos="2520"/>
          <w:tab w:val="left" w:pos="9000"/>
        </w:tabs>
        <w:spacing w:before="60" w:after="60"/>
        <w:ind w:left="2520" w:hanging="720"/>
        <w:rPr>
          <w:rFonts w:ascii="Calibri" w:hAnsi="Calibri"/>
        </w:rPr>
      </w:pPr>
      <w:r>
        <w:rPr>
          <w:rFonts w:ascii="Calibri" w:hAnsi="Calibri"/>
        </w:rPr>
        <w:tab/>
      </w:r>
      <w:r w:rsidR="001D271A" w:rsidRPr="00697120">
        <w:rPr>
          <w:rFonts w:ascii="Calibri" w:hAnsi="Calibri"/>
        </w:rPr>
        <w:t>(vi)</w:t>
      </w:r>
      <w:r w:rsidR="001D271A" w:rsidRPr="00697120">
        <w:rPr>
          <w:rFonts w:ascii="Calibri" w:hAnsi="Calibri"/>
        </w:rPr>
        <w:tab/>
      </w:r>
      <w:proofErr w:type="gramStart"/>
      <w:r w:rsidR="001D271A" w:rsidRPr="00697120">
        <w:rPr>
          <w:rFonts w:ascii="Calibri" w:hAnsi="Calibri"/>
        </w:rPr>
        <w:t>consider</w:t>
      </w:r>
      <w:proofErr w:type="gramEnd"/>
      <w:r w:rsidR="001D271A" w:rsidRPr="00697120">
        <w:rPr>
          <w:rFonts w:ascii="Calibri" w:hAnsi="Calibri"/>
        </w:rPr>
        <w:t xml:space="preserve"> whether any explanatory statement associated with legislation meets the technical or stylistic standards expected by the Assembly;</w:t>
      </w:r>
    </w:p>
    <w:p w:rsidR="001D271A" w:rsidRPr="00697120" w:rsidRDefault="001D271A" w:rsidP="00AE0C07">
      <w:pPr>
        <w:keepNext/>
        <w:keepLines/>
        <w:tabs>
          <w:tab w:val="left" w:pos="567"/>
        </w:tabs>
        <w:spacing w:before="60" w:after="60"/>
        <w:ind w:left="1800" w:hanging="540"/>
        <w:rPr>
          <w:rFonts w:ascii="Calibri" w:hAnsi="Calibri"/>
        </w:rPr>
      </w:pPr>
      <w:r w:rsidRPr="00697120">
        <w:rPr>
          <w:rFonts w:ascii="Calibri" w:hAnsi="Calibri"/>
        </w:rPr>
        <w:t>(b)</w:t>
      </w:r>
      <w:r w:rsidRPr="00697120">
        <w:rPr>
          <w:rFonts w:ascii="Calibri" w:hAnsi="Calibri"/>
        </w:rPr>
        <w:tab/>
      </w:r>
      <w:proofErr w:type="gramStart"/>
      <w:r w:rsidRPr="00697120">
        <w:rPr>
          <w:rFonts w:ascii="Calibri" w:hAnsi="Calibri"/>
        </w:rPr>
        <w:t>reporting</w:t>
      </w:r>
      <w:proofErr w:type="gramEnd"/>
      <w:r w:rsidRPr="00697120">
        <w:rPr>
          <w:rFonts w:ascii="Calibri" w:hAnsi="Calibri"/>
        </w:rPr>
        <w:t xml:space="preserve"> to the Legislative Assembly about human rights issues raised by bills presented to the Assembly pursuant to section 38 of the </w:t>
      </w:r>
      <w:r w:rsidRPr="00AE0C07">
        <w:rPr>
          <w:rFonts w:ascii="Calibri" w:hAnsi="Calibri"/>
        </w:rPr>
        <w:t>Human Rights Act 2004</w:t>
      </w:r>
      <w:r w:rsidRPr="00697120">
        <w:rPr>
          <w:rFonts w:ascii="Calibri" w:hAnsi="Calibri"/>
        </w:rPr>
        <w:t xml:space="preserve">; </w:t>
      </w:r>
    </w:p>
    <w:p w:rsidR="001D271A" w:rsidRPr="00697120" w:rsidRDefault="001D271A" w:rsidP="00AE0C07">
      <w:pPr>
        <w:keepNext/>
        <w:keepLines/>
        <w:tabs>
          <w:tab w:val="left" w:pos="567"/>
        </w:tabs>
        <w:spacing w:before="60" w:after="60"/>
        <w:ind w:left="1800" w:hanging="540"/>
        <w:rPr>
          <w:rFonts w:ascii="Calibri" w:hAnsi="Calibri"/>
        </w:rPr>
      </w:pPr>
      <w:r w:rsidRPr="00697120">
        <w:rPr>
          <w:rFonts w:ascii="Calibri" w:hAnsi="Calibri"/>
        </w:rPr>
        <w:t>(c)</w:t>
      </w:r>
      <w:r w:rsidRPr="00697120">
        <w:rPr>
          <w:rFonts w:ascii="Calibri" w:hAnsi="Calibri"/>
        </w:rPr>
        <w:tab/>
      </w:r>
      <w:proofErr w:type="gramStart"/>
      <w:r w:rsidRPr="00697120">
        <w:rPr>
          <w:rFonts w:ascii="Calibri" w:hAnsi="Calibri"/>
        </w:rPr>
        <w:t>considering</w:t>
      </w:r>
      <w:proofErr w:type="gramEnd"/>
      <w:r w:rsidRPr="00697120">
        <w:rPr>
          <w:rFonts w:ascii="Calibri" w:hAnsi="Calibri"/>
        </w:rPr>
        <w:t xml:space="preserve"> whether any instrument of a legislative nature made under an Act which is subject to disallowance and/or disapproval by the Assembly (including a regulation, rule or by-law):</w:t>
      </w:r>
    </w:p>
    <w:p w:rsidR="001D271A" w:rsidRPr="00697120" w:rsidRDefault="00AE0C07" w:rsidP="00AE0C07">
      <w:pPr>
        <w:tabs>
          <w:tab w:val="right" w:pos="2160"/>
          <w:tab w:val="left" w:pos="2520"/>
          <w:tab w:val="left" w:pos="9000"/>
        </w:tabs>
        <w:spacing w:before="60" w:after="60"/>
        <w:ind w:left="2520" w:hanging="720"/>
        <w:rPr>
          <w:rFonts w:ascii="Calibri" w:hAnsi="Calibri"/>
        </w:rPr>
      </w:pPr>
      <w:r>
        <w:rPr>
          <w:rFonts w:ascii="Calibri" w:hAnsi="Calibri"/>
        </w:rPr>
        <w:tab/>
      </w:r>
      <w:r w:rsidR="001D271A" w:rsidRPr="00697120">
        <w:rPr>
          <w:rFonts w:ascii="Calibri" w:hAnsi="Calibri"/>
        </w:rPr>
        <w:t>(</w:t>
      </w:r>
      <w:proofErr w:type="spellStart"/>
      <w:proofErr w:type="gramStart"/>
      <w:r w:rsidR="001D271A" w:rsidRPr="00697120">
        <w:rPr>
          <w:rFonts w:ascii="Calibri" w:hAnsi="Calibri"/>
        </w:rPr>
        <w:t>i</w:t>
      </w:r>
      <w:proofErr w:type="spellEnd"/>
      <w:proofErr w:type="gramEnd"/>
      <w:r w:rsidR="001D271A" w:rsidRPr="00697120">
        <w:rPr>
          <w:rFonts w:ascii="Calibri" w:hAnsi="Calibri"/>
        </w:rPr>
        <w:t>)</w:t>
      </w:r>
      <w:r w:rsidR="001D271A" w:rsidRPr="00697120">
        <w:rPr>
          <w:rFonts w:ascii="Calibri" w:hAnsi="Calibri"/>
        </w:rPr>
        <w:tab/>
        <w:t>is in accord with the general objects of the Act under which it is made;</w:t>
      </w:r>
    </w:p>
    <w:p w:rsidR="001D271A" w:rsidRPr="00697120" w:rsidRDefault="00AE0C07" w:rsidP="00AE0C07">
      <w:pPr>
        <w:tabs>
          <w:tab w:val="right" w:pos="2160"/>
          <w:tab w:val="left" w:pos="2520"/>
          <w:tab w:val="left" w:pos="9000"/>
        </w:tabs>
        <w:spacing w:before="60" w:after="60"/>
        <w:ind w:left="2520" w:hanging="720"/>
        <w:rPr>
          <w:rFonts w:ascii="Calibri" w:hAnsi="Calibri"/>
        </w:rPr>
      </w:pPr>
      <w:r>
        <w:rPr>
          <w:rFonts w:ascii="Calibri" w:hAnsi="Calibri"/>
        </w:rPr>
        <w:tab/>
      </w:r>
      <w:r w:rsidR="001D271A" w:rsidRPr="00697120">
        <w:rPr>
          <w:rFonts w:ascii="Calibri" w:hAnsi="Calibri"/>
        </w:rPr>
        <w:t>(ii)</w:t>
      </w:r>
      <w:r w:rsidR="001D271A" w:rsidRPr="00697120">
        <w:rPr>
          <w:rFonts w:ascii="Calibri" w:hAnsi="Calibri"/>
        </w:rPr>
        <w:tab/>
      </w:r>
      <w:proofErr w:type="gramStart"/>
      <w:r w:rsidR="001D271A" w:rsidRPr="00697120">
        <w:rPr>
          <w:rFonts w:ascii="Calibri" w:hAnsi="Calibri"/>
        </w:rPr>
        <w:t>unduly</w:t>
      </w:r>
      <w:proofErr w:type="gramEnd"/>
      <w:r w:rsidR="001D271A" w:rsidRPr="00697120">
        <w:rPr>
          <w:rFonts w:ascii="Calibri" w:hAnsi="Calibri"/>
        </w:rPr>
        <w:t xml:space="preserve"> trespasses on rights previously established by law;</w:t>
      </w:r>
    </w:p>
    <w:p w:rsidR="001D271A" w:rsidRPr="00697120" w:rsidRDefault="00AE0C07" w:rsidP="00AE0C07">
      <w:pPr>
        <w:tabs>
          <w:tab w:val="right" w:pos="2160"/>
          <w:tab w:val="left" w:pos="2520"/>
          <w:tab w:val="left" w:pos="9000"/>
        </w:tabs>
        <w:spacing w:before="60" w:after="60"/>
        <w:ind w:left="2520" w:hanging="720"/>
        <w:rPr>
          <w:rFonts w:ascii="Calibri" w:hAnsi="Calibri"/>
        </w:rPr>
      </w:pPr>
      <w:r>
        <w:rPr>
          <w:rFonts w:ascii="Calibri" w:hAnsi="Calibri"/>
        </w:rPr>
        <w:tab/>
      </w:r>
      <w:r w:rsidR="001D271A" w:rsidRPr="00697120">
        <w:rPr>
          <w:rFonts w:ascii="Calibri" w:hAnsi="Calibri"/>
        </w:rPr>
        <w:t>(iii)</w:t>
      </w:r>
      <w:r w:rsidR="001D271A" w:rsidRPr="00697120">
        <w:rPr>
          <w:rFonts w:ascii="Calibri" w:hAnsi="Calibri"/>
        </w:rPr>
        <w:tab/>
      </w:r>
      <w:proofErr w:type="gramStart"/>
      <w:r w:rsidR="001D271A" w:rsidRPr="00697120">
        <w:rPr>
          <w:rFonts w:ascii="Calibri" w:hAnsi="Calibri"/>
        </w:rPr>
        <w:t>makes</w:t>
      </w:r>
      <w:proofErr w:type="gramEnd"/>
      <w:r w:rsidR="001D271A" w:rsidRPr="00697120">
        <w:rPr>
          <w:rFonts w:ascii="Calibri" w:hAnsi="Calibri"/>
        </w:rPr>
        <w:t xml:space="preserve"> rights, liberties and/or obligations unduly dependent upon non-reviewable decisions; or</w:t>
      </w:r>
    </w:p>
    <w:p w:rsidR="001D271A" w:rsidRPr="00697120" w:rsidRDefault="00AE0C07" w:rsidP="00AE0C07">
      <w:pPr>
        <w:tabs>
          <w:tab w:val="right" w:pos="2160"/>
          <w:tab w:val="left" w:pos="2520"/>
          <w:tab w:val="left" w:pos="9000"/>
        </w:tabs>
        <w:spacing w:before="60" w:after="60"/>
        <w:ind w:left="2520" w:hanging="720"/>
        <w:rPr>
          <w:rFonts w:ascii="Calibri" w:hAnsi="Calibri"/>
        </w:rPr>
      </w:pPr>
      <w:r>
        <w:rPr>
          <w:rFonts w:ascii="Calibri" w:hAnsi="Calibri"/>
        </w:rPr>
        <w:tab/>
      </w:r>
      <w:r w:rsidR="001D271A" w:rsidRPr="00697120">
        <w:rPr>
          <w:rFonts w:ascii="Calibri" w:hAnsi="Calibri"/>
        </w:rPr>
        <w:t>(iv)</w:t>
      </w:r>
      <w:r w:rsidR="001D271A" w:rsidRPr="00697120">
        <w:rPr>
          <w:rFonts w:ascii="Calibri" w:hAnsi="Calibri"/>
        </w:rPr>
        <w:tab/>
      </w:r>
      <w:proofErr w:type="gramStart"/>
      <w:r w:rsidR="001D271A" w:rsidRPr="00697120">
        <w:rPr>
          <w:rFonts w:ascii="Calibri" w:hAnsi="Calibri"/>
        </w:rPr>
        <w:t>contains</w:t>
      </w:r>
      <w:proofErr w:type="gramEnd"/>
      <w:r w:rsidR="001D271A" w:rsidRPr="00697120">
        <w:rPr>
          <w:rFonts w:ascii="Calibri" w:hAnsi="Calibri"/>
        </w:rPr>
        <w:t xml:space="preserve"> matter which in the opinion of the Committee should properly be dealt with in an Act of the Legislative Assembly; and</w:t>
      </w:r>
    </w:p>
    <w:p w:rsidR="001D271A" w:rsidRPr="00697120" w:rsidRDefault="001D271A" w:rsidP="00AE0C07">
      <w:pPr>
        <w:keepNext/>
        <w:keepLines/>
        <w:tabs>
          <w:tab w:val="left" w:pos="567"/>
        </w:tabs>
        <w:spacing w:before="60" w:after="60"/>
        <w:ind w:left="1800" w:hanging="540"/>
        <w:rPr>
          <w:rFonts w:ascii="Calibri" w:hAnsi="Calibri"/>
        </w:rPr>
      </w:pPr>
      <w:r w:rsidRPr="00697120">
        <w:rPr>
          <w:rFonts w:ascii="Calibri" w:hAnsi="Calibri"/>
        </w:rPr>
        <w:t>(d)</w:t>
      </w:r>
      <w:r w:rsidRPr="00697120">
        <w:rPr>
          <w:rFonts w:ascii="Calibri" w:hAnsi="Calibri"/>
        </w:rPr>
        <w:tab/>
      </w:r>
      <w:proofErr w:type="gramStart"/>
      <w:r w:rsidRPr="00697120">
        <w:rPr>
          <w:rFonts w:ascii="Calibri" w:hAnsi="Calibri"/>
        </w:rPr>
        <w:t>consider</w:t>
      </w:r>
      <w:proofErr w:type="gramEnd"/>
      <w:r w:rsidRPr="00697120">
        <w:rPr>
          <w:rFonts w:ascii="Calibri" w:hAnsi="Calibri"/>
        </w:rPr>
        <w:t xml:space="preserve"> whether any explanatory statement or explanatory memorandum associated with legislation and any regulatory impact statement meets the technical or stylistic standards expected by the Assembly;</w:t>
      </w:r>
    </w:p>
    <w:p w:rsidR="00126D9A" w:rsidRPr="00104A8B" w:rsidRDefault="00126D9A">
      <w:r w:rsidRPr="00104A8B">
        <w:br w:type="page"/>
      </w:r>
    </w:p>
    <w:p w:rsidR="00CD1256" w:rsidRDefault="00D447D3" w:rsidP="00FC46AA">
      <w:pPr>
        <w:pStyle w:val="TOCHeading"/>
        <w:keepNext w:val="0"/>
        <w:keepLines w:val="0"/>
        <w:spacing w:before="120" w:after="360" w:line="500" w:lineRule="exact"/>
        <w:outlineLvl w:val="1"/>
        <w:rPr>
          <w:noProof/>
        </w:rPr>
      </w:pPr>
      <w:bookmarkStart w:id="484" w:name="_Toc514837964"/>
      <w:r w:rsidRPr="00104A8B">
        <w:rPr>
          <w:rFonts w:asciiTheme="minorHAnsi" w:eastAsia="Times New Roman" w:hAnsiTheme="minorHAnsi" w:cs="Times New Roman"/>
          <w:smallCaps/>
          <w:spacing w:val="20"/>
          <w:kern w:val="42"/>
          <w:sz w:val="44"/>
          <w:szCs w:val="44"/>
        </w:rPr>
        <w:lastRenderedPageBreak/>
        <w:t>Table of Contents</w:t>
      </w:r>
      <w:bookmarkEnd w:id="484"/>
      <w:r w:rsidR="00CD5AD5" w:rsidRPr="00104A8B">
        <w:rPr>
          <w:rFonts w:asciiTheme="minorHAnsi" w:hAnsiTheme="minorHAnsi"/>
        </w:rPr>
        <w:fldChar w:fldCharType="begin"/>
      </w:r>
      <w:r w:rsidR="00562E8A" w:rsidRPr="00104A8B">
        <w:rPr>
          <w:rFonts w:asciiTheme="minorHAnsi" w:hAnsiTheme="minorHAnsi"/>
        </w:rPr>
        <w:instrText xml:space="preserve"> TOC \h \z \u \t "Heading 2,1,Heading 3,2,Heading 4,3" </w:instrText>
      </w:r>
      <w:r w:rsidR="00CD5AD5" w:rsidRPr="00104A8B">
        <w:rPr>
          <w:rFonts w:asciiTheme="minorHAnsi" w:hAnsiTheme="minorHAnsi"/>
        </w:rPr>
        <w:fldChar w:fldCharType="separate"/>
      </w:r>
    </w:p>
    <w:p w:rsidR="00CD1256" w:rsidRDefault="00E7274A">
      <w:pPr>
        <w:pStyle w:val="TOC1"/>
        <w:rPr>
          <w:rFonts w:asciiTheme="minorHAnsi" w:eastAsiaTheme="minorEastAsia" w:hAnsiTheme="minorHAnsi" w:cstheme="minorBidi"/>
          <w:bCs w:val="0"/>
          <w:smallCaps w:val="0"/>
          <w:spacing w:val="0"/>
          <w:sz w:val="22"/>
          <w:szCs w:val="22"/>
          <w:lang w:eastAsia="en-AU"/>
        </w:rPr>
      </w:pPr>
      <w:hyperlink w:anchor="_Toc77751310" w:history="1">
        <w:r w:rsidR="00CD1256" w:rsidRPr="006861B4">
          <w:rPr>
            <w:rStyle w:val="Hyperlink"/>
            <w:rFonts w:eastAsia="Calibri"/>
            <w:lang w:eastAsia="en-AU"/>
          </w:rPr>
          <w:t>Bills</w:t>
        </w:r>
        <w:r w:rsidR="00CD1256">
          <w:rPr>
            <w:webHidden/>
          </w:rPr>
          <w:tab/>
        </w:r>
        <w:r w:rsidR="00CD1256">
          <w:rPr>
            <w:webHidden/>
          </w:rPr>
          <w:fldChar w:fldCharType="begin"/>
        </w:r>
        <w:r w:rsidR="00CD1256">
          <w:rPr>
            <w:webHidden/>
          </w:rPr>
          <w:instrText xml:space="preserve"> PAGEREF _Toc77751310 \h </w:instrText>
        </w:r>
        <w:r w:rsidR="00CD1256">
          <w:rPr>
            <w:webHidden/>
          </w:rPr>
        </w:r>
        <w:r w:rsidR="00CD1256">
          <w:rPr>
            <w:webHidden/>
          </w:rPr>
          <w:fldChar w:fldCharType="separate"/>
        </w:r>
        <w:r>
          <w:rPr>
            <w:webHidden/>
          </w:rPr>
          <w:t>1</w:t>
        </w:r>
        <w:r w:rsidR="00CD1256">
          <w:rPr>
            <w:webHidden/>
          </w:rPr>
          <w:fldChar w:fldCharType="end"/>
        </w:r>
      </w:hyperlink>
    </w:p>
    <w:p w:rsidR="00CD1256" w:rsidRDefault="00E7274A">
      <w:pPr>
        <w:pStyle w:val="TOC2"/>
        <w:rPr>
          <w:rFonts w:asciiTheme="minorHAnsi" w:eastAsiaTheme="minorEastAsia" w:hAnsiTheme="minorHAnsi" w:cstheme="minorBidi"/>
          <w:b w:val="0"/>
          <w:noProof/>
          <w:sz w:val="22"/>
          <w:szCs w:val="22"/>
          <w:lang w:eastAsia="en-AU"/>
        </w:rPr>
      </w:pPr>
      <w:hyperlink w:anchor="_Toc77751311" w:history="1">
        <w:r w:rsidR="00CD1256" w:rsidRPr="006861B4">
          <w:rPr>
            <w:rStyle w:val="Hyperlink"/>
            <w:noProof/>
          </w:rPr>
          <w:t>Bill—No comment</w:t>
        </w:r>
        <w:r w:rsidR="00CD1256">
          <w:rPr>
            <w:noProof/>
            <w:webHidden/>
          </w:rPr>
          <w:tab/>
        </w:r>
        <w:r w:rsidR="00CD1256">
          <w:rPr>
            <w:noProof/>
            <w:webHidden/>
          </w:rPr>
          <w:fldChar w:fldCharType="begin"/>
        </w:r>
        <w:r w:rsidR="00CD1256">
          <w:rPr>
            <w:noProof/>
            <w:webHidden/>
          </w:rPr>
          <w:instrText xml:space="preserve"> PAGEREF _Toc77751311 \h </w:instrText>
        </w:r>
        <w:r w:rsidR="00CD1256">
          <w:rPr>
            <w:noProof/>
            <w:webHidden/>
          </w:rPr>
        </w:r>
        <w:r w:rsidR="00CD1256">
          <w:rPr>
            <w:noProof/>
            <w:webHidden/>
          </w:rPr>
          <w:fldChar w:fldCharType="separate"/>
        </w:r>
        <w:r>
          <w:rPr>
            <w:noProof/>
            <w:webHidden/>
          </w:rPr>
          <w:t>1</w:t>
        </w:r>
        <w:r w:rsidR="00CD1256">
          <w:rPr>
            <w:noProof/>
            <w:webHidden/>
          </w:rPr>
          <w:fldChar w:fldCharType="end"/>
        </w:r>
      </w:hyperlink>
    </w:p>
    <w:p w:rsidR="00CD1256" w:rsidRDefault="00E7274A">
      <w:pPr>
        <w:pStyle w:val="TOC3"/>
        <w:rPr>
          <w:rFonts w:eastAsiaTheme="minorEastAsia"/>
          <w:b w:val="0"/>
          <w:smallCaps w:val="0"/>
          <w:lang w:eastAsia="en-AU"/>
        </w:rPr>
      </w:pPr>
      <w:hyperlink w:anchor="_Toc77751312" w:history="1">
        <w:r w:rsidR="00CD1256" w:rsidRPr="006861B4">
          <w:rPr>
            <w:rStyle w:val="Hyperlink"/>
          </w:rPr>
          <w:t>Senior Practitioner Amendment Bill 2021</w:t>
        </w:r>
        <w:r w:rsidR="00CD1256">
          <w:rPr>
            <w:webHidden/>
          </w:rPr>
          <w:tab/>
        </w:r>
        <w:r w:rsidR="00CD1256">
          <w:rPr>
            <w:webHidden/>
          </w:rPr>
          <w:fldChar w:fldCharType="begin"/>
        </w:r>
        <w:r w:rsidR="00CD1256">
          <w:rPr>
            <w:webHidden/>
          </w:rPr>
          <w:instrText xml:space="preserve"> PAGEREF _Toc77751312 \h </w:instrText>
        </w:r>
        <w:r w:rsidR="00CD1256">
          <w:rPr>
            <w:webHidden/>
          </w:rPr>
        </w:r>
        <w:r w:rsidR="00CD1256">
          <w:rPr>
            <w:webHidden/>
          </w:rPr>
          <w:fldChar w:fldCharType="separate"/>
        </w:r>
        <w:r>
          <w:rPr>
            <w:webHidden/>
          </w:rPr>
          <w:t>1</w:t>
        </w:r>
        <w:r w:rsidR="00CD1256">
          <w:rPr>
            <w:webHidden/>
          </w:rPr>
          <w:fldChar w:fldCharType="end"/>
        </w:r>
      </w:hyperlink>
    </w:p>
    <w:p w:rsidR="00CD1256" w:rsidRDefault="00E7274A">
      <w:pPr>
        <w:pStyle w:val="TOC2"/>
        <w:rPr>
          <w:rFonts w:asciiTheme="minorHAnsi" w:eastAsiaTheme="minorEastAsia" w:hAnsiTheme="minorHAnsi" w:cstheme="minorBidi"/>
          <w:b w:val="0"/>
          <w:noProof/>
          <w:sz w:val="22"/>
          <w:szCs w:val="22"/>
          <w:lang w:eastAsia="en-AU"/>
        </w:rPr>
      </w:pPr>
      <w:hyperlink w:anchor="_Toc77751313" w:history="1">
        <w:r w:rsidR="00CD1256" w:rsidRPr="006861B4">
          <w:rPr>
            <w:rStyle w:val="Hyperlink"/>
            <w:noProof/>
          </w:rPr>
          <w:t>Bill</w:t>
        </w:r>
        <w:r w:rsidR="00CD1256">
          <w:rPr>
            <w:rStyle w:val="Hyperlink"/>
            <w:noProof/>
          </w:rPr>
          <w:t>s</w:t>
        </w:r>
        <w:r w:rsidR="00CD1256" w:rsidRPr="006861B4">
          <w:rPr>
            <w:rStyle w:val="Hyperlink"/>
            <w:noProof/>
          </w:rPr>
          <w:t>—Comment</w:t>
        </w:r>
        <w:r w:rsidR="00CD1256">
          <w:rPr>
            <w:noProof/>
            <w:webHidden/>
          </w:rPr>
          <w:tab/>
        </w:r>
        <w:r w:rsidR="00CD1256">
          <w:rPr>
            <w:noProof/>
            <w:webHidden/>
          </w:rPr>
          <w:fldChar w:fldCharType="begin"/>
        </w:r>
        <w:r w:rsidR="00CD1256">
          <w:rPr>
            <w:noProof/>
            <w:webHidden/>
          </w:rPr>
          <w:instrText xml:space="preserve"> PAGEREF _Toc77751313 \h </w:instrText>
        </w:r>
        <w:r w:rsidR="00CD1256">
          <w:rPr>
            <w:noProof/>
            <w:webHidden/>
          </w:rPr>
        </w:r>
        <w:r w:rsidR="00CD1256">
          <w:rPr>
            <w:noProof/>
            <w:webHidden/>
          </w:rPr>
          <w:fldChar w:fldCharType="separate"/>
        </w:r>
        <w:r>
          <w:rPr>
            <w:noProof/>
            <w:webHidden/>
          </w:rPr>
          <w:t>1</w:t>
        </w:r>
        <w:r w:rsidR="00CD1256">
          <w:rPr>
            <w:noProof/>
            <w:webHidden/>
          </w:rPr>
          <w:fldChar w:fldCharType="end"/>
        </w:r>
      </w:hyperlink>
    </w:p>
    <w:p w:rsidR="00CD1256" w:rsidRDefault="00E7274A">
      <w:pPr>
        <w:pStyle w:val="TOC3"/>
        <w:rPr>
          <w:rFonts w:eastAsiaTheme="minorEastAsia"/>
          <w:b w:val="0"/>
          <w:smallCaps w:val="0"/>
          <w:lang w:eastAsia="en-AU"/>
        </w:rPr>
      </w:pPr>
      <w:hyperlink w:anchor="_Toc77751314" w:history="1">
        <w:r w:rsidR="00CD1256" w:rsidRPr="006861B4">
          <w:rPr>
            <w:rStyle w:val="Hyperlink"/>
          </w:rPr>
          <w:t>Carers Recognition Bill 2021</w:t>
        </w:r>
        <w:r w:rsidR="00CD1256">
          <w:rPr>
            <w:webHidden/>
          </w:rPr>
          <w:tab/>
        </w:r>
        <w:r w:rsidR="00CD1256">
          <w:rPr>
            <w:webHidden/>
          </w:rPr>
          <w:fldChar w:fldCharType="begin"/>
        </w:r>
        <w:r w:rsidR="00CD1256">
          <w:rPr>
            <w:webHidden/>
          </w:rPr>
          <w:instrText xml:space="preserve"> PAGEREF _Toc77751314 \h </w:instrText>
        </w:r>
        <w:r w:rsidR="00CD1256">
          <w:rPr>
            <w:webHidden/>
          </w:rPr>
        </w:r>
        <w:r w:rsidR="00CD1256">
          <w:rPr>
            <w:webHidden/>
          </w:rPr>
          <w:fldChar w:fldCharType="separate"/>
        </w:r>
        <w:r>
          <w:rPr>
            <w:webHidden/>
          </w:rPr>
          <w:t>1</w:t>
        </w:r>
        <w:r w:rsidR="00CD1256">
          <w:rPr>
            <w:webHidden/>
          </w:rPr>
          <w:fldChar w:fldCharType="end"/>
        </w:r>
      </w:hyperlink>
    </w:p>
    <w:p w:rsidR="00CD1256" w:rsidRDefault="00E7274A">
      <w:pPr>
        <w:pStyle w:val="TOC3"/>
        <w:rPr>
          <w:rFonts w:eastAsiaTheme="minorEastAsia"/>
          <w:b w:val="0"/>
          <w:smallCaps w:val="0"/>
          <w:lang w:eastAsia="en-AU"/>
        </w:rPr>
      </w:pPr>
      <w:hyperlink w:anchor="_Toc77751315" w:history="1">
        <w:r w:rsidR="00CD1256" w:rsidRPr="006861B4">
          <w:rPr>
            <w:rStyle w:val="Hyperlink"/>
          </w:rPr>
          <w:t>Crimes Legislation Amendment Bill 2021</w:t>
        </w:r>
        <w:r w:rsidR="00CD1256">
          <w:rPr>
            <w:webHidden/>
          </w:rPr>
          <w:tab/>
        </w:r>
        <w:r w:rsidR="00CD1256">
          <w:rPr>
            <w:webHidden/>
          </w:rPr>
          <w:fldChar w:fldCharType="begin"/>
        </w:r>
        <w:r w:rsidR="00CD1256">
          <w:rPr>
            <w:webHidden/>
          </w:rPr>
          <w:instrText xml:space="preserve"> PAGEREF _Toc77751315 \h </w:instrText>
        </w:r>
        <w:r w:rsidR="00CD1256">
          <w:rPr>
            <w:webHidden/>
          </w:rPr>
        </w:r>
        <w:r w:rsidR="00CD1256">
          <w:rPr>
            <w:webHidden/>
          </w:rPr>
          <w:fldChar w:fldCharType="separate"/>
        </w:r>
        <w:r>
          <w:rPr>
            <w:webHidden/>
          </w:rPr>
          <w:t>3</w:t>
        </w:r>
        <w:r w:rsidR="00CD1256">
          <w:rPr>
            <w:webHidden/>
          </w:rPr>
          <w:fldChar w:fldCharType="end"/>
        </w:r>
      </w:hyperlink>
    </w:p>
    <w:p w:rsidR="00CD1256" w:rsidRDefault="00E7274A">
      <w:pPr>
        <w:pStyle w:val="TOC3"/>
        <w:rPr>
          <w:rFonts w:eastAsiaTheme="minorEastAsia"/>
          <w:b w:val="0"/>
          <w:smallCaps w:val="0"/>
          <w:lang w:eastAsia="en-AU"/>
        </w:rPr>
      </w:pPr>
      <w:hyperlink w:anchor="_Toc77751316" w:history="1">
        <w:r w:rsidR="00CD1256" w:rsidRPr="006861B4">
          <w:rPr>
            <w:rStyle w:val="Hyperlink"/>
          </w:rPr>
          <w:t>Domestic Violence Agencies Amendment Bill 2021</w:t>
        </w:r>
        <w:r w:rsidR="00CD1256">
          <w:rPr>
            <w:webHidden/>
          </w:rPr>
          <w:tab/>
        </w:r>
        <w:r w:rsidR="00CD1256">
          <w:rPr>
            <w:webHidden/>
          </w:rPr>
          <w:fldChar w:fldCharType="begin"/>
        </w:r>
        <w:r w:rsidR="00CD1256">
          <w:rPr>
            <w:webHidden/>
          </w:rPr>
          <w:instrText xml:space="preserve"> PAGEREF _Toc77751316 \h </w:instrText>
        </w:r>
        <w:r w:rsidR="00CD1256">
          <w:rPr>
            <w:webHidden/>
          </w:rPr>
        </w:r>
        <w:r w:rsidR="00CD1256">
          <w:rPr>
            <w:webHidden/>
          </w:rPr>
          <w:fldChar w:fldCharType="separate"/>
        </w:r>
        <w:r>
          <w:rPr>
            <w:webHidden/>
          </w:rPr>
          <w:t>6</w:t>
        </w:r>
        <w:r w:rsidR="00CD1256">
          <w:rPr>
            <w:webHidden/>
          </w:rPr>
          <w:fldChar w:fldCharType="end"/>
        </w:r>
      </w:hyperlink>
    </w:p>
    <w:p w:rsidR="00CD1256" w:rsidRDefault="00E7274A">
      <w:pPr>
        <w:pStyle w:val="TOC3"/>
        <w:rPr>
          <w:rFonts w:eastAsiaTheme="minorEastAsia"/>
          <w:b w:val="0"/>
          <w:smallCaps w:val="0"/>
          <w:lang w:eastAsia="en-AU"/>
        </w:rPr>
      </w:pPr>
      <w:hyperlink w:anchor="_Toc77751317" w:history="1">
        <w:r w:rsidR="00CD1256" w:rsidRPr="006861B4">
          <w:rPr>
            <w:rStyle w:val="Hyperlink"/>
          </w:rPr>
          <w:t>Road Transport (Safety and Traffic Management) Amendment Bill 2021 (No 2)</w:t>
        </w:r>
        <w:r w:rsidR="00CD1256">
          <w:rPr>
            <w:webHidden/>
          </w:rPr>
          <w:tab/>
        </w:r>
        <w:r w:rsidR="00CD1256">
          <w:rPr>
            <w:webHidden/>
          </w:rPr>
          <w:fldChar w:fldCharType="begin"/>
        </w:r>
        <w:r w:rsidR="00CD1256">
          <w:rPr>
            <w:webHidden/>
          </w:rPr>
          <w:instrText xml:space="preserve"> PAGEREF _Toc77751317 \h </w:instrText>
        </w:r>
        <w:r w:rsidR="00CD1256">
          <w:rPr>
            <w:webHidden/>
          </w:rPr>
        </w:r>
        <w:r w:rsidR="00CD1256">
          <w:rPr>
            <w:webHidden/>
          </w:rPr>
          <w:fldChar w:fldCharType="separate"/>
        </w:r>
        <w:r>
          <w:rPr>
            <w:webHidden/>
          </w:rPr>
          <w:t>7</w:t>
        </w:r>
        <w:r w:rsidR="00CD1256">
          <w:rPr>
            <w:webHidden/>
          </w:rPr>
          <w:fldChar w:fldCharType="end"/>
        </w:r>
      </w:hyperlink>
    </w:p>
    <w:p w:rsidR="00CD1256" w:rsidRDefault="00E7274A">
      <w:pPr>
        <w:pStyle w:val="TOC3"/>
        <w:rPr>
          <w:rFonts w:eastAsiaTheme="minorEastAsia"/>
          <w:b w:val="0"/>
          <w:smallCaps w:val="0"/>
          <w:lang w:eastAsia="en-AU"/>
        </w:rPr>
      </w:pPr>
      <w:hyperlink w:anchor="_Toc77751318" w:history="1">
        <w:r w:rsidR="00CD1256" w:rsidRPr="006861B4">
          <w:rPr>
            <w:rStyle w:val="Hyperlink"/>
          </w:rPr>
          <w:t>Work Health and Safety Amendment Bill 2021</w:t>
        </w:r>
        <w:r w:rsidR="00CD1256">
          <w:rPr>
            <w:webHidden/>
          </w:rPr>
          <w:tab/>
        </w:r>
        <w:r w:rsidR="00CD1256">
          <w:rPr>
            <w:webHidden/>
          </w:rPr>
          <w:fldChar w:fldCharType="begin"/>
        </w:r>
        <w:r w:rsidR="00CD1256">
          <w:rPr>
            <w:webHidden/>
          </w:rPr>
          <w:instrText xml:space="preserve"> PAGEREF _Toc77751318 \h </w:instrText>
        </w:r>
        <w:r w:rsidR="00CD1256">
          <w:rPr>
            <w:webHidden/>
          </w:rPr>
        </w:r>
        <w:r w:rsidR="00CD1256">
          <w:rPr>
            <w:webHidden/>
          </w:rPr>
          <w:fldChar w:fldCharType="separate"/>
        </w:r>
        <w:r>
          <w:rPr>
            <w:webHidden/>
          </w:rPr>
          <w:t>9</w:t>
        </w:r>
        <w:r w:rsidR="00CD1256">
          <w:rPr>
            <w:webHidden/>
          </w:rPr>
          <w:fldChar w:fldCharType="end"/>
        </w:r>
      </w:hyperlink>
    </w:p>
    <w:p w:rsidR="00CD1256" w:rsidRDefault="00E7274A">
      <w:pPr>
        <w:pStyle w:val="TOC1"/>
        <w:rPr>
          <w:rFonts w:asciiTheme="minorHAnsi" w:eastAsiaTheme="minorEastAsia" w:hAnsiTheme="minorHAnsi" w:cstheme="minorBidi"/>
          <w:bCs w:val="0"/>
          <w:smallCaps w:val="0"/>
          <w:spacing w:val="0"/>
          <w:sz w:val="22"/>
          <w:szCs w:val="22"/>
          <w:lang w:eastAsia="en-AU"/>
        </w:rPr>
      </w:pPr>
      <w:hyperlink w:anchor="_Toc77751319" w:history="1">
        <w:r w:rsidR="00CD1256" w:rsidRPr="006861B4">
          <w:rPr>
            <w:rStyle w:val="Hyperlink"/>
            <w:rFonts w:eastAsia="Calibri"/>
            <w:lang w:eastAsia="en-AU"/>
          </w:rPr>
          <w:t>Subordinate Legislation</w:t>
        </w:r>
        <w:r w:rsidR="00CD1256">
          <w:rPr>
            <w:webHidden/>
          </w:rPr>
          <w:tab/>
        </w:r>
        <w:r w:rsidR="00CD1256">
          <w:rPr>
            <w:webHidden/>
          </w:rPr>
          <w:fldChar w:fldCharType="begin"/>
        </w:r>
        <w:r w:rsidR="00CD1256">
          <w:rPr>
            <w:webHidden/>
          </w:rPr>
          <w:instrText xml:space="preserve"> PAGEREF _Toc77751319 \h </w:instrText>
        </w:r>
        <w:r w:rsidR="00CD1256">
          <w:rPr>
            <w:webHidden/>
          </w:rPr>
        </w:r>
        <w:r w:rsidR="00CD1256">
          <w:rPr>
            <w:webHidden/>
          </w:rPr>
          <w:fldChar w:fldCharType="separate"/>
        </w:r>
        <w:r>
          <w:rPr>
            <w:webHidden/>
          </w:rPr>
          <w:t>10</w:t>
        </w:r>
        <w:r w:rsidR="00CD1256">
          <w:rPr>
            <w:webHidden/>
          </w:rPr>
          <w:fldChar w:fldCharType="end"/>
        </w:r>
      </w:hyperlink>
    </w:p>
    <w:p w:rsidR="00CD1256" w:rsidRDefault="00E7274A">
      <w:pPr>
        <w:pStyle w:val="TOC2"/>
        <w:rPr>
          <w:rFonts w:asciiTheme="minorHAnsi" w:eastAsiaTheme="minorEastAsia" w:hAnsiTheme="minorHAnsi" w:cstheme="minorBidi"/>
          <w:b w:val="0"/>
          <w:noProof/>
          <w:sz w:val="22"/>
          <w:szCs w:val="22"/>
          <w:lang w:eastAsia="en-AU"/>
        </w:rPr>
      </w:pPr>
      <w:hyperlink w:anchor="_Toc77751320" w:history="1">
        <w:r w:rsidR="00CD1256" w:rsidRPr="006861B4">
          <w:rPr>
            <w:rStyle w:val="Hyperlink"/>
            <w:noProof/>
          </w:rPr>
          <w:t>Disallowable Instruments—No comment</w:t>
        </w:r>
        <w:r w:rsidR="00CD1256">
          <w:rPr>
            <w:noProof/>
            <w:webHidden/>
          </w:rPr>
          <w:tab/>
        </w:r>
        <w:r w:rsidR="00CD1256">
          <w:rPr>
            <w:noProof/>
            <w:webHidden/>
          </w:rPr>
          <w:fldChar w:fldCharType="begin"/>
        </w:r>
        <w:r w:rsidR="00CD1256">
          <w:rPr>
            <w:noProof/>
            <w:webHidden/>
          </w:rPr>
          <w:instrText xml:space="preserve"> PAGEREF _Toc77751320 \h </w:instrText>
        </w:r>
        <w:r w:rsidR="00CD1256">
          <w:rPr>
            <w:noProof/>
            <w:webHidden/>
          </w:rPr>
        </w:r>
        <w:r w:rsidR="00CD1256">
          <w:rPr>
            <w:noProof/>
            <w:webHidden/>
          </w:rPr>
          <w:fldChar w:fldCharType="separate"/>
        </w:r>
        <w:r>
          <w:rPr>
            <w:noProof/>
            <w:webHidden/>
          </w:rPr>
          <w:t>10</w:t>
        </w:r>
        <w:r w:rsidR="00CD1256">
          <w:rPr>
            <w:noProof/>
            <w:webHidden/>
          </w:rPr>
          <w:fldChar w:fldCharType="end"/>
        </w:r>
      </w:hyperlink>
    </w:p>
    <w:p w:rsidR="00CD1256" w:rsidRDefault="00E7274A">
      <w:pPr>
        <w:pStyle w:val="TOC2"/>
        <w:rPr>
          <w:rFonts w:asciiTheme="minorHAnsi" w:eastAsiaTheme="minorEastAsia" w:hAnsiTheme="minorHAnsi" w:cstheme="minorBidi"/>
          <w:b w:val="0"/>
          <w:noProof/>
          <w:sz w:val="22"/>
          <w:szCs w:val="22"/>
          <w:lang w:eastAsia="en-AU"/>
        </w:rPr>
      </w:pPr>
      <w:hyperlink w:anchor="_Toc77751321" w:history="1">
        <w:r w:rsidR="00CD1256" w:rsidRPr="006861B4">
          <w:rPr>
            <w:rStyle w:val="Hyperlink"/>
            <w:rFonts w:eastAsia="Calibri"/>
            <w:noProof/>
            <w:lang w:eastAsia="en-AU"/>
          </w:rPr>
          <w:t>Disallowable Instruments—Comment</w:t>
        </w:r>
        <w:r w:rsidR="00CD1256">
          <w:rPr>
            <w:noProof/>
            <w:webHidden/>
          </w:rPr>
          <w:tab/>
        </w:r>
        <w:r w:rsidR="00CD1256">
          <w:rPr>
            <w:noProof/>
            <w:webHidden/>
          </w:rPr>
          <w:fldChar w:fldCharType="begin"/>
        </w:r>
        <w:r w:rsidR="00CD1256">
          <w:rPr>
            <w:noProof/>
            <w:webHidden/>
          </w:rPr>
          <w:instrText xml:space="preserve"> PAGEREF _Toc77751321 \h </w:instrText>
        </w:r>
        <w:r w:rsidR="00CD1256">
          <w:rPr>
            <w:noProof/>
            <w:webHidden/>
          </w:rPr>
        </w:r>
        <w:r w:rsidR="00CD1256">
          <w:rPr>
            <w:noProof/>
            <w:webHidden/>
          </w:rPr>
          <w:fldChar w:fldCharType="separate"/>
        </w:r>
        <w:r>
          <w:rPr>
            <w:noProof/>
            <w:webHidden/>
          </w:rPr>
          <w:t>10</w:t>
        </w:r>
        <w:r w:rsidR="00CD1256">
          <w:rPr>
            <w:noProof/>
            <w:webHidden/>
          </w:rPr>
          <w:fldChar w:fldCharType="end"/>
        </w:r>
      </w:hyperlink>
    </w:p>
    <w:p w:rsidR="00CD1256" w:rsidRDefault="00E7274A">
      <w:pPr>
        <w:pStyle w:val="TOC1"/>
        <w:rPr>
          <w:rFonts w:asciiTheme="minorHAnsi" w:eastAsiaTheme="minorEastAsia" w:hAnsiTheme="minorHAnsi" w:cstheme="minorBidi"/>
          <w:bCs w:val="0"/>
          <w:smallCaps w:val="0"/>
          <w:spacing w:val="0"/>
          <w:sz w:val="22"/>
          <w:szCs w:val="22"/>
          <w:lang w:eastAsia="en-AU"/>
        </w:rPr>
      </w:pPr>
      <w:hyperlink w:anchor="_Toc77751322" w:history="1">
        <w:r w:rsidR="00CD1256" w:rsidRPr="006861B4">
          <w:rPr>
            <w:rStyle w:val="Hyperlink"/>
            <w:rFonts w:eastAsia="Calibri"/>
            <w:lang w:eastAsia="en-AU"/>
          </w:rPr>
          <w:t>Responses</w:t>
        </w:r>
        <w:r w:rsidR="00CD1256">
          <w:rPr>
            <w:webHidden/>
          </w:rPr>
          <w:tab/>
        </w:r>
        <w:r w:rsidR="00CD1256">
          <w:rPr>
            <w:webHidden/>
          </w:rPr>
          <w:fldChar w:fldCharType="begin"/>
        </w:r>
        <w:r w:rsidR="00CD1256">
          <w:rPr>
            <w:webHidden/>
          </w:rPr>
          <w:instrText xml:space="preserve"> PAGEREF _Toc77751322 \h </w:instrText>
        </w:r>
        <w:r w:rsidR="00CD1256">
          <w:rPr>
            <w:webHidden/>
          </w:rPr>
        </w:r>
        <w:r w:rsidR="00CD1256">
          <w:rPr>
            <w:webHidden/>
          </w:rPr>
          <w:fldChar w:fldCharType="separate"/>
        </w:r>
        <w:r>
          <w:rPr>
            <w:webHidden/>
          </w:rPr>
          <w:t>12</w:t>
        </w:r>
        <w:r w:rsidR="00CD1256">
          <w:rPr>
            <w:webHidden/>
          </w:rPr>
          <w:fldChar w:fldCharType="end"/>
        </w:r>
      </w:hyperlink>
    </w:p>
    <w:p w:rsidR="00CD1256" w:rsidRDefault="00E7274A">
      <w:pPr>
        <w:pStyle w:val="TOC2"/>
        <w:rPr>
          <w:rFonts w:asciiTheme="minorHAnsi" w:eastAsiaTheme="minorEastAsia" w:hAnsiTheme="minorHAnsi" w:cstheme="minorBidi"/>
          <w:b w:val="0"/>
          <w:noProof/>
          <w:sz w:val="22"/>
          <w:szCs w:val="22"/>
          <w:lang w:eastAsia="en-AU"/>
        </w:rPr>
      </w:pPr>
      <w:hyperlink w:anchor="_Toc77751323" w:history="1">
        <w:r w:rsidR="00CD1256" w:rsidRPr="006861B4">
          <w:rPr>
            <w:rStyle w:val="Hyperlink"/>
            <w:noProof/>
            <w:lang w:eastAsia="en-AU"/>
          </w:rPr>
          <w:t>Government response</w:t>
        </w:r>
        <w:r>
          <w:rPr>
            <w:rStyle w:val="Hyperlink"/>
            <w:noProof/>
            <w:lang w:eastAsia="en-AU"/>
          </w:rPr>
          <w:t>s</w:t>
        </w:r>
        <w:bookmarkStart w:id="485" w:name="_GoBack"/>
        <w:bookmarkEnd w:id="485"/>
        <w:r w:rsidR="00CD1256">
          <w:rPr>
            <w:noProof/>
            <w:webHidden/>
          </w:rPr>
          <w:tab/>
        </w:r>
        <w:r w:rsidR="00CD1256">
          <w:rPr>
            <w:noProof/>
            <w:webHidden/>
          </w:rPr>
          <w:fldChar w:fldCharType="begin"/>
        </w:r>
        <w:r w:rsidR="00CD1256">
          <w:rPr>
            <w:noProof/>
            <w:webHidden/>
          </w:rPr>
          <w:instrText xml:space="preserve"> PAGEREF _Toc77751323 \h </w:instrText>
        </w:r>
        <w:r w:rsidR="00CD1256">
          <w:rPr>
            <w:noProof/>
            <w:webHidden/>
          </w:rPr>
        </w:r>
        <w:r w:rsidR="00CD1256">
          <w:rPr>
            <w:noProof/>
            <w:webHidden/>
          </w:rPr>
          <w:fldChar w:fldCharType="separate"/>
        </w:r>
        <w:r>
          <w:rPr>
            <w:noProof/>
            <w:webHidden/>
          </w:rPr>
          <w:t>12</w:t>
        </w:r>
        <w:r w:rsidR="00CD1256">
          <w:rPr>
            <w:noProof/>
            <w:webHidden/>
          </w:rPr>
          <w:fldChar w:fldCharType="end"/>
        </w:r>
      </w:hyperlink>
    </w:p>
    <w:p w:rsidR="00CD1256" w:rsidRDefault="00E7274A">
      <w:pPr>
        <w:pStyle w:val="TOC2"/>
        <w:rPr>
          <w:rFonts w:asciiTheme="minorHAnsi" w:eastAsiaTheme="minorEastAsia" w:hAnsiTheme="minorHAnsi" w:cstheme="minorBidi"/>
          <w:b w:val="0"/>
          <w:noProof/>
          <w:sz w:val="22"/>
          <w:szCs w:val="22"/>
          <w:lang w:eastAsia="en-AU"/>
        </w:rPr>
      </w:pPr>
      <w:hyperlink w:anchor="_Toc77751324" w:history="1">
        <w:r w:rsidR="00CD1256" w:rsidRPr="006861B4">
          <w:rPr>
            <w:rStyle w:val="Hyperlink"/>
            <w:noProof/>
          </w:rPr>
          <w:t>Government response—Comment</w:t>
        </w:r>
        <w:r w:rsidR="00CD1256">
          <w:rPr>
            <w:noProof/>
            <w:webHidden/>
          </w:rPr>
          <w:tab/>
        </w:r>
        <w:r w:rsidR="00CD1256">
          <w:rPr>
            <w:noProof/>
            <w:webHidden/>
          </w:rPr>
          <w:fldChar w:fldCharType="begin"/>
        </w:r>
        <w:r w:rsidR="00CD1256">
          <w:rPr>
            <w:noProof/>
            <w:webHidden/>
          </w:rPr>
          <w:instrText xml:space="preserve"> PAGEREF _Toc77751324 \h </w:instrText>
        </w:r>
        <w:r w:rsidR="00CD1256">
          <w:rPr>
            <w:noProof/>
            <w:webHidden/>
          </w:rPr>
        </w:r>
        <w:r w:rsidR="00CD1256">
          <w:rPr>
            <w:noProof/>
            <w:webHidden/>
          </w:rPr>
          <w:fldChar w:fldCharType="separate"/>
        </w:r>
        <w:r>
          <w:rPr>
            <w:noProof/>
            <w:webHidden/>
          </w:rPr>
          <w:t>12</w:t>
        </w:r>
        <w:r w:rsidR="00CD1256">
          <w:rPr>
            <w:noProof/>
            <w:webHidden/>
          </w:rPr>
          <w:fldChar w:fldCharType="end"/>
        </w:r>
      </w:hyperlink>
    </w:p>
    <w:p w:rsidR="00CD1256" w:rsidRDefault="00E7274A">
      <w:pPr>
        <w:pStyle w:val="TOC1"/>
        <w:rPr>
          <w:rFonts w:asciiTheme="minorHAnsi" w:eastAsiaTheme="minorEastAsia" w:hAnsiTheme="minorHAnsi" w:cstheme="minorBidi"/>
          <w:bCs w:val="0"/>
          <w:smallCaps w:val="0"/>
          <w:spacing w:val="0"/>
          <w:sz w:val="22"/>
          <w:szCs w:val="22"/>
          <w:lang w:eastAsia="en-AU"/>
        </w:rPr>
      </w:pPr>
      <w:hyperlink w:anchor="_Toc77751325" w:history="1">
        <w:r w:rsidR="00CD1256" w:rsidRPr="006861B4">
          <w:rPr>
            <w:rStyle w:val="Hyperlink"/>
          </w:rPr>
          <w:t>Outstanding Responses</w:t>
        </w:r>
        <w:r w:rsidR="00CD1256">
          <w:rPr>
            <w:webHidden/>
          </w:rPr>
          <w:tab/>
        </w:r>
        <w:r w:rsidR="00CD1256">
          <w:rPr>
            <w:webHidden/>
          </w:rPr>
          <w:fldChar w:fldCharType="begin"/>
        </w:r>
        <w:r w:rsidR="00CD1256">
          <w:rPr>
            <w:webHidden/>
          </w:rPr>
          <w:instrText xml:space="preserve"> PAGEREF _Toc77751325 \h </w:instrText>
        </w:r>
        <w:r w:rsidR="00CD1256">
          <w:rPr>
            <w:webHidden/>
          </w:rPr>
        </w:r>
        <w:r w:rsidR="00CD1256">
          <w:rPr>
            <w:webHidden/>
          </w:rPr>
          <w:fldChar w:fldCharType="separate"/>
        </w:r>
        <w:r>
          <w:rPr>
            <w:webHidden/>
          </w:rPr>
          <w:t>14</w:t>
        </w:r>
        <w:r w:rsidR="00CD1256">
          <w:rPr>
            <w:webHidden/>
          </w:rPr>
          <w:fldChar w:fldCharType="end"/>
        </w:r>
      </w:hyperlink>
    </w:p>
    <w:p w:rsidR="00351AD0" w:rsidRPr="00104A8B" w:rsidRDefault="00CD5AD5" w:rsidP="00A0668C">
      <w:pPr>
        <w:pStyle w:val="TOC1"/>
      </w:pPr>
      <w:r w:rsidRPr="00104A8B">
        <w:fldChar w:fldCharType="end"/>
      </w:r>
    </w:p>
    <w:p w:rsidR="00351AD0" w:rsidRPr="00104A8B" w:rsidRDefault="00351AD0" w:rsidP="00351AD0">
      <w:pPr>
        <w:sectPr w:rsidR="00351AD0" w:rsidRPr="00104A8B" w:rsidSect="00E8247B">
          <w:headerReference w:type="even" r:id="rId15"/>
          <w:headerReference w:type="default" r:id="rId16"/>
          <w:footerReference w:type="even" r:id="rId17"/>
          <w:footerReference w:type="default" r:id="rId18"/>
          <w:headerReference w:type="first" r:id="rId19"/>
          <w:pgSz w:w="11906" w:h="16838"/>
          <w:pgMar w:top="1440" w:right="1440" w:bottom="1440" w:left="1440" w:header="708" w:footer="708" w:gutter="0"/>
          <w:pgNumType w:fmt="lowerRoman" w:start="1"/>
          <w:cols w:space="708"/>
          <w:docGrid w:linePitch="360"/>
        </w:sectPr>
      </w:pPr>
    </w:p>
    <w:p w:rsidR="00632981" w:rsidRPr="00104A8B" w:rsidRDefault="00632981">
      <w:pPr>
        <w:sectPr w:rsidR="00632981" w:rsidRPr="00104A8B" w:rsidSect="00351AD0">
          <w:headerReference w:type="even" r:id="rId20"/>
          <w:headerReference w:type="default" r:id="rId21"/>
          <w:footerReference w:type="even" r:id="rId22"/>
          <w:headerReference w:type="first" r:id="rId23"/>
          <w:type w:val="continuous"/>
          <w:pgSz w:w="11906" w:h="16838"/>
          <w:pgMar w:top="1440" w:right="1440" w:bottom="1440" w:left="1440" w:header="708" w:footer="708" w:gutter="0"/>
          <w:cols w:space="708"/>
          <w:docGrid w:linePitch="360"/>
        </w:sectPr>
      </w:pPr>
    </w:p>
    <w:p w:rsidR="00D20076" w:rsidRPr="00104A8B" w:rsidRDefault="00D20076" w:rsidP="008C0BE9">
      <w:pPr>
        <w:pStyle w:val="Heading2"/>
        <w:rPr>
          <w:rFonts w:eastAsia="Calibri"/>
          <w:lang w:eastAsia="en-AU"/>
        </w:rPr>
      </w:pPr>
      <w:bookmarkStart w:id="486" w:name="_Toc77751310"/>
      <w:bookmarkStart w:id="487" w:name="_Toc501448810"/>
      <w:bookmarkStart w:id="488" w:name="_Toc514837969"/>
      <w:r>
        <w:rPr>
          <w:rFonts w:eastAsia="Calibri"/>
          <w:lang w:eastAsia="en-AU"/>
        </w:rPr>
        <w:lastRenderedPageBreak/>
        <w:t>Bill</w:t>
      </w:r>
      <w:r w:rsidR="00D71D2E">
        <w:rPr>
          <w:rFonts w:eastAsia="Calibri"/>
          <w:lang w:eastAsia="en-AU"/>
        </w:rPr>
        <w:t>s</w:t>
      </w:r>
      <w:bookmarkEnd w:id="486"/>
    </w:p>
    <w:p w:rsidR="00F9213C" w:rsidRDefault="00417022" w:rsidP="00F9213C">
      <w:pPr>
        <w:pStyle w:val="Heading3"/>
      </w:pPr>
      <w:bookmarkStart w:id="489" w:name="_Toc77751311"/>
      <w:bookmarkStart w:id="490" w:name="_Toc35437939"/>
      <w:r>
        <w:t>Bill</w:t>
      </w:r>
      <w:r w:rsidR="00F9213C" w:rsidRPr="00103E7B">
        <w:t>—</w:t>
      </w:r>
      <w:r w:rsidR="00F9213C">
        <w:t>No c</w:t>
      </w:r>
      <w:r w:rsidR="00F9213C" w:rsidRPr="00103E7B">
        <w:t>omment</w:t>
      </w:r>
      <w:bookmarkEnd w:id="489"/>
    </w:p>
    <w:p w:rsidR="00F9213C" w:rsidRDefault="00F9213C" w:rsidP="00F9213C">
      <w:pPr>
        <w:widowControl w:val="0"/>
        <w:tabs>
          <w:tab w:val="left" w:pos="1276"/>
        </w:tabs>
        <w:rPr>
          <w:rFonts w:ascii="Calibri" w:hAnsi="Calibri" w:cs="Calibri"/>
          <w:color w:val="000000"/>
        </w:rPr>
      </w:pPr>
      <w:r w:rsidRPr="00987942">
        <w:rPr>
          <w:rFonts w:ascii="Calibri" w:hAnsi="Calibri" w:cs="Calibri"/>
          <w:color w:val="000000"/>
        </w:rPr>
        <w:t xml:space="preserve">The Committee has examined the </w:t>
      </w:r>
      <w:r w:rsidR="00417022">
        <w:rPr>
          <w:rFonts w:ascii="Calibri" w:hAnsi="Calibri" w:cs="Calibri"/>
          <w:color w:val="000000"/>
        </w:rPr>
        <w:t>following bill</w:t>
      </w:r>
      <w:r>
        <w:rPr>
          <w:rFonts w:ascii="Calibri" w:hAnsi="Calibri" w:cs="Calibri"/>
          <w:color w:val="000000"/>
        </w:rPr>
        <w:t xml:space="preserve"> and offers no comment on </w:t>
      </w:r>
      <w:r w:rsidR="00CD1256">
        <w:rPr>
          <w:rFonts w:ascii="Calibri" w:hAnsi="Calibri" w:cs="Calibri"/>
          <w:color w:val="000000"/>
        </w:rPr>
        <w:t>it</w:t>
      </w:r>
      <w:r w:rsidRPr="00987942">
        <w:rPr>
          <w:rFonts w:ascii="Calibri" w:hAnsi="Calibri" w:cs="Calibri"/>
          <w:color w:val="000000"/>
        </w:rPr>
        <w:t>:</w:t>
      </w:r>
    </w:p>
    <w:p w:rsidR="00CD1256" w:rsidRPr="00133AB1" w:rsidRDefault="00CD1256" w:rsidP="00CD1256">
      <w:pPr>
        <w:pStyle w:val="Heading4"/>
        <w:pBdr>
          <w:bottom w:val="single" w:sz="6" w:space="1" w:color="000000"/>
        </w:pBdr>
        <w:rPr>
          <w:rFonts w:eastAsia="Times New Roman"/>
        </w:rPr>
      </w:pPr>
      <w:bookmarkStart w:id="491" w:name="_Toc77751312"/>
      <w:bookmarkStart w:id="492" w:name="_Toc338841796"/>
      <w:bookmarkStart w:id="493" w:name="_Hlk496454859"/>
      <w:bookmarkStart w:id="494" w:name="_Toc514837978"/>
      <w:bookmarkStart w:id="495" w:name="_Toc526855824"/>
      <w:bookmarkStart w:id="496" w:name="_Toc338841795"/>
      <w:bookmarkStart w:id="497" w:name="_Hlk483295725"/>
      <w:bookmarkEnd w:id="490"/>
      <w:bookmarkEnd w:id="487"/>
      <w:bookmarkEnd w:id="488"/>
      <w:r w:rsidRPr="00F37A2C">
        <w:rPr>
          <w:rFonts w:eastAsia="Times New Roman"/>
        </w:rPr>
        <w:t>Senior Practitioner Amendment Bill</w:t>
      </w:r>
      <w:r>
        <w:rPr>
          <w:rFonts w:eastAsia="Times New Roman"/>
        </w:rPr>
        <w:t xml:space="preserve"> </w:t>
      </w:r>
      <w:r w:rsidRPr="00DA043C">
        <w:rPr>
          <w:rFonts w:eastAsia="Times New Roman"/>
        </w:rPr>
        <w:t>2021</w:t>
      </w:r>
      <w:bookmarkEnd w:id="491"/>
    </w:p>
    <w:p w:rsidR="00CD1256" w:rsidRDefault="00CD1256" w:rsidP="00CD1256">
      <w:pPr>
        <w:rPr>
          <w:rFonts w:ascii="Calibri" w:eastAsia="Calibri" w:hAnsi="Calibri" w:cs="Calibri"/>
          <w:color w:val="000000"/>
          <w:szCs w:val="20"/>
          <w:lang w:eastAsia="en-AU"/>
        </w:rPr>
      </w:pPr>
      <w:r w:rsidRPr="00133AB1">
        <w:rPr>
          <w:rFonts w:ascii="Calibri" w:eastAsia="Calibri" w:hAnsi="Calibri" w:cs="Calibri"/>
          <w:color w:val="000000"/>
          <w:szCs w:val="20"/>
          <w:lang w:eastAsia="en-AU"/>
        </w:rPr>
        <w:t>This Bill</w:t>
      </w:r>
      <w:r>
        <w:rPr>
          <w:rFonts w:ascii="Calibri" w:eastAsia="Calibri" w:hAnsi="Calibri" w:cs="Calibri"/>
          <w:color w:val="000000"/>
          <w:szCs w:val="20"/>
          <w:lang w:eastAsia="en-AU"/>
        </w:rPr>
        <w:t xml:space="preserve"> amends the </w:t>
      </w:r>
      <w:r w:rsidRPr="00F37A2C">
        <w:rPr>
          <w:rFonts w:ascii="Calibri" w:eastAsia="Calibri" w:hAnsi="Calibri" w:cs="Calibri"/>
          <w:i/>
          <w:iCs/>
          <w:color w:val="000000"/>
          <w:szCs w:val="20"/>
          <w:lang w:eastAsia="en-AU"/>
        </w:rPr>
        <w:t>Senior Practitioner Act 2018</w:t>
      </w:r>
      <w:r>
        <w:rPr>
          <w:rFonts w:ascii="Calibri" w:eastAsia="Calibri" w:hAnsi="Calibri" w:cs="Calibri"/>
          <w:i/>
          <w:iCs/>
          <w:color w:val="000000"/>
          <w:szCs w:val="20"/>
          <w:lang w:eastAsia="en-AU"/>
        </w:rPr>
        <w:t xml:space="preserve">. </w:t>
      </w:r>
      <w:r w:rsidRPr="00067DB1">
        <w:rPr>
          <w:rFonts w:ascii="Calibri" w:eastAsia="Calibri" w:hAnsi="Calibri" w:cs="Calibri"/>
          <w:color w:val="000000"/>
          <w:szCs w:val="20"/>
          <w:lang w:eastAsia="en-AU"/>
        </w:rPr>
        <w:t>Currently</w:t>
      </w:r>
      <w:r w:rsidR="00D32329">
        <w:rPr>
          <w:rFonts w:ascii="Calibri" w:eastAsia="Calibri" w:hAnsi="Calibri" w:cs="Calibri"/>
          <w:color w:val="000000"/>
          <w:szCs w:val="20"/>
          <w:lang w:eastAsia="en-AU"/>
        </w:rPr>
        <w:t>,</w:t>
      </w:r>
      <w:r w:rsidRPr="00067DB1">
        <w:rPr>
          <w:rFonts w:ascii="Calibri" w:eastAsia="Calibri" w:hAnsi="Calibri" w:cs="Calibri"/>
          <w:color w:val="000000"/>
          <w:szCs w:val="20"/>
          <w:lang w:eastAsia="en-AU"/>
        </w:rPr>
        <w:t xml:space="preserve"> the Act must be reviewed</w:t>
      </w:r>
      <w:r>
        <w:rPr>
          <w:rFonts w:ascii="Calibri" w:eastAsia="Calibri" w:hAnsi="Calibri" w:cs="Calibri"/>
          <w:i/>
          <w:iCs/>
          <w:color w:val="000000"/>
          <w:szCs w:val="20"/>
          <w:lang w:eastAsia="en-AU"/>
        </w:rPr>
        <w:t xml:space="preserve"> </w:t>
      </w:r>
      <w:r>
        <w:rPr>
          <w:rFonts w:ascii="Calibri" w:eastAsia="Calibri" w:hAnsi="Calibri" w:cs="Calibri"/>
          <w:color w:val="000000"/>
          <w:szCs w:val="20"/>
          <w:lang w:eastAsia="en-AU"/>
        </w:rPr>
        <w:t>and a report presented to the Minister as soon as practicable after the Act’s third year of operation (</w:t>
      </w:r>
      <w:proofErr w:type="spellStart"/>
      <w:r>
        <w:rPr>
          <w:rFonts w:ascii="Calibri" w:eastAsia="Calibri" w:hAnsi="Calibri" w:cs="Calibri"/>
          <w:color w:val="000000"/>
          <w:szCs w:val="20"/>
          <w:lang w:eastAsia="en-AU"/>
        </w:rPr>
        <w:t>ie</w:t>
      </w:r>
      <w:proofErr w:type="spellEnd"/>
      <w:r>
        <w:rPr>
          <w:rFonts w:ascii="Calibri" w:eastAsia="Calibri" w:hAnsi="Calibri" w:cs="Calibri"/>
          <w:color w:val="000000"/>
          <w:szCs w:val="20"/>
          <w:lang w:eastAsia="en-AU"/>
        </w:rPr>
        <w:t xml:space="preserve"> after 1 September 2021). The Bill will delay that report until after the Act’s fifth year of operation (</w:t>
      </w:r>
      <w:proofErr w:type="spellStart"/>
      <w:r>
        <w:rPr>
          <w:rFonts w:ascii="Calibri" w:eastAsia="Calibri" w:hAnsi="Calibri" w:cs="Calibri"/>
          <w:color w:val="000000"/>
          <w:szCs w:val="20"/>
          <w:lang w:eastAsia="en-AU"/>
        </w:rPr>
        <w:t>ie</w:t>
      </w:r>
      <w:proofErr w:type="spellEnd"/>
      <w:r>
        <w:rPr>
          <w:rFonts w:ascii="Calibri" w:eastAsia="Calibri" w:hAnsi="Calibri" w:cs="Calibri"/>
          <w:color w:val="000000"/>
          <w:szCs w:val="20"/>
          <w:lang w:eastAsia="en-AU"/>
        </w:rPr>
        <w:t xml:space="preserve"> after 1 September 2023). The explanatory statement accompanying the Bill states that the delay is intended to allow for a more robust review to be carried out using data collected from embedded practices in the ACT.</w:t>
      </w:r>
    </w:p>
    <w:p w:rsidR="00CD1256" w:rsidRDefault="00CD1256" w:rsidP="00CD1256">
      <w:pPr>
        <w:pStyle w:val="Heading3"/>
      </w:pPr>
      <w:bookmarkStart w:id="498" w:name="_Toc77751313"/>
      <w:r>
        <w:t>Bills</w:t>
      </w:r>
      <w:r w:rsidRPr="00103E7B">
        <w:t>—</w:t>
      </w:r>
      <w:r>
        <w:t>C</w:t>
      </w:r>
      <w:r w:rsidRPr="00103E7B">
        <w:t>omment</w:t>
      </w:r>
      <w:bookmarkEnd w:id="498"/>
    </w:p>
    <w:p w:rsidR="00CD1256" w:rsidRDefault="00CD1256" w:rsidP="00CD1256">
      <w:pPr>
        <w:widowControl w:val="0"/>
        <w:tabs>
          <w:tab w:val="left" w:pos="1276"/>
        </w:tabs>
        <w:rPr>
          <w:rFonts w:ascii="Calibri" w:hAnsi="Calibri" w:cs="Calibri"/>
          <w:color w:val="000000"/>
        </w:rPr>
      </w:pPr>
      <w:r w:rsidRPr="00987942">
        <w:rPr>
          <w:rFonts w:ascii="Calibri" w:hAnsi="Calibri" w:cs="Calibri"/>
          <w:color w:val="000000"/>
        </w:rPr>
        <w:t xml:space="preserve">The Committee has examined the </w:t>
      </w:r>
      <w:r>
        <w:rPr>
          <w:rFonts w:ascii="Calibri" w:hAnsi="Calibri" w:cs="Calibri"/>
          <w:color w:val="000000"/>
        </w:rPr>
        <w:t>following bills and offers these comments on them</w:t>
      </w:r>
      <w:r w:rsidRPr="00987942">
        <w:rPr>
          <w:rFonts w:ascii="Calibri" w:hAnsi="Calibri" w:cs="Calibri"/>
          <w:color w:val="000000"/>
        </w:rPr>
        <w:t>:</w:t>
      </w:r>
    </w:p>
    <w:p w:rsidR="00CD1256" w:rsidRPr="00133AB1" w:rsidRDefault="00CD1256" w:rsidP="00CD1256">
      <w:pPr>
        <w:pStyle w:val="Heading4"/>
        <w:pBdr>
          <w:bottom w:val="single" w:sz="6" w:space="1" w:color="000000"/>
        </w:pBdr>
        <w:rPr>
          <w:rFonts w:eastAsia="Times New Roman"/>
        </w:rPr>
      </w:pPr>
      <w:bookmarkStart w:id="499" w:name="_Toc77751314"/>
      <w:r w:rsidRPr="00DA043C">
        <w:rPr>
          <w:rFonts w:eastAsia="Times New Roman"/>
        </w:rPr>
        <w:t>Carers Recognition Bill 2021</w:t>
      </w:r>
      <w:bookmarkEnd w:id="499"/>
    </w:p>
    <w:p w:rsidR="00CD1256" w:rsidRDefault="00CD1256" w:rsidP="00CD1256">
      <w:pPr>
        <w:rPr>
          <w:rFonts w:ascii="Calibri" w:eastAsia="Calibri" w:hAnsi="Calibri" w:cs="Calibri"/>
          <w:color w:val="000000"/>
          <w:szCs w:val="20"/>
          <w:lang w:eastAsia="en-AU"/>
        </w:rPr>
      </w:pPr>
      <w:r w:rsidRPr="00133AB1">
        <w:rPr>
          <w:rFonts w:ascii="Calibri" w:eastAsia="Calibri" w:hAnsi="Calibri" w:cs="Calibri"/>
          <w:color w:val="000000"/>
          <w:szCs w:val="20"/>
          <w:lang w:eastAsia="en-AU"/>
        </w:rPr>
        <w:t xml:space="preserve">This </w:t>
      </w:r>
      <w:r>
        <w:rPr>
          <w:rFonts w:ascii="Calibri" w:eastAsia="Calibri" w:hAnsi="Calibri" w:cs="Calibri"/>
          <w:color w:val="000000"/>
          <w:szCs w:val="20"/>
          <w:lang w:eastAsia="en-AU"/>
        </w:rPr>
        <w:t xml:space="preserve">Private Members </w:t>
      </w:r>
      <w:r w:rsidRPr="00133AB1">
        <w:rPr>
          <w:rFonts w:ascii="Calibri" w:eastAsia="Calibri" w:hAnsi="Calibri" w:cs="Calibri"/>
          <w:color w:val="000000"/>
          <w:szCs w:val="20"/>
          <w:lang w:eastAsia="en-AU"/>
        </w:rPr>
        <w:t>Bill</w:t>
      </w:r>
      <w:r>
        <w:rPr>
          <w:rFonts w:ascii="Calibri" w:eastAsia="Calibri" w:hAnsi="Calibri" w:cs="Calibri"/>
          <w:color w:val="000000"/>
          <w:szCs w:val="20"/>
          <w:lang w:eastAsia="en-AU"/>
        </w:rPr>
        <w:t xml:space="preserve"> will establish principles relating to the treatment of people in care relationships and require care, and require carer support agencies to uphold and report on compliance with those principles. </w:t>
      </w:r>
    </w:p>
    <w:p w:rsidR="00CD1256" w:rsidRPr="00133AB1" w:rsidRDefault="00CD1256" w:rsidP="00CD1256">
      <w:pPr>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i/>
          <w:color w:val="000000"/>
          <w:szCs w:val="20"/>
          <w:lang w:eastAsia="en-AU"/>
        </w:rPr>
        <w:t xml:space="preserve">Do any provisions of the Bill amount to an undue trespass on </w:t>
      </w:r>
      <w:r>
        <w:rPr>
          <w:rFonts w:ascii="Calibri" w:eastAsia="Calibri" w:hAnsi="Calibri" w:cs="Calibri"/>
          <w:b/>
          <w:bCs/>
          <w:i/>
          <w:color w:val="000000"/>
          <w:szCs w:val="20"/>
          <w:lang w:eastAsia="en-AU"/>
        </w:rPr>
        <w:t>personal rights and liberties?—</w:t>
      </w:r>
      <w:r w:rsidRPr="00E83C75">
        <w:rPr>
          <w:b/>
          <w:i/>
          <w:lang w:val="en-US"/>
        </w:rPr>
        <w:t xml:space="preserve">Committee </w:t>
      </w:r>
      <w:r>
        <w:rPr>
          <w:b/>
          <w:i/>
          <w:lang w:val="en-US"/>
        </w:rPr>
        <w:t>Resolution of Appointment paragraph (10</w:t>
      </w:r>
      <w:proofErr w:type="gramStart"/>
      <w:r>
        <w:rPr>
          <w:b/>
          <w:i/>
          <w:lang w:val="en-US"/>
        </w:rPr>
        <w:t>)(</w:t>
      </w:r>
      <w:proofErr w:type="gramEnd"/>
      <w:r>
        <w:rPr>
          <w:b/>
          <w:i/>
          <w:lang w:val="en-US"/>
        </w:rPr>
        <w:t>a)(</w:t>
      </w:r>
      <w:proofErr w:type="spellStart"/>
      <w:r>
        <w:rPr>
          <w:b/>
          <w:i/>
          <w:lang w:val="en-US"/>
        </w:rPr>
        <w:t>i</w:t>
      </w:r>
      <w:proofErr w:type="spellEnd"/>
      <w:r>
        <w:rPr>
          <w:b/>
          <w:i/>
          <w:lang w:val="en-US"/>
        </w:rPr>
        <w:t>)</w:t>
      </w:r>
    </w:p>
    <w:p w:rsidR="00CD1256" w:rsidRPr="00133AB1" w:rsidRDefault="00CD1256" w:rsidP="00CD1256">
      <w:pPr>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color w:val="000000"/>
          <w:szCs w:val="20"/>
          <w:lang w:eastAsia="en-AU"/>
        </w:rPr>
        <w:t xml:space="preserve">Report under section 38 of the </w:t>
      </w:r>
      <w:r w:rsidRPr="00133AB1">
        <w:rPr>
          <w:rFonts w:ascii="Calibri" w:eastAsia="Calibri" w:hAnsi="Calibri" w:cs="Calibri"/>
          <w:b/>
          <w:bCs/>
          <w:i/>
          <w:color w:val="000000"/>
          <w:szCs w:val="20"/>
          <w:lang w:eastAsia="en-AU"/>
        </w:rPr>
        <w:t xml:space="preserve">Human Rights Act 2004 </w:t>
      </w:r>
      <w:r w:rsidRPr="00133AB1">
        <w:rPr>
          <w:rFonts w:ascii="Calibri" w:eastAsia="Calibri" w:hAnsi="Calibri" w:cs="Calibri"/>
          <w:b/>
          <w:bCs/>
          <w:color w:val="000000"/>
          <w:szCs w:val="20"/>
          <w:lang w:eastAsia="en-AU"/>
        </w:rPr>
        <w:t>(HRA)</w:t>
      </w:r>
    </w:p>
    <w:p w:rsidR="00CD1256" w:rsidRDefault="00CD1256" w:rsidP="00CD1256">
      <w:pPr>
        <w:pStyle w:val="Heading5"/>
      </w:pPr>
      <w:r w:rsidRPr="0067269D">
        <w:t>Right to privacy and reputation (s</w:t>
      </w:r>
      <w:r>
        <w:t>ection</w:t>
      </w:r>
      <w:r w:rsidRPr="0067269D">
        <w:t xml:space="preserve"> 12 HRA)</w:t>
      </w:r>
    </w:p>
    <w:p w:rsidR="00CD1256" w:rsidRPr="00E83C75" w:rsidRDefault="00CD1256" w:rsidP="00951D36">
      <w:pPr>
        <w:pStyle w:val="Heading5"/>
      </w:pPr>
      <w:r w:rsidRPr="00E83C75">
        <w:t xml:space="preserve">Right to </w:t>
      </w:r>
      <w:r>
        <w:t xml:space="preserve">recognition and equality before the law </w:t>
      </w:r>
      <w:r w:rsidRPr="00E83C75">
        <w:t>(s</w:t>
      </w:r>
      <w:r>
        <w:t>ection</w:t>
      </w:r>
      <w:r w:rsidRPr="00E83C75">
        <w:t xml:space="preserve"> 8 </w:t>
      </w:r>
      <w:r>
        <w:t>HRA</w:t>
      </w:r>
      <w:r w:rsidRPr="00E83C75">
        <w:t>)</w:t>
      </w:r>
    </w:p>
    <w:p w:rsidR="00CD1256" w:rsidRPr="00CD1256" w:rsidRDefault="00CD1256" w:rsidP="00CD1256">
      <w:pPr>
        <w:rPr>
          <w:rFonts w:ascii="Calibri" w:eastAsia="Calibri" w:hAnsi="Calibri" w:cs="Calibri"/>
          <w:color w:val="000000"/>
          <w:spacing w:val="2"/>
          <w:szCs w:val="20"/>
          <w:lang w:eastAsia="en-AU"/>
        </w:rPr>
      </w:pPr>
      <w:r w:rsidRPr="00CD1256">
        <w:rPr>
          <w:rFonts w:ascii="Calibri" w:eastAsia="Calibri" w:hAnsi="Calibri" w:cs="Calibri"/>
          <w:color w:val="000000"/>
          <w:spacing w:val="2"/>
          <w:szCs w:val="20"/>
          <w:lang w:eastAsia="en-AU"/>
        </w:rPr>
        <w:t>The Bill generally applies to carers and care relationships. A carer will be defined as someone who cares for another person for various reasons, including that the other person has a disability, mental illness, ongoing medical condition, or is aged and frail, or the carer is a kinship or foster carer for a child or young person. The care relationship principles include reference to whether the carer is a child or young person, Aboriginal or Torres Strait Islander person, LGBTIQ+, culturally or linguistically diverse, or has a disability. The Bill will therefore draw a distinction between carers and non-carers, and within carers. However, it is not clear to the committee whether this will provide any advantage to carers included by the Bill or disadvantage others who may similarly be in need of recognition.</w:t>
      </w:r>
    </w:p>
    <w:p w:rsidR="00CD1256" w:rsidRPr="00CD1256" w:rsidRDefault="00CD1256" w:rsidP="00CD1256">
      <w:pPr>
        <w:rPr>
          <w:rFonts w:ascii="Calibri" w:eastAsia="Calibri" w:hAnsi="Calibri" w:cs="Calibri"/>
          <w:color w:val="000000"/>
          <w:spacing w:val="2"/>
          <w:szCs w:val="20"/>
          <w:lang w:eastAsia="en-AU"/>
        </w:rPr>
      </w:pPr>
      <w:r w:rsidRPr="00CD1256">
        <w:rPr>
          <w:rFonts w:ascii="Calibri" w:eastAsia="Calibri" w:hAnsi="Calibri" w:cs="Calibri"/>
          <w:color w:val="000000"/>
          <w:spacing w:val="2"/>
          <w:szCs w:val="20"/>
          <w:lang w:eastAsia="en-AU"/>
        </w:rPr>
        <w:t xml:space="preserve">The Bill places obligations on care and carer support agencies. These are defined to include public sector entities—including Ministers, statutory office-holders, and territory authorities—that are responsible for the assessment, planning, delivery, management and review of support services, programs or policies in relation to people in care relationships. Other entities, funded by such public sector entities, which are responsible for providing a support service or program that directly impacts on people in care relationships, or contracted or funded by such entities to </w:t>
      </w:r>
      <w:r w:rsidRPr="00CD1256">
        <w:rPr>
          <w:rFonts w:ascii="Calibri" w:eastAsia="Calibri" w:hAnsi="Calibri" w:cs="Calibri"/>
          <w:color w:val="000000"/>
          <w:spacing w:val="2"/>
          <w:szCs w:val="20"/>
          <w:lang w:eastAsia="en-AU"/>
        </w:rPr>
        <w:lastRenderedPageBreak/>
        <w:t>provide a support service, are also included. These care and carer support agencies will have various obligations placed on them in relation to the care relationship principles set out in the Bill. These include taking all practicable measures to ensure that the agency’s employees and agents and those receiving support services are aware of the principles, and that the agency and its employees and agents uphold those principles. The principles must also be considered when developing the agency’s internal human resources policies. An agency must also consult with carers receiving support services from the agency and an entity representing carers when planning or reviewing support services and programs.</w:t>
      </w:r>
    </w:p>
    <w:p w:rsidR="00CD1256" w:rsidRPr="00CD1256" w:rsidRDefault="00CD1256" w:rsidP="00CD1256">
      <w:pPr>
        <w:rPr>
          <w:rFonts w:ascii="Calibri" w:eastAsia="Calibri" w:hAnsi="Calibri" w:cs="Calibri"/>
          <w:color w:val="000000"/>
          <w:spacing w:val="2"/>
          <w:szCs w:val="20"/>
          <w:lang w:eastAsia="en-AU"/>
        </w:rPr>
      </w:pPr>
      <w:r w:rsidRPr="00CD1256">
        <w:rPr>
          <w:rFonts w:ascii="Calibri" w:eastAsia="Calibri" w:hAnsi="Calibri" w:cs="Calibri"/>
          <w:color w:val="000000"/>
          <w:spacing w:val="2"/>
          <w:szCs w:val="20"/>
          <w:lang w:eastAsia="en-AU"/>
        </w:rPr>
        <w:t xml:space="preserve">It is not made clear in the explanatory statement why the principles should only apply while developing internal human resources policies to care and carer support agencies. Similarly, it is not clear why obligations of consulting with carers is included in circumstances where the person being cared for, or others potentially affected by the planning or review, may not have to be consulted. </w:t>
      </w:r>
    </w:p>
    <w:p w:rsidR="00CD1256" w:rsidRPr="00CD1256" w:rsidRDefault="00CD1256" w:rsidP="00CD1256">
      <w:pPr>
        <w:rPr>
          <w:rFonts w:ascii="Calibri" w:eastAsia="Calibri" w:hAnsi="Calibri" w:cs="Calibri"/>
          <w:color w:val="000000"/>
          <w:spacing w:val="2"/>
          <w:szCs w:val="20"/>
          <w:lang w:eastAsia="en-AU"/>
        </w:rPr>
      </w:pPr>
      <w:r w:rsidRPr="00CD1256">
        <w:rPr>
          <w:rFonts w:ascii="Calibri" w:eastAsia="Calibri" w:hAnsi="Calibri" w:cs="Calibri"/>
          <w:color w:val="000000"/>
          <w:spacing w:val="2"/>
          <w:szCs w:val="20"/>
          <w:lang w:eastAsia="en-AU"/>
        </w:rPr>
        <w:t xml:space="preserve">However, it is also not clear how the obligations imposed by the Bill are intended to be enforced. The Bill includes various provisions limiting the obligations imposed by the Bill. Proposed subsection 10(3) makes it clear that agencies will not be required to provide financial assistance or services to people in care relationships. Under proposed section 12, there is no intention to create in any person any legal right or give rise to any civil cause of action. Under proposed section 13, other territory legislation will prevail over any inconsistent provisions in the Bill (other than provisions relating to reporting). Public sector agencies have to include a report on promotion and compliance with the care relationship principles in their annual report, and funded support agencies have to similarly report publicly in some way. However, secondary funded agencies just have to consider making the report publicly available. It is therefore not clear to whom, if anyone, the agencies are reporting to, and what consequences follow from not reporting as required. </w:t>
      </w:r>
    </w:p>
    <w:p w:rsidR="00CD1256" w:rsidRPr="00CD1256" w:rsidRDefault="00CD1256" w:rsidP="00CD1256">
      <w:pPr>
        <w:rPr>
          <w:rFonts w:ascii="Calibri" w:eastAsia="Calibri" w:hAnsi="Calibri" w:cs="Calibri"/>
          <w:color w:val="000000"/>
          <w:spacing w:val="2"/>
          <w:szCs w:val="20"/>
          <w:lang w:eastAsia="en-AU"/>
        </w:rPr>
      </w:pPr>
      <w:r w:rsidRPr="00CD1256">
        <w:rPr>
          <w:rFonts w:ascii="Calibri" w:eastAsia="Calibri" w:hAnsi="Calibri" w:cs="Calibri"/>
          <w:color w:val="000000"/>
          <w:spacing w:val="2"/>
          <w:szCs w:val="20"/>
          <w:lang w:eastAsia="en-AU"/>
        </w:rPr>
        <w:t xml:space="preserve">It is also not clear how the obligations on agencies may affect their legal authority in relation to provision of support services, including whether upholding the principles may result in the invalidity of decisions taken under other legislation in circumstances where the principles may not be considered inconsistent with that legislation. </w:t>
      </w:r>
    </w:p>
    <w:p w:rsidR="00CD1256" w:rsidRPr="00CD1256" w:rsidRDefault="00CD1256" w:rsidP="00CD1256">
      <w:pPr>
        <w:rPr>
          <w:rFonts w:ascii="Calibri" w:eastAsia="Calibri" w:hAnsi="Calibri" w:cs="Calibri"/>
          <w:color w:val="000000"/>
          <w:spacing w:val="2"/>
          <w:szCs w:val="20"/>
          <w:lang w:eastAsia="en-AU"/>
        </w:rPr>
      </w:pPr>
      <w:r w:rsidRPr="00CD1256">
        <w:rPr>
          <w:rFonts w:ascii="Calibri" w:eastAsia="Calibri" w:hAnsi="Calibri" w:cs="Calibri"/>
          <w:color w:val="000000"/>
          <w:spacing w:val="2"/>
          <w:szCs w:val="20"/>
          <w:lang w:eastAsia="en-AU"/>
        </w:rPr>
        <w:t xml:space="preserve">The obligation to uphold the care relationship principles and report on compliance may also require an agency to inquire about potential carers and persons who they are caring for. There is no requirement for the agency to be providing carer support services to the person being cared for or to already have access to information about the carer. The Bill may therefore potentially limit the protection of privacy protected by section 12 of the HRA. </w:t>
      </w:r>
    </w:p>
    <w:p w:rsidR="00CD1256" w:rsidRPr="00CD1256" w:rsidRDefault="00CD1256" w:rsidP="00CD1256">
      <w:pPr>
        <w:rPr>
          <w:rFonts w:ascii="Calibri" w:eastAsia="Calibri" w:hAnsi="Calibri" w:cs="Calibri"/>
          <w:color w:val="000000"/>
          <w:spacing w:val="2"/>
          <w:szCs w:val="20"/>
          <w:lang w:eastAsia="en-AU"/>
        </w:rPr>
      </w:pPr>
      <w:r w:rsidRPr="00CD1256">
        <w:rPr>
          <w:rFonts w:ascii="Calibri" w:eastAsia="Calibri" w:hAnsi="Calibri" w:cs="Calibri"/>
          <w:color w:val="000000"/>
          <w:spacing w:val="2"/>
          <w:szCs w:val="20"/>
          <w:lang w:eastAsia="en-AU"/>
        </w:rPr>
        <w:t>The Committee therefore requests further information from the Member on how the obligations included in the Bill are intended to be enforced, and the extent to which those obligations will extend to collecting potentially sensitive personal information.</w:t>
      </w:r>
    </w:p>
    <w:p w:rsidR="00CD1256" w:rsidRPr="00CD1256" w:rsidRDefault="00CD1256" w:rsidP="00CD1256">
      <w:pPr>
        <w:pStyle w:val="Bodycopy"/>
        <w:spacing w:before="220" w:after="220" w:line="280" w:lineRule="exact"/>
        <w:rPr>
          <w:b/>
          <w:spacing w:val="2"/>
        </w:rPr>
      </w:pPr>
      <w:r w:rsidRPr="00CD1256">
        <w:rPr>
          <w:b/>
          <w:spacing w:val="2"/>
        </w:rPr>
        <w:t>The Committee draws this matter to the attention of the Assembly, and asks the Member to respond.</w:t>
      </w:r>
    </w:p>
    <w:p w:rsidR="00CD1256" w:rsidRPr="00133AB1" w:rsidRDefault="00CD1256" w:rsidP="00CD1256">
      <w:pPr>
        <w:pStyle w:val="Heading4"/>
        <w:pBdr>
          <w:bottom w:val="single" w:sz="6" w:space="1" w:color="000000"/>
        </w:pBdr>
        <w:rPr>
          <w:rFonts w:eastAsia="Times New Roman"/>
        </w:rPr>
      </w:pPr>
      <w:bookmarkStart w:id="500" w:name="_Toc77751315"/>
      <w:r w:rsidRPr="0025761E">
        <w:rPr>
          <w:rFonts w:eastAsia="Times New Roman"/>
        </w:rPr>
        <w:lastRenderedPageBreak/>
        <w:t>Crimes Legislation Amendment Bill 2021</w:t>
      </w:r>
      <w:bookmarkEnd w:id="500"/>
    </w:p>
    <w:p w:rsidR="00CD1256" w:rsidRDefault="00CD1256" w:rsidP="00CD1256">
      <w:pPr>
        <w:keepNext/>
        <w:keepLines/>
        <w:rPr>
          <w:rFonts w:ascii="Calibri" w:eastAsia="Calibri" w:hAnsi="Calibri" w:cs="Calibri"/>
          <w:color w:val="000000"/>
          <w:szCs w:val="20"/>
          <w:lang w:eastAsia="en-AU"/>
        </w:rPr>
      </w:pPr>
      <w:r w:rsidRPr="00133AB1">
        <w:rPr>
          <w:rFonts w:ascii="Calibri" w:eastAsia="Calibri" w:hAnsi="Calibri" w:cs="Calibri"/>
          <w:color w:val="000000"/>
          <w:szCs w:val="20"/>
          <w:lang w:eastAsia="en-AU"/>
        </w:rPr>
        <w:t>This Bill</w:t>
      </w:r>
      <w:r>
        <w:rPr>
          <w:rFonts w:ascii="Calibri" w:eastAsia="Calibri" w:hAnsi="Calibri" w:cs="Calibri"/>
          <w:color w:val="000000"/>
          <w:szCs w:val="20"/>
          <w:lang w:eastAsia="en-AU"/>
        </w:rPr>
        <w:t xml:space="preserve"> amends various Acts relating to criminal justice to improve their clarity and effectiveness.</w:t>
      </w:r>
    </w:p>
    <w:p w:rsidR="00CD1256" w:rsidRPr="00133AB1" w:rsidRDefault="00CD1256" w:rsidP="00CD1256">
      <w:pPr>
        <w:keepNext/>
        <w:keepLines/>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i/>
          <w:color w:val="000000"/>
          <w:szCs w:val="20"/>
          <w:lang w:eastAsia="en-AU"/>
        </w:rPr>
        <w:t xml:space="preserve">Do any provisions of the Bill amount to an undue trespass on </w:t>
      </w:r>
      <w:r>
        <w:rPr>
          <w:rFonts w:ascii="Calibri" w:eastAsia="Calibri" w:hAnsi="Calibri" w:cs="Calibri"/>
          <w:b/>
          <w:bCs/>
          <w:i/>
          <w:color w:val="000000"/>
          <w:szCs w:val="20"/>
          <w:lang w:eastAsia="en-AU"/>
        </w:rPr>
        <w:t>personal rights and liberties?—</w:t>
      </w:r>
      <w:r w:rsidRPr="00E83C75">
        <w:rPr>
          <w:b/>
          <w:i/>
          <w:lang w:val="en-US"/>
        </w:rPr>
        <w:t xml:space="preserve">Committee </w:t>
      </w:r>
      <w:r>
        <w:rPr>
          <w:b/>
          <w:i/>
          <w:lang w:val="en-US"/>
        </w:rPr>
        <w:t>Resolution of Appointment paragraph (10</w:t>
      </w:r>
      <w:proofErr w:type="gramStart"/>
      <w:r>
        <w:rPr>
          <w:b/>
          <w:i/>
          <w:lang w:val="en-US"/>
        </w:rPr>
        <w:t>)(</w:t>
      </w:r>
      <w:proofErr w:type="gramEnd"/>
      <w:r>
        <w:rPr>
          <w:b/>
          <w:i/>
          <w:lang w:val="en-US"/>
        </w:rPr>
        <w:t>a)(</w:t>
      </w:r>
      <w:proofErr w:type="spellStart"/>
      <w:r>
        <w:rPr>
          <w:b/>
          <w:i/>
          <w:lang w:val="en-US"/>
        </w:rPr>
        <w:t>i</w:t>
      </w:r>
      <w:proofErr w:type="spellEnd"/>
      <w:r>
        <w:rPr>
          <w:b/>
          <w:i/>
          <w:lang w:val="en-US"/>
        </w:rPr>
        <w:t>)</w:t>
      </w:r>
    </w:p>
    <w:p w:rsidR="00CD1256" w:rsidRPr="00133AB1" w:rsidRDefault="00CD1256" w:rsidP="00CD1256">
      <w:pPr>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color w:val="000000"/>
          <w:szCs w:val="20"/>
          <w:lang w:eastAsia="en-AU"/>
        </w:rPr>
        <w:t xml:space="preserve">Report under section 38 of the </w:t>
      </w:r>
      <w:r w:rsidRPr="00133AB1">
        <w:rPr>
          <w:rFonts w:ascii="Calibri" w:eastAsia="Calibri" w:hAnsi="Calibri" w:cs="Calibri"/>
          <w:b/>
          <w:bCs/>
          <w:i/>
          <w:color w:val="000000"/>
          <w:szCs w:val="20"/>
          <w:lang w:eastAsia="en-AU"/>
        </w:rPr>
        <w:t xml:space="preserve">Human Rights Act 2004 </w:t>
      </w:r>
      <w:r w:rsidRPr="00133AB1">
        <w:rPr>
          <w:rFonts w:ascii="Calibri" w:eastAsia="Calibri" w:hAnsi="Calibri" w:cs="Calibri"/>
          <w:b/>
          <w:bCs/>
          <w:color w:val="000000"/>
          <w:szCs w:val="20"/>
          <w:lang w:eastAsia="en-AU"/>
        </w:rPr>
        <w:t>(HRA)</w:t>
      </w:r>
    </w:p>
    <w:p w:rsidR="00CD1256" w:rsidRPr="00E83C75" w:rsidRDefault="00CD1256" w:rsidP="00CD1256">
      <w:pPr>
        <w:pStyle w:val="Heading5"/>
      </w:pPr>
      <w:r w:rsidRPr="00E83C75">
        <w:t xml:space="preserve">Right to </w:t>
      </w:r>
      <w:r>
        <w:t xml:space="preserve">recognition and equality before the law </w:t>
      </w:r>
      <w:r w:rsidRPr="00E83C75">
        <w:t>(s</w:t>
      </w:r>
      <w:r>
        <w:t>ection</w:t>
      </w:r>
      <w:r w:rsidRPr="00E83C75">
        <w:t xml:space="preserve"> 8 </w:t>
      </w:r>
      <w:r>
        <w:t>HRA</w:t>
      </w:r>
      <w:r w:rsidRPr="00E83C75">
        <w:t>)</w:t>
      </w:r>
    </w:p>
    <w:p w:rsidR="00CD1256" w:rsidRDefault="00CD1256" w:rsidP="00CD1256">
      <w:pPr>
        <w:pStyle w:val="Heading5"/>
      </w:pPr>
      <w:r w:rsidRPr="0067269D">
        <w:t>Right to privacy and reputation (s</w:t>
      </w:r>
      <w:r>
        <w:t>ection</w:t>
      </w:r>
      <w:r w:rsidRPr="0067269D">
        <w:t xml:space="preserve"> 12 HRA)</w:t>
      </w:r>
    </w:p>
    <w:p w:rsidR="00CD1256" w:rsidRPr="00E83C75" w:rsidRDefault="00CD1256" w:rsidP="00CD1256">
      <w:pPr>
        <w:pStyle w:val="Heading5"/>
      </w:pPr>
      <w:r w:rsidRPr="00E83C75">
        <w:t>Righ</w:t>
      </w:r>
      <w:r>
        <w:t>t to freedom of movement (section 13 HRA</w:t>
      </w:r>
      <w:r w:rsidRPr="00E83C75">
        <w:t>)</w:t>
      </w:r>
    </w:p>
    <w:p w:rsidR="00CD1256" w:rsidRDefault="00CD1256" w:rsidP="00CD1256">
      <w:r>
        <w:t xml:space="preserve">The </w:t>
      </w:r>
      <w:r w:rsidRPr="0025761E">
        <w:rPr>
          <w:i/>
          <w:iCs/>
        </w:rPr>
        <w:t>Crimes (Child Sex Offenders) Act 2005</w:t>
      </w:r>
      <w:r>
        <w:t xml:space="preserve"> includes various restrictions and reporting requirements for registrable offenders. Registrable offenders are generally offenders who have committed sexual offences involving children. Registration is intended to prevent future harms by informing police, and preventing certain forms of employment or engaging in conduct that presents a risk to children. Registration requires initial and ongoing reporting requirements including personal information, movements into and out of the Territory, and the nature and changes to employment. It also involves the recording of personal information and possible public disclosure in situations where there has been a failure to report. The Act includes various entry and search powers to enforce requirements relating to registration, and authorises the issue of orders prohibiting conduct which poses a risk to lives or sexual safety of children.  </w:t>
      </w:r>
    </w:p>
    <w:p w:rsidR="00CD1256" w:rsidRDefault="00CD1256" w:rsidP="00CD1256">
      <w:r>
        <w:t>The Bill will add the Commonwealth offence of possessing child-like sex dolls</w:t>
      </w:r>
      <w:r>
        <w:rPr>
          <w:rStyle w:val="FootnoteReference"/>
        </w:rPr>
        <w:footnoteReference w:id="1"/>
      </w:r>
      <w:r>
        <w:t xml:space="preserve"> to the list of class 2 offences which can lead to registration under the Act. By adding to the range of offences which can give rise to registration, the Bill therefore limits the right to equality protected by section 8 of the HRA, protection of privacy provided by section 12 of the HRA, and right to freedom of movement protected by section 13 of the HRA. The explanatory statement recognises these potential limitations and provides a justification for why they should be considered reasonable using the framework set out in section 28 of the HRA. The Committee refers that statement to the Assembly, noting in particular the reference in the explanatory statement to evidence indicating that the offence of possessing child-like dolls can be the first of potentially escalating steps leading to harm to children, and inclusion in the Bill of an exception to registration where the court considers that the person does not pose a risk to the lives or sexual safety of children.</w:t>
      </w:r>
    </w:p>
    <w:p w:rsidR="00CD1256" w:rsidRDefault="00CD1256" w:rsidP="00CD1256">
      <w:r>
        <w:t>The Committee notes that registrable offenders may be restricted in the employment they can pursue, including being prohibited from being in a stated employment or kind of employment that is likely to bring the person into contact with children (see from example section 132F). The amendments may therefore limit the right to work protected by section 27B of the HRA. Consideration should be given to amending the explanatory statement to include reference to this potential limitation and its justification.</w:t>
      </w:r>
    </w:p>
    <w:p w:rsidR="00CD1256" w:rsidRDefault="00CD1256" w:rsidP="00CD1256">
      <w:pPr>
        <w:rPr>
          <w:b/>
        </w:rPr>
      </w:pPr>
      <w:r w:rsidRPr="00E83C75">
        <w:rPr>
          <w:b/>
        </w:rPr>
        <w:t>The Committee draws th</w:t>
      </w:r>
      <w:r>
        <w:rPr>
          <w:b/>
        </w:rPr>
        <w:t>is</w:t>
      </w:r>
      <w:r w:rsidRPr="00E83C75">
        <w:rPr>
          <w:b/>
        </w:rPr>
        <w:t xml:space="preserve"> matter to the attention of the Assembly, and asks the M</w:t>
      </w:r>
      <w:r>
        <w:rPr>
          <w:b/>
        </w:rPr>
        <w:t xml:space="preserve">inister </w:t>
      </w:r>
      <w:r w:rsidRPr="00E83C75">
        <w:rPr>
          <w:b/>
        </w:rPr>
        <w:t>to respond</w:t>
      </w:r>
      <w:r>
        <w:rPr>
          <w:b/>
        </w:rPr>
        <w:t xml:space="preserve"> before the Bill is debated.</w:t>
      </w:r>
    </w:p>
    <w:p w:rsidR="00CD1256" w:rsidRDefault="00CD1256" w:rsidP="00CD1256">
      <w:r>
        <w:lastRenderedPageBreak/>
        <w:t xml:space="preserve">The Bill will amend the </w:t>
      </w:r>
      <w:r w:rsidRPr="00876F10">
        <w:rPr>
          <w:i/>
          <w:iCs/>
        </w:rPr>
        <w:t>Crimes (Surveillance Devices) Act 2010</w:t>
      </w:r>
      <w:r>
        <w:t xml:space="preserve"> to authorise the use of body-worn cameras by police officers in the course of their duties. The cameras must be used when dealing with members of the public, subject to exceptions including where use is not reasonably practicable, would be a risk to a person’s safety or would unreasonably limit a person’s privacy. The use must be overt except where used when the officer draws or uses a firearm or </w:t>
      </w:r>
      <w:proofErr w:type="spellStart"/>
      <w:r>
        <w:t>taser</w:t>
      </w:r>
      <w:proofErr w:type="spellEnd"/>
      <w:r>
        <w:t>, or would be a risk to safety. The cameras must be used in accordance with guidelines issued by the Chief Police Officer. These guidelines must include requirements for the storage, use and disposal of recordings from the cameras and how those recordings may be accessed under any applicable laws, guidance on when cameras may or must be used, and how human rights have been considered in making the guidelines as well as any other relevant matter. Guidelines will be a disallowable instrument.</w:t>
      </w:r>
    </w:p>
    <w:p w:rsidR="00CD1256" w:rsidRDefault="00CD1256" w:rsidP="00CD1256">
      <w:r>
        <w:t>The Bill will also amend the</w:t>
      </w:r>
      <w:r w:rsidRPr="000D6A26">
        <w:rPr>
          <w:i/>
          <w:iCs/>
        </w:rPr>
        <w:t xml:space="preserve"> Listening Devices Act 1992</w:t>
      </w:r>
      <w:r>
        <w:t xml:space="preserve"> to include authorisation by any law in force in the ACT as an exception to offences relating to the use of listening devices in private conversations and communication of recordings made. </w:t>
      </w:r>
    </w:p>
    <w:p w:rsidR="00CD1256" w:rsidRDefault="00CD1256" w:rsidP="00CD1256">
      <w:r>
        <w:t>By allowing use of body-worn cameras by police officers in the course of their official duties</w:t>
      </w:r>
      <w:r w:rsidR="004551BC">
        <w:t>,</w:t>
      </w:r>
      <w:r>
        <w:t xml:space="preserve"> the Bill will significantly limit the protection of privacy provided by section 12 of the HRA. The explanatory statement accompanying the Bill recognises this limitation and provides a justification for why any interference with privacy should be considered reasonable using the framework set out in section 28 of the HRA. Subject to the following comment, the Committee refers that statement to the Assembly. </w:t>
      </w:r>
    </w:p>
    <w:p w:rsidR="00CD1256" w:rsidRDefault="00CD1256" w:rsidP="00CD1256">
      <w:r>
        <w:t xml:space="preserve">The Committee recognises the privacy protections included in the Bill, but is concerned that substantial protections will also be included in the guidelines. Details of the guidelines have not been included in the Bill nor provided to the Committee. The explanatory statement does not provide a justification for why it is necessary for the substantive protections included in the guidelines to not be included in the Bill rather than developed by the Chief Police Officer through a disallowable instrument. </w:t>
      </w:r>
    </w:p>
    <w:p w:rsidR="00CD1256" w:rsidRDefault="00CD1256" w:rsidP="00CD1256">
      <w:r>
        <w:t>The Committee also notes that the Bill does not provide for additional means of enforcement of the guidelines. The explanatory statement refers to the</w:t>
      </w:r>
      <w:r w:rsidR="004551BC">
        <w:t xml:space="preserve"> guidelines possibly including “</w:t>
      </w:r>
      <w:r>
        <w:t>expectations on com</w:t>
      </w:r>
      <w:r w:rsidR="004551BC">
        <w:t>plaints processes and reporting”</w:t>
      </w:r>
      <w:r>
        <w:t xml:space="preserve"> and regular review of complaints regarding use of the cameras. In particular, it is not clear how accountability of police officers will be ensured through, for example, providing appropriate access to the recordings. </w:t>
      </w:r>
      <w:r w:rsidR="006F3D82" w:rsidRPr="006F3D82">
        <w:t xml:space="preserve">The Committee is also concerned that the use of body worn cameras will be compatible with the right to a fair trial protected by section 21 of the HRA, noting that the recordings obtained through the use of body worn cameras will generally not be subject to the protections and exceptions set out in division 5.1 of the Crimes (Surveillance Devices) Act and Part 6 of the Commonwealth </w:t>
      </w:r>
      <w:r w:rsidR="006F3D82" w:rsidRPr="006F3D82">
        <w:rPr>
          <w:i/>
          <w:iCs/>
        </w:rPr>
        <w:t>Surveillance Devices Act 2004</w:t>
      </w:r>
      <w:r w:rsidR="006F3D82" w:rsidRPr="006F3D82">
        <w:t xml:space="preserve"> (</w:t>
      </w:r>
      <w:proofErr w:type="spellStart"/>
      <w:r w:rsidR="006F3D82" w:rsidRPr="006F3D82">
        <w:t>Cth</w:t>
      </w:r>
      <w:proofErr w:type="spellEnd"/>
      <w:r w:rsidR="006F3D82" w:rsidRPr="006F3D82">
        <w:t>)</w:t>
      </w:r>
      <w:r w:rsidR="006F3D82">
        <w:t>.</w:t>
      </w:r>
    </w:p>
    <w:p w:rsidR="00CD1256" w:rsidRDefault="00CD1256" w:rsidP="00CD1256">
      <w:r>
        <w:t>The Committee therefore requests further information on why the substantive protections to privacy and other human rights affected by the use of body-worn cameras have not been included in the Bill.</w:t>
      </w:r>
    </w:p>
    <w:p w:rsidR="00CD1256" w:rsidRDefault="00CD1256" w:rsidP="00CD1256">
      <w:pPr>
        <w:rPr>
          <w:b/>
        </w:rPr>
      </w:pPr>
      <w:r w:rsidRPr="00E83C75">
        <w:rPr>
          <w:b/>
        </w:rPr>
        <w:t>The Committee draws th</w:t>
      </w:r>
      <w:r>
        <w:rPr>
          <w:b/>
        </w:rPr>
        <w:t>is</w:t>
      </w:r>
      <w:r w:rsidRPr="00E83C75">
        <w:rPr>
          <w:b/>
        </w:rPr>
        <w:t xml:space="preserve"> matter to the attention of the Assembly, and asks the M</w:t>
      </w:r>
      <w:r>
        <w:rPr>
          <w:b/>
        </w:rPr>
        <w:t xml:space="preserve">inister </w:t>
      </w:r>
      <w:r w:rsidRPr="00E83C75">
        <w:rPr>
          <w:b/>
        </w:rPr>
        <w:t>to respond</w:t>
      </w:r>
      <w:r>
        <w:rPr>
          <w:b/>
        </w:rPr>
        <w:t xml:space="preserve"> before the Bill is debated.</w:t>
      </w:r>
    </w:p>
    <w:p w:rsidR="00CD1256" w:rsidRPr="00E83C75" w:rsidRDefault="00CD1256" w:rsidP="006F3D82">
      <w:pPr>
        <w:pStyle w:val="Heading5"/>
        <w:keepLines/>
      </w:pPr>
      <w:r w:rsidRPr="00E83C75">
        <w:lastRenderedPageBreak/>
        <w:t>Righ</w:t>
      </w:r>
      <w:r>
        <w:t>t to humane treatment when deprived of liberty (section 19 HRA</w:t>
      </w:r>
      <w:r w:rsidRPr="00E83C75">
        <w:t>)</w:t>
      </w:r>
    </w:p>
    <w:p w:rsidR="00CD1256" w:rsidRDefault="00CD1256" w:rsidP="006F3D82">
      <w:pPr>
        <w:keepNext/>
        <w:keepLines/>
      </w:pPr>
      <w:r>
        <w:t xml:space="preserve">The Bill will also amend the </w:t>
      </w:r>
      <w:r w:rsidRPr="00446C36">
        <w:rPr>
          <w:i/>
          <w:iCs/>
        </w:rPr>
        <w:t>Inspector of Correctional Services Act 2017</w:t>
      </w:r>
      <w:r>
        <w:t xml:space="preserve">. The inspector of correctional services carries out inspections of correctional centres and detention places. Currently, each place has to be inspected every two years. The Bill will extend this to every three years for the second and subsequent inspections. As this may extend the period in which human rights concerns may be identified and corrected, it may limit the right to humane treatment when deprived of liberty protected under section 19 of the HRA.  </w:t>
      </w:r>
    </w:p>
    <w:p w:rsidR="00CD1256" w:rsidRDefault="00CD1256" w:rsidP="00981C54">
      <w:pPr>
        <w:spacing w:line="270" w:lineRule="exact"/>
      </w:pPr>
      <w:r>
        <w:t>The explanat</w:t>
      </w:r>
      <w:r w:rsidR="00C959BD">
        <w:t>ory statement accompanying the B</w:t>
      </w:r>
      <w:r>
        <w:t>ill recognises this potential limitation and provides a justification for why it should be considered reasonable. In particular, the explanatory statement refers to the amendment coming at the request of the inspector, “</w:t>
      </w:r>
      <w:r w:rsidRPr="0071082D">
        <w:t>informed by experience from the first years of operation of the Inspectorate, to ensure that an</w:t>
      </w:r>
      <w:r>
        <w:t xml:space="preserve"> </w:t>
      </w:r>
      <w:r w:rsidRPr="0071082D">
        <w:t>appropriate period of time is allowed for the full implementation of recommendations before the commencement of a subsequent cyclical review</w:t>
      </w:r>
      <w:r>
        <w:t>”. The Committee refers that statement to the Assembly.</w:t>
      </w:r>
    </w:p>
    <w:p w:rsidR="00CD1256" w:rsidRPr="00E83C75" w:rsidRDefault="00CD1256" w:rsidP="00981C54">
      <w:pPr>
        <w:pStyle w:val="Bodycopy"/>
        <w:spacing w:line="270" w:lineRule="exact"/>
        <w:rPr>
          <w:b/>
          <w:bCs/>
        </w:rPr>
      </w:pPr>
      <w:r w:rsidRPr="00E83C75">
        <w:rPr>
          <w:b/>
          <w:bCs/>
        </w:rPr>
        <w:t>The Committee draws this matter to the attention of the Assembly, but does not require a response from the Minister.</w:t>
      </w:r>
    </w:p>
    <w:p w:rsidR="00CD1256" w:rsidRDefault="00CD1256" w:rsidP="00981C54">
      <w:pPr>
        <w:spacing w:line="270" w:lineRule="exact"/>
      </w:pPr>
      <w:r>
        <w:t xml:space="preserve">The Bill will also amend the </w:t>
      </w:r>
      <w:r w:rsidRPr="00D46078">
        <w:rPr>
          <w:i/>
          <w:iCs/>
        </w:rPr>
        <w:t>Terrorism (Extraordinary Temporary Powers) Act 2006</w:t>
      </w:r>
      <w:r>
        <w:rPr>
          <w:i/>
          <w:iCs/>
        </w:rPr>
        <w:t xml:space="preserve"> </w:t>
      </w:r>
      <w:r>
        <w:t xml:space="preserve">to extend its operation for an additional 12 months. The </w:t>
      </w:r>
      <w:r w:rsidRPr="00D46078">
        <w:t xml:space="preserve">Terrorism (Extraordinary Temporary Powers) Act </w:t>
      </w:r>
      <w:r>
        <w:t>substantively commenced on 19 November 2006, and is due to expire on 19 November this year. This will be the third such amendment.</w:t>
      </w:r>
      <w:r>
        <w:rPr>
          <w:rStyle w:val="FootnoteReference"/>
        </w:rPr>
        <w:footnoteReference w:id="2"/>
      </w:r>
      <w:r>
        <w:t xml:space="preserve"> </w:t>
      </w:r>
    </w:p>
    <w:p w:rsidR="00CD1256" w:rsidRDefault="00CD1256" w:rsidP="00981C54">
      <w:pPr>
        <w:spacing w:line="270" w:lineRule="exact"/>
      </w:pPr>
      <w:r>
        <w:t xml:space="preserve">The Act provides </w:t>
      </w:r>
      <w:r w:rsidRPr="00D46078">
        <w:t>extraordinary  temporary  powers  to  prevent  and  respond  to terrorist acts</w:t>
      </w:r>
      <w:r>
        <w:t>, including the issue of preventive detention orders which permit det</w:t>
      </w:r>
      <w:r w:rsidR="00C959BD">
        <w:t>ention of a person for up to 14 </w:t>
      </w:r>
      <w:r>
        <w:t xml:space="preserve">days to prevent an imminent terrorism act or preserve evidence of a past terrorism act, and special authorisations of extensive search and entry powers. Extending the operation of the Act may therefore limit numerous human rights protected under the HRA. </w:t>
      </w:r>
    </w:p>
    <w:p w:rsidR="00CD1256" w:rsidRDefault="00CD1256" w:rsidP="00981C54">
      <w:pPr>
        <w:spacing w:line="270" w:lineRule="exact"/>
      </w:pPr>
      <w:r>
        <w:t>The explanatory statement accompanying the Bill recognises this potential limitation, but merely refers to the justification provided in the original explanatory statement accompanying introduction of the Act. There is no justification given for the extension of 12 months. The Committee notes that a report on the operation and effectiveness of the Act was originally due to be presented to the Assembly before the end of the Act’s 14</w:t>
      </w:r>
      <w:r w:rsidRPr="00D900DF">
        <w:rPr>
          <w:vertAlign w:val="superscript"/>
        </w:rPr>
        <w:t>th</w:t>
      </w:r>
      <w:r>
        <w:t xml:space="preserve"> year of operation. This was extended by the </w:t>
      </w:r>
      <w:r w:rsidRPr="00D900DF">
        <w:rPr>
          <w:i/>
          <w:iCs/>
        </w:rPr>
        <w:t>COVID-19 Emergency Response Legislation Amendment Act 2020</w:t>
      </w:r>
      <w:r>
        <w:t xml:space="preserve"> to allow the report to be presented no later than 19 May 2021. The </w:t>
      </w:r>
      <w:r w:rsidRPr="00D900DF">
        <w:t xml:space="preserve">report on the statutory review of the </w:t>
      </w:r>
      <w:r>
        <w:t>Act w</w:t>
      </w:r>
      <w:r w:rsidR="00C959BD">
        <w:t>as tabled in the Assembly on 13 </w:t>
      </w:r>
      <w:r>
        <w:t>May 2021.</w:t>
      </w:r>
      <w:r>
        <w:rPr>
          <w:rStyle w:val="FootnoteReference"/>
        </w:rPr>
        <w:footnoteReference w:id="3"/>
      </w:r>
      <w:r>
        <w:t xml:space="preserve"> That report concluded:</w:t>
      </w:r>
    </w:p>
    <w:p w:rsidR="00CD1256" w:rsidRDefault="00D32329" w:rsidP="00981C54">
      <w:pPr>
        <w:spacing w:line="270" w:lineRule="exact"/>
        <w:ind w:left="900" w:hanging="540"/>
      </w:pPr>
      <w:r>
        <w:t>4.1</w:t>
      </w:r>
      <w:r>
        <w:tab/>
      </w:r>
      <w:r w:rsidR="00CD1256">
        <w:t>No specific amendments were proposed by stakeholders, though the ongoing concern by stakeholders about the importance of preventing rights intrusions was clear. Given that extension of the Act was not universally supported and noting the extraordinary nature of the powers in the Act, it is appropriate to give further consideration to opportunities for change that might enhance the right to personal liberty while still ensuring the safety and security of the community.</w:t>
      </w:r>
    </w:p>
    <w:p w:rsidR="00CD1256" w:rsidRDefault="00D32329" w:rsidP="00981C54">
      <w:pPr>
        <w:spacing w:line="270" w:lineRule="exact"/>
        <w:ind w:left="900" w:hanging="540"/>
      </w:pPr>
      <w:r>
        <w:lastRenderedPageBreak/>
        <w:t>4.2</w:t>
      </w:r>
      <w:r>
        <w:tab/>
      </w:r>
      <w:r w:rsidR="00CD1256">
        <w:t xml:space="preserve">That work will include careful consideration of any protections afforded in the legislation of other jurisdictions and be undertaken before the </w:t>
      </w:r>
      <w:proofErr w:type="spellStart"/>
      <w:r w:rsidR="00CD1256">
        <w:t>sunsetting</w:t>
      </w:r>
      <w:proofErr w:type="spellEnd"/>
      <w:r w:rsidR="00CD1256">
        <w:t xml:space="preserve"> of the Act, later this year.</w:t>
      </w:r>
    </w:p>
    <w:p w:rsidR="00CD1256" w:rsidRDefault="00CD1256" w:rsidP="00981C54">
      <w:pPr>
        <w:spacing w:line="270" w:lineRule="exact"/>
      </w:pPr>
      <w:r>
        <w:t>The Committee therefore requests further information on why it is considered necessary and proportionate to extend the operation of the Act for an additional year</w:t>
      </w:r>
      <w:r w:rsidR="007C5669">
        <w:t>,</w:t>
      </w:r>
      <w:r>
        <w:t xml:space="preserve"> and consideration be given to including that information in the explanatory statement.</w:t>
      </w:r>
    </w:p>
    <w:p w:rsidR="00CD1256" w:rsidRDefault="00CD1256" w:rsidP="00981C54">
      <w:pPr>
        <w:spacing w:line="270" w:lineRule="exact"/>
        <w:rPr>
          <w:b/>
        </w:rPr>
      </w:pPr>
      <w:r w:rsidRPr="00E83C75">
        <w:rPr>
          <w:b/>
        </w:rPr>
        <w:t>The Committee draws th</w:t>
      </w:r>
      <w:r>
        <w:rPr>
          <w:b/>
        </w:rPr>
        <w:t>is</w:t>
      </w:r>
      <w:r w:rsidRPr="00E83C75">
        <w:rPr>
          <w:b/>
        </w:rPr>
        <w:t xml:space="preserve"> matter to the attention of the Assembly, and asks the M</w:t>
      </w:r>
      <w:r>
        <w:rPr>
          <w:b/>
        </w:rPr>
        <w:t xml:space="preserve">inister </w:t>
      </w:r>
      <w:r w:rsidRPr="00E83C75">
        <w:rPr>
          <w:b/>
        </w:rPr>
        <w:t>to respond</w:t>
      </w:r>
      <w:r>
        <w:rPr>
          <w:b/>
        </w:rPr>
        <w:t xml:space="preserve"> before the Bill is debated.</w:t>
      </w:r>
    </w:p>
    <w:p w:rsidR="00CD1256" w:rsidRPr="00133AB1" w:rsidRDefault="00CD1256" w:rsidP="00CD1256">
      <w:pPr>
        <w:pStyle w:val="Heading4"/>
        <w:pBdr>
          <w:bottom w:val="single" w:sz="6" w:space="1" w:color="000000"/>
        </w:pBdr>
        <w:rPr>
          <w:rFonts w:eastAsia="Times New Roman"/>
        </w:rPr>
      </w:pPr>
      <w:bookmarkStart w:id="501" w:name="_Toc77751316"/>
      <w:r w:rsidRPr="00C80E91">
        <w:rPr>
          <w:rFonts w:eastAsia="Times New Roman"/>
        </w:rPr>
        <w:t>Domestic Violence Agencies Amendment Bill 2021</w:t>
      </w:r>
      <w:bookmarkEnd w:id="501"/>
    </w:p>
    <w:p w:rsidR="00CD1256" w:rsidRDefault="00CD1256" w:rsidP="008E75F2">
      <w:pPr>
        <w:spacing w:before="240" w:after="240"/>
        <w:rPr>
          <w:rFonts w:ascii="Calibri" w:eastAsia="Calibri" w:hAnsi="Calibri" w:cs="Calibri"/>
          <w:color w:val="000000"/>
          <w:szCs w:val="20"/>
          <w:lang w:eastAsia="en-AU"/>
        </w:rPr>
      </w:pPr>
      <w:r w:rsidRPr="00133AB1">
        <w:rPr>
          <w:rFonts w:ascii="Calibri" w:eastAsia="Calibri" w:hAnsi="Calibri" w:cs="Calibri"/>
          <w:color w:val="000000"/>
          <w:szCs w:val="20"/>
          <w:lang w:eastAsia="en-AU"/>
        </w:rPr>
        <w:t>This Bill</w:t>
      </w:r>
      <w:r>
        <w:rPr>
          <w:rFonts w:ascii="Calibri" w:eastAsia="Calibri" w:hAnsi="Calibri" w:cs="Calibri"/>
          <w:color w:val="000000"/>
          <w:szCs w:val="20"/>
          <w:lang w:eastAsia="en-AU"/>
        </w:rPr>
        <w:t xml:space="preserve"> amends </w:t>
      </w:r>
      <w:r w:rsidRPr="00C80E91">
        <w:rPr>
          <w:rFonts w:ascii="Calibri" w:eastAsia="Calibri" w:hAnsi="Calibri" w:cs="Calibri"/>
          <w:color w:val="000000"/>
          <w:szCs w:val="20"/>
          <w:lang w:eastAsia="en-AU"/>
        </w:rPr>
        <w:t xml:space="preserve">the </w:t>
      </w:r>
      <w:r w:rsidRPr="00C80E91">
        <w:rPr>
          <w:rFonts w:ascii="Calibri" w:eastAsia="Calibri" w:hAnsi="Calibri" w:cs="Calibri"/>
          <w:i/>
          <w:iCs/>
          <w:color w:val="000000"/>
          <w:szCs w:val="20"/>
          <w:lang w:eastAsia="en-AU"/>
        </w:rPr>
        <w:t>Domestic Violence Agencies Act 1986</w:t>
      </w:r>
      <w:r>
        <w:rPr>
          <w:rFonts w:ascii="Calibri" w:eastAsia="Calibri" w:hAnsi="Calibri" w:cs="Calibri"/>
          <w:color w:val="000000"/>
          <w:szCs w:val="20"/>
          <w:lang w:eastAsia="en-AU"/>
        </w:rPr>
        <w:t xml:space="preserve"> to establish the role of the Domestic and Family Violence Review Coordinator to identify preventative measures to reduce family violence, increase recognition of the impact of family violence and the context in which it occurs, and make recommendations to the Minister.</w:t>
      </w:r>
    </w:p>
    <w:p w:rsidR="00CD1256" w:rsidRPr="00133AB1" w:rsidRDefault="00CD1256" w:rsidP="00CD1256">
      <w:pPr>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i/>
          <w:color w:val="000000"/>
          <w:szCs w:val="20"/>
          <w:lang w:eastAsia="en-AU"/>
        </w:rPr>
        <w:t xml:space="preserve">Do any provisions of the Bill amount to an undue trespass on </w:t>
      </w:r>
      <w:r w:rsidR="008E75F2">
        <w:rPr>
          <w:rFonts w:ascii="Calibri" w:eastAsia="Calibri" w:hAnsi="Calibri" w:cs="Calibri"/>
          <w:b/>
          <w:bCs/>
          <w:i/>
          <w:color w:val="000000"/>
          <w:szCs w:val="20"/>
          <w:lang w:eastAsia="en-AU"/>
        </w:rPr>
        <w:t>personal rights and liberties?—</w:t>
      </w:r>
      <w:r w:rsidRPr="00E83C75">
        <w:rPr>
          <w:b/>
          <w:i/>
          <w:lang w:val="en-US"/>
        </w:rPr>
        <w:t xml:space="preserve">Committee </w:t>
      </w:r>
      <w:r>
        <w:rPr>
          <w:b/>
          <w:i/>
          <w:lang w:val="en-US"/>
        </w:rPr>
        <w:t>Resolution of Appointment paragraph (10</w:t>
      </w:r>
      <w:proofErr w:type="gramStart"/>
      <w:r>
        <w:rPr>
          <w:b/>
          <w:i/>
          <w:lang w:val="en-US"/>
        </w:rPr>
        <w:t>)(</w:t>
      </w:r>
      <w:proofErr w:type="gramEnd"/>
      <w:r>
        <w:rPr>
          <w:b/>
          <w:i/>
          <w:lang w:val="en-US"/>
        </w:rPr>
        <w:t>a)(</w:t>
      </w:r>
      <w:proofErr w:type="spellStart"/>
      <w:r>
        <w:rPr>
          <w:b/>
          <w:i/>
          <w:lang w:val="en-US"/>
        </w:rPr>
        <w:t>i</w:t>
      </w:r>
      <w:proofErr w:type="spellEnd"/>
      <w:r>
        <w:rPr>
          <w:b/>
          <w:i/>
          <w:lang w:val="en-US"/>
        </w:rPr>
        <w:t xml:space="preserve">) </w:t>
      </w:r>
      <w:r w:rsidRPr="00E83C75">
        <w:rPr>
          <w:b/>
          <w:i/>
          <w:lang w:val="en-US"/>
        </w:rPr>
        <w:t xml:space="preserve"> </w:t>
      </w:r>
    </w:p>
    <w:p w:rsidR="00CD1256" w:rsidRPr="00133AB1" w:rsidRDefault="00CD1256" w:rsidP="00CD1256">
      <w:pPr>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color w:val="000000"/>
          <w:szCs w:val="20"/>
          <w:lang w:eastAsia="en-AU"/>
        </w:rPr>
        <w:t xml:space="preserve">Report under section 38 of the </w:t>
      </w:r>
      <w:r w:rsidRPr="00133AB1">
        <w:rPr>
          <w:rFonts w:ascii="Calibri" w:eastAsia="Calibri" w:hAnsi="Calibri" w:cs="Calibri"/>
          <w:b/>
          <w:bCs/>
          <w:i/>
          <w:color w:val="000000"/>
          <w:szCs w:val="20"/>
          <w:lang w:eastAsia="en-AU"/>
        </w:rPr>
        <w:t xml:space="preserve">Human Rights Act 2004 </w:t>
      </w:r>
      <w:r w:rsidRPr="00133AB1">
        <w:rPr>
          <w:rFonts w:ascii="Calibri" w:eastAsia="Calibri" w:hAnsi="Calibri" w:cs="Calibri"/>
          <w:b/>
          <w:bCs/>
          <w:color w:val="000000"/>
          <w:szCs w:val="20"/>
          <w:lang w:eastAsia="en-AU"/>
        </w:rPr>
        <w:t>(HRA)</w:t>
      </w:r>
    </w:p>
    <w:p w:rsidR="00CD1256" w:rsidRDefault="00CD1256" w:rsidP="00CD1256">
      <w:pPr>
        <w:pStyle w:val="Heading5"/>
      </w:pPr>
      <w:r w:rsidRPr="0067269D">
        <w:t>Right to privacy and reputation (s</w:t>
      </w:r>
      <w:r>
        <w:t>ection</w:t>
      </w:r>
      <w:r w:rsidRPr="0067269D">
        <w:t xml:space="preserve"> 12 HRA)</w:t>
      </w:r>
    </w:p>
    <w:p w:rsidR="00CD1256" w:rsidRDefault="00CD1256" w:rsidP="008E75F2">
      <w:pPr>
        <w:spacing w:before="240" w:after="240"/>
        <w:rPr>
          <w:rFonts w:ascii="Calibri" w:eastAsia="Calibri" w:hAnsi="Calibri" w:cs="Calibri"/>
          <w:color w:val="000000"/>
          <w:szCs w:val="20"/>
          <w:lang w:eastAsia="en-AU"/>
        </w:rPr>
      </w:pPr>
      <w:r>
        <w:rPr>
          <w:rFonts w:ascii="Calibri" w:eastAsia="Calibri" w:hAnsi="Calibri" w:cs="Calibri"/>
          <w:color w:val="000000"/>
          <w:szCs w:val="20"/>
          <w:lang w:eastAsia="en-AU"/>
        </w:rPr>
        <w:t>The Bill provides for the establishment of a register of incidents resulting in death or serious harm in circumstances involving family violence in the ACT or involving ACT residents. The register will include personal identifying information, circumstances of the incidents, health information relevant to family violence, criminal history, history of family violence, and interactions with community-based service. The coordinator will also be able to ask information of relevant entities including police, Territory administrative units and community-based services, and can require, by written notice, information from anyone where that information is necessary for the coordinator to exercise their functions. Information collected by the coordinator can be shared with advisory committees, independent advisers, other public servants delegated functions under the Act, corresponding State entities and with the Coroner’s Court. The coordinator must also produce reports, at least biennially, about domestic and family violence incidents which will be tabled in the Assembly.</w:t>
      </w:r>
    </w:p>
    <w:p w:rsidR="00CD1256" w:rsidRDefault="00CD1256" w:rsidP="008E75F2">
      <w:pPr>
        <w:spacing w:before="240" w:after="240"/>
        <w:rPr>
          <w:rFonts w:ascii="Calibri" w:eastAsia="Calibri" w:hAnsi="Calibri" w:cs="Calibri"/>
          <w:color w:val="000000"/>
          <w:szCs w:val="20"/>
          <w:lang w:eastAsia="en-AU"/>
        </w:rPr>
      </w:pPr>
      <w:r>
        <w:rPr>
          <w:rFonts w:ascii="Calibri" w:eastAsia="Calibri" w:hAnsi="Calibri" w:cs="Calibri"/>
          <w:color w:val="000000"/>
          <w:szCs w:val="20"/>
          <w:lang w:eastAsia="en-AU"/>
        </w:rPr>
        <w:t xml:space="preserve">The Bill will therefore limit the protection of privacy provided in section 12 of the HRA. The explanatory statement accompanying the Bill provides a comprehensive justification for why these limits should be considered reasonable using the framework in section 28 of the HRA, noting in particular the various protections limiting the use and disclosure of personal information collected under the Act. The Committee commends the Minister on the thoroughness of that statement and, subject to the following comments, refers that statement to the Assembly. </w:t>
      </w:r>
    </w:p>
    <w:p w:rsidR="00CD1256" w:rsidRDefault="00CD1256" w:rsidP="008E75F2">
      <w:pPr>
        <w:spacing w:before="240" w:after="240"/>
        <w:rPr>
          <w:rFonts w:ascii="Calibri" w:eastAsia="Calibri" w:hAnsi="Calibri" w:cs="Calibri"/>
          <w:color w:val="000000"/>
          <w:szCs w:val="20"/>
          <w:lang w:eastAsia="en-AU"/>
        </w:rPr>
      </w:pPr>
      <w:r>
        <w:rPr>
          <w:rFonts w:ascii="Calibri" w:eastAsia="Calibri" w:hAnsi="Calibri" w:cs="Calibri"/>
          <w:color w:val="000000"/>
          <w:szCs w:val="20"/>
          <w:lang w:eastAsia="en-AU"/>
        </w:rPr>
        <w:t>Under proposed section 16O, the coordinator will be empowered to ask, in writing, a relevant entity to give the coordinator information they hold which is considered reasonably necessary to determine whether an incident of domestic or family violence has taken place or otherwise exercise the coordinator’s functions. They generally need the consent of the person harmed in the incident. A relevant entity must comply within no more than 15 working days unless they provide a reasonable excuse. Relevant entities include community-based services</w:t>
      </w:r>
      <w:r w:rsidR="007C5669">
        <w:rPr>
          <w:rFonts w:ascii="Calibri" w:eastAsia="Calibri" w:hAnsi="Calibri" w:cs="Calibri"/>
          <w:color w:val="000000"/>
          <w:szCs w:val="20"/>
          <w:lang w:eastAsia="en-AU"/>
        </w:rPr>
        <w:t>. The meaning of “community-based service”</w:t>
      </w:r>
      <w:r>
        <w:rPr>
          <w:rFonts w:ascii="Calibri" w:eastAsia="Calibri" w:hAnsi="Calibri" w:cs="Calibri"/>
          <w:color w:val="000000"/>
          <w:szCs w:val="20"/>
          <w:lang w:eastAsia="en-AU"/>
        </w:rPr>
        <w:t xml:space="preserve"> is not defined, and there is no express means of enforcing these obligations. The Committee also notes that proposed section 16X provides the coordinator, and persons acting under their </w:t>
      </w:r>
      <w:r>
        <w:rPr>
          <w:rFonts w:ascii="Calibri" w:eastAsia="Calibri" w:hAnsi="Calibri" w:cs="Calibri"/>
          <w:color w:val="000000"/>
          <w:szCs w:val="20"/>
          <w:lang w:eastAsia="en-AU"/>
        </w:rPr>
        <w:lastRenderedPageBreak/>
        <w:t>direction, with immunity from civil liability for honestly and without recklessness exercising functions under this Act. It is not clear if this is intended to protect relevant entities, or indeed other persons, providing information to the coordinator in response to a request or requirement to provide information.</w:t>
      </w:r>
    </w:p>
    <w:p w:rsidR="00CD1256" w:rsidRPr="008240C4" w:rsidRDefault="00CD1256" w:rsidP="008E75F2">
      <w:pPr>
        <w:keepLines/>
        <w:rPr>
          <w:rFonts w:ascii="Calibri" w:eastAsia="Calibri" w:hAnsi="Calibri" w:cs="Calibri"/>
          <w:color w:val="000000"/>
          <w:szCs w:val="20"/>
          <w:lang w:eastAsia="en-AU"/>
        </w:rPr>
      </w:pPr>
      <w:r>
        <w:rPr>
          <w:rFonts w:ascii="Calibri" w:eastAsia="Calibri" w:hAnsi="Calibri" w:cs="Calibri"/>
          <w:color w:val="000000"/>
          <w:szCs w:val="20"/>
          <w:lang w:eastAsia="en-AU"/>
        </w:rPr>
        <w:t>The Bill will also provide for the coordinator to prepare biennial and other reports. These reports must not disclose the identity of persons involved in registered incidents or allow the identity of such persons to be easily worked out. It is not clear to the Committee why the requirements to de-identify information in these reports does not extend to any personal information collected by the coordinator in the exercise of their functions under the Act not otherwise publicly available.</w:t>
      </w:r>
      <w:r w:rsidR="008E75F2">
        <w:rPr>
          <w:rFonts w:ascii="Calibri" w:eastAsia="Calibri" w:hAnsi="Calibri" w:cs="Calibri"/>
          <w:color w:val="000000"/>
          <w:szCs w:val="20"/>
          <w:lang w:eastAsia="en-AU"/>
        </w:rPr>
        <w:t xml:space="preserve"> </w:t>
      </w:r>
      <w:r>
        <w:rPr>
          <w:rFonts w:ascii="Calibri" w:eastAsia="Calibri" w:hAnsi="Calibri" w:cs="Calibri"/>
          <w:color w:val="000000"/>
          <w:szCs w:val="20"/>
          <w:lang w:eastAsia="en-AU"/>
        </w:rPr>
        <w:t xml:space="preserve">Restrictions on disclosure should at least extend to not allowing the identity of the person to be reasonably identifiable as provided for in the </w:t>
      </w:r>
      <w:r>
        <w:rPr>
          <w:rFonts w:ascii="Calibri" w:eastAsia="Calibri" w:hAnsi="Calibri" w:cs="Calibri"/>
          <w:i/>
          <w:iCs/>
          <w:color w:val="000000"/>
          <w:szCs w:val="20"/>
          <w:lang w:eastAsia="en-AU"/>
        </w:rPr>
        <w:t>Information Privacy Act 2014.</w:t>
      </w:r>
    </w:p>
    <w:p w:rsidR="00CD1256" w:rsidRDefault="00CD1256" w:rsidP="00CD1256">
      <w:pPr>
        <w:rPr>
          <w:rFonts w:ascii="Calibri" w:eastAsia="Calibri" w:hAnsi="Calibri" w:cs="Calibri"/>
          <w:color w:val="000000"/>
          <w:szCs w:val="20"/>
          <w:lang w:eastAsia="en-AU"/>
        </w:rPr>
      </w:pPr>
      <w:r>
        <w:rPr>
          <w:rFonts w:ascii="Calibri" w:eastAsia="Calibri" w:hAnsi="Calibri" w:cs="Calibri"/>
          <w:color w:val="000000"/>
          <w:szCs w:val="20"/>
          <w:lang w:eastAsia="en-AU"/>
        </w:rPr>
        <w:t xml:space="preserve">The Committee therefore asks for further information on the meaning of community-based service, the extent the obligation to provide information under proposed section 16O will be enforced in the absence of a requirement to provide information issued under proposed section 16P, the scope of the protection offered by proposed section 16X, and the reasons for the limited restrictions against disclosing identifying information in reports by the coordinator. </w:t>
      </w:r>
    </w:p>
    <w:p w:rsidR="00CD1256" w:rsidRDefault="00CD1256" w:rsidP="00CD1256">
      <w:pPr>
        <w:rPr>
          <w:b/>
        </w:rPr>
      </w:pPr>
      <w:r w:rsidRPr="00E83C75">
        <w:rPr>
          <w:b/>
        </w:rPr>
        <w:t>The Committee draws th</w:t>
      </w:r>
      <w:r>
        <w:rPr>
          <w:b/>
        </w:rPr>
        <w:t>is</w:t>
      </w:r>
      <w:r w:rsidRPr="00E83C75">
        <w:rPr>
          <w:b/>
        </w:rPr>
        <w:t xml:space="preserve"> matter to the attention of the Assembly, and asks the M</w:t>
      </w:r>
      <w:r>
        <w:rPr>
          <w:b/>
        </w:rPr>
        <w:t xml:space="preserve">inister </w:t>
      </w:r>
      <w:r w:rsidRPr="00E83C75">
        <w:rPr>
          <w:b/>
        </w:rPr>
        <w:t>to respond</w:t>
      </w:r>
      <w:r>
        <w:rPr>
          <w:b/>
        </w:rPr>
        <w:t xml:space="preserve"> before the Bill is debated.</w:t>
      </w:r>
    </w:p>
    <w:p w:rsidR="00CD1256" w:rsidRPr="00133AB1" w:rsidRDefault="00CD1256" w:rsidP="00CD1256">
      <w:pPr>
        <w:pStyle w:val="Heading4"/>
        <w:pBdr>
          <w:bottom w:val="single" w:sz="6" w:space="1" w:color="000000"/>
        </w:pBdr>
        <w:rPr>
          <w:rFonts w:eastAsia="Times New Roman"/>
        </w:rPr>
      </w:pPr>
      <w:bookmarkStart w:id="502" w:name="_Toc77751317"/>
      <w:r w:rsidRPr="000513EE">
        <w:rPr>
          <w:rFonts w:eastAsia="Times New Roman"/>
        </w:rPr>
        <w:t>Road Transport (Safety and Traffic Management) Amendment Bill 2021 (No 2)</w:t>
      </w:r>
      <w:bookmarkEnd w:id="502"/>
    </w:p>
    <w:p w:rsidR="00CD1256" w:rsidRDefault="00CD1256" w:rsidP="00CD1256">
      <w:pPr>
        <w:rPr>
          <w:rFonts w:ascii="Calibri" w:eastAsia="Calibri" w:hAnsi="Calibri" w:cs="Calibri"/>
          <w:color w:val="000000"/>
          <w:szCs w:val="20"/>
          <w:lang w:eastAsia="en-AU"/>
        </w:rPr>
      </w:pPr>
      <w:r w:rsidRPr="00133AB1">
        <w:rPr>
          <w:rFonts w:ascii="Calibri" w:eastAsia="Calibri" w:hAnsi="Calibri" w:cs="Calibri"/>
          <w:color w:val="000000"/>
          <w:szCs w:val="20"/>
          <w:lang w:eastAsia="en-AU"/>
        </w:rPr>
        <w:t>This</w:t>
      </w:r>
      <w:r>
        <w:rPr>
          <w:rFonts w:ascii="Calibri" w:eastAsia="Calibri" w:hAnsi="Calibri" w:cs="Calibri"/>
          <w:color w:val="000000"/>
          <w:szCs w:val="20"/>
          <w:lang w:eastAsia="en-AU"/>
        </w:rPr>
        <w:t xml:space="preserve"> Private Members</w:t>
      </w:r>
      <w:r w:rsidR="00C157EB">
        <w:rPr>
          <w:rFonts w:ascii="Calibri" w:eastAsia="Calibri" w:hAnsi="Calibri" w:cs="Calibri"/>
          <w:color w:val="000000"/>
          <w:szCs w:val="20"/>
          <w:lang w:eastAsia="en-AU"/>
        </w:rPr>
        <w:t>’</w:t>
      </w:r>
      <w:r w:rsidRPr="00133AB1">
        <w:rPr>
          <w:rFonts w:ascii="Calibri" w:eastAsia="Calibri" w:hAnsi="Calibri" w:cs="Calibri"/>
          <w:color w:val="000000"/>
          <w:szCs w:val="20"/>
          <w:lang w:eastAsia="en-AU"/>
        </w:rPr>
        <w:t xml:space="preserve"> Bill</w:t>
      </w:r>
      <w:r>
        <w:rPr>
          <w:rFonts w:ascii="Calibri" w:eastAsia="Calibri" w:hAnsi="Calibri" w:cs="Calibri"/>
          <w:color w:val="000000"/>
          <w:szCs w:val="20"/>
          <w:lang w:eastAsia="en-AU"/>
        </w:rPr>
        <w:t xml:space="preserve"> </w:t>
      </w:r>
      <w:r w:rsidRPr="000513EE">
        <w:rPr>
          <w:rFonts w:ascii="Calibri" w:eastAsia="Calibri" w:hAnsi="Calibri" w:cs="Calibri"/>
          <w:color w:val="000000"/>
          <w:szCs w:val="20"/>
          <w:lang w:eastAsia="en-AU"/>
        </w:rPr>
        <w:t xml:space="preserve">amends the </w:t>
      </w:r>
      <w:r w:rsidRPr="000513EE">
        <w:rPr>
          <w:rFonts w:ascii="Calibri" w:eastAsia="Calibri" w:hAnsi="Calibri" w:cs="Calibri"/>
          <w:i/>
          <w:iCs/>
          <w:color w:val="000000"/>
          <w:szCs w:val="20"/>
          <w:lang w:eastAsia="en-AU"/>
        </w:rPr>
        <w:t>Road Transport (Safety and Traffic Management) Act 1999</w:t>
      </w:r>
      <w:r>
        <w:rPr>
          <w:rFonts w:ascii="Calibri" w:eastAsia="Calibri" w:hAnsi="Calibri" w:cs="Calibri"/>
          <w:color w:val="000000"/>
          <w:szCs w:val="20"/>
          <w:lang w:eastAsia="en-AU"/>
        </w:rPr>
        <w:t xml:space="preserve"> to introduce an offence of negligent driving which causes harm to vulnerable road users. </w:t>
      </w:r>
    </w:p>
    <w:p w:rsidR="00CD1256" w:rsidRPr="00133AB1" w:rsidRDefault="00CD1256" w:rsidP="00CD1256">
      <w:pPr>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i/>
          <w:color w:val="000000"/>
          <w:szCs w:val="20"/>
          <w:lang w:eastAsia="en-AU"/>
        </w:rPr>
        <w:t>Do any provisions of the Bill amount to an undue trespass on personal rights and liberties</w:t>
      </w:r>
      <w:proofErr w:type="gramStart"/>
      <w:r w:rsidRPr="00133AB1">
        <w:rPr>
          <w:rFonts w:ascii="Calibri" w:eastAsia="Calibri" w:hAnsi="Calibri" w:cs="Calibri"/>
          <w:b/>
          <w:bCs/>
          <w:i/>
          <w:color w:val="000000"/>
          <w:szCs w:val="20"/>
          <w:lang w:eastAsia="en-AU"/>
        </w:rPr>
        <w:t>?—</w:t>
      </w:r>
      <w:proofErr w:type="gramEnd"/>
      <w:r w:rsidRPr="00133AB1">
        <w:rPr>
          <w:rFonts w:ascii="Calibri" w:eastAsia="Calibri" w:hAnsi="Calibri" w:cs="Calibri"/>
          <w:b/>
          <w:bCs/>
          <w:i/>
          <w:color w:val="000000"/>
          <w:szCs w:val="20"/>
          <w:lang w:eastAsia="en-AU"/>
        </w:rPr>
        <w:t xml:space="preserve"> </w:t>
      </w:r>
      <w:r w:rsidRPr="00E83C75">
        <w:rPr>
          <w:b/>
          <w:i/>
          <w:lang w:val="en-US"/>
        </w:rPr>
        <w:t xml:space="preserve">Committee </w:t>
      </w:r>
      <w:r>
        <w:rPr>
          <w:b/>
          <w:i/>
          <w:lang w:val="en-US"/>
        </w:rPr>
        <w:t>Resolution of Appointment paragraph (10)(a)(</w:t>
      </w:r>
      <w:proofErr w:type="spellStart"/>
      <w:r>
        <w:rPr>
          <w:b/>
          <w:i/>
          <w:lang w:val="en-US"/>
        </w:rPr>
        <w:t>i</w:t>
      </w:r>
      <w:proofErr w:type="spellEnd"/>
      <w:r>
        <w:rPr>
          <w:b/>
          <w:i/>
          <w:lang w:val="en-US"/>
        </w:rPr>
        <w:t xml:space="preserve">) </w:t>
      </w:r>
      <w:r w:rsidRPr="00E83C75">
        <w:rPr>
          <w:b/>
          <w:i/>
          <w:lang w:val="en-US"/>
        </w:rPr>
        <w:t xml:space="preserve"> </w:t>
      </w:r>
    </w:p>
    <w:p w:rsidR="00CD1256" w:rsidRPr="00133AB1" w:rsidRDefault="00CD1256" w:rsidP="00CD1256">
      <w:pPr>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color w:val="000000"/>
          <w:szCs w:val="20"/>
          <w:lang w:eastAsia="en-AU"/>
        </w:rPr>
        <w:t xml:space="preserve">Report under section 38 of the </w:t>
      </w:r>
      <w:r w:rsidRPr="00133AB1">
        <w:rPr>
          <w:rFonts w:ascii="Calibri" w:eastAsia="Calibri" w:hAnsi="Calibri" w:cs="Calibri"/>
          <w:b/>
          <w:bCs/>
          <w:i/>
          <w:color w:val="000000"/>
          <w:szCs w:val="20"/>
          <w:lang w:eastAsia="en-AU"/>
        </w:rPr>
        <w:t xml:space="preserve">Human Rights Act 2004 </w:t>
      </w:r>
      <w:r w:rsidRPr="00133AB1">
        <w:rPr>
          <w:rFonts w:ascii="Calibri" w:eastAsia="Calibri" w:hAnsi="Calibri" w:cs="Calibri"/>
          <w:b/>
          <w:bCs/>
          <w:color w:val="000000"/>
          <w:szCs w:val="20"/>
          <w:lang w:eastAsia="en-AU"/>
        </w:rPr>
        <w:t>(HRA)</w:t>
      </w:r>
    </w:p>
    <w:p w:rsidR="00CD1256" w:rsidRDefault="00CD1256" w:rsidP="00C157EB">
      <w:pPr>
        <w:pStyle w:val="Heading5"/>
      </w:pPr>
      <w:r w:rsidRPr="00E83C75">
        <w:t>Right</w:t>
      </w:r>
      <w:r>
        <w:t>s in criminal proceedings</w:t>
      </w:r>
      <w:r w:rsidRPr="00E83C75">
        <w:t xml:space="preserve"> (s</w:t>
      </w:r>
      <w:r>
        <w:t>ection</w:t>
      </w:r>
      <w:r w:rsidRPr="00E83C75">
        <w:t xml:space="preserve"> 22 </w:t>
      </w:r>
      <w:r w:rsidRPr="005F7002">
        <w:t>HRA</w:t>
      </w:r>
      <w:r w:rsidRPr="00E83C75">
        <w:t>)</w:t>
      </w:r>
    </w:p>
    <w:p w:rsidR="00CD1256" w:rsidRDefault="00CD1256" w:rsidP="00CD1256">
      <w:pPr>
        <w:rPr>
          <w:lang w:val="en-US"/>
        </w:rPr>
      </w:pPr>
      <w:r>
        <w:rPr>
          <w:lang w:val="en-US"/>
        </w:rPr>
        <w:t xml:space="preserve">The Bill will introduce an offence of driving a motor vehicle on a road or road related area which causes harm to a vulnerable road user, with a maximum penalty of 50 penalty units. It will apply the definition of vulnerable road user currently in section 7A, namely </w:t>
      </w:r>
      <w:r w:rsidRPr="002965DF">
        <w:rPr>
          <w:lang w:val="en-US"/>
        </w:rPr>
        <w:t>a road user other than the driver of, or passenger in, an enclosed motor vehicle</w:t>
      </w:r>
      <w:r>
        <w:rPr>
          <w:lang w:val="en-US"/>
        </w:rPr>
        <w:t xml:space="preserve">, to the Act as a whole, including this new offence. Two elements of the proposed offence, that the driving caused harm to another person, and that the other person is a vulnerable road user, will have strict liability applied to them. As strict liability reduces the fault elements that have to be established by the prosecution, and places the onus on the defendant to establish any </w:t>
      </w:r>
      <w:proofErr w:type="spellStart"/>
      <w:r>
        <w:rPr>
          <w:lang w:val="en-US"/>
        </w:rPr>
        <w:t>defences</w:t>
      </w:r>
      <w:proofErr w:type="spellEnd"/>
      <w:r>
        <w:rPr>
          <w:lang w:val="en-US"/>
        </w:rPr>
        <w:t xml:space="preserve"> available, the Bill may limit the rights in criminal proceedings, including the presumption of innocence, protected by section 22 of the HRA.</w:t>
      </w:r>
    </w:p>
    <w:p w:rsidR="00CD1256" w:rsidRDefault="00CD1256" w:rsidP="00CD1256">
      <w:pPr>
        <w:rPr>
          <w:lang w:val="en-US"/>
        </w:rPr>
      </w:pPr>
      <w:r>
        <w:rPr>
          <w:lang w:val="en-US"/>
        </w:rPr>
        <w:t>The explanatory statement accompanying the Bill recognizes this potential limitation and provides a justification for why it should be considered reasonable. This includes the statement that drivers should always consider the risk to vulnerable road users, and that alternative offences involve penalties which are either too low to recognize the culpability of the driver’s actions or involve a degree of culpability or complexit</w:t>
      </w:r>
      <w:r w:rsidR="008C0BE9">
        <w:rPr>
          <w:lang w:val="en-US"/>
        </w:rPr>
        <w:t>y which inhibits enforcement.</w:t>
      </w:r>
    </w:p>
    <w:p w:rsidR="008C0BE9" w:rsidRPr="008C0BE9" w:rsidRDefault="008C0BE9" w:rsidP="008C0BE9">
      <w:pPr>
        <w:rPr>
          <w:rFonts w:ascii="Calibri" w:eastAsia="Calibri" w:hAnsi="Calibri" w:cs="Calibri"/>
          <w:color w:val="000000"/>
          <w:szCs w:val="20"/>
          <w:lang w:eastAsia="en-AU"/>
        </w:rPr>
      </w:pPr>
      <w:bookmarkStart w:id="503" w:name="_Hlk77259150"/>
      <w:r>
        <w:rPr>
          <w:lang w:val="en-US"/>
        </w:rPr>
        <w:lastRenderedPageBreak/>
        <w:t xml:space="preserve">The Committee notes that the current offence of negligent driving (section 6 of the </w:t>
      </w:r>
      <w:r w:rsidRPr="00C157EB">
        <w:rPr>
          <w:rFonts w:ascii="Calibri" w:eastAsia="Calibri" w:hAnsi="Calibri" w:cs="Calibri"/>
          <w:i/>
          <w:color w:val="000000"/>
          <w:szCs w:val="20"/>
          <w:lang w:eastAsia="en-AU"/>
        </w:rPr>
        <w:t>Road Transport (Safety and Traffic Management) Act 1999</w:t>
      </w:r>
      <w:r>
        <w:rPr>
          <w:rFonts w:ascii="Calibri" w:eastAsia="Calibri" w:hAnsi="Calibri" w:cs="Calibri"/>
          <w:color w:val="000000"/>
          <w:szCs w:val="20"/>
          <w:lang w:eastAsia="en-AU"/>
        </w:rPr>
        <w:t>) provides for increased penalties where the driving occasions death or grievous bodily harm. There is no fault-element associated with the level of harm—where the driving can objectively be considered negligent the prosecution must only establish that the accused was intending to drive the car in the way they did.</w:t>
      </w:r>
      <w:r>
        <w:rPr>
          <w:rStyle w:val="FootnoteReference"/>
          <w:rFonts w:ascii="Calibri" w:eastAsia="Calibri" w:hAnsi="Calibri" w:cs="Calibri"/>
          <w:color w:val="000000"/>
          <w:szCs w:val="20"/>
          <w:lang w:eastAsia="en-AU"/>
        </w:rPr>
        <w:footnoteReference w:id="4"/>
      </w:r>
      <w:r>
        <w:rPr>
          <w:rFonts w:ascii="Calibri" w:eastAsia="Calibri" w:hAnsi="Calibri" w:cs="Calibri"/>
          <w:color w:val="000000"/>
          <w:szCs w:val="20"/>
          <w:lang w:eastAsia="en-AU"/>
        </w:rPr>
        <w:t xml:space="preserve"> </w:t>
      </w:r>
      <w:r w:rsidRPr="008C0BE9">
        <w:rPr>
          <w:rFonts w:ascii="Calibri" w:eastAsia="Calibri" w:hAnsi="Calibri" w:cs="Calibri"/>
          <w:color w:val="000000"/>
          <w:szCs w:val="20"/>
          <w:lang w:eastAsia="en-AU"/>
        </w:rPr>
        <w:t>Negligent driving is established where the accused “drove a motor vehicle in a manner involving departure from standard care for other users of the road to be expected of ordinary prudent drivers in the circumstances”.</w:t>
      </w:r>
      <w:r w:rsidRPr="008C0BE9">
        <w:rPr>
          <w:rStyle w:val="FootnoteReference"/>
          <w:rFonts w:ascii="Calibri" w:eastAsia="Calibri" w:hAnsi="Calibri" w:cs="Calibri"/>
          <w:color w:val="000000"/>
          <w:szCs w:val="20"/>
          <w:lang w:eastAsia="en-AU"/>
        </w:rPr>
        <w:footnoteReference w:id="5"/>
      </w:r>
      <w:r w:rsidRPr="008C0BE9">
        <w:rPr>
          <w:rFonts w:ascii="Calibri" w:eastAsia="Calibri" w:hAnsi="Calibri" w:cs="Calibri"/>
          <w:color w:val="000000"/>
          <w:szCs w:val="20"/>
          <w:lang w:eastAsia="en-AU"/>
        </w:rPr>
        <w:t xml:space="preserve"> The court must have regard to all the circumstances of the case, including the nature, condition and use of the road and actual and expected amount of traffic</w:t>
      </w:r>
      <w:r w:rsidRPr="008C0BE9">
        <w:rPr>
          <w:rStyle w:val="FootnoteReference"/>
          <w:rFonts w:ascii="Calibri" w:eastAsia="Calibri" w:hAnsi="Calibri" w:cs="Calibri"/>
          <w:color w:val="000000"/>
          <w:szCs w:val="20"/>
          <w:lang w:eastAsia="en-AU"/>
        </w:rPr>
        <w:footnoteReference w:id="6"/>
      </w:r>
      <w:r>
        <w:rPr>
          <w:rFonts w:ascii="Calibri" w:eastAsia="Calibri" w:hAnsi="Calibri" w:cs="Calibri"/>
          <w:color w:val="000000"/>
          <w:szCs w:val="20"/>
          <w:lang w:eastAsia="en-AU"/>
        </w:rPr>
        <w:t xml:space="preserve"> (see subsection </w:t>
      </w:r>
      <w:r w:rsidRPr="008C0BE9">
        <w:rPr>
          <w:rFonts w:ascii="Calibri" w:eastAsia="Calibri" w:hAnsi="Calibri" w:cs="Calibri"/>
          <w:color w:val="000000"/>
          <w:szCs w:val="20"/>
          <w:lang w:eastAsia="en-AU"/>
        </w:rPr>
        <w:t xml:space="preserve">6(2)). This use of graduated penalties is also used in the offence of furious, reckless or dangerous driving (section 7), which includes the aggravated offence of driving in a way that puts at risk the safety of a vulnerable road user. </w:t>
      </w:r>
    </w:p>
    <w:p w:rsidR="008C0BE9" w:rsidRPr="008C0BE9" w:rsidRDefault="008C0BE9" w:rsidP="008C0BE9">
      <w:pPr>
        <w:rPr>
          <w:rFonts w:ascii="Calibri" w:eastAsia="Calibri" w:hAnsi="Calibri" w:cs="Calibri"/>
          <w:color w:val="000000"/>
          <w:szCs w:val="20"/>
          <w:lang w:eastAsia="en-AU"/>
        </w:rPr>
      </w:pPr>
      <w:r w:rsidRPr="008C0BE9">
        <w:rPr>
          <w:rFonts w:ascii="Calibri" w:eastAsia="Calibri" w:hAnsi="Calibri" w:cs="Calibri"/>
          <w:color w:val="000000"/>
          <w:szCs w:val="20"/>
          <w:lang w:eastAsia="en-AU"/>
        </w:rPr>
        <w:t xml:space="preserve">In contrast, section 29 of the </w:t>
      </w:r>
      <w:r w:rsidRPr="008C0BE9">
        <w:rPr>
          <w:rFonts w:ascii="Calibri" w:eastAsia="Calibri" w:hAnsi="Calibri" w:cs="Calibri"/>
          <w:i/>
          <w:color w:val="000000"/>
          <w:szCs w:val="20"/>
          <w:lang w:eastAsia="en-AU"/>
        </w:rPr>
        <w:t>Crimes Act 1900</w:t>
      </w:r>
      <w:r w:rsidRPr="008C0BE9">
        <w:rPr>
          <w:rFonts w:ascii="Calibri" w:eastAsia="Calibri" w:hAnsi="Calibri" w:cs="Calibri"/>
          <w:color w:val="000000"/>
          <w:szCs w:val="20"/>
          <w:lang w:eastAsia="en-AU"/>
        </w:rPr>
        <w:t xml:space="preserve"> provides that a person who, by the culpable driving of a motor vehicle, causes the death of another person is guilty of an offence punishable, on conviction, by imprisonment for 14 years. Culpable driving relevantly includes driving negligently, which is in turn defined for this purpose as “fails unjustifiably and to a gross degree to observe the standard of care that a reasonable person would have observed in all the circumstances of the case” (Subsection 29(7)). Negligence, in this context, remains an objective standard for which the driver’s state of mind, particularly their view as to the likely risk of harm, is not directly in issue.</w:t>
      </w:r>
      <w:r w:rsidRPr="008C0BE9">
        <w:rPr>
          <w:rStyle w:val="FootnoteReference"/>
          <w:rFonts w:ascii="Calibri" w:eastAsia="Calibri" w:hAnsi="Calibri" w:cs="Calibri"/>
          <w:color w:val="000000"/>
          <w:szCs w:val="20"/>
          <w:lang w:eastAsia="en-AU"/>
        </w:rPr>
        <w:footnoteReference w:id="7"/>
      </w:r>
    </w:p>
    <w:p w:rsidR="008C0BE9" w:rsidRPr="008C0BE9" w:rsidRDefault="008C0BE9" w:rsidP="008C0BE9">
      <w:pPr>
        <w:rPr>
          <w:rFonts w:ascii="Calibri" w:eastAsia="Calibri" w:hAnsi="Calibri" w:cs="Calibri"/>
          <w:color w:val="000000"/>
          <w:szCs w:val="20"/>
          <w:lang w:eastAsia="en-AU"/>
        </w:rPr>
      </w:pPr>
      <w:r w:rsidRPr="008C0BE9">
        <w:rPr>
          <w:rFonts w:ascii="Calibri" w:eastAsia="Calibri" w:hAnsi="Calibri" w:cs="Calibri"/>
          <w:color w:val="000000"/>
          <w:szCs w:val="20"/>
          <w:lang w:eastAsia="en-AU"/>
        </w:rPr>
        <w:t xml:space="preserve">The proposed offence, however, adopts a different approach, providing for the element of harm and nature of the person harmed as separate physical elements to which strict liability applies. The Bill will also apply Chapter 2 of the Criminal Code to this offence (see clause 4). Section 21 of Chapter 2 of the Criminal Code defines the fault element of negligence as conduct meriting criminal punishment for the offence because it involves both falling short of the standard of care that a reasonable person would exercise in the circumstances and a high risk that the physical element exists or will exist. If that definition was intended to apply in the proposed offence, however, it is not clear to which physical element the test of negligence might apply. For example, the apparent intention of the offence is to apply in broader circumstances than where the defendant is negligent as to whether they are driving on a road or road related area. However, it is not clear to what extent the objective risk of harm to others, and in particular the objective risk of harm to vulnerable road users, is intended to be considered in determining whether the negligence standard has been met. </w:t>
      </w:r>
    </w:p>
    <w:p w:rsidR="008C0BE9" w:rsidRDefault="008C0BE9" w:rsidP="008C0BE9">
      <w:pPr>
        <w:rPr>
          <w:rFonts w:ascii="Calibri" w:eastAsia="Calibri" w:hAnsi="Calibri" w:cs="Calibri"/>
          <w:color w:val="000000"/>
          <w:szCs w:val="20"/>
          <w:lang w:eastAsia="en-AU"/>
        </w:rPr>
      </w:pPr>
      <w:r w:rsidRPr="008C0BE9">
        <w:rPr>
          <w:rFonts w:ascii="Calibri" w:eastAsia="Calibri" w:hAnsi="Calibri" w:cs="Calibri"/>
          <w:color w:val="000000"/>
          <w:szCs w:val="20"/>
          <w:lang w:eastAsia="en-AU"/>
        </w:rPr>
        <w:t>The Committee therefore asks for further information on how the standard of negligence is intended to be applied to the proposed offence, noting it has been drafted in a way distinct from analogous sections despite the apparent intention of the proposed offence being to introduce a moderated penalty in circumstances where negligent driving has resulted in harm to a vulnerable road user which doesn’t rise to the standard of grievous bodily harm.</w:t>
      </w:r>
    </w:p>
    <w:p w:rsidR="00CD1256" w:rsidRPr="00E83C75" w:rsidRDefault="00CD1256" w:rsidP="00CD1256">
      <w:pPr>
        <w:pStyle w:val="Bodycopy"/>
        <w:spacing w:line="280" w:lineRule="exact"/>
        <w:rPr>
          <w:b/>
        </w:rPr>
      </w:pPr>
      <w:r w:rsidRPr="00E83C75">
        <w:rPr>
          <w:b/>
        </w:rPr>
        <w:t>The Committee draws th</w:t>
      </w:r>
      <w:r>
        <w:rPr>
          <w:b/>
        </w:rPr>
        <w:t>is</w:t>
      </w:r>
      <w:r w:rsidRPr="00E83C75">
        <w:rPr>
          <w:b/>
        </w:rPr>
        <w:t xml:space="preserve"> matter to the attention of the Assembly, and asks the M</w:t>
      </w:r>
      <w:r>
        <w:rPr>
          <w:b/>
        </w:rPr>
        <w:t xml:space="preserve">ember </w:t>
      </w:r>
      <w:r w:rsidRPr="00E83C75">
        <w:rPr>
          <w:b/>
        </w:rPr>
        <w:t>to respond</w:t>
      </w:r>
      <w:r>
        <w:rPr>
          <w:b/>
        </w:rPr>
        <w:t xml:space="preserve"> before the Bill is debated</w:t>
      </w:r>
      <w:bookmarkEnd w:id="503"/>
      <w:r w:rsidRPr="00E83C75">
        <w:rPr>
          <w:b/>
        </w:rPr>
        <w:t>.</w:t>
      </w:r>
    </w:p>
    <w:p w:rsidR="00CD1256" w:rsidRPr="00133AB1" w:rsidRDefault="00CD1256" w:rsidP="00CD1256">
      <w:pPr>
        <w:pStyle w:val="Heading4"/>
        <w:pBdr>
          <w:bottom w:val="single" w:sz="6" w:space="1" w:color="000000"/>
        </w:pBdr>
        <w:rPr>
          <w:rFonts w:eastAsia="Times New Roman"/>
        </w:rPr>
      </w:pPr>
      <w:bookmarkStart w:id="504" w:name="_Toc77751318"/>
      <w:r w:rsidRPr="003564CE">
        <w:rPr>
          <w:rFonts w:eastAsia="Times New Roman"/>
        </w:rPr>
        <w:lastRenderedPageBreak/>
        <w:t>Work Health and Safety Amendment Bill 2021</w:t>
      </w:r>
      <w:bookmarkEnd w:id="504"/>
    </w:p>
    <w:p w:rsidR="00CD1256" w:rsidRDefault="00CD1256" w:rsidP="00CD1256">
      <w:pPr>
        <w:rPr>
          <w:rFonts w:ascii="Calibri" w:eastAsia="Calibri" w:hAnsi="Calibri" w:cs="Calibri"/>
          <w:color w:val="000000"/>
          <w:szCs w:val="20"/>
          <w:lang w:eastAsia="en-AU"/>
        </w:rPr>
      </w:pPr>
      <w:r w:rsidRPr="00133AB1">
        <w:rPr>
          <w:rFonts w:ascii="Calibri" w:eastAsia="Calibri" w:hAnsi="Calibri" w:cs="Calibri"/>
          <w:color w:val="000000"/>
          <w:szCs w:val="20"/>
          <w:lang w:eastAsia="en-AU"/>
        </w:rPr>
        <w:t>This Bill</w:t>
      </w:r>
      <w:r>
        <w:rPr>
          <w:rFonts w:ascii="Calibri" w:eastAsia="Calibri" w:hAnsi="Calibri" w:cs="Calibri"/>
          <w:color w:val="000000"/>
          <w:szCs w:val="20"/>
          <w:lang w:eastAsia="en-AU"/>
        </w:rPr>
        <w:t xml:space="preserve"> removes the offence of industrial manslaughter from the </w:t>
      </w:r>
      <w:r w:rsidRPr="003564CE">
        <w:rPr>
          <w:rFonts w:ascii="Calibri" w:eastAsia="Calibri" w:hAnsi="Calibri" w:cs="Calibri"/>
          <w:i/>
          <w:iCs/>
          <w:color w:val="000000"/>
          <w:szCs w:val="20"/>
          <w:lang w:eastAsia="en-AU"/>
        </w:rPr>
        <w:t>Crimes Act 1900</w:t>
      </w:r>
      <w:r>
        <w:rPr>
          <w:rFonts w:ascii="Calibri" w:eastAsia="Calibri" w:hAnsi="Calibri" w:cs="Calibri"/>
          <w:color w:val="000000"/>
          <w:szCs w:val="20"/>
          <w:lang w:eastAsia="en-AU"/>
        </w:rPr>
        <w:t xml:space="preserve"> and inserts an amended offence for industrial manslaughter into the </w:t>
      </w:r>
      <w:r w:rsidRPr="003564CE">
        <w:rPr>
          <w:rFonts w:ascii="Calibri" w:eastAsia="Calibri" w:hAnsi="Calibri" w:cs="Calibri"/>
          <w:i/>
          <w:iCs/>
          <w:color w:val="000000"/>
          <w:szCs w:val="20"/>
          <w:lang w:eastAsia="en-AU"/>
        </w:rPr>
        <w:t>Work Health and Safety Act 2011</w:t>
      </w:r>
      <w:r>
        <w:rPr>
          <w:rFonts w:ascii="Calibri" w:eastAsia="Calibri" w:hAnsi="Calibri" w:cs="Calibri"/>
          <w:color w:val="000000"/>
          <w:szCs w:val="20"/>
          <w:lang w:eastAsia="en-AU"/>
        </w:rPr>
        <w:t xml:space="preserve"> (WHS Act) based on a breach of a health and safety duty.</w:t>
      </w:r>
    </w:p>
    <w:p w:rsidR="00CD1256" w:rsidRPr="00133AB1" w:rsidRDefault="00CD1256" w:rsidP="00CD1256">
      <w:pPr>
        <w:widowControl w:val="0"/>
        <w:tabs>
          <w:tab w:val="left" w:pos="1276"/>
        </w:tabs>
        <w:rPr>
          <w:rFonts w:ascii="Calibri" w:eastAsia="Calibri" w:hAnsi="Calibri" w:cs="Calibri"/>
          <w:b/>
          <w:bCs/>
          <w:i/>
          <w:color w:val="000000"/>
          <w:szCs w:val="20"/>
          <w:lang w:eastAsia="en-AU"/>
        </w:rPr>
      </w:pPr>
      <w:r>
        <w:rPr>
          <w:rFonts w:ascii="Calibri" w:eastAsia="Calibri" w:hAnsi="Calibri" w:cs="Calibri"/>
          <w:color w:val="000000"/>
          <w:szCs w:val="20"/>
          <w:lang w:eastAsia="en-AU"/>
        </w:rPr>
        <w:t xml:space="preserve"> </w:t>
      </w:r>
      <w:r w:rsidRPr="00133AB1">
        <w:rPr>
          <w:rFonts w:ascii="Calibri" w:eastAsia="Calibri" w:hAnsi="Calibri" w:cs="Calibri"/>
          <w:b/>
          <w:bCs/>
          <w:i/>
          <w:color w:val="000000"/>
          <w:szCs w:val="20"/>
          <w:lang w:eastAsia="en-AU"/>
        </w:rPr>
        <w:t>Do any provisions of the Bill amount to an undue trespass on personal rights and liberties</w:t>
      </w:r>
      <w:proofErr w:type="gramStart"/>
      <w:r w:rsidRPr="00133AB1">
        <w:rPr>
          <w:rFonts w:ascii="Calibri" w:eastAsia="Calibri" w:hAnsi="Calibri" w:cs="Calibri"/>
          <w:b/>
          <w:bCs/>
          <w:i/>
          <w:color w:val="000000"/>
          <w:szCs w:val="20"/>
          <w:lang w:eastAsia="en-AU"/>
        </w:rPr>
        <w:t>?—</w:t>
      </w:r>
      <w:proofErr w:type="gramEnd"/>
      <w:r w:rsidRPr="00133AB1">
        <w:rPr>
          <w:rFonts w:ascii="Calibri" w:eastAsia="Calibri" w:hAnsi="Calibri" w:cs="Calibri"/>
          <w:b/>
          <w:bCs/>
          <w:i/>
          <w:color w:val="000000"/>
          <w:szCs w:val="20"/>
          <w:lang w:eastAsia="en-AU"/>
        </w:rPr>
        <w:t xml:space="preserve"> </w:t>
      </w:r>
      <w:r w:rsidRPr="00E83C75">
        <w:rPr>
          <w:b/>
          <w:i/>
          <w:lang w:val="en-US"/>
        </w:rPr>
        <w:t xml:space="preserve">Committee </w:t>
      </w:r>
      <w:r>
        <w:rPr>
          <w:b/>
          <w:i/>
          <w:lang w:val="en-US"/>
        </w:rPr>
        <w:t>Resolution of Appointment paragraph (10)(a)(</w:t>
      </w:r>
      <w:proofErr w:type="spellStart"/>
      <w:r>
        <w:rPr>
          <w:b/>
          <w:i/>
          <w:lang w:val="en-US"/>
        </w:rPr>
        <w:t>i</w:t>
      </w:r>
      <w:proofErr w:type="spellEnd"/>
      <w:r>
        <w:rPr>
          <w:b/>
          <w:i/>
          <w:lang w:val="en-US"/>
        </w:rPr>
        <w:t xml:space="preserve">) </w:t>
      </w:r>
      <w:r w:rsidRPr="00E83C75">
        <w:rPr>
          <w:b/>
          <w:i/>
          <w:lang w:val="en-US"/>
        </w:rPr>
        <w:t xml:space="preserve"> </w:t>
      </w:r>
    </w:p>
    <w:p w:rsidR="00CD1256" w:rsidRPr="00133AB1" w:rsidRDefault="00CD1256" w:rsidP="00CD1256">
      <w:pPr>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color w:val="000000"/>
          <w:szCs w:val="20"/>
          <w:lang w:eastAsia="en-AU"/>
        </w:rPr>
        <w:t xml:space="preserve">Report under section 38 of the </w:t>
      </w:r>
      <w:r w:rsidRPr="00133AB1">
        <w:rPr>
          <w:rFonts w:ascii="Calibri" w:eastAsia="Calibri" w:hAnsi="Calibri" w:cs="Calibri"/>
          <w:b/>
          <w:bCs/>
          <w:i/>
          <w:color w:val="000000"/>
          <w:szCs w:val="20"/>
          <w:lang w:eastAsia="en-AU"/>
        </w:rPr>
        <w:t xml:space="preserve">Human Rights Act 2004 </w:t>
      </w:r>
      <w:r w:rsidRPr="00133AB1">
        <w:rPr>
          <w:rFonts w:ascii="Calibri" w:eastAsia="Calibri" w:hAnsi="Calibri" w:cs="Calibri"/>
          <w:b/>
          <w:bCs/>
          <w:color w:val="000000"/>
          <w:szCs w:val="20"/>
          <w:lang w:eastAsia="en-AU"/>
        </w:rPr>
        <w:t>(HRA)</w:t>
      </w:r>
    </w:p>
    <w:p w:rsidR="00CD1256" w:rsidRDefault="00CD1256" w:rsidP="00CD1256">
      <w:pPr>
        <w:pStyle w:val="Heading5"/>
      </w:pPr>
      <w:r w:rsidRPr="0067269D">
        <w:t xml:space="preserve">Right to </w:t>
      </w:r>
      <w:r>
        <w:t>life (</w:t>
      </w:r>
      <w:r w:rsidRPr="0067269D">
        <w:t>s</w:t>
      </w:r>
      <w:r>
        <w:t>ection</w:t>
      </w:r>
      <w:r w:rsidRPr="0067269D">
        <w:t xml:space="preserve"> </w:t>
      </w:r>
      <w:r>
        <w:t>9</w:t>
      </w:r>
      <w:r w:rsidRPr="0067269D">
        <w:t xml:space="preserve"> HRA)</w:t>
      </w:r>
    </w:p>
    <w:p w:rsidR="00CD1256" w:rsidRPr="00E83C75" w:rsidRDefault="00CD1256" w:rsidP="00C157EB">
      <w:pPr>
        <w:pStyle w:val="Heading5"/>
      </w:pPr>
      <w:r w:rsidRPr="00E83C75">
        <w:t xml:space="preserve">Right to </w:t>
      </w:r>
      <w:r>
        <w:t>liberty and security of person (section 18 HRA)</w:t>
      </w:r>
      <w:r w:rsidRPr="00E83C75">
        <w:t xml:space="preserve"> </w:t>
      </w:r>
    </w:p>
    <w:p w:rsidR="00CD1256" w:rsidRDefault="00CD1256" w:rsidP="00C157EB">
      <w:pPr>
        <w:pStyle w:val="Heading5"/>
      </w:pPr>
      <w:r w:rsidRPr="00E83C75">
        <w:t>Right</w:t>
      </w:r>
      <w:r>
        <w:t>s in criminal proceedings</w:t>
      </w:r>
      <w:r w:rsidRPr="00E83C75">
        <w:t xml:space="preserve"> (s</w:t>
      </w:r>
      <w:r>
        <w:t>ection</w:t>
      </w:r>
      <w:r w:rsidRPr="00E83C75">
        <w:t xml:space="preserve"> 22 </w:t>
      </w:r>
      <w:r w:rsidRPr="005F7002">
        <w:t>HRA</w:t>
      </w:r>
      <w:r w:rsidRPr="00E83C75">
        <w:t>)</w:t>
      </w:r>
    </w:p>
    <w:p w:rsidR="00CD1256" w:rsidRDefault="00CD1256" w:rsidP="00CD1256">
      <w:pPr>
        <w:rPr>
          <w:lang w:eastAsia="en-AU"/>
        </w:rPr>
      </w:pPr>
      <w:r>
        <w:rPr>
          <w:lang w:eastAsia="en-AU"/>
        </w:rPr>
        <w:t>The offence of industrial manslaughter inserted into the WHS Act generally applies to persons, or their officers, who conduct a business or undertaking. Under section 247 of that Act, a Minister of a State or the Commonwealth, acting in that capacity, is not included in the definition of an officer for the purposes of the WHS Act. Ministers, acting in their official capacity, are currently able to be charged with industrial manslaughter as senior officers under the</w:t>
      </w:r>
      <w:r w:rsidRPr="00C157EB">
        <w:rPr>
          <w:i/>
          <w:lang w:eastAsia="en-AU"/>
        </w:rPr>
        <w:t xml:space="preserve"> Crimes Act 1900</w:t>
      </w:r>
      <w:r>
        <w:rPr>
          <w:lang w:eastAsia="en-AU"/>
        </w:rPr>
        <w:t>. By removing the offence of industrial manslaughter from the Crimes Act, the Bill may therefore limit the extent to which the offence of industrial manslaughter promotes the right to life provided by section 9 of the HRA, and right to liberty and security provided by section 18 of the HRA. The Committee notes that the ACT government, to the extent to which it represents the Crown in right of the Territory, is included as a person who conducts a business or undertaking and therefore will be subject to the new offence</w:t>
      </w:r>
      <w:r w:rsidR="00D47E37">
        <w:rPr>
          <w:lang w:eastAsia="en-AU"/>
        </w:rPr>
        <w:t>.</w:t>
      </w:r>
    </w:p>
    <w:p w:rsidR="00CD1256" w:rsidRDefault="00CD1256" w:rsidP="00D47E37">
      <w:pPr>
        <w:keepLines/>
        <w:rPr>
          <w:lang w:eastAsia="en-AU"/>
        </w:rPr>
      </w:pPr>
      <w:r>
        <w:rPr>
          <w:lang w:eastAsia="en-AU"/>
        </w:rPr>
        <w:t xml:space="preserve">The offence of industrial manslaughter inserted by the Bill will carry a maximum penalty of imprisonment for 20 years for individuals or $16 500 000 for corporations. The Bill will also provide for defendants to be convicted of alternative offences under the WHS Act which also carry with them terms of imprisonment (with category 1 offences under that Act attracting a maximum penalty of </w:t>
      </w:r>
      <w:r w:rsidR="00D47E37">
        <w:rPr>
          <w:lang w:eastAsia="en-AU"/>
        </w:rPr>
        <w:t>five</w:t>
      </w:r>
      <w:r>
        <w:rPr>
          <w:lang w:eastAsia="en-AU"/>
        </w:rPr>
        <w:t xml:space="preserve"> years). The Bill also amends the </w:t>
      </w:r>
      <w:r>
        <w:rPr>
          <w:i/>
          <w:iCs/>
          <w:lang w:eastAsia="en-AU"/>
        </w:rPr>
        <w:t xml:space="preserve">Bail Act 1992 </w:t>
      </w:r>
      <w:r>
        <w:rPr>
          <w:lang w:eastAsia="en-AU"/>
        </w:rPr>
        <w:t xml:space="preserve">to remove the presumption of Bail for a person accused of industrial manslaughter under the WHS Act. The Bill therefore limits the right to liberty and security of person protected by section 18 of the HRA. </w:t>
      </w:r>
    </w:p>
    <w:p w:rsidR="00CD1256" w:rsidRDefault="00CD1256" w:rsidP="00CD1256">
      <w:pPr>
        <w:rPr>
          <w:lang w:eastAsia="en-AU"/>
        </w:rPr>
      </w:pPr>
      <w:r>
        <w:rPr>
          <w:lang w:eastAsia="en-AU"/>
        </w:rPr>
        <w:t>The Bill also provides for strict liability in relation to two elements of the industrial manslaughter offence, namely: that the person conducts a business or undertaking or is an officer of a person who conducts a business or undertaking; and the person has a health and safety duty under the WHS Act. By limiting the elements that must be established by the prosecution and placing the emphasis on the Defendant to establish any defence available, the Bill will therefore limit the rights in criminal proceedings, including the presumption of innocence, protected by section 22 of the HRA.</w:t>
      </w:r>
    </w:p>
    <w:p w:rsidR="00CD1256" w:rsidRDefault="00CD1256" w:rsidP="00CD1256">
      <w:pPr>
        <w:rPr>
          <w:lang w:eastAsia="en-AU"/>
        </w:rPr>
      </w:pPr>
      <w:r>
        <w:rPr>
          <w:lang w:eastAsia="en-AU"/>
        </w:rPr>
        <w:t>The explanatory statement accompanying the Bill recognises these potential limitations and provides a justification for why they should be considered reasonable using the framework set out in section 28 of the HRA. The Committee refers that statement to the Assembly.</w:t>
      </w:r>
    </w:p>
    <w:p w:rsidR="00CD1256" w:rsidRPr="00E83C75" w:rsidRDefault="00CD1256" w:rsidP="00CD1256">
      <w:pPr>
        <w:pStyle w:val="Bodycopy"/>
        <w:spacing w:line="280" w:lineRule="exact"/>
        <w:rPr>
          <w:b/>
          <w:bCs/>
        </w:rPr>
      </w:pPr>
      <w:r w:rsidRPr="00E83C75">
        <w:rPr>
          <w:b/>
          <w:bCs/>
        </w:rPr>
        <w:t>The Committee draws this matter to the attention of the Assembly, but does not require a response from the Minister.</w:t>
      </w:r>
    </w:p>
    <w:p w:rsidR="008024FC" w:rsidRPr="00104A8B" w:rsidRDefault="008024FC" w:rsidP="008C0BE9">
      <w:pPr>
        <w:pStyle w:val="Heading2"/>
        <w:rPr>
          <w:rFonts w:eastAsia="Calibri"/>
          <w:lang w:eastAsia="en-AU"/>
        </w:rPr>
      </w:pPr>
      <w:bookmarkStart w:id="505" w:name="_Toc77751319"/>
      <w:r>
        <w:rPr>
          <w:rFonts w:eastAsia="Calibri"/>
          <w:lang w:eastAsia="en-AU"/>
        </w:rPr>
        <w:lastRenderedPageBreak/>
        <w:t>Subordinate Legislation</w:t>
      </w:r>
      <w:bookmarkEnd w:id="505"/>
    </w:p>
    <w:p w:rsidR="003443EB" w:rsidRPr="00103E7B" w:rsidRDefault="003379D7" w:rsidP="00103E7B">
      <w:pPr>
        <w:pStyle w:val="Heading3"/>
      </w:pPr>
      <w:bookmarkStart w:id="506" w:name="_Toc77751320"/>
      <w:r w:rsidRPr="00103E7B">
        <w:t>Disallowable Instruments</w:t>
      </w:r>
      <w:r w:rsidR="003443EB" w:rsidRPr="00103E7B">
        <w:t>—No comment</w:t>
      </w:r>
      <w:bookmarkEnd w:id="506"/>
    </w:p>
    <w:p w:rsidR="003443EB" w:rsidRDefault="003443EB" w:rsidP="00C517A1">
      <w:pPr>
        <w:widowControl w:val="0"/>
        <w:tabs>
          <w:tab w:val="left" w:pos="1276"/>
        </w:tabs>
        <w:rPr>
          <w:rFonts w:ascii="Calibri" w:hAnsi="Calibri" w:cs="Calibri"/>
          <w:color w:val="000000"/>
        </w:rPr>
      </w:pPr>
      <w:r w:rsidRPr="00987942">
        <w:rPr>
          <w:rFonts w:ascii="Calibri" w:hAnsi="Calibri" w:cs="Calibri"/>
          <w:color w:val="000000"/>
        </w:rPr>
        <w:t xml:space="preserve">The Committee has examined the </w:t>
      </w:r>
      <w:r w:rsidR="008B48A2">
        <w:rPr>
          <w:rFonts w:ascii="Calibri" w:hAnsi="Calibri" w:cs="Calibri"/>
          <w:color w:val="000000"/>
        </w:rPr>
        <w:t>following disallowable instruments and offers no comment on them</w:t>
      </w:r>
      <w:r w:rsidRPr="00987942">
        <w:rPr>
          <w:rFonts w:ascii="Calibri" w:hAnsi="Calibri" w:cs="Calibri"/>
          <w:color w:val="000000"/>
        </w:rPr>
        <w:t>:</w:t>
      </w:r>
    </w:p>
    <w:p w:rsidR="00AE0C07" w:rsidRPr="00A81F4F" w:rsidRDefault="00F759BF" w:rsidP="00AE0C07">
      <w:pPr>
        <w:pStyle w:val="Bodycopy"/>
        <w:numPr>
          <w:ilvl w:val="0"/>
          <w:numId w:val="41"/>
        </w:numPr>
        <w:spacing w:line="280" w:lineRule="exact"/>
        <w:ind w:left="360"/>
        <w:rPr>
          <w:b/>
        </w:rPr>
      </w:pPr>
      <w:bookmarkStart w:id="507" w:name="_Hlk504463130"/>
      <w:bookmarkEnd w:id="492"/>
      <w:bookmarkEnd w:id="493"/>
      <w:r>
        <w:rPr>
          <w:b/>
        </w:rPr>
        <w:t>Disallowable Instrument</w:t>
      </w:r>
      <w:r w:rsidRPr="00451C85">
        <w:rPr>
          <w:b/>
        </w:rPr>
        <w:t xml:space="preserve"> </w:t>
      </w:r>
      <w:r>
        <w:rPr>
          <w:b/>
        </w:rPr>
        <w:t>DI2021-86</w:t>
      </w:r>
      <w:r w:rsidRPr="00451C85">
        <w:rPr>
          <w:b/>
        </w:rPr>
        <w:t xml:space="preserve"> being the </w:t>
      </w:r>
      <w:r>
        <w:rPr>
          <w:b/>
        </w:rPr>
        <w:t xml:space="preserve">Canberra Institute of Technology (CIT Board Member) Appointment 2021 (No 1) made under section 9 of the </w:t>
      </w:r>
      <w:r>
        <w:rPr>
          <w:i/>
        </w:rPr>
        <w:t xml:space="preserve">Canberra Institute of Technology Act 1987 </w:t>
      </w:r>
      <w:r>
        <w:rPr>
          <w:b/>
        </w:rPr>
        <w:t xml:space="preserve">and section 79 of the </w:t>
      </w:r>
      <w:r>
        <w:rPr>
          <w:i/>
        </w:rPr>
        <w:t>Financial Management Act 1996</w:t>
      </w:r>
      <w:r w:rsidRPr="00236BDD">
        <w:rPr>
          <w:b/>
        </w:rPr>
        <w:t xml:space="preserve"> </w:t>
      </w:r>
      <w:r>
        <w:rPr>
          <w:b/>
        </w:rPr>
        <w:t>appoints a specified person to be a member of the CIT Board for a period of 12 months.</w:t>
      </w:r>
    </w:p>
    <w:p w:rsidR="00AE0C07" w:rsidRPr="00A81F4F" w:rsidRDefault="00F759BF" w:rsidP="00AE0C07">
      <w:pPr>
        <w:pStyle w:val="Bodycopy"/>
        <w:numPr>
          <w:ilvl w:val="0"/>
          <w:numId w:val="41"/>
        </w:numPr>
        <w:spacing w:line="280" w:lineRule="exact"/>
        <w:ind w:left="360"/>
        <w:rPr>
          <w:b/>
        </w:rPr>
      </w:pPr>
      <w:r>
        <w:rPr>
          <w:b/>
        </w:rPr>
        <w:t>Disallowable Instrument</w:t>
      </w:r>
      <w:r w:rsidRPr="00451C85">
        <w:rPr>
          <w:b/>
        </w:rPr>
        <w:t xml:space="preserve"> </w:t>
      </w:r>
      <w:r>
        <w:rPr>
          <w:b/>
        </w:rPr>
        <w:t>DI2021-87</w:t>
      </w:r>
      <w:r w:rsidRPr="00451C85">
        <w:rPr>
          <w:b/>
        </w:rPr>
        <w:t xml:space="preserve"> being the </w:t>
      </w:r>
      <w:r>
        <w:rPr>
          <w:b/>
        </w:rPr>
        <w:t xml:space="preserve">Canberra Institute of Technology (CIT Board Member) Appointment 2021 (No 2) made under section 9 of the </w:t>
      </w:r>
      <w:r>
        <w:rPr>
          <w:i/>
        </w:rPr>
        <w:t>Canberra Institute of Technology Act 1987</w:t>
      </w:r>
      <w:r>
        <w:rPr>
          <w:b/>
        </w:rPr>
        <w:t xml:space="preserve"> and section 79 of the</w:t>
      </w:r>
      <w:r>
        <w:rPr>
          <w:i/>
        </w:rPr>
        <w:t xml:space="preserve"> Financial Management Act 1996</w:t>
      </w:r>
      <w:r w:rsidRPr="00236BDD">
        <w:rPr>
          <w:b/>
        </w:rPr>
        <w:t xml:space="preserve"> </w:t>
      </w:r>
      <w:r>
        <w:rPr>
          <w:b/>
        </w:rPr>
        <w:t>appoints a specified person to be a member of the CIT Board for a period of 12 months.</w:t>
      </w:r>
    </w:p>
    <w:p w:rsidR="00052319" w:rsidRPr="00103E7B" w:rsidRDefault="003379D7" w:rsidP="00B45946">
      <w:pPr>
        <w:pStyle w:val="Heading3"/>
        <w:spacing w:before="280"/>
        <w:rPr>
          <w:rFonts w:eastAsia="Calibri"/>
          <w:lang w:eastAsia="en-AU"/>
        </w:rPr>
      </w:pPr>
      <w:bookmarkStart w:id="508" w:name="_Toc77751321"/>
      <w:r w:rsidRPr="00103E7B">
        <w:rPr>
          <w:rFonts w:eastAsia="Calibri"/>
          <w:lang w:eastAsia="en-AU"/>
        </w:rPr>
        <w:t>Disallowable Instrument</w:t>
      </w:r>
      <w:r w:rsidR="00BA3E19" w:rsidRPr="00103E7B">
        <w:rPr>
          <w:rFonts w:eastAsia="Calibri"/>
          <w:lang w:eastAsia="en-AU"/>
        </w:rPr>
        <w:t>s</w:t>
      </w:r>
      <w:r w:rsidR="00052319" w:rsidRPr="00103E7B">
        <w:rPr>
          <w:rFonts w:eastAsia="Calibri"/>
          <w:lang w:eastAsia="en-AU"/>
        </w:rPr>
        <w:t>—Comment</w:t>
      </w:r>
      <w:bookmarkEnd w:id="508"/>
    </w:p>
    <w:p w:rsidR="00052319" w:rsidRDefault="00052319" w:rsidP="00600F64">
      <w:pPr>
        <w:keepNext/>
        <w:rPr>
          <w:spacing w:val="-2"/>
        </w:rPr>
      </w:pPr>
      <w:r w:rsidRPr="003C60E7">
        <w:rPr>
          <w:spacing w:val="-2"/>
        </w:rPr>
        <w:t>The Committee has examined the fo</w:t>
      </w:r>
      <w:r w:rsidR="003379D7" w:rsidRPr="003C60E7">
        <w:rPr>
          <w:spacing w:val="-2"/>
        </w:rPr>
        <w:t>llowing disallowable instrument</w:t>
      </w:r>
      <w:r w:rsidR="00BA3E19">
        <w:rPr>
          <w:spacing w:val="-2"/>
        </w:rPr>
        <w:t>s</w:t>
      </w:r>
      <w:r w:rsidRPr="003C60E7">
        <w:rPr>
          <w:spacing w:val="-2"/>
        </w:rPr>
        <w:t xml:space="preserve"> and offers these comments on </w:t>
      </w:r>
      <w:r w:rsidR="00BA3E19">
        <w:rPr>
          <w:spacing w:val="-2"/>
        </w:rPr>
        <w:t>them</w:t>
      </w:r>
      <w:r w:rsidRPr="003C60E7">
        <w:rPr>
          <w:spacing w:val="-2"/>
        </w:rPr>
        <w:t>:</w:t>
      </w:r>
    </w:p>
    <w:bookmarkEnd w:id="507"/>
    <w:p w:rsidR="00AE0C07" w:rsidRPr="00F759BF" w:rsidRDefault="00AE0C07" w:rsidP="00F759BF">
      <w:pPr>
        <w:pStyle w:val="Heading4nonumber"/>
        <w:rPr>
          <w:sz w:val="22"/>
          <w:szCs w:val="22"/>
        </w:rPr>
      </w:pPr>
      <w:r w:rsidRPr="00F759BF">
        <w:rPr>
          <w:sz w:val="22"/>
          <w:szCs w:val="22"/>
        </w:rPr>
        <w:t>Fees determinations</w:t>
      </w:r>
    </w:p>
    <w:p w:rsidR="00F759BF" w:rsidRPr="00842199" w:rsidRDefault="00F759BF" w:rsidP="00F759BF">
      <w:pPr>
        <w:pStyle w:val="Bodycopy"/>
        <w:numPr>
          <w:ilvl w:val="0"/>
          <w:numId w:val="42"/>
        </w:numPr>
        <w:spacing w:after="0" w:line="280" w:lineRule="exact"/>
        <w:ind w:left="360"/>
        <w:rPr>
          <w:b/>
        </w:rPr>
      </w:pPr>
      <w:r>
        <w:rPr>
          <w:b/>
        </w:rPr>
        <w:t>Disallowable Instrument</w:t>
      </w:r>
      <w:r w:rsidRPr="00451C85">
        <w:rPr>
          <w:b/>
        </w:rPr>
        <w:t xml:space="preserve"> </w:t>
      </w:r>
      <w:r>
        <w:rPr>
          <w:b/>
        </w:rPr>
        <w:t>DI2021-85</w:t>
      </w:r>
      <w:r w:rsidRPr="00451C85">
        <w:rPr>
          <w:b/>
        </w:rPr>
        <w:t xml:space="preserve"> being the </w:t>
      </w:r>
      <w:r>
        <w:rPr>
          <w:b/>
        </w:rPr>
        <w:t xml:space="preserve">Public Trustee and Guardian (Fees) Determination 2021 made under section 75 of the </w:t>
      </w:r>
      <w:r>
        <w:rPr>
          <w:i/>
        </w:rPr>
        <w:t>Public Trustee and Guardian Act 1985</w:t>
      </w:r>
      <w:r w:rsidRPr="00236BDD">
        <w:rPr>
          <w:b/>
        </w:rPr>
        <w:t xml:space="preserve"> </w:t>
      </w:r>
      <w:r>
        <w:rPr>
          <w:b/>
        </w:rPr>
        <w:t>revokes DI2020-151 and determines fees payable for the purposes of the Act.</w:t>
      </w:r>
    </w:p>
    <w:p w:rsidR="00F759BF" w:rsidRPr="00842199" w:rsidRDefault="00F759BF" w:rsidP="00F759BF">
      <w:pPr>
        <w:pStyle w:val="Bodycopy"/>
        <w:numPr>
          <w:ilvl w:val="0"/>
          <w:numId w:val="42"/>
        </w:numPr>
        <w:spacing w:after="0" w:line="280" w:lineRule="exact"/>
        <w:ind w:left="360"/>
        <w:rPr>
          <w:b/>
        </w:rPr>
      </w:pPr>
      <w:r>
        <w:rPr>
          <w:b/>
        </w:rPr>
        <w:t>Disallowable Instrument</w:t>
      </w:r>
      <w:r w:rsidRPr="00451C85">
        <w:rPr>
          <w:b/>
        </w:rPr>
        <w:t xml:space="preserve"> </w:t>
      </w:r>
      <w:r>
        <w:rPr>
          <w:b/>
        </w:rPr>
        <w:t>DI2021-88</w:t>
      </w:r>
      <w:r w:rsidRPr="00451C85">
        <w:rPr>
          <w:b/>
        </w:rPr>
        <w:t xml:space="preserve"> being the </w:t>
      </w:r>
      <w:r>
        <w:rPr>
          <w:b/>
        </w:rPr>
        <w:t xml:space="preserve">Electoral (Fees) Determination 2021 made under section 340B of the </w:t>
      </w:r>
      <w:r>
        <w:rPr>
          <w:i/>
        </w:rPr>
        <w:t>Electoral Act 1992</w:t>
      </w:r>
      <w:r w:rsidRPr="00236BDD">
        <w:rPr>
          <w:b/>
        </w:rPr>
        <w:t xml:space="preserve"> </w:t>
      </w:r>
      <w:r>
        <w:rPr>
          <w:b/>
        </w:rPr>
        <w:t>revokes DI2010-148 and determines fees payable for the purposes of the Act.</w:t>
      </w:r>
    </w:p>
    <w:p w:rsidR="00AE0C07" w:rsidRDefault="00AE0C07" w:rsidP="00F759BF">
      <w:pPr>
        <w:pStyle w:val="Bodycopy"/>
        <w:spacing w:before="220" w:after="220" w:line="280" w:lineRule="exact"/>
        <w:rPr>
          <w:bCs/>
        </w:rPr>
      </w:pPr>
      <w:r>
        <w:rPr>
          <w:bCs/>
        </w:rPr>
        <w:t xml:space="preserve">The instruments mentioned above determine fees, for the </w:t>
      </w:r>
      <w:r>
        <w:rPr>
          <w:bCs/>
          <w:i/>
          <w:iCs/>
        </w:rPr>
        <w:t xml:space="preserve">Public Trustee and Guardian Act </w:t>
      </w:r>
      <w:r w:rsidRPr="00631957">
        <w:rPr>
          <w:bCs/>
          <w:i/>
          <w:iCs/>
        </w:rPr>
        <w:t>1985</w:t>
      </w:r>
      <w:r>
        <w:rPr>
          <w:bCs/>
        </w:rPr>
        <w:t xml:space="preserve"> and the </w:t>
      </w:r>
      <w:r w:rsidRPr="00631957">
        <w:rPr>
          <w:bCs/>
          <w:i/>
          <w:iCs/>
        </w:rPr>
        <w:t>Electoral Act</w:t>
      </w:r>
      <w:r>
        <w:rPr>
          <w:bCs/>
          <w:i/>
          <w:iCs/>
        </w:rPr>
        <w:t xml:space="preserve"> 1992</w:t>
      </w:r>
      <w:r>
        <w:rPr>
          <w:bCs/>
        </w:rPr>
        <w:t xml:space="preserve">, respectively.  The Committee notes that, for the first instrument mentioned above, the explanatory statement for the instrument indicates that the fees increases are framed by reference to the particular circumstances of the </w:t>
      </w:r>
      <w:r w:rsidRPr="00631957">
        <w:rPr>
          <w:bCs/>
        </w:rPr>
        <w:t>Public Trustee and Guardian Act</w:t>
      </w:r>
      <w:r>
        <w:rPr>
          <w:bCs/>
        </w:rPr>
        <w:t>, stating that the instrument ….</w:t>
      </w:r>
    </w:p>
    <w:p w:rsidR="00AE0C07" w:rsidRDefault="00AE0C07" w:rsidP="00F759BF">
      <w:pPr>
        <w:pStyle w:val="Bodycopy"/>
        <w:spacing w:before="220" w:after="220" w:line="280" w:lineRule="exact"/>
        <w:ind w:left="360"/>
        <w:rPr>
          <w:bCs/>
        </w:rPr>
      </w:pPr>
      <w:r>
        <w:t xml:space="preserve"> … </w:t>
      </w:r>
      <w:proofErr w:type="gramStart"/>
      <w:r>
        <w:t>provides</w:t>
      </w:r>
      <w:proofErr w:type="gramEnd"/>
      <w:r>
        <w:t xml:space="preserve"> for fee increases to reflect the changing nature of the Public Trustee and Guardian’s work, including increased workload, increased complexity, the higher number of clients seeking subsidies or concessions and increasing need for qualified specialists.</w:t>
      </w:r>
    </w:p>
    <w:p w:rsidR="00AE0C07" w:rsidRDefault="00AE0C07" w:rsidP="00F759BF">
      <w:pPr>
        <w:pStyle w:val="Bodycopy"/>
        <w:spacing w:before="220" w:after="220" w:line="280" w:lineRule="exact"/>
        <w:rPr>
          <w:bCs/>
        </w:rPr>
      </w:pPr>
      <w:r>
        <w:rPr>
          <w:bCs/>
        </w:rPr>
        <w:t>The particular increases are then summarised.  In line with the Committee’s expectations, explanatory notes appear in the instrument itself, indicating the “old” and “new” fees, etc.</w:t>
      </w:r>
    </w:p>
    <w:p w:rsidR="00AE0C07" w:rsidRDefault="00AE0C07" w:rsidP="00F759BF">
      <w:pPr>
        <w:pStyle w:val="Bodycopy"/>
        <w:spacing w:before="220" w:after="220" w:line="280" w:lineRule="exact"/>
        <w:rPr>
          <w:bCs/>
        </w:rPr>
      </w:pPr>
      <w:r>
        <w:rPr>
          <w:bCs/>
        </w:rPr>
        <w:t>The Committee notes that, for the second instrument mentioned above, the explanatory statement states:</w:t>
      </w:r>
    </w:p>
    <w:p w:rsidR="00AE0C07" w:rsidRPr="00B63870" w:rsidRDefault="00AE0C07" w:rsidP="008C0BE9">
      <w:pPr>
        <w:keepNext/>
        <w:ind w:left="360"/>
        <w:rPr>
          <w:rFonts w:cstheme="minorHAnsi"/>
          <w:iCs/>
        </w:rPr>
      </w:pPr>
      <w:r w:rsidRPr="00B63870">
        <w:rPr>
          <w:rFonts w:cstheme="minorHAnsi"/>
          <w:iCs/>
        </w:rPr>
        <w:lastRenderedPageBreak/>
        <w:t>The fees for 2021/2022 financial year are determined by increasing the 2020/2021 fees, determined by DI2020-148, by the Wage Price Index (WPI) of 1.75%, rounded down to the nearest $0.05.</w:t>
      </w:r>
    </w:p>
    <w:p w:rsidR="00AE0C07" w:rsidRDefault="00AE0C07" w:rsidP="00F759BF">
      <w:pPr>
        <w:pStyle w:val="Bodycopy"/>
        <w:spacing w:before="220" w:after="220" w:line="280" w:lineRule="exact"/>
        <w:rPr>
          <w:bCs/>
        </w:rPr>
      </w:pPr>
      <w:r>
        <w:rPr>
          <w:bCs/>
        </w:rPr>
        <w:t xml:space="preserve">The Committee notes that this explanation is consistent with the explanation provided in relation to the majority of fees instruments discussed in </w:t>
      </w:r>
      <w:r>
        <w:rPr>
          <w:bCs/>
          <w:i/>
          <w:iCs/>
        </w:rPr>
        <w:t>Scrutiny Report 6</w:t>
      </w:r>
      <w:r>
        <w:rPr>
          <w:bCs/>
        </w:rPr>
        <w:t xml:space="preserve"> of the </w:t>
      </w:r>
      <w:r w:rsidRPr="007F696B">
        <w:rPr>
          <w:bCs/>
          <w:i/>
        </w:rPr>
        <w:t>10</w:t>
      </w:r>
      <w:r w:rsidRPr="007F696B">
        <w:rPr>
          <w:bCs/>
          <w:i/>
          <w:vertAlign w:val="superscript"/>
        </w:rPr>
        <w:t>th</w:t>
      </w:r>
      <w:r w:rsidRPr="007F696B">
        <w:rPr>
          <w:bCs/>
          <w:i/>
        </w:rPr>
        <w:t xml:space="preserve"> Assembly </w:t>
      </w:r>
      <w:r>
        <w:rPr>
          <w:bCs/>
        </w:rPr>
        <w:t>(15 June 2021).  The Committee also notes that the “old” and “new” fees are indicated, in the instrument itself.</w:t>
      </w:r>
    </w:p>
    <w:p w:rsidR="00AE0C07" w:rsidRDefault="00AE0C07" w:rsidP="00F759BF">
      <w:pPr>
        <w:pStyle w:val="Bodycopy"/>
        <w:spacing w:before="220" w:after="220" w:line="280" w:lineRule="exact"/>
        <w:rPr>
          <w:bCs/>
        </w:rPr>
      </w:pPr>
      <w:r>
        <w:rPr>
          <w:b/>
        </w:rPr>
        <w:t>This comment does not require a response from the Minister.</w:t>
      </w:r>
      <w:r>
        <w:rPr>
          <w:bCs/>
        </w:rPr>
        <w:t xml:space="preserve"> </w:t>
      </w:r>
    </w:p>
    <w:p w:rsidR="00AE0C07" w:rsidRPr="00F759BF" w:rsidRDefault="00AE0C07" w:rsidP="00F759BF">
      <w:pPr>
        <w:pStyle w:val="Heading4nonumber"/>
        <w:rPr>
          <w:sz w:val="22"/>
          <w:szCs w:val="22"/>
        </w:rPr>
      </w:pPr>
      <w:r w:rsidRPr="00F759BF">
        <w:rPr>
          <w:sz w:val="22"/>
          <w:szCs w:val="22"/>
        </w:rPr>
        <w:t>COVID-19-related instrument / Human rights issues</w:t>
      </w:r>
    </w:p>
    <w:p w:rsidR="00AE0C07" w:rsidRPr="00A81F4F" w:rsidRDefault="00F759BF" w:rsidP="00AE0C07">
      <w:pPr>
        <w:rPr>
          <w:rFonts w:ascii="Calibri" w:hAnsi="Calibri" w:cs="Calibri"/>
          <w:b/>
          <w:color w:val="000000"/>
          <w:szCs w:val="20"/>
        </w:rPr>
      </w:pPr>
      <w:r>
        <w:rPr>
          <w:b/>
        </w:rPr>
        <w:t>Disallowable Instrument</w:t>
      </w:r>
      <w:r w:rsidRPr="00451C85">
        <w:rPr>
          <w:b/>
        </w:rPr>
        <w:t xml:space="preserve"> </w:t>
      </w:r>
      <w:r>
        <w:rPr>
          <w:b/>
        </w:rPr>
        <w:t>DI2021-89</w:t>
      </w:r>
      <w:r w:rsidRPr="00451C85">
        <w:rPr>
          <w:b/>
        </w:rPr>
        <w:t xml:space="preserve"> being the </w:t>
      </w:r>
      <w:r>
        <w:rPr>
          <w:b/>
        </w:rPr>
        <w:t xml:space="preserve">Road Transport (General) Applications for Registration—Written-off Vehicles Declaration 2021 (No 1) made under subsection 13(1) of the </w:t>
      </w:r>
      <w:r>
        <w:rPr>
          <w:i/>
        </w:rPr>
        <w:t>Road Transport (General) Act 1999</w:t>
      </w:r>
      <w:r w:rsidRPr="00236BDD">
        <w:rPr>
          <w:b/>
        </w:rPr>
        <w:t xml:space="preserve"> </w:t>
      </w:r>
      <w:r>
        <w:rPr>
          <w:b/>
        </w:rPr>
        <w:t>provides for registration in the ACT of interstate vehicles where those vehicles were damaged in the hailstorm on 20 January 2020 without the need for them to be registered in the ACT at the time they became a written-off vehicle.</w:t>
      </w:r>
    </w:p>
    <w:p w:rsidR="00AE0C07" w:rsidRDefault="00AE0C07" w:rsidP="00F759BF">
      <w:pPr>
        <w:pStyle w:val="Bodycopy"/>
        <w:spacing w:before="220" w:after="220" w:line="280" w:lineRule="exact"/>
        <w:rPr>
          <w:bCs/>
        </w:rPr>
      </w:pPr>
      <w:r>
        <w:rPr>
          <w:bCs/>
        </w:rPr>
        <w:t xml:space="preserve">This instrument extends an exemption from certain registration conditions, applicable to interstate vehicles, set out in the </w:t>
      </w:r>
      <w:r>
        <w:rPr>
          <w:bCs/>
          <w:i/>
          <w:iCs/>
        </w:rPr>
        <w:t>Road Transport (Vehicle Registration) Regulation 2000</w:t>
      </w:r>
      <w:r>
        <w:rPr>
          <w:bCs/>
        </w:rPr>
        <w:t>.  The existing exemption was provided by the</w:t>
      </w:r>
      <w:r>
        <w:rPr>
          <w:bCs/>
          <w:i/>
          <w:iCs/>
        </w:rPr>
        <w:t xml:space="preserve"> </w:t>
      </w:r>
      <w:r w:rsidRPr="00835103">
        <w:rPr>
          <w:bCs/>
        </w:rPr>
        <w:t xml:space="preserve">Road Transport (General) </w:t>
      </w:r>
      <w:r w:rsidR="007F696B">
        <w:rPr>
          <w:bCs/>
        </w:rPr>
        <w:t>Applications for Registration—</w:t>
      </w:r>
      <w:r w:rsidRPr="00835103">
        <w:rPr>
          <w:bCs/>
        </w:rPr>
        <w:t>Written-off Vehicles Declaration and Order 2020 (No 1)</w:t>
      </w:r>
      <w:r>
        <w:rPr>
          <w:bCs/>
        </w:rPr>
        <w:t xml:space="preserve"> [DI2020-128].  The explanatory statement for the instrument mentioned above states:</w:t>
      </w:r>
    </w:p>
    <w:p w:rsidR="00AE0C07" w:rsidRPr="00835103" w:rsidRDefault="00AE0C07" w:rsidP="007F696B">
      <w:pPr>
        <w:pStyle w:val="Default"/>
        <w:spacing w:before="220" w:after="220" w:line="280" w:lineRule="exact"/>
        <w:ind w:left="360"/>
        <w:rPr>
          <w:rFonts w:asciiTheme="minorHAnsi" w:hAnsiTheme="minorHAnsi" w:cstheme="minorHAnsi"/>
          <w:sz w:val="22"/>
          <w:szCs w:val="22"/>
        </w:rPr>
      </w:pPr>
      <w:r w:rsidRPr="00835103">
        <w:rPr>
          <w:rFonts w:asciiTheme="minorHAnsi" w:hAnsiTheme="minorHAnsi" w:cstheme="minorHAnsi"/>
          <w:sz w:val="22"/>
          <w:szCs w:val="22"/>
        </w:rPr>
        <w:t>Exemptions are currently provided for under DI2020-128 for consideration of registration in the ACT of interstate vehicles damaged in the January 2020 hailstorm without the need for these vehicles to be re</w:t>
      </w:r>
      <w:r w:rsidRPr="00835103">
        <w:rPr>
          <w:rFonts w:asciiTheme="minorHAnsi" w:hAnsiTheme="minorHAnsi" w:cstheme="minorHAnsi"/>
          <w:sz w:val="22"/>
          <w:szCs w:val="22"/>
        </w:rPr>
        <w:noBreakHyphen/>
        <w:t>registered in the jurisdiction in which they were registered at the time they became a written-off vehicle. These exemptions provided an immediate relief in response to the impact of the January 2020 hailstorm and sub</w:t>
      </w:r>
      <w:r w:rsidR="007F696B">
        <w:rPr>
          <w:rFonts w:asciiTheme="minorHAnsi" w:hAnsiTheme="minorHAnsi" w:cstheme="minorHAnsi"/>
          <w:sz w:val="22"/>
          <w:szCs w:val="22"/>
        </w:rPr>
        <w:t>sequent global health pandemic.</w:t>
      </w:r>
    </w:p>
    <w:p w:rsidR="00AE0C07" w:rsidRPr="00835103" w:rsidRDefault="00AE0C07" w:rsidP="00B45946">
      <w:pPr>
        <w:pStyle w:val="Default"/>
        <w:keepNext/>
        <w:spacing w:before="220" w:after="220" w:line="280" w:lineRule="exact"/>
        <w:rPr>
          <w:rFonts w:asciiTheme="minorHAnsi" w:hAnsiTheme="minorHAnsi" w:cstheme="minorHAnsi"/>
          <w:sz w:val="22"/>
          <w:szCs w:val="22"/>
        </w:rPr>
      </w:pPr>
      <w:r>
        <w:rPr>
          <w:rFonts w:asciiTheme="minorHAnsi" w:hAnsiTheme="minorHAnsi" w:cstheme="minorHAnsi"/>
          <w:sz w:val="22"/>
          <w:szCs w:val="22"/>
        </w:rPr>
        <w:t>The explanatory statement goes on to state:</w:t>
      </w:r>
    </w:p>
    <w:p w:rsidR="00AE0C07" w:rsidRPr="00835103" w:rsidRDefault="00AE0C07" w:rsidP="007F696B">
      <w:pPr>
        <w:ind w:left="360"/>
        <w:rPr>
          <w:rFonts w:cstheme="minorHAnsi"/>
          <w:b/>
        </w:rPr>
      </w:pPr>
      <w:r w:rsidRPr="00835103">
        <w:rPr>
          <w:rFonts w:cstheme="minorHAnsi"/>
        </w:rPr>
        <w:t xml:space="preserve">DI2020-128 is set to expire on 29 May 2021. At present the Government is considering whether permanent amendments are necessary to section 32A of the </w:t>
      </w:r>
      <w:r w:rsidRPr="00835103">
        <w:rPr>
          <w:rFonts w:cstheme="minorHAnsi"/>
          <w:i/>
          <w:iCs/>
        </w:rPr>
        <w:t xml:space="preserve">Road Transport (Vehicle Registration) Regulation 2000. </w:t>
      </w:r>
      <w:r w:rsidRPr="00835103">
        <w:rPr>
          <w:rFonts w:cstheme="minorHAnsi"/>
        </w:rPr>
        <w:t>However, these considerations have been delayed as a result of the ongoing effects of the current global health pandemic</w:t>
      </w:r>
      <w:r w:rsidRPr="00835103">
        <w:rPr>
          <w:rFonts w:cstheme="minorHAnsi"/>
          <w:i/>
          <w:iCs/>
        </w:rPr>
        <w:t>.</w:t>
      </w:r>
      <w:r w:rsidRPr="00835103">
        <w:rPr>
          <w:rFonts w:cstheme="minorHAnsi"/>
        </w:rPr>
        <w:t xml:space="preserve"> The purpose of this declaration is to provide an additional 12-month extension to the exemptions provided for under DI2020-128 while permanent amendments to section 32A of the </w:t>
      </w:r>
      <w:r w:rsidRPr="00835103">
        <w:rPr>
          <w:rFonts w:cstheme="minorHAnsi"/>
          <w:i/>
          <w:iCs/>
        </w:rPr>
        <w:t>Road Transport (Vehicle Registration) Regulation 2000</w:t>
      </w:r>
      <w:r w:rsidRPr="00835103">
        <w:rPr>
          <w:rFonts w:cstheme="minorHAnsi"/>
        </w:rPr>
        <w:t xml:space="preserve"> are evaluated. </w:t>
      </w:r>
    </w:p>
    <w:p w:rsidR="00AE0C07" w:rsidRDefault="00AE0C07" w:rsidP="00F759BF">
      <w:pPr>
        <w:pStyle w:val="Bodycopy"/>
        <w:spacing w:before="220" w:after="220" w:line="280" w:lineRule="exact"/>
        <w:rPr>
          <w:bCs/>
        </w:rPr>
      </w:pPr>
      <w:r>
        <w:rPr>
          <w:bCs/>
        </w:rPr>
        <w:t>The Committee notes that the explanatory statement for the instrument addresses human rights implications, stating:</w:t>
      </w:r>
    </w:p>
    <w:p w:rsidR="00AE0C07" w:rsidRPr="00835103" w:rsidRDefault="00AE0C07" w:rsidP="007F696B">
      <w:pPr>
        <w:ind w:left="360"/>
        <w:rPr>
          <w:rFonts w:cstheme="minorHAnsi"/>
        </w:rPr>
      </w:pPr>
      <w:r w:rsidRPr="00835103">
        <w:rPr>
          <w:rFonts w:cstheme="minorHAnsi"/>
        </w:rPr>
        <w:t>There are not considered to be any human rights implications arising from this instrument.</w:t>
      </w:r>
    </w:p>
    <w:p w:rsidR="00AE0C07" w:rsidRDefault="00AE0C07" w:rsidP="00F759BF">
      <w:pPr>
        <w:pStyle w:val="Paper"/>
        <w:spacing w:before="220" w:after="220" w:line="280" w:lineRule="exact"/>
        <w:rPr>
          <w:rFonts w:ascii="Calibri" w:hAnsi="Calibri" w:cs="Calibri"/>
          <w:b/>
          <w:bCs/>
          <w:sz w:val="22"/>
          <w:szCs w:val="22"/>
          <w:lang w:eastAsia="en-AU"/>
        </w:rPr>
      </w:pPr>
      <w:r w:rsidRPr="00E95E87">
        <w:rPr>
          <w:rFonts w:ascii="Calibri" w:hAnsi="Calibri" w:cs="Calibri"/>
          <w:b/>
          <w:bCs/>
          <w:sz w:val="22"/>
          <w:szCs w:val="22"/>
          <w:lang w:eastAsia="en-AU"/>
        </w:rPr>
        <w:t>The Committee draws the attention of the Legislative Assembly to the discussion of human rights issues in the explanatory statement for th</w:t>
      </w:r>
      <w:r>
        <w:rPr>
          <w:rFonts w:ascii="Calibri" w:hAnsi="Calibri" w:cs="Calibri"/>
          <w:b/>
          <w:bCs/>
          <w:sz w:val="22"/>
          <w:szCs w:val="22"/>
          <w:lang w:eastAsia="en-AU"/>
        </w:rPr>
        <w:t>is</w:t>
      </w:r>
      <w:r w:rsidRPr="00E95E87">
        <w:rPr>
          <w:rFonts w:ascii="Calibri" w:hAnsi="Calibri" w:cs="Calibri"/>
          <w:b/>
          <w:bCs/>
          <w:sz w:val="22"/>
          <w:szCs w:val="22"/>
          <w:lang w:eastAsia="en-AU"/>
        </w:rPr>
        <w:t xml:space="preserve"> instrument.</w:t>
      </w:r>
    </w:p>
    <w:p w:rsidR="00AE0C07" w:rsidRDefault="00AE0C07" w:rsidP="00F759BF">
      <w:pPr>
        <w:pStyle w:val="Paper"/>
        <w:spacing w:before="220" w:after="220" w:line="280" w:lineRule="exact"/>
        <w:rPr>
          <w:rFonts w:ascii="Calibri" w:hAnsi="Calibri" w:cs="Calibri"/>
          <w:b/>
          <w:bCs/>
          <w:sz w:val="22"/>
          <w:szCs w:val="22"/>
          <w:lang w:eastAsia="en-AU"/>
        </w:rPr>
      </w:pPr>
      <w:r w:rsidRPr="00A66BED">
        <w:rPr>
          <w:rFonts w:ascii="Calibri" w:hAnsi="Calibri" w:cs="Calibri"/>
          <w:b/>
          <w:bCs/>
          <w:sz w:val="22"/>
          <w:szCs w:val="22"/>
          <w:lang w:eastAsia="en-AU"/>
        </w:rPr>
        <w:t>This comment does not require a response from the Minister.</w:t>
      </w:r>
    </w:p>
    <w:p w:rsidR="00F753CA" w:rsidRDefault="00F753CA" w:rsidP="008C0BE9">
      <w:pPr>
        <w:pStyle w:val="Heading2"/>
        <w:rPr>
          <w:rFonts w:eastAsia="Calibri"/>
          <w:lang w:eastAsia="en-AU"/>
        </w:rPr>
      </w:pPr>
      <w:bookmarkStart w:id="509" w:name="_Toc77751322"/>
      <w:r>
        <w:rPr>
          <w:rFonts w:eastAsia="Calibri"/>
          <w:lang w:eastAsia="en-AU"/>
        </w:rPr>
        <w:lastRenderedPageBreak/>
        <w:t>Responses</w:t>
      </w:r>
      <w:bookmarkEnd w:id="509"/>
    </w:p>
    <w:p w:rsidR="00D9488E" w:rsidRPr="00D9488E" w:rsidRDefault="00D9488E" w:rsidP="0047083F">
      <w:pPr>
        <w:pStyle w:val="Heading3"/>
        <w:spacing w:line="235" w:lineRule="auto"/>
        <w:rPr>
          <w:lang w:eastAsia="en-AU"/>
        </w:rPr>
      </w:pPr>
      <w:bookmarkStart w:id="510" w:name="_Toc44074226"/>
      <w:bookmarkStart w:id="511" w:name="_Toc44323943"/>
      <w:bookmarkStart w:id="512" w:name="_Toc77751323"/>
      <w:r>
        <w:rPr>
          <w:lang w:eastAsia="en-AU"/>
        </w:rPr>
        <w:t>Government response</w:t>
      </w:r>
      <w:bookmarkEnd w:id="510"/>
      <w:bookmarkEnd w:id="511"/>
      <w:bookmarkEnd w:id="512"/>
      <w:r w:rsidR="0083040F">
        <w:rPr>
          <w:lang w:eastAsia="en-AU"/>
        </w:rPr>
        <w:t>s</w:t>
      </w:r>
    </w:p>
    <w:bookmarkEnd w:id="494"/>
    <w:bookmarkEnd w:id="495"/>
    <w:p w:rsidR="00F65983" w:rsidRPr="00F65983" w:rsidRDefault="00F65983" w:rsidP="0047083F">
      <w:pPr>
        <w:spacing w:line="235" w:lineRule="auto"/>
        <w:rPr>
          <w:rFonts w:ascii="Calibri" w:eastAsia="Calibri" w:hAnsi="Calibri" w:cs="Times New Roman"/>
        </w:rPr>
      </w:pPr>
      <w:r w:rsidRPr="00F65983">
        <w:rPr>
          <w:rFonts w:ascii="Calibri" w:eastAsia="Calibri" w:hAnsi="Calibri" w:cs="Times New Roman"/>
        </w:rPr>
        <w:t xml:space="preserve">The Committee has received </w:t>
      </w:r>
      <w:r w:rsidR="003379D7">
        <w:rPr>
          <w:rFonts w:ascii="Calibri" w:eastAsia="Calibri" w:hAnsi="Calibri" w:cs="Times New Roman"/>
        </w:rPr>
        <w:t>response</w:t>
      </w:r>
      <w:r w:rsidR="0083040F">
        <w:rPr>
          <w:rFonts w:ascii="Calibri" w:eastAsia="Calibri" w:hAnsi="Calibri" w:cs="Times New Roman"/>
        </w:rPr>
        <w:t>s</w:t>
      </w:r>
      <w:r w:rsidRPr="00F65983">
        <w:rPr>
          <w:rFonts w:ascii="Calibri" w:eastAsia="Calibri" w:hAnsi="Calibri" w:cs="Times New Roman"/>
        </w:rPr>
        <w:t xml:space="preserve"> from:</w:t>
      </w:r>
    </w:p>
    <w:p w:rsidR="00461B48" w:rsidRDefault="007E14F6" w:rsidP="00F759BF">
      <w:pPr>
        <w:pStyle w:val="ListParagraph"/>
        <w:keepLines/>
        <w:widowControl w:val="0"/>
        <w:numPr>
          <w:ilvl w:val="0"/>
          <w:numId w:val="43"/>
        </w:numPr>
        <w:spacing w:line="235" w:lineRule="auto"/>
        <w:ind w:left="360"/>
      </w:pPr>
      <w:r>
        <w:t xml:space="preserve">The </w:t>
      </w:r>
      <w:r w:rsidR="00F759BF">
        <w:t>Minister for Transport and City Services</w:t>
      </w:r>
      <w:r w:rsidR="00461B48" w:rsidRPr="00AE47FB">
        <w:t xml:space="preserve">, dated </w:t>
      </w:r>
      <w:r w:rsidR="00F759BF">
        <w:t>17 June</w:t>
      </w:r>
      <w:r w:rsidR="00D82DA3">
        <w:t xml:space="preserve"> 2021</w:t>
      </w:r>
      <w:r w:rsidR="00461B48" w:rsidRPr="00AE47FB">
        <w:t xml:space="preserve">, in relation to </w:t>
      </w:r>
      <w:r>
        <w:t>comments</w:t>
      </w:r>
      <w:r w:rsidR="006F388D">
        <w:t xml:space="preserve"> made in Scrutiny Report </w:t>
      </w:r>
      <w:r w:rsidR="00F759BF">
        <w:t>5</w:t>
      </w:r>
      <w:r w:rsidR="00461B48" w:rsidRPr="00AE47FB">
        <w:t xml:space="preserve"> </w:t>
      </w:r>
      <w:r w:rsidR="006F388D">
        <w:t xml:space="preserve">concerning </w:t>
      </w:r>
      <w:r w:rsidR="00461B48" w:rsidRPr="00AE47FB">
        <w:t xml:space="preserve">the </w:t>
      </w:r>
      <w:r w:rsidR="00F759BF">
        <w:t>Road Transport (Safety and Traffic Management) Amendment</w:t>
      </w:r>
      <w:r w:rsidR="00F8654F">
        <w:t xml:space="preserve"> Bill 2021</w:t>
      </w:r>
      <w:r w:rsidR="00461B48" w:rsidRPr="00AE47FB">
        <w:t>.</w:t>
      </w:r>
    </w:p>
    <w:p w:rsidR="006A6C77" w:rsidRDefault="00E7274A" w:rsidP="0047083F">
      <w:pPr>
        <w:widowControl w:val="0"/>
        <w:spacing w:before="200" w:after="0" w:line="235" w:lineRule="auto"/>
        <w:ind w:left="360"/>
        <w:rPr>
          <w:rFonts w:ascii="Calibri" w:eastAsia="Calibri" w:hAnsi="Calibri" w:cs="Times New Roman"/>
          <w:b/>
          <w:lang w:eastAsia="en-AU"/>
        </w:rPr>
      </w:pPr>
      <w:hyperlink r:id="rId24" w:history="1">
        <w:r w:rsidR="00D82DA3">
          <w:rPr>
            <w:rStyle w:val="Hyperlink"/>
            <w:rFonts w:ascii="Calibri" w:eastAsia="Calibri" w:hAnsi="Calibri" w:cs="Times New Roman"/>
            <w:b/>
            <w:lang w:eastAsia="en-AU"/>
          </w:rPr>
          <w:t>This</w:t>
        </w:r>
        <w:r w:rsidR="006A6C77" w:rsidRPr="006971C2">
          <w:rPr>
            <w:rStyle w:val="Hyperlink"/>
            <w:rFonts w:ascii="Calibri" w:eastAsia="Calibri" w:hAnsi="Calibri" w:cs="Times New Roman"/>
            <w:b/>
            <w:lang w:eastAsia="en-AU"/>
          </w:rPr>
          <w:t xml:space="preserve"> response</w:t>
        </w:r>
      </w:hyperlink>
      <w:r w:rsidR="006A6C77">
        <w:rPr>
          <w:rFonts w:ascii="Calibri" w:eastAsia="Calibri" w:hAnsi="Calibri" w:cs="Times New Roman"/>
          <w:b/>
          <w:i/>
          <w:vertAlign w:val="superscript"/>
          <w:lang w:eastAsia="en-AU"/>
        </w:rPr>
        <w:footnoteReference w:id="8"/>
      </w:r>
      <w:r w:rsidR="006A6C77">
        <w:rPr>
          <w:rFonts w:ascii="Calibri" w:eastAsia="Calibri" w:hAnsi="Calibri" w:cs="Times New Roman"/>
          <w:b/>
          <w:i/>
          <w:lang w:eastAsia="en-AU"/>
        </w:rPr>
        <w:t xml:space="preserve"> </w:t>
      </w:r>
      <w:r w:rsidR="006A6C77">
        <w:rPr>
          <w:rFonts w:ascii="Calibri" w:eastAsia="Calibri" w:hAnsi="Calibri" w:cs="Times New Roman"/>
          <w:b/>
          <w:lang w:eastAsia="en-AU"/>
        </w:rPr>
        <w:t>can be viewed online.</w:t>
      </w:r>
    </w:p>
    <w:p w:rsidR="00F759BF" w:rsidRPr="00115E26" w:rsidRDefault="00115E26" w:rsidP="00115E26">
      <w:pPr>
        <w:pStyle w:val="ListParagraph"/>
        <w:keepLines/>
        <w:widowControl w:val="0"/>
        <w:numPr>
          <w:ilvl w:val="0"/>
          <w:numId w:val="43"/>
        </w:numPr>
        <w:spacing w:line="235" w:lineRule="auto"/>
        <w:ind w:left="360"/>
      </w:pPr>
      <w:r>
        <w:t>The Minister for Transport and City Services, undated, in relation to comments made in Scrutiny Report 2 concerning Disallowable Instrument DI2020-287—Litter (Amenity Impact) Code of Practice 2020 (No 1).</w:t>
      </w:r>
    </w:p>
    <w:bookmarkEnd w:id="496"/>
    <w:bookmarkEnd w:id="497"/>
    <w:p w:rsidR="00115E26" w:rsidRDefault="00115E26" w:rsidP="00115E26">
      <w:pPr>
        <w:widowControl w:val="0"/>
        <w:spacing w:before="200" w:after="0" w:line="235" w:lineRule="auto"/>
        <w:ind w:left="360"/>
        <w:rPr>
          <w:rFonts w:ascii="Calibri" w:eastAsia="Calibri" w:hAnsi="Calibri" w:cs="Times New Roman"/>
          <w:b/>
          <w:lang w:eastAsia="en-AU"/>
        </w:rPr>
      </w:pPr>
      <w:r>
        <w:rPr>
          <w:rStyle w:val="Hyperlink"/>
          <w:rFonts w:ascii="Calibri" w:eastAsia="Calibri" w:hAnsi="Calibri" w:cs="Times New Roman"/>
          <w:b/>
          <w:lang w:eastAsia="en-AU"/>
        </w:rPr>
        <w:fldChar w:fldCharType="begin"/>
      </w:r>
      <w:r>
        <w:rPr>
          <w:rStyle w:val="Hyperlink"/>
          <w:rFonts w:ascii="Calibri" w:eastAsia="Calibri" w:hAnsi="Calibri" w:cs="Times New Roman"/>
          <w:b/>
          <w:lang w:eastAsia="en-AU"/>
        </w:rPr>
        <w:instrText>HYPERLINK "https://www.parliament.act.gov.au/parliamentary-business/in-committees/committees/JCS_Scrutiny/response-to-comments-on-subordinate-legislation"</w:instrText>
      </w:r>
      <w:r>
        <w:rPr>
          <w:rStyle w:val="Hyperlink"/>
          <w:rFonts w:ascii="Calibri" w:eastAsia="Calibri" w:hAnsi="Calibri" w:cs="Times New Roman"/>
          <w:b/>
          <w:lang w:eastAsia="en-AU"/>
        </w:rPr>
        <w:fldChar w:fldCharType="separate"/>
      </w:r>
      <w:r>
        <w:rPr>
          <w:rStyle w:val="Hyperlink"/>
          <w:rFonts w:ascii="Calibri" w:eastAsia="Calibri" w:hAnsi="Calibri" w:cs="Times New Roman"/>
          <w:b/>
          <w:lang w:eastAsia="en-AU"/>
        </w:rPr>
        <w:t>This</w:t>
      </w:r>
      <w:r w:rsidRPr="006971C2">
        <w:rPr>
          <w:rStyle w:val="Hyperlink"/>
          <w:rFonts w:ascii="Calibri" w:eastAsia="Calibri" w:hAnsi="Calibri" w:cs="Times New Roman"/>
          <w:b/>
          <w:lang w:eastAsia="en-AU"/>
        </w:rPr>
        <w:t xml:space="preserve"> response</w:t>
      </w:r>
      <w:r>
        <w:rPr>
          <w:rStyle w:val="Hyperlink"/>
          <w:rFonts w:ascii="Calibri" w:eastAsia="Calibri" w:hAnsi="Calibri" w:cs="Times New Roman"/>
          <w:b/>
          <w:lang w:eastAsia="en-AU"/>
        </w:rPr>
        <w:fldChar w:fldCharType="end"/>
      </w:r>
      <w:r>
        <w:rPr>
          <w:rFonts w:ascii="Calibri" w:eastAsia="Calibri" w:hAnsi="Calibri" w:cs="Times New Roman"/>
          <w:b/>
          <w:i/>
          <w:vertAlign w:val="superscript"/>
          <w:lang w:eastAsia="en-AU"/>
        </w:rPr>
        <w:footnoteReference w:id="9"/>
      </w:r>
      <w:r>
        <w:rPr>
          <w:rFonts w:ascii="Calibri" w:eastAsia="Calibri" w:hAnsi="Calibri" w:cs="Times New Roman"/>
          <w:b/>
          <w:i/>
          <w:lang w:eastAsia="en-AU"/>
        </w:rPr>
        <w:t xml:space="preserve"> </w:t>
      </w:r>
      <w:r>
        <w:rPr>
          <w:rFonts w:ascii="Calibri" w:eastAsia="Calibri" w:hAnsi="Calibri" w:cs="Times New Roman"/>
          <w:b/>
          <w:lang w:eastAsia="en-AU"/>
        </w:rPr>
        <w:t>can be viewed online.</w:t>
      </w:r>
    </w:p>
    <w:p w:rsidR="00670AF9" w:rsidRDefault="00C13B2C" w:rsidP="00670AF9">
      <w:pPr>
        <w:pStyle w:val="Paper"/>
        <w:keepLines/>
        <w:spacing w:before="220" w:after="220" w:line="235" w:lineRule="auto"/>
        <w:rPr>
          <w:rFonts w:ascii="Calibri" w:hAnsi="Calibri"/>
          <w:bCs/>
          <w:sz w:val="22"/>
          <w:szCs w:val="22"/>
        </w:rPr>
      </w:pPr>
      <w:r>
        <w:rPr>
          <w:rFonts w:ascii="Calibri" w:hAnsi="Calibri"/>
          <w:bCs/>
          <w:sz w:val="22"/>
          <w:szCs w:val="22"/>
        </w:rPr>
        <w:t>The Committee wishes to thank the</w:t>
      </w:r>
      <w:r w:rsidR="00670AF9">
        <w:rPr>
          <w:rFonts w:ascii="Calibri" w:hAnsi="Calibri"/>
          <w:bCs/>
          <w:sz w:val="22"/>
          <w:szCs w:val="22"/>
        </w:rPr>
        <w:t xml:space="preserve"> Minister for Transport and City Services for</w:t>
      </w:r>
      <w:r w:rsidR="00280D11">
        <w:rPr>
          <w:rFonts w:ascii="Calibri" w:hAnsi="Calibri"/>
          <w:bCs/>
          <w:sz w:val="22"/>
          <w:szCs w:val="22"/>
        </w:rPr>
        <w:t xml:space="preserve"> </w:t>
      </w:r>
      <w:r w:rsidR="00670AF9">
        <w:rPr>
          <w:rFonts w:ascii="Calibri" w:hAnsi="Calibri"/>
          <w:bCs/>
          <w:sz w:val="22"/>
          <w:szCs w:val="22"/>
        </w:rPr>
        <w:t xml:space="preserve">his </w:t>
      </w:r>
      <w:r>
        <w:rPr>
          <w:rFonts w:ascii="Calibri" w:hAnsi="Calibri"/>
          <w:bCs/>
          <w:sz w:val="22"/>
          <w:szCs w:val="22"/>
        </w:rPr>
        <w:t>helpful responses.</w:t>
      </w:r>
    </w:p>
    <w:p w:rsidR="00670AF9" w:rsidRDefault="00670AF9" w:rsidP="00670AF9">
      <w:pPr>
        <w:pStyle w:val="Heading3"/>
        <w:rPr>
          <w:color w:val="000000"/>
        </w:rPr>
      </w:pPr>
      <w:bookmarkStart w:id="513" w:name="_Toc77751324"/>
      <w:r>
        <w:t>Government response—Comment</w:t>
      </w:r>
      <w:bookmarkEnd w:id="513"/>
    </w:p>
    <w:p w:rsidR="00670AF9" w:rsidRPr="00670AF9" w:rsidRDefault="00670AF9" w:rsidP="00670AF9">
      <w:pPr>
        <w:pStyle w:val="Heading4nonumber"/>
        <w:rPr>
          <w:sz w:val="22"/>
          <w:szCs w:val="22"/>
        </w:rPr>
      </w:pPr>
      <w:r w:rsidRPr="00670AF9">
        <w:rPr>
          <w:sz w:val="22"/>
          <w:szCs w:val="22"/>
        </w:rPr>
        <w:t>Disallowable Instrument DI2020-287 being the Litter (Amenity Impact) Code of Practice 2020 (No 1)</w:t>
      </w:r>
    </w:p>
    <w:p w:rsidR="00670AF9" w:rsidRDefault="00670AF9" w:rsidP="00B45946">
      <w:pPr>
        <w:keepLines/>
        <w:widowControl w:val="0"/>
        <w:tabs>
          <w:tab w:val="left" w:pos="1276"/>
        </w:tabs>
        <w:rPr>
          <w:rFonts w:ascii="Calibri" w:eastAsia="Calibri" w:hAnsi="Calibri"/>
          <w:lang w:val="en-US"/>
        </w:rPr>
      </w:pPr>
      <w:r>
        <w:rPr>
          <w:rFonts w:ascii="Calibri" w:eastAsia="Calibri" w:hAnsi="Calibri" w:cs="Calibri"/>
          <w:bCs/>
          <w:color w:val="000000"/>
          <w:szCs w:val="20"/>
        </w:rPr>
        <w:t xml:space="preserve">The Committee commented on this instrument in </w:t>
      </w:r>
      <w:r>
        <w:rPr>
          <w:rFonts w:ascii="Calibri" w:eastAsia="Calibri" w:hAnsi="Calibri" w:cs="Calibri"/>
          <w:bCs/>
          <w:i/>
          <w:iCs/>
          <w:color w:val="000000"/>
          <w:szCs w:val="20"/>
        </w:rPr>
        <w:t>Scrutiny Report 2</w:t>
      </w:r>
      <w:r>
        <w:rPr>
          <w:rFonts w:ascii="Calibri" w:eastAsia="Calibri" w:hAnsi="Calibri" w:cs="Calibri"/>
          <w:bCs/>
          <w:color w:val="000000"/>
          <w:szCs w:val="20"/>
        </w:rPr>
        <w:t xml:space="preserve"> of the 10</w:t>
      </w:r>
      <w:r>
        <w:rPr>
          <w:rFonts w:ascii="Calibri" w:eastAsia="Calibri" w:hAnsi="Calibri" w:cs="Calibri"/>
          <w:bCs/>
          <w:color w:val="000000"/>
          <w:szCs w:val="20"/>
          <w:vertAlign w:val="superscript"/>
        </w:rPr>
        <w:t>th</w:t>
      </w:r>
      <w:r>
        <w:rPr>
          <w:rFonts w:ascii="Calibri" w:eastAsia="Calibri" w:hAnsi="Calibri" w:cs="Calibri"/>
          <w:bCs/>
          <w:color w:val="000000"/>
          <w:szCs w:val="20"/>
        </w:rPr>
        <w:t xml:space="preserve"> Assembly (24 March 2021).  The Committee noted that the instrument, made under section 24ZA of the </w:t>
      </w:r>
      <w:r>
        <w:rPr>
          <w:rFonts w:ascii="Calibri" w:eastAsia="Calibri" w:hAnsi="Calibri" w:cs="Calibri"/>
          <w:bCs/>
          <w:i/>
          <w:iCs/>
          <w:color w:val="000000"/>
          <w:szCs w:val="20"/>
        </w:rPr>
        <w:t>Litter Act 2004</w:t>
      </w:r>
      <w:r>
        <w:rPr>
          <w:rFonts w:ascii="Calibri" w:eastAsia="Calibri" w:hAnsi="Calibri" w:cs="Calibri"/>
          <w:bCs/>
          <w:color w:val="000000"/>
          <w:szCs w:val="20"/>
        </w:rPr>
        <w:t xml:space="preserve">, deals with “amenity impacts caused by hoarding” at an “open private place (property)”, and that the Code of Practice made by the instrument referenced human rights implications of the Code and the </w:t>
      </w:r>
      <w:r>
        <w:rPr>
          <w:rFonts w:ascii="Calibri" w:eastAsia="Calibri" w:hAnsi="Calibri" w:cs="Calibri"/>
          <w:bCs/>
          <w:i/>
          <w:iCs/>
          <w:color w:val="000000"/>
          <w:szCs w:val="20"/>
        </w:rPr>
        <w:t>Human Rights Act 2004</w:t>
      </w:r>
      <w:r>
        <w:rPr>
          <w:rFonts w:ascii="Calibri" w:eastAsia="Calibri" w:hAnsi="Calibri" w:cs="Calibri"/>
          <w:bCs/>
          <w:color w:val="000000"/>
          <w:szCs w:val="20"/>
        </w:rPr>
        <w:t xml:space="preserve">.  The Committee noted that </w:t>
      </w:r>
      <w:r>
        <w:rPr>
          <w:rFonts w:ascii="Calibri" w:eastAsia="Calibri" w:hAnsi="Calibri"/>
          <w:lang w:val="en-US"/>
        </w:rPr>
        <w:t xml:space="preserve">despite the evident relevance of the Human Rights Act to the Code, the explanatory statement for the instrument does not substantively address human rights issues. </w:t>
      </w:r>
    </w:p>
    <w:p w:rsidR="00670AF9" w:rsidRDefault="00670AF9" w:rsidP="00670AF9">
      <w:pPr>
        <w:rPr>
          <w:rFonts w:ascii="Calibri" w:hAnsi="Calibri" w:cs="Calibri"/>
          <w:lang w:val="en-US"/>
        </w:rPr>
      </w:pPr>
      <w:r>
        <w:rPr>
          <w:rFonts w:ascii="Calibri" w:eastAsia="Calibri" w:hAnsi="Calibri"/>
          <w:lang w:val="en-US"/>
        </w:rPr>
        <w:t xml:space="preserve">While acknowledging the limitations of its jurisdiction, under section 38 of the Human Rights Act, the Committee indicated that, given the clear indication that the instrument engaged (unspecified) human rights, the Committee considered that (despite the absence of any express Human Rights Act jurisdiction, for the Committee, in this instance) the explanatory statement for this instrument ought to have substantively addressed the human rights issues engaged by the Code.  As a result, the Committee drew </w:t>
      </w:r>
      <w:r>
        <w:rPr>
          <w:rFonts w:ascii="Calibri" w:hAnsi="Calibri" w:cs="Calibri"/>
          <w:lang w:val="en-US"/>
        </w:rPr>
        <w:t>the attention of the Legislative Assembly to the instrument, under principle (10</w:t>
      </w:r>
      <w:proofErr w:type="gramStart"/>
      <w:r>
        <w:rPr>
          <w:rFonts w:ascii="Calibri" w:hAnsi="Calibri" w:cs="Calibri"/>
          <w:lang w:val="en-US"/>
        </w:rPr>
        <w:t>)(</w:t>
      </w:r>
      <w:proofErr w:type="gramEnd"/>
      <w:r>
        <w:rPr>
          <w:rFonts w:ascii="Calibri" w:hAnsi="Calibri" w:cs="Calibri"/>
          <w:lang w:val="en-US"/>
        </w:rPr>
        <w:t xml:space="preserve">c)(ii) of the Committee’s terms of reference, on the basis that the instrument may </w:t>
      </w:r>
      <w:r>
        <w:rPr>
          <w:rFonts w:ascii="Calibri" w:eastAsia="Calibri" w:hAnsi="Calibri"/>
          <w:lang w:val="en-US"/>
        </w:rPr>
        <w:t>unduly trespass on rights previously established by law.  The Committee also drew the attention of the Legislative Assembly to the instrument, under principle (10</w:t>
      </w:r>
      <w:proofErr w:type="gramStart"/>
      <w:r>
        <w:rPr>
          <w:rFonts w:ascii="Calibri" w:eastAsia="Calibri" w:hAnsi="Calibri"/>
          <w:lang w:val="en-US"/>
        </w:rPr>
        <w:t>)(</w:t>
      </w:r>
      <w:proofErr w:type="gramEnd"/>
      <w:r>
        <w:rPr>
          <w:rFonts w:ascii="Calibri" w:eastAsia="Calibri" w:hAnsi="Calibri"/>
          <w:lang w:val="en-US"/>
        </w:rPr>
        <w:t>d) of the Committee’s terms of reference</w:t>
      </w:r>
      <w:r>
        <w:rPr>
          <w:rFonts w:ascii="Calibri" w:hAnsi="Calibri" w:cs="Calibri"/>
          <w:lang w:val="en-US"/>
        </w:rPr>
        <w:t>, on the basis that the explanatory statement for the instrument did not meet the technical or stylistic standards expected by the Committee.</w:t>
      </w:r>
    </w:p>
    <w:p w:rsidR="00670AF9" w:rsidRDefault="00670AF9" w:rsidP="008C0BE9">
      <w:pPr>
        <w:keepLines/>
        <w:widowControl w:val="0"/>
        <w:tabs>
          <w:tab w:val="left" w:pos="1276"/>
        </w:tabs>
        <w:rPr>
          <w:rFonts w:ascii="Calibri" w:hAnsi="Calibri" w:cs="Calibri"/>
          <w:lang w:val="en-US"/>
        </w:rPr>
      </w:pPr>
      <w:r>
        <w:rPr>
          <w:rFonts w:ascii="Calibri" w:hAnsi="Calibri" w:cs="Calibri"/>
          <w:lang w:val="en-US"/>
        </w:rPr>
        <w:lastRenderedPageBreak/>
        <w:t xml:space="preserve">This Committee sought a response from the Minister.  The Minister for Transport and City Services has responded to the Committee’s comments, in an undated letter.  The Minister’s response attaches a revised explanatory statement for the instrument, providing detail on the relevant human rights concerned and also on how potential limitations on these rights are addressed.  The Minister’s covering letter also </w:t>
      </w:r>
      <w:proofErr w:type="spellStart"/>
      <w:r>
        <w:rPr>
          <w:rFonts w:ascii="Calibri" w:hAnsi="Calibri" w:cs="Calibri"/>
          <w:lang w:val="en-US"/>
        </w:rPr>
        <w:t>summarises</w:t>
      </w:r>
      <w:proofErr w:type="spellEnd"/>
      <w:r>
        <w:rPr>
          <w:rFonts w:ascii="Calibri" w:hAnsi="Calibri" w:cs="Calibri"/>
          <w:lang w:val="en-US"/>
        </w:rPr>
        <w:t xml:space="preserve"> the substance of the amendments to the explanatory statement.</w:t>
      </w:r>
    </w:p>
    <w:p w:rsidR="00670AF9" w:rsidRDefault="00670AF9" w:rsidP="00670AF9">
      <w:pPr>
        <w:widowControl w:val="0"/>
        <w:tabs>
          <w:tab w:val="left" w:pos="1276"/>
        </w:tabs>
        <w:rPr>
          <w:rFonts w:ascii="Calibri" w:hAnsi="Calibri" w:cs="Calibri"/>
          <w:lang w:val="en-US"/>
        </w:rPr>
      </w:pPr>
      <w:r>
        <w:rPr>
          <w:rFonts w:ascii="Calibri" w:hAnsi="Calibri" w:cs="Calibri"/>
          <w:lang w:val="en-US"/>
        </w:rPr>
        <w:t>The Committee is grateful to the Minister for addressing its concerns.</w:t>
      </w:r>
    </w:p>
    <w:p w:rsidR="00670AF9" w:rsidRDefault="00670AF9" w:rsidP="00670AF9">
      <w:pPr>
        <w:widowControl w:val="0"/>
        <w:tabs>
          <w:tab w:val="left" w:pos="1276"/>
        </w:tabs>
        <w:rPr>
          <w:rFonts w:ascii="Calibri" w:hAnsi="Calibri" w:cs="Calibri"/>
          <w:b/>
          <w:bCs/>
          <w:lang w:val="en-US"/>
        </w:rPr>
      </w:pPr>
      <w:r>
        <w:rPr>
          <w:rFonts w:ascii="Calibri" w:hAnsi="Calibri" w:cs="Calibri"/>
          <w:b/>
          <w:bCs/>
          <w:lang w:val="en-US"/>
        </w:rPr>
        <w:t>This commend does not require any further response from the Minister.</w:t>
      </w:r>
    </w:p>
    <w:p w:rsidR="00670AF9" w:rsidRDefault="00670AF9" w:rsidP="00670AF9">
      <w:pPr>
        <w:pStyle w:val="Bodycopy"/>
      </w:pPr>
    </w:p>
    <w:p w:rsidR="00670AF9" w:rsidRDefault="00670AF9" w:rsidP="00670AF9">
      <w:pPr>
        <w:pStyle w:val="Bodycopy"/>
      </w:pPr>
    </w:p>
    <w:p w:rsidR="00670AF9" w:rsidRDefault="00670AF9" w:rsidP="00670AF9">
      <w:pPr>
        <w:pStyle w:val="Bodycopy"/>
      </w:pPr>
    </w:p>
    <w:p w:rsidR="004F019A" w:rsidRPr="00104A8B" w:rsidRDefault="00670AF9" w:rsidP="00670AF9">
      <w:pPr>
        <w:pStyle w:val="Bodycopy"/>
        <w:spacing w:after="0"/>
      </w:pPr>
      <w:r>
        <w:t>Jeremy Hanson MLA</w:t>
      </w:r>
    </w:p>
    <w:p w:rsidR="00393D9F" w:rsidRDefault="004F019A" w:rsidP="00670AF9">
      <w:pPr>
        <w:spacing w:before="0" w:after="0" w:line="235" w:lineRule="auto"/>
      </w:pPr>
      <w:r w:rsidRPr="00104A8B">
        <w:t>Chair</w:t>
      </w:r>
    </w:p>
    <w:p w:rsidR="00607578" w:rsidRDefault="00607578" w:rsidP="0047083F">
      <w:pPr>
        <w:spacing w:before="0" w:line="235" w:lineRule="auto"/>
      </w:pPr>
    </w:p>
    <w:p w:rsidR="003F186C" w:rsidRPr="00FF2947" w:rsidRDefault="00607578" w:rsidP="0047083F">
      <w:pPr>
        <w:spacing w:before="0" w:line="235" w:lineRule="auto"/>
        <w:sectPr w:rsidR="003F186C" w:rsidRPr="00FF2947" w:rsidSect="00685D6D">
          <w:headerReference w:type="even" r:id="rId25"/>
          <w:headerReference w:type="default" r:id="rId26"/>
          <w:footerReference w:type="even" r:id="rId27"/>
          <w:footerReference w:type="default" r:id="rId28"/>
          <w:headerReference w:type="first" r:id="rId29"/>
          <w:pgSz w:w="11906" w:h="16838"/>
          <w:pgMar w:top="1710" w:right="1440" w:bottom="1170" w:left="1440" w:header="708" w:footer="543" w:gutter="0"/>
          <w:pgNumType w:start="1"/>
          <w:cols w:space="708"/>
          <w:docGrid w:linePitch="360"/>
        </w:sectPr>
      </w:pPr>
      <w:r>
        <w:t xml:space="preserve">27 </w:t>
      </w:r>
      <w:r w:rsidR="00670AF9">
        <w:t>July</w:t>
      </w:r>
      <w:r w:rsidR="006F388D">
        <w:t xml:space="preserve"> </w:t>
      </w:r>
      <w:r w:rsidR="00B45946">
        <w:t>2021</w:t>
      </w:r>
    </w:p>
    <w:p w:rsidR="003F186C" w:rsidRPr="00104A8B" w:rsidRDefault="003F186C" w:rsidP="008C0BE9">
      <w:pPr>
        <w:pStyle w:val="Heading2"/>
      </w:pPr>
      <w:bookmarkStart w:id="514" w:name="_Toc514837979"/>
      <w:bookmarkStart w:id="515" w:name="_Toc77751325"/>
      <w:r w:rsidRPr="00104A8B">
        <w:lastRenderedPageBreak/>
        <w:t>Outstanding Responses</w:t>
      </w:r>
      <w:bookmarkEnd w:id="514"/>
      <w:bookmarkEnd w:id="515"/>
    </w:p>
    <w:p w:rsidR="003F186C" w:rsidRPr="00104A8B" w:rsidRDefault="003F186C" w:rsidP="003F186C">
      <w:pPr>
        <w:pStyle w:val="Heading3"/>
        <w:rPr>
          <w:rFonts w:asciiTheme="minorHAnsi" w:hAnsiTheme="minorHAnsi"/>
        </w:rPr>
      </w:pPr>
      <w:bookmarkStart w:id="516" w:name="_Toc505005688"/>
      <w:bookmarkStart w:id="517" w:name="_Toc505153779"/>
      <w:bookmarkStart w:id="518" w:name="_Toc508283444"/>
      <w:bookmarkStart w:id="519" w:name="_Toc510081804"/>
      <w:bookmarkStart w:id="520" w:name="_Toc511812230"/>
      <w:bookmarkStart w:id="521" w:name="_Toc512240173"/>
      <w:bookmarkStart w:id="522" w:name="_Toc513192173"/>
      <w:bookmarkStart w:id="523" w:name="_Toc514832434"/>
      <w:bookmarkStart w:id="524" w:name="_Toc514837980"/>
      <w:bookmarkStart w:id="525" w:name="_Toc514838144"/>
      <w:bookmarkStart w:id="526" w:name="_Toc514943619"/>
      <w:bookmarkStart w:id="527" w:name="_Toc515352064"/>
      <w:bookmarkStart w:id="528" w:name="_Toc518297261"/>
      <w:bookmarkStart w:id="529" w:name="_Toc519520755"/>
      <w:bookmarkStart w:id="530" w:name="_Toc520188735"/>
      <w:bookmarkStart w:id="531" w:name="_Toc521054338"/>
      <w:bookmarkStart w:id="532" w:name="_Toc521054410"/>
      <w:bookmarkStart w:id="533" w:name="_Toc523814181"/>
      <w:bookmarkStart w:id="534" w:name="_Toc523900477"/>
      <w:bookmarkStart w:id="535" w:name="_Toc526855826"/>
      <w:bookmarkStart w:id="536" w:name="_Toc528155854"/>
      <w:bookmarkStart w:id="537" w:name="_Toc528157213"/>
      <w:bookmarkStart w:id="538" w:name="_Toc528310867"/>
      <w:bookmarkStart w:id="539" w:name="_Toc529974547"/>
      <w:bookmarkStart w:id="540" w:name="_Toc530039442"/>
      <w:bookmarkStart w:id="541" w:name="_Toc536527689"/>
      <w:bookmarkStart w:id="542" w:name="_Toc536527863"/>
      <w:bookmarkStart w:id="543" w:name="_Toc536615405"/>
      <w:bookmarkStart w:id="544" w:name="_Toc172184"/>
      <w:bookmarkStart w:id="545" w:name="_Toc506087"/>
      <w:bookmarkStart w:id="546" w:name="_Toc965832"/>
      <w:bookmarkStart w:id="547" w:name="_Toc6211048"/>
      <w:bookmarkStart w:id="548" w:name="_Toc9500017"/>
      <w:bookmarkStart w:id="549" w:name="_Toc14334625"/>
      <w:bookmarkStart w:id="550" w:name="_Toc14775975"/>
      <w:bookmarkStart w:id="551" w:name="_Toc15285040"/>
      <w:bookmarkStart w:id="552" w:name="_Toc15630677"/>
      <w:bookmarkStart w:id="553" w:name="_Toc18415350"/>
      <w:bookmarkStart w:id="554" w:name="_Toc18487717"/>
      <w:bookmarkStart w:id="555" w:name="_Toc19708407"/>
      <w:bookmarkStart w:id="556" w:name="_Toc20131698"/>
      <w:bookmarkStart w:id="557" w:name="_Toc21595465"/>
      <w:bookmarkStart w:id="558" w:name="_Toc22025468"/>
      <w:bookmarkStart w:id="559" w:name="_Toc24463733"/>
      <w:bookmarkStart w:id="560" w:name="_Toc24617731"/>
      <w:bookmarkStart w:id="561" w:name="_Toc25050804"/>
      <w:bookmarkStart w:id="562" w:name="_Toc31202278"/>
      <w:bookmarkStart w:id="563" w:name="_Toc32390211"/>
      <w:bookmarkStart w:id="564" w:name="_Toc32566855"/>
      <w:bookmarkStart w:id="565" w:name="_Toc35437959"/>
      <w:bookmarkStart w:id="566" w:name="_Toc38270552"/>
      <w:bookmarkStart w:id="567" w:name="_Toc38362407"/>
      <w:bookmarkStart w:id="568" w:name="_Toc38442400"/>
      <w:bookmarkStart w:id="569" w:name="_Toc38976339"/>
      <w:bookmarkStart w:id="570" w:name="_Toc40693261"/>
      <w:bookmarkStart w:id="571" w:name="_Toc41570939"/>
      <w:bookmarkStart w:id="572" w:name="_Toc42875016"/>
      <w:bookmarkStart w:id="573" w:name="_Toc44074228"/>
      <w:bookmarkStart w:id="574" w:name="_Toc44323945"/>
      <w:bookmarkStart w:id="575" w:name="_Toc77751326"/>
      <w:r w:rsidRPr="00104A8B">
        <w:rPr>
          <w:rFonts w:asciiTheme="minorHAnsi" w:hAnsiTheme="minorHAnsi"/>
        </w:rPr>
        <w:t>Bills/Subordinate Legislation</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rsidR="009140F1" w:rsidRPr="00DA162C" w:rsidRDefault="009140F1" w:rsidP="009140F1">
      <w:pPr>
        <w:pStyle w:val="ListParagraph"/>
        <w:numPr>
          <w:ilvl w:val="0"/>
          <w:numId w:val="12"/>
        </w:numPr>
        <w:spacing w:before="240" w:after="0"/>
        <w:ind w:left="357" w:hanging="357"/>
        <w:contextualSpacing w:val="0"/>
        <w:rPr>
          <w:b/>
        </w:rPr>
      </w:pPr>
      <w:r>
        <w:rPr>
          <w:b/>
        </w:rPr>
        <w:t>Report 2, dated 24 March 2021</w:t>
      </w:r>
    </w:p>
    <w:p w:rsidR="009140F1" w:rsidRPr="00595CC0" w:rsidRDefault="009140F1" w:rsidP="009140F1">
      <w:pPr>
        <w:pStyle w:val="ListParagraph"/>
        <w:numPr>
          <w:ilvl w:val="0"/>
          <w:numId w:val="40"/>
        </w:numPr>
        <w:spacing w:before="120" w:after="0"/>
        <w:ind w:left="720"/>
        <w:contextualSpacing w:val="0"/>
      </w:pPr>
      <w:r w:rsidRPr="00595CC0">
        <w:t>Drugs of Dependence (Personal Use) Amendment Bill 2021</w:t>
      </w:r>
    </w:p>
    <w:p w:rsidR="009140F1" w:rsidRPr="00DA162C" w:rsidRDefault="009140F1" w:rsidP="009140F1">
      <w:pPr>
        <w:pStyle w:val="ListParagraph"/>
        <w:numPr>
          <w:ilvl w:val="0"/>
          <w:numId w:val="12"/>
        </w:numPr>
        <w:spacing w:before="240" w:after="0"/>
        <w:ind w:left="357" w:hanging="357"/>
        <w:contextualSpacing w:val="0"/>
        <w:rPr>
          <w:b/>
        </w:rPr>
      </w:pPr>
      <w:r>
        <w:rPr>
          <w:b/>
        </w:rPr>
        <w:t>Report 4, dated 4 May 2021</w:t>
      </w:r>
    </w:p>
    <w:p w:rsidR="009140F1" w:rsidRDefault="009140F1" w:rsidP="009140F1">
      <w:pPr>
        <w:pStyle w:val="ListParagraph"/>
        <w:numPr>
          <w:ilvl w:val="0"/>
          <w:numId w:val="40"/>
        </w:numPr>
        <w:spacing w:before="120" w:after="0"/>
        <w:ind w:left="720"/>
        <w:contextualSpacing w:val="0"/>
      </w:pPr>
      <w:r>
        <w:t>Crimes (</w:t>
      </w:r>
      <w:proofErr w:type="spellStart"/>
      <w:r>
        <w:t>Stealthing</w:t>
      </w:r>
      <w:proofErr w:type="spellEnd"/>
      <w:r>
        <w:t>) Amendment Bill 2021</w:t>
      </w:r>
      <w:r w:rsidR="00523CF4">
        <w:t>.</w:t>
      </w:r>
    </w:p>
    <w:p w:rsidR="004C7074" w:rsidRPr="004C7074" w:rsidRDefault="004C7074" w:rsidP="004C7074">
      <w:pPr>
        <w:pStyle w:val="ListParagraph"/>
        <w:numPr>
          <w:ilvl w:val="0"/>
          <w:numId w:val="12"/>
        </w:numPr>
        <w:spacing w:before="240" w:after="0"/>
        <w:ind w:left="357" w:hanging="357"/>
        <w:contextualSpacing w:val="0"/>
        <w:rPr>
          <w:b/>
        </w:rPr>
      </w:pPr>
      <w:r w:rsidRPr="004C7074">
        <w:rPr>
          <w:b/>
        </w:rPr>
        <w:t>Report 6, dated 15 June 2021</w:t>
      </w:r>
    </w:p>
    <w:p w:rsidR="004C7074" w:rsidRPr="004C7074" w:rsidRDefault="004C7074" w:rsidP="009140F1">
      <w:pPr>
        <w:pStyle w:val="ListParagraph"/>
        <w:numPr>
          <w:ilvl w:val="0"/>
          <w:numId w:val="40"/>
        </w:numPr>
        <w:spacing w:before="120" w:after="0"/>
        <w:ind w:left="720"/>
        <w:contextualSpacing w:val="0"/>
      </w:pPr>
      <w:r w:rsidRPr="00583B76">
        <w:rPr>
          <w:rFonts w:ascii="Calibri" w:hAnsi="Calibri"/>
        </w:rPr>
        <w:t>Disallowable Instrument DI2021-56 Public Trustee and Guardian (Investment Board) Appointment 2021 (No 1)</w:t>
      </w:r>
      <w:r>
        <w:rPr>
          <w:rFonts w:ascii="Calibri" w:hAnsi="Calibri"/>
        </w:rPr>
        <w:t xml:space="preserve"> [response required before 4 August 2021].</w:t>
      </w:r>
    </w:p>
    <w:p w:rsidR="004C7074" w:rsidRPr="00595CC0" w:rsidRDefault="004C7074" w:rsidP="004C7074">
      <w:pPr>
        <w:pStyle w:val="ListParagraph"/>
        <w:numPr>
          <w:ilvl w:val="0"/>
          <w:numId w:val="40"/>
        </w:numPr>
        <w:spacing w:before="120" w:after="0"/>
        <w:ind w:left="720"/>
        <w:contextualSpacing w:val="0"/>
      </w:pPr>
      <w:r w:rsidRPr="00583B76">
        <w:rPr>
          <w:rFonts w:ascii="Calibri" w:hAnsi="Calibri"/>
        </w:rPr>
        <w:t>Disallowable Instrument DI2021-69 Children and Young People (Drug Testing) Standards 2021 (No 1)</w:t>
      </w:r>
      <w:r>
        <w:rPr>
          <w:rFonts w:ascii="Calibri" w:hAnsi="Calibri"/>
        </w:rPr>
        <w:t xml:space="preserve"> [response required before 4 August 2021].</w:t>
      </w:r>
    </w:p>
    <w:sectPr w:rsidR="004C7074" w:rsidRPr="00595CC0" w:rsidSect="00613AE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51F" w:rsidRDefault="0099751F" w:rsidP="000B0846">
      <w:pPr>
        <w:spacing w:after="0" w:line="240" w:lineRule="auto"/>
      </w:pPr>
      <w:r>
        <w:separator/>
      </w:r>
    </w:p>
  </w:endnote>
  <w:endnote w:type="continuationSeparator" w:id="0">
    <w:p w:rsidR="0099751F" w:rsidRDefault="0099751F" w:rsidP="000B0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vantGarde Bk BT">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516" w:rsidRDefault="006855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516" w:rsidRDefault="006855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516" w:rsidRDefault="0068551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Default="00E7274A">
    <w:pPr>
      <w:pStyle w:val="Footer"/>
    </w:pPr>
    <w:sdt>
      <w:sdtPr>
        <w:id w:val="234575871"/>
        <w:docPartObj>
          <w:docPartGallery w:val="Page Numbers (Bottom of Page)"/>
          <w:docPartUnique/>
        </w:docPartObj>
      </w:sdtPr>
      <w:sdtEndPr>
        <w:rPr>
          <w:noProof/>
        </w:rPr>
      </w:sdtEndPr>
      <w:sdtContent>
        <w:r w:rsidR="0099751F">
          <w:rPr>
            <w:noProof/>
          </w:rPr>
          <w:fldChar w:fldCharType="begin"/>
        </w:r>
        <w:r w:rsidR="0099751F">
          <w:rPr>
            <w:noProof/>
          </w:rPr>
          <w:instrText xml:space="preserve"> PAGE   \* MERGEFORMAT </w:instrText>
        </w:r>
        <w:r w:rsidR="0099751F">
          <w:rPr>
            <w:noProof/>
          </w:rPr>
          <w:fldChar w:fldCharType="separate"/>
        </w:r>
        <w:r>
          <w:rPr>
            <w:noProof/>
          </w:rPr>
          <w:t>ii</w:t>
        </w:r>
        <w:r w:rsidR="0099751F">
          <w:rPr>
            <w:noProof/>
          </w:rPr>
          <w:fldChar w:fldCharType="end"/>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575872"/>
      <w:docPartObj>
        <w:docPartGallery w:val="Page Numbers (Bottom of Page)"/>
        <w:docPartUnique/>
      </w:docPartObj>
    </w:sdtPr>
    <w:sdtEndPr>
      <w:rPr>
        <w:noProof/>
      </w:rPr>
    </w:sdtEndPr>
    <w:sdtContent>
      <w:p w:rsidR="0099751F" w:rsidRDefault="0099751F">
        <w:pPr>
          <w:pStyle w:val="Footer"/>
          <w:jc w:val="right"/>
        </w:pPr>
        <w:r>
          <w:rPr>
            <w:noProof/>
          </w:rPr>
          <w:fldChar w:fldCharType="begin"/>
        </w:r>
        <w:r>
          <w:rPr>
            <w:noProof/>
          </w:rPr>
          <w:instrText xml:space="preserve"> PAGE   \* MERGEFORMAT </w:instrText>
        </w:r>
        <w:r>
          <w:rPr>
            <w:noProof/>
          </w:rPr>
          <w:fldChar w:fldCharType="separate"/>
        </w:r>
        <w:r w:rsidR="00E7274A">
          <w:rPr>
            <w:noProof/>
          </w:rPr>
          <w:t>iii</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Default="0099751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Pr="00EE534B" w:rsidRDefault="0099751F">
    <w:pPr>
      <w:pStyle w:val="Footer"/>
      <w:rPr>
        <w:sz w:val="18"/>
        <w:szCs w:val="18"/>
      </w:rPr>
    </w:pPr>
    <w:r>
      <w:rPr>
        <w:noProof/>
      </w:rPr>
      <w:fldChar w:fldCharType="begin"/>
    </w:r>
    <w:r>
      <w:rPr>
        <w:noProof/>
      </w:rPr>
      <w:instrText xml:space="preserve"> PAGE   \* MERGEFORMAT </w:instrText>
    </w:r>
    <w:r>
      <w:rPr>
        <w:noProof/>
      </w:rPr>
      <w:fldChar w:fldCharType="separate"/>
    </w:r>
    <w:r w:rsidR="00E7274A">
      <w:rPr>
        <w:noProof/>
      </w:rPr>
      <w:t>14</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2106935"/>
      <w:docPartObj>
        <w:docPartGallery w:val="Page Numbers (Bottom of Page)"/>
        <w:docPartUnique/>
      </w:docPartObj>
    </w:sdtPr>
    <w:sdtEndPr>
      <w:rPr>
        <w:noProof/>
      </w:rPr>
    </w:sdtEndPr>
    <w:sdtContent>
      <w:p w:rsidR="0099751F" w:rsidRPr="00EE534B" w:rsidRDefault="0099751F">
        <w:pPr>
          <w:pStyle w:val="Footer"/>
          <w:jc w:val="right"/>
          <w:rPr>
            <w:sz w:val="18"/>
            <w:szCs w:val="18"/>
          </w:rPr>
        </w:pPr>
        <w:r>
          <w:rPr>
            <w:noProof/>
          </w:rPr>
          <w:fldChar w:fldCharType="begin"/>
        </w:r>
        <w:r>
          <w:rPr>
            <w:noProof/>
          </w:rPr>
          <w:instrText xml:space="preserve"> PAGE   \* MERGEFORMAT </w:instrText>
        </w:r>
        <w:r>
          <w:rPr>
            <w:noProof/>
          </w:rPr>
          <w:fldChar w:fldCharType="separate"/>
        </w:r>
        <w:r w:rsidR="00E7274A">
          <w:rPr>
            <w:noProof/>
          </w:rPr>
          <w:t>13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51F" w:rsidRDefault="0099751F" w:rsidP="00685D6D">
      <w:pPr>
        <w:spacing w:before="80" w:after="0" w:line="240" w:lineRule="auto"/>
      </w:pPr>
      <w:r>
        <w:separator/>
      </w:r>
    </w:p>
  </w:footnote>
  <w:footnote w:type="continuationSeparator" w:id="0">
    <w:p w:rsidR="0099751F" w:rsidRDefault="0099751F" w:rsidP="000B0846">
      <w:pPr>
        <w:spacing w:after="0" w:line="240" w:lineRule="auto"/>
      </w:pPr>
      <w:r>
        <w:continuationSeparator/>
      </w:r>
    </w:p>
  </w:footnote>
  <w:footnote w:id="1">
    <w:p w:rsidR="00CD1256" w:rsidRDefault="00CD1256" w:rsidP="00CD1256">
      <w:pPr>
        <w:pStyle w:val="FootnoteText"/>
      </w:pPr>
      <w:r>
        <w:rPr>
          <w:rStyle w:val="FootnoteReference"/>
        </w:rPr>
        <w:footnoteRef/>
      </w:r>
      <w:r>
        <w:t xml:space="preserve"> Under </w:t>
      </w:r>
      <w:r w:rsidRPr="000D6A26">
        <w:rPr>
          <w:i/>
          <w:iCs/>
        </w:rPr>
        <w:t>Criminal Code Act 1995</w:t>
      </w:r>
      <w:r>
        <w:t xml:space="preserve"> (</w:t>
      </w:r>
      <w:proofErr w:type="spellStart"/>
      <w:r>
        <w:t>Cth</w:t>
      </w:r>
      <w:proofErr w:type="spellEnd"/>
      <w:r>
        <w:t>) section 273A.1.</w:t>
      </w:r>
    </w:p>
  </w:footnote>
  <w:footnote w:id="2">
    <w:p w:rsidR="00CD1256" w:rsidRDefault="00CD1256" w:rsidP="00CD1256">
      <w:pPr>
        <w:pStyle w:val="FootnoteText"/>
      </w:pPr>
      <w:r>
        <w:rPr>
          <w:rStyle w:val="FootnoteReference"/>
        </w:rPr>
        <w:footnoteRef/>
      </w:r>
      <w:r>
        <w:t xml:space="preserve"> The Act was orig</w:t>
      </w:r>
      <w:r w:rsidR="00981C54">
        <w:t>inally intended to operate for five</w:t>
      </w:r>
      <w:r>
        <w:t xml:space="preserve"> years: see </w:t>
      </w:r>
      <w:r w:rsidRPr="004D702F">
        <w:rPr>
          <w:i/>
          <w:iCs/>
        </w:rPr>
        <w:t xml:space="preserve">Terrorism (Extraordinary Temporary Powers) Amendment Act 2011 </w:t>
      </w:r>
      <w:r>
        <w:t xml:space="preserve">s 10 and </w:t>
      </w:r>
      <w:r w:rsidRPr="004D702F">
        <w:rPr>
          <w:i/>
          <w:iCs/>
        </w:rPr>
        <w:t>Terrorism (Extraordinary Temporary Powers) Amendment Act 2016</w:t>
      </w:r>
      <w:r>
        <w:t xml:space="preserve"> s 5.</w:t>
      </w:r>
    </w:p>
  </w:footnote>
  <w:footnote w:id="3">
    <w:p w:rsidR="00CD1256" w:rsidRDefault="00CD1256" w:rsidP="00981C54">
      <w:pPr>
        <w:pStyle w:val="FootnoteText"/>
        <w:spacing w:before="80"/>
      </w:pPr>
      <w:r>
        <w:rPr>
          <w:rStyle w:val="FootnoteReference"/>
        </w:rPr>
        <w:footnoteRef/>
      </w:r>
      <w:r>
        <w:t xml:space="preserve"> Available at </w:t>
      </w:r>
      <w:hyperlink r:id="rId1" w:history="1">
        <w:r w:rsidRPr="00BB6FE6">
          <w:rPr>
            <w:rStyle w:val="Hyperlink"/>
          </w:rPr>
          <w:t>https://www.parliament.act.gov.au/__data/assets/pdf_file/0009/1762587/Statutory-Review-of-the-Terrorism-Extraordinary-Temporary-Powers-Act-2006.pdf</w:t>
        </w:r>
      </w:hyperlink>
      <w:r>
        <w:t xml:space="preserve">. </w:t>
      </w:r>
    </w:p>
  </w:footnote>
  <w:footnote w:id="4">
    <w:p w:rsidR="008C0BE9" w:rsidRDefault="008C0BE9" w:rsidP="008C0BE9">
      <w:pPr>
        <w:pStyle w:val="FootnoteText"/>
      </w:pPr>
      <w:r>
        <w:rPr>
          <w:rStyle w:val="FootnoteReference"/>
        </w:rPr>
        <w:footnoteRef/>
      </w:r>
      <w:r>
        <w:t xml:space="preserve"> See </w:t>
      </w:r>
      <w:r>
        <w:rPr>
          <w:i/>
        </w:rPr>
        <w:t>R v Tang (No 2)</w:t>
      </w:r>
      <w:r>
        <w:t xml:space="preserve"> [2019] ACTSC 21 at [3].</w:t>
      </w:r>
    </w:p>
  </w:footnote>
  <w:footnote w:id="5">
    <w:p w:rsidR="008C0BE9" w:rsidRDefault="008C0BE9" w:rsidP="008C0BE9">
      <w:pPr>
        <w:pStyle w:val="FootnoteText"/>
        <w:spacing w:before="80"/>
      </w:pPr>
      <w:r>
        <w:rPr>
          <w:rStyle w:val="FootnoteReference"/>
        </w:rPr>
        <w:footnoteRef/>
      </w:r>
      <w:r>
        <w:t xml:space="preserve"> </w:t>
      </w:r>
      <w:r>
        <w:rPr>
          <w:i/>
        </w:rPr>
        <w:t>R v Tang (No 2)</w:t>
      </w:r>
      <w:r>
        <w:t xml:space="preserve"> [2019] ACTSC 21 at [11].</w:t>
      </w:r>
    </w:p>
  </w:footnote>
  <w:footnote w:id="6">
    <w:p w:rsidR="008C0BE9" w:rsidRDefault="008C0BE9" w:rsidP="008C0BE9">
      <w:pPr>
        <w:pStyle w:val="FootnoteText"/>
        <w:spacing w:before="80"/>
      </w:pPr>
      <w:r>
        <w:rPr>
          <w:rStyle w:val="FootnoteReference"/>
        </w:rPr>
        <w:footnoteRef/>
      </w:r>
      <w:r>
        <w:t xml:space="preserve"> The Committee notes that Traffic for this purpose is defined as including vehicle and pedestrian traffic; see </w:t>
      </w:r>
      <w:r>
        <w:rPr>
          <w:i/>
        </w:rPr>
        <w:t xml:space="preserve">Road Transport (General) Act 1999, </w:t>
      </w:r>
      <w:r>
        <w:t>s 8 and</w:t>
      </w:r>
      <w:r>
        <w:rPr>
          <w:i/>
        </w:rPr>
        <w:t xml:space="preserve"> </w:t>
      </w:r>
      <w:r>
        <w:t>Dictionary.</w:t>
      </w:r>
    </w:p>
  </w:footnote>
  <w:footnote w:id="7">
    <w:p w:rsidR="008C0BE9" w:rsidRDefault="008C0BE9" w:rsidP="008C0BE9">
      <w:pPr>
        <w:pStyle w:val="FootnoteText"/>
        <w:spacing w:before="80"/>
      </w:pPr>
      <w:r>
        <w:rPr>
          <w:rStyle w:val="FootnoteReference"/>
        </w:rPr>
        <w:footnoteRef/>
      </w:r>
      <w:r>
        <w:t xml:space="preserve"> See </w:t>
      </w:r>
      <w:r>
        <w:rPr>
          <w:i/>
        </w:rPr>
        <w:t>R v Lavender</w:t>
      </w:r>
      <w:r>
        <w:t xml:space="preserve"> [2005] HCA 37; (2005) 222 CLR 67 at [58].</w:t>
      </w:r>
    </w:p>
  </w:footnote>
  <w:footnote w:id="8">
    <w:p w:rsidR="0099751F" w:rsidRDefault="0099751F" w:rsidP="006A6C77">
      <w:pPr>
        <w:pStyle w:val="FootnoteText"/>
        <w:spacing w:before="0"/>
        <w:rPr>
          <w:sz w:val="19"/>
          <w:szCs w:val="19"/>
        </w:rPr>
      </w:pPr>
      <w:r>
        <w:rPr>
          <w:rStyle w:val="FootnoteReference"/>
          <w:sz w:val="19"/>
          <w:szCs w:val="19"/>
        </w:rPr>
        <w:footnoteRef/>
      </w:r>
      <w:r>
        <w:rPr>
          <w:sz w:val="19"/>
          <w:szCs w:val="19"/>
        </w:rPr>
        <w:t xml:space="preserve"> </w:t>
      </w:r>
      <w:r w:rsidR="00115E26" w:rsidRPr="00115E26">
        <w:rPr>
          <w:sz w:val="19"/>
          <w:szCs w:val="19"/>
          <w:lang w:eastAsia="en-AU"/>
        </w:rPr>
        <w:t>https://www.parliament.act.gov.au/parliamentary-business/in-committees/committees/JCS_Scrutiny/responses-to-comments-on-bills</w:t>
      </w:r>
      <w:r w:rsidR="00115E26">
        <w:rPr>
          <w:sz w:val="19"/>
          <w:szCs w:val="19"/>
          <w:lang w:eastAsia="en-AU"/>
        </w:rPr>
        <w:t>.</w:t>
      </w:r>
    </w:p>
  </w:footnote>
  <w:footnote w:id="9">
    <w:p w:rsidR="00115E26" w:rsidRDefault="00115E26" w:rsidP="008C0BE9">
      <w:pPr>
        <w:pStyle w:val="FootnoteText"/>
        <w:spacing w:before="80"/>
        <w:rPr>
          <w:sz w:val="19"/>
          <w:szCs w:val="19"/>
        </w:rPr>
      </w:pPr>
      <w:r>
        <w:rPr>
          <w:rStyle w:val="FootnoteReference"/>
          <w:sz w:val="19"/>
          <w:szCs w:val="19"/>
        </w:rPr>
        <w:footnoteRef/>
      </w:r>
      <w:r>
        <w:rPr>
          <w:sz w:val="19"/>
          <w:szCs w:val="19"/>
        </w:rPr>
        <w:t xml:space="preserve"> </w:t>
      </w:r>
      <w:r w:rsidRPr="00115E26">
        <w:rPr>
          <w:sz w:val="19"/>
          <w:szCs w:val="19"/>
          <w:lang w:eastAsia="en-AU"/>
        </w:rPr>
        <w:t>https://www.parliament.act.gov.au/parliamentary-business/in-committees/committees/JCS_Scrutiny/response-to-comments-on-subordinate-legislation</w:t>
      </w:r>
      <w:r>
        <w:rPr>
          <w:sz w:val="19"/>
          <w:szCs w:val="19"/>
          <w:lang w:eastAsia="en-A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Default="0099751F" w:rsidP="00AE7C71">
    <w:pPr>
      <w:pStyle w:val="Header"/>
      <w:jc w:val="cent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Pr="003B6A7E" w:rsidRDefault="0099751F" w:rsidP="00FC2EEA">
    <w:pPr>
      <w:pStyle w:val="Header"/>
      <w:pBdr>
        <w:bottom w:val="single" w:sz="4" w:space="1" w:color="auto"/>
      </w:pBdr>
    </w:pPr>
    <w:r w:rsidRPr="009D788E">
      <w:rPr>
        <w:smallCaps/>
      </w:rPr>
      <w:t>Standing Committee on Justice and Community Safety (Legislative Scrutiny Role)</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Pr="001B0650" w:rsidRDefault="0099751F" w:rsidP="00F52AA6">
    <w:pPr>
      <w:pStyle w:val="Header"/>
      <w:pBdr>
        <w:bottom w:val="single" w:sz="4" w:space="1" w:color="auto"/>
      </w:pBdr>
      <w:tabs>
        <w:tab w:val="left" w:pos="6216"/>
      </w:tabs>
      <w:jc w:val="right"/>
      <w:rPr>
        <w:smallCaps/>
      </w:rPr>
    </w:pPr>
    <w:r>
      <w:rPr>
        <w:smallCaps/>
        <w:noProof/>
      </w:rPr>
      <w:fldChar w:fldCharType="begin"/>
    </w:r>
    <w:r>
      <w:rPr>
        <w:smallCaps/>
        <w:noProof/>
      </w:rPr>
      <w:instrText xml:space="preserve"> STYLEREF  "Heading 1"  \* MERGEFORMAT </w:instrText>
    </w:r>
    <w:r>
      <w:rPr>
        <w:smallCaps/>
        <w:noProof/>
      </w:rPr>
      <w:fldChar w:fldCharType="separate"/>
    </w:r>
    <w:r w:rsidR="00E7274A">
      <w:rPr>
        <w:smallCaps/>
        <w:noProof/>
      </w:rPr>
      <w:t>Scrutiny Report 7</w:t>
    </w:r>
    <w:r>
      <w:rPr>
        <w:smallCaps/>
        <w:noProof/>
      </w:rPr>
      <w:fldChar w:fldCharType="end"/>
    </w:r>
  </w:p>
  <w:p w:rsidR="0099751F" w:rsidRDefault="0099751F">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Default="009975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516" w:rsidRDefault="006855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516" w:rsidRDefault="0068551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Pr="009D788E" w:rsidRDefault="0099751F" w:rsidP="00911558">
    <w:pPr>
      <w:pStyle w:val="Header"/>
      <w:pBdr>
        <w:bottom w:val="single" w:sz="4" w:space="1" w:color="auto"/>
      </w:pBdr>
      <w:rPr>
        <w:smallCaps/>
      </w:rPr>
    </w:pPr>
    <w:r w:rsidRPr="009D788E">
      <w:rPr>
        <w:smallCaps/>
      </w:rPr>
      <w:t>Standing Committee on Justice and Community Safety (Legislative Scrutiny Role)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Pr="001B0650" w:rsidRDefault="0099751F" w:rsidP="00911558">
    <w:pPr>
      <w:pStyle w:val="Header"/>
      <w:pBdr>
        <w:bottom w:val="single" w:sz="4" w:space="1" w:color="auto"/>
      </w:pBdr>
      <w:jc w:val="right"/>
      <w:rPr>
        <w:smallCaps/>
      </w:rPr>
    </w:pPr>
    <w:r>
      <w:rPr>
        <w:smallCaps/>
        <w:noProof/>
      </w:rPr>
      <w:fldChar w:fldCharType="begin"/>
    </w:r>
    <w:r>
      <w:rPr>
        <w:smallCaps/>
        <w:noProof/>
      </w:rPr>
      <w:instrText xml:space="preserve"> STYLEREF  "Heading 1"  \* MERGEFORMAT </w:instrText>
    </w:r>
    <w:r>
      <w:rPr>
        <w:smallCaps/>
        <w:noProof/>
      </w:rPr>
      <w:fldChar w:fldCharType="separate"/>
    </w:r>
    <w:r w:rsidR="00E7274A">
      <w:rPr>
        <w:smallCaps/>
        <w:noProof/>
      </w:rPr>
      <w:t>Scrutiny Report 7</w:t>
    </w:r>
    <w:r>
      <w:rPr>
        <w:smallCaps/>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Default="0099751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Pr="003B6A7E" w:rsidRDefault="0099751F" w:rsidP="003B6A7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Pr="001B0650" w:rsidRDefault="0099751F" w:rsidP="007F580D">
    <w:pPr>
      <w:pStyle w:val="Header"/>
      <w:pBdr>
        <w:bottom w:val="single" w:sz="4" w:space="1" w:color="auto"/>
      </w:pBdr>
      <w:jc w:val="right"/>
      <w:rPr>
        <w:smallCaps/>
      </w:rPr>
    </w:pPr>
    <w:r>
      <w:rPr>
        <w:smallCaps/>
        <w:noProof/>
      </w:rPr>
      <w:fldChar w:fldCharType="begin"/>
    </w:r>
    <w:r>
      <w:rPr>
        <w:smallCaps/>
        <w:noProof/>
      </w:rPr>
      <w:instrText xml:space="preserve"> STYLEREF  "Heading 1"  \* MERGEFORMAT </w:instrText>
    </w:r>
    <w:r>
      <w:rPr>
        <w:smallCaps/>
        <w:noProof/>
      </w:rPr>
      <w:fldChar w:fldCharType="separate"/>
    </w:r>
    <w:r w:rsidR="00E7274A">
      <w:rPr>
        <w:smallCaps/>
        <w:noProof/>
      </w:rPr>
      <w:t>Scrutiny Report 7</w:t>
    </w:r>
    <w:r>
      <w:rPr>
        <w:smallCaps/>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Default="009975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4B870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012015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31475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53292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26E9F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56F4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22F4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26A50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C6D3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C3479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A3056D"/>
    <w:multiLevelType w:val="hybridMultilevel"/>
    <w:tmpl w:val="BCF82B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69A002A"/>
    <w:multiLevelType w:val="multilevel"/>
    <w:tmpl w:val="F6DE2780"/>
    <w:lvl w:ilvl="0">
      <w:start w:val="1"/>
      <w:numFmt w:val="decimal"/>
      <w:lvlText w:val="%1"/>
      <w:lvlJc w:val="left"/>
      <w:pPr>
        <w:ind w:left="432" w:hanging="432"/>
      </w:pPr>
      <w:rPr>
        <w:rFonts w:cs="Times New Roman"/>
      </w:rPr>
    </w:lvl>
    <w:lvl w:ilvl="1">
      <w:start w:val="1"/>
      <w:numFmt w:val="decimal"/>
      <w:pStyle w:val="Recommendationbodycopynumbered"/>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15:restartNumberingAfterBreak="0">
    <w:nsid w:val="07771A35"/>
    <w:multiLevelType w:val="multilevel"/>
    <w:tmpl w:val="BCFCBA68"/>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0F64209D"/>
    <w:multiLevelType w:val="hybridMultilevel"/>
    <w:tmpl w:val="73BC5DF0"/>
    <w:lvl w:ilvl="0" w:tplc="4642DB54">
      <w:start w:val="1"/>
      <w:numFmt w:val="bullet"/>
      <w:lvlText w:val=""/>
      <w:lvlJc w:val="left"/>
      <w:pPr>
        <w:ind w:left="360" w:hanging="360"/>
      </w:pPr>
      <w:rPr>
        <w:rFonts w:ascii="Symbol" w:hAnsi="Symbol" w:hint="default"/>
        <w:color w:val="auto"/>
      </w:rPr>
    </w:lvl>
    <w:lvl w:ilvl="1" w:tplc="B2BC8480">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FB955C9"/>
    <w:multiLevelType w:val="hybridMultilevel"/>
    <w:tmpl w:val="7FE26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2E4544"/>
    <w:multiLevelType w:val="hybridMultilevel"/>
    <w:tmpl w:val="A4CE200E"/>
    <w:lvl w:ilvl="0" w:tplc="437E8904">
      <w:start w:val="1"/>
      <w:numFmt w:val="lowerLetter"/>
      <w:pStyle w:val="Bodycopybulletlevel1alpha"/>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15:restartNumberingAfterBreak="0">
    <w:nsid w:val="1E414E18"/>
    <w:multiLevelType w:val="hybridMultilevel"/>
    <w:tmpl w:val="636A7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2526D8E"/>
    <w:multiLevelType w:val="hybridMultilevel"/>
    <w:tmpl w:val="D1786A2A"/>
    <w:lvl w:ilvl="0" w:tplc="4D449FE6">
      <w:start w:val="1"/>
      <w:numFmt w:val="decimal"/>
      <w:pStyle w:val="Bodycopynumbered2"/>
      <w:lvlText w:val="%1."/>
      <w:lvlJc w:val="left"/>
      <w:pPr>
        <w:ind w:left="720" w:hanging="360"/>
      </w:pPr>
      <w:rPr>
        <w:rFonts w:cs="Times New Roman"/>
      </w:rPr>
    </w:lvl>
    <w:lvl w:ilvl="1" w:tplc="04DA9EF8" w:tentative="1">
      <w:start w:val="1"/>
      <w:numFmt w:val="lowerLetter"/>
      <w:lvlText w:val="%2."/>
      <w:lvlJc w:val="left"/>
      <w:pPr>
        <w:ind w:left="1440" w:hanging="360"/>
      </w:pPr>
      <w:rPr>
        <w:rFonts w:cs="Times New Roman"/>
      </w:rPr>
    </w:lvl>
    <w:lvl w:ilvl="2" w:tplc="3FBC87FA" w:tentative="1">
      <w:start w:val="1"/>
      <w:numFmt w:val="lowerRoman"/>
      <w:lvlText w:val="%3."/>
      <w:lvlJc w:val="right"/>
      <w:pPr>
        <w:ind w:left="2160" w:hanging="180"/>
      </w:pPr>
      <w:rPr>
        <w:rFonts w:cs="Times New Roman"/>
      </w:rPr>
    </w:lvl>
    <w:lvl w:ilvl="3" w:tplc="0FD47DB4" w:tentative="1">
      <w:start w:val="1"/>
      <w:numFmt w:val="decimal"/>
      <w:lvlText w:val="%4."/>
      <w:lvlJc w:val="left"/>
      <w:pPr>
        <w:ind w:left="2880" w:hanging="360"/>
      </w:pPr>
      <w:rPr>
        <w:rFonts w:cs="Times New Roman"/>
      </w:rPr>
    </w:lvl>
    <w:lvl w:ilvl="4" w:tplc="0AA266A4" w:tentative="1">
      <w:start w:val="1"/>
      <w:numFmt w:val="lowerLetter"/>
      <w:lvlText w:val="%5."/>
      <w:lvlJc w:val="left"/>
      <w:pPr>
        <w:ind w:left="3600" w:hanging="360"/>
      </w:pPr>
      <w:rPr>
        <w:rFonts w:cs="Times New Roman"/>
      </w:rPr>
    </w:lvl>
    <w:lvl w:ilvl="5" w:tplc="2ACEA468" w:tentative="1">
      <w:start w:val="1"/>
      <w:numFmt w:val="lowerRoman"/>
      <w:lvlText w:val="%6."/>
      <w:lvlJc w:val="right"/>
      <w:pPr>
        <w:ind w:left="4320" w:hanging="180"/>
      </w:pPr>
      <w:rPr>
        <w:rFonts w:cs="Times New Roman"/>
      </w:rPr>
    </w:lvl>
    <w:lvl w:ilvl="6" w:tplc="A54E173C" w:tentative="1">
      <w:start w:val="1"/>
      <w:numFmt w:val="decimal"/>
      <w:lvlText w:val="%7."/>
      <w:lvlJc w:val="left"/>
      <w:pPr>
        <w:ind w:left="5040" w:hanging="360"/>
      </w:pPr>
      <w:rPr>
        <w:rFonts w:cs="Times New Roman"/>
      </w:rPr>
    </w:lvl>
    <w:lvl w:ilvl="7" w:tplc="AA62F5B2" w:tentative="1">
      <w:start w:val="1"/>
      <w:numFmt w:val="lowerLetter"/>
      <w:lvlText w:val="%8."/>
      <w:lvlJc w:val="left"/>
      <w:pPr>
        <w:ind w:left="5760" w:hanging="360"/>
      </w:pPr>
      <w:rPr>
        <w:rFonts w:cs="Times New Roman"/>
      </w:rPr>
    </w:lvl>
    <w:lvl w:ilvl="8" w:tplc="77F694E0" w:tentative="1">
      <w:start w:val="1"/>
      <w:numFmt w:val="lowerRoman"/>
      <w:lvlText w:val="%9."/>
      <w:lvlJc w:val="right"/>
      <w:pPr>
        <w:ind w:left="6480" w:hanging="180"/>
      </w:pPr>
      <w:rPr>
        <w:rFonts w:cs="Times New Roman"/>
      </w:rPr>
    </w:lvl>
  </w:abstractNum>
  <w:abstractNum w:abstractNumId="19" w15:restartNumberingAfterBreak="0">
    <w:nsid w:val="267A5E70"/>
    <w:multiLevelType w:val="multilevel"/>
    <w:tmpl w:val="E342FCF2"/>
    <w:styleLink w:val="Style3"/>
    <w:lvl w:ilvl="0">
      <w:start w:val="1"/>
      <w:numFmt w:val="decimal"/>
      <w:lvlText w:val="%1)"/>
      <w:lvlJc w:val="left"/>
      <w:pPr>
        <w:ind w:left="360" w:hanging="360"/>
      </w:pPr>
      <w:rPr>
        <w:rFonts w:ascii="Calibri" w:hAnsi="Calibri"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296120A1"/>
    <w:multiLevelType w:val="hybridMultilevel"/>
    <w:tmpl w:val="E5A22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F675F9"/>
    <w:multiLevelType w:val="hybridMultilevel"/>
    <w:tmpl w:val="A2C60C32"/>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AF400A1"/>
    <w:multiLevelType w:val="hybridMultilevel"/>
    <w:tmpl w:val="E4F084DE"/>
    <w:lvl w:ilvl="0" w:tplc="BC7A0D92">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2F35431E"/>
    <w:multiLevelType w:val="hybridMultilevel"/>
    <w:tmpl w:val="7E4CB7A8"/>
    <w:lvl w:ilvl="0" w:tplc="7AF0D8D0">
      <w:start w:val="1"/>
      <w:numFmt w:val="bullet"/>
      <w:pStyle w:val="Bodycopybulletlevel2"/>
      <w:lvlText w:val="o"/>
      <w:lvlJc w:val="left"/>
      <w:pPr>
        <w:ind w:left="703" w:hanging="360"/>
      </w:pPr>
      <w:rPr>
        <w:rFonts w:ascii="Courier New" w:hAnsi="Courier New" w:hint="default"/>
      </w:rPr>
    </w:lvl>
    <w:lvl w:ilvl="1" w:tplc="466E58A0">
      <w:start w:val="1"/>
      <w:numFmt w:val="lowerLetter"/>
      <w:pStyle w:val="Bulletlistalpha"/>
      <w:lvlText w:val="%2."/>
      <w:lvlJc w:val="left"/>
      <w:pPr>
        <w:ind w:left="1423" w:hanging="360"/>
      </w:pPr>
      <w:rPr>
        <w:rFonts w:cs="Times New Roman"/>
      </w:rPr>
    </w:lvl>
    <w:lvl w:ilvl="2" w:tplc="0C09001B" w:tentative="1">
      <w:start w:val="1"/>
      <w:numFmt w:val="lowerRoman"/>
      <w:lvlText w:val="%3."/>
      <w:lvlJc w:val="right"/>
      <w:pPr>
        <w:ind w:left="2143" w:hanging="180"/>
      </w:pPr>
      <w:rPr>
        <w:rFonts w:cs="Times New Roman"/>
      </w:rPr>
    </w:lvl>
    <w:lvl w:ilvl="3" w:tplc="0C09000F" w:tentative="1">
      <w:start w:val="1"/>
      <w:numFmt w:val="decimal"/>
      <w:lvlText w:val="%4."/>
      <w:lvlJc w:val="left"/>
      <w:pPr>
        <w:ind w:left="2863" w:hanging="360"/>
      </w:pPr>
      <w:rPr>
        <w:rFonts w:cs="Times New Roman"/>
      </w:rPr>
    </w:lvl>
    <w:lvl w:ilvl="4" w:tplc="0C090019" w:tentative="1">
      <w:start w:val="1"/>
      <w:numFmt w:val="lowerLetter"/>
      <w:lvlText w:val="%5."/>
      <w:lvlJc w:val="left"/>
      <w:pPr>
        <w:ind w:left="3583" w:hanging="360"/>
      </w:pPr>
      <w:rPr>
        <w:rFonts w:cs="Times New Roman"/>
      </w:rPr>
    </w:lvl>
    <w:lvl w:ilvl="5" w:tplc="0C09001B" w:tentative="1">
      <w:start w:val="1"/>
      <w:numFmt w:val="lowerRoman"/>
      <w:lvlText w:val="%6."/>
      <w:lvlJc w:val="right"/>
      <w:pPr>
        <w:ind w:left="4303" w:hanging="180"/>
      </w:pPr>
      <w:rPr>
        <w:rFonts w:cs="Times New Roman"/>
      </w:rPr>
    </w:lvl>
    <w:lvl w:ilvl="6" w:tplc="0C09000F" w:tentative="1">
      <w:start w:val="1"/>
      <w:numFmt w:val="decimal"/>
      <w:lvlText w:val="%7."/>
      <w:lvlJc w:val="left"/>
      <w:pPr>
        <w:ind w:left="5023" w:hanging="360"/>
      </w:pPr>
      <w:rPr>
        <w:rFonts w:cs="Times New Roman"/>
      </w:rPr>
    </w:lvl>
    <w:lvl w:ilvl="7" w:tplc="0C090019" w:tentative="1">
      <w:start w:val="1"/>
      <w:numFmt w:val="lowerLetter"/>
      <w:lvlText w:val="%8."/>
      <w:lvlJc w:val="left"/>
      <w:pPr>
        <w:ind w:left="5743" w:hanging="360"/>
      </w:pPr>
      <w:rPr>
        <w:rFonts w:cs="Times New Roman"/>
      </w:rPr>
    </w:lvl>
    <w:lvl w:ilvl="8" w:tplc="0C09001B" w:tentative="1">
      <w:start w:val="1"/>
      <w:numFmt w:val="lowerRoman"/>
      <w:lvlText w:val="%9."/>
      <w:lvlJc w:val="right"/>
      <w:pPr>
        <w:ind w:left="6463" w:hanging="180"/>
      </w:pPr>
      <w:rPr>
        <w:rFonts w:cs="Times New Roman"/>
      </w:rPr>
    </w:lvl>
  </w:abstractNum>
  <w:abstractNum w:abstractNumId="24" w15:restartNumberingAfterBreak="0">
    <w:nsid w:val="32BC066E"/>
    <w:multiLevelType w:val="hybridMultilevel"/>
    <w:tmpl w:val="A78AC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8BD608F"/>
    <w:multiLevelType w:val="hybridMultilevel"/>
    <w:tmpl w:val="42C87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4430034"/>
    <w:multiLevelType w:val="hybridMultilevel"/>
    <w:tmpl w:val="F5869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6310560"/>
    <w:multiLevelType w:val="hybridMultilevel"/>
    <w:tmpl w:val="D3864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6009D0"/>
    <w:multiLevelType w:val="hybridMultilevel"/>
    <w:tmpl w:val="B5146AF2"/>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AC5E80"/>
    <w:multiLevelType w:val="hybridMultilevel"/>
    <w:tmpl w:val="412CC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0947158"/>
    <w:multiLevelType w:val="hybridMultilevel"/>
    <w:tmpl w:val="6EF64A6C"/>
    <w:lvl w:ilvl="0" w:tplc="B2BC8480">
      <w:start w:val="1"/>
      <w:numFmt w:val="bullet"/>
      <w:lvlText w:val="­"/>
      <w:lvlJc w:val="left"/>
      <w:pPr>
        <w:ind w:left="1710" w:hanging="360"/>
      </w:pPr>
      <w:rPr>
        <w:rFonts w:ascii="Courier New" w:hAnsi="Courier New" w:hint="default"/>
      </w:rPr>
    </w:lvl>
    <w:lvl w:ilvl="1" w:tplc="87AC79EC">
      <w:numFmt w:val="bullet"/>
      <w:lvlText w:val="•"/>
      <w:lvlJc w:val="left"/>
      <w:pPr>
        <w:ind w:left="1800" w:hanging="360"/>
      </w:pPr>
      <w:rPr>
        <w:rFonts w:ascii="Calibri" w:eastAsiaTheme="minorHAnsi" w:hAnsi="Calibri" w:cstheme="minorBidi" w:hint="default"/>
        <w:b w:val="0"/>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2D615F3"/>
    <w:multiLevelType w:val="multilevel"/>
    <w:tmpl w:val="487C0F2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60B2F25"/>
    <w:multiLevelType w:val="hybridMultilevel"/>
    <w:tmpl w:val="D52C7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9711BA8"/>
    <w:multiLevelType w:val="multilevel"/>
    <w:tmpl w:val="C142AD88"/>
    <w:name w:val="Leg Quote"/>
    <w:lvl w:ilvl="0">
      <w:start w:val="1"/>
      <w:numFmt w:val="decimal"/>
      <w:lvlText w:val="(%1)"/>
      <w:lvlJc w:val="left"/>
      <w:pPr>
        <w:tabs>
          <w:tab w:val="num" w:pos="851"/>
        </w:tabs>
        <w:ind w:left="454" w:firstLine="397"/>
      </w:pPr>
      <w:rPr>
        <w:rFonts w:hint="default"/>
      </w:rPr>
    </w:lvl>
    <w:lvl w:ilvl="1">
      <w:start w:val="1"/>
      <w:numFmt w:val="lowerLetter"/>
      <w:lvlText w:val="(%2)"/>
      <w:lvlJc w:val="left"/>
      <w:pPr>
        <w:tabs>
          <w:tab w:val="num" w:pos="1418"/>
        </w:tabs>
        <w:ind w:left="1021" w:firstLine="397"/>
      </w:pPr>
      <w:rPr>
        <w:rFonts w:hint="default"/>
      </w:rPr>
    </w:lvl>
    <w:lvl w:ilvl="2">
      <w:start w:val="1"/>
      <w:numFmt w:val="lowerRoman"/>
      <w:lvlText w:val="%3)"/>
      <w:lvlJc w:val="left"/>
      <w:pPr>
        <w:tabs>
          <w:tab w:val="num" w:pos="1985"/>
        </w:tabs>
        <w:ind w:left="1588" w:firstLine="397"/>
      </w:pPr>
      <w:rPr>
        <w:rFonts w:hint="default"/>
      </w:rPr>
    </w:lvl>
    <w:lvl w:ilvl="3">
      <w:start w:val="1"/>
      <w:numFmt w:val="decimal"/>
      <w:lvlText w:val="(%4)"/>
      <w:lvlJc w:val="left"/>
      <w:pPr>
        <w:tabs>
          <w:tab w:val="num" w:pos="2552"/>
        </w:tabs>
        <w:ind w:left="2155" w:firstLine="397"/>
      </w:pPr>
      <w:rPr>
        <w:rFonts w:hint="default"/>
      </w:rPr>
    </w:lvl>
    <w:lvl w:ilvl="4">
      <w:start w:val="1"/>
      <w:numFmt w:val="lowerLetter"/>
      <w:lvlText w:val="(%5)"/>
      <w:lvlJc w:val="left"/>
      <w:pPr>
        <w:tabs>
          <w:tab w:val="num" w:pos="3119"/>
        </w:tabs>
        <w:ind w:left="2722" w:firstLine="397"/>
      </w:pPr>
      <w:rPr>
        <w:rFonts w:hint="default"/>
      </w:rPr>
    </w:lvl>
    <w:lvl w:ilvl="5">
      <w:start w:val="1"/>
      <w:numFmt w:val="lowerRoman"/>
      <w:lvlText w:val="(%6)"/>
      <w:lvlJc w:val="left"/>
      <w:pPr>
        <w:tabs>
          <w:tab w:val="num" w:pos="3686"/>
        </w:tabs>
        <w:ind w:left="3289" w:firstLine="397"/>
      </w:pPr>
      <w:rPr>
        <w:rFonts w:hint="default"/>
      </w:rPr>
    </w:lvl>
    <w:lvl w:ilvl="6">
      <w:start w:val="1"/>
      <w:numFmt w:val="decimal"/>
      <w:lvlText w:val="%7."/>
      <w:lvlJc w:val="left"/>
      <w:pPr>
        <w:tabs>
          <w:tab w:val="num" w:pos="4253"/>
        </w:tabs>
        <w:ind w:left="3856" w:firstLine="397"/>
      </w:pPr>
      <w:rPr>
        <w:rFonts w:hint="default"/>
      </w:rPr>
    </w:lvl>
    <w:lvl w:ilvl="7">
      <w:start w:val="1"/>
      <w:numFmt w:val="lowerLetter"/>
      <w:lvlText w:val="%8."/>
      <w:lvlJc w:val="left"/>
      <w:pPr>
        <w:tabs>
          <w:tab w:val="num" w:pos="4820"/>
        </w:tabs>
        <w:ind w:left="4423" w:firstLine="397"/>
      </w:pPr>
      <w:rPr>
        <w:rFonts w:hint="default"/>
      </w:rPr>
    </w:lvl>
    <w:lvl w:ilvl="8">
      <w:start w:val="1"/>
      <w:numFmt w:val="lowerRoman"/>
      <w:lvlText w:val="%9."/>
      <w:lvlJc w:val="left"/>
      <w:pPr>
        <w:tabs>
          <w:tab w:val="num" w:pos="5387"/>
        </w:tabs>
        <w:ind w:left="4990" w:firstLine="397"/>
      </w:pPr>
      <w:rPr>
        <w:rFonts w:hint="default"/>
      </w:rPr>
    </w:lvl>
  </w:abstractNum>
  <w:abstractNum w:abstractNumId="34" w15:restartNumberingAfterBreak="0">
    <w:nsid w:val="628A24AB"/>
    <w:multiLevelType w:val="hybridMultilevel"/>
    <w:tmpl w:val="DD220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CA5D5C"/>
    <w:multiLevelType w:val="hybridMultilevel"/>
    <w:tmpl w:val="D1F41810"/>
    <w:lvl w:ilvl="0" w:tplc="B2BC8480">
      <w:start w:val="1"/>
      <w:numFmt w:val="bullet"/>
      <w:lvlText w:val="­"/>
      <w:lvlJc w:val="left"/>
      <w:pPr>
        <w:ind w:left="1710" w:hanging="360"/>
      </w:pPr>
      <w:rPr>
        <w:rFonts w:ascii="Courier New" w:hAnsi="Courier New" w:hint="default"/>
      </w:rPr>
    </w:lvl>
    <w:lvl w:ilvl="1" w:tplc="87AC79EC">
      <w:numFmt w:val="bullet"/>
      <w:lvlText w:val="•"/>
      <w:lvlJc w:val="left"/>
      <w:pPr>
        <w:ind w:left="1800" w:hanging="360"/>
      </w:pPr>
      <w:rPr>
        <w:rFonts w:ascii="Calibri" w:eastAsiaTheme="minorHAnsi" w:hAnsi="Calibri" w:cstheme="minorBidi" w:hint="default"/>
        <w:b w:val="0"/>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65496197"/>
    <w:multiLevelType w:val="multilevel"/>
    <w:tmpl w:val="6F6A9636"/>
    <w:lvl w:ilvl="0">
      <w:start w:val="1"/>
      <w:numFmt w:val="lowerRoman"/>
      <w:pStyle w:val="Bulletlistroman"/>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7" w15:restartNumberingAfterBreak="0">
    <w:nsid w:val="6AD1277B"/>
    <w:multiLevelType w:val="hybridMultilevel"/>
    <w:tmpl w:val="CA941E9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B3358B1"/>
    <w:multiLevelType w:val="hybridMultilevel"/>
    <w:tmpl w:val="62AE1070"/>
    <w:lvl w:ilvl="0" w:tplc="710E98E4">
      <w:start w:val="1"/>
      <w:numFmt w:val="decimal"/>
      <w:lvlText w:val="(%1)"/>
      <w:lvlJc w:val="left"/>
      <w:pPr>
        <w:ind w:left="1346" w:hanging="540"/>
      </w:pPr>
      <w:rPr>
        <w:rFonts w:hint="default"/>
      </w:rPr>
    </w:lvl>
    <w:lvl w:ilvl="1" w:tplc="F790E320">
      <w:start w:val="1"/>
      <w:numFmt w:val="lowerLetter"/>
      <w:lvlText w:val="(%2)"/>
      <w:lvlJc w:val="left"/>
      <w:pPr>
        <w:ind w:left="2066" w:hanging="540"/>
      </w:pPr>
      <w:rPr>
        <w:rFonts w:hint="default"/>
      </w:rPr>
    </w:lvl>
    <w:lvl w:ilvl="2" w:tplc="0C09001B" w:tentative="1">
      <w:start w:val="1"/>
      <w:numFmt w:val="lowerRoman"/>
      <w:lvlText w:val="%3."/>
      <w:lvlJc w:val="right"/>
      <w:pPr>
        <w:ind w:left="2606" w:hanging="180"/>
      </w:pPr>
    </w:lvl>
    <w:lvl w:ilvl="3" w:tplc="0C09000F" w:tentative="1">
      <w:start w:val="1"/>
      <w:numFmt w:val="decimal"/>
      <w:lvlText w:val="%4."/>
      <w:lvlJc w:val="left"/>
      <w:pPr>
        <w:ind w:left="3326" w:hanging="360"/>
      </w:pPr>
    </w:lvl>
    <w:lvl w:ilvl="4" w:tplc="0C090019" w:tentative="1">
      <w:start w:val="1"/>
      <w:numFmt w:val="lowerLetter"/>
      <w:lvlText w:val="%5."/>
      <w:lvlJc w:val="left"/>
      <w:pPr>
        <w:ind w:left="4046" w:hanging="360"/>
      </w:pPr>
    </w:lvl>
    <w:lvl w:ilvl="5" w:tplc="0C09001B" w:tentative="1">
      <w:start w:val="1"/>
      <w:numFmt w:val="lowerRoman"/>
      <w:lvlText w:val="%6."/>
      <w:lvlJc w:val="right"/>
      <w:pPr>
        <w:ind w:left="4766" w:hanging="180"/>
      </w:pPr>
    </w:lvl>
    <w:lvl w:ilvl="6" w:tplc="0C09000F" w:tentative="1">
      <w:start w:val="1"/>
      <w:numFmt w:val="decimal"/>
      <w:lvlText w:val="%7."/>
      <w:lvlJc w:val="left"/>
      <w:pPr>
        <w:ind w:left="5486" w:hanging="360"/>
      </w:pPr>
    </w:lvl>
    <w:lvl w:ilvl="7" w:tplc="0C090019" w:tentative="1">
      <w:start w:val="1"/>
      <w:numFmt w:val="lowerLetter"/>
      <w:lvlText w:val="%8."/>
      <w:lvlJc w:val="left"/>
      <w:pPr>
        <w:ind w:left="6206" w:hanging="360"/>
      </w:pPr>
    </w:lvl>
    <w:lvl w:ilvl="8" w:tplc="0C09001B" w:tentative="1">
      <w:start w:val="1"/>
      <w:numFmt w:val="lowerRoman"/>
      <w:lvlText w:val="%9."/>
      <w:lvlJc w:val="right"/>
      <w:pPr>
        <w:ind w:left="6926" w:hanging="180"/>
      </w:pPr>
    </w:lvl>
  </w:abstractNum>
  <w:abstractNum w:abstractNumId="39" w15:restartNumberingAfterBreak="0">
    <w:nsid w:val="6E034034"/>
    <w:multiLevelType w:val="multilevel"/>
    <w:tmpl w:val="A5ECBD6A"/>
    <w:styleLink w:val="Style2"/>
    <w:lvl w:ilvl="0">
      <w:start w:val="1"/>
      <w:numFmt w:val="decimal"/>
      <w:lvlText w:val="%1.1"/>
      <w:lvlJc w:val="left"/>
      <w:pPr>
        <w:ind w:left="432" w:hanging="432"/>
      </w:pPr>
      <w:rPr>
        <w:rFonts w:cs="Times New Roman" w:hint="default"/>
      </w:rPr>
    </w:lvl>
    <w:lvl w:ilvl="1">
      <w:start w:val="1"/>
      <w:numFmt w:val="none"/>
      <w:lvlText w:val=""/>
      <w:lvlJc w:val="left"/>
      <w:pPr>
        <w:ind w:left="576" w:hanging="576"/>
      </w:pPr>
      <w:rPr>
        <w:rFonts w:cs="Times New Roman" w:hint="default"/>
      </w:rPr>
    </w:lvl>
    <w:lvl w:ilvl="2">
      <w:start w:val="1"/>
      <w:numFmt w:val="none"/>
      <w:lvlText w:val=""/>
      <w:lvlJc w:val="left"/>
      <w:pPr>
        <w:ind w:left="720" w:hanging="720"/>
      </w:pPr>
      <w:rPr>
        <w:rFonts w:cs="Times New Roman" w:hint="default"/>
      </w:rPr>
    </w:lvl>
    <w:lvl w:ilvl="3">
      <w:start w:val="1"/>
      <w:numFmt w:val="none"/>
      <w:lvlText w:val=""/>
      <w:lvlJc w:val="left"/>
      <w:pPr>
        <w:ind w:left="864" w:hanging="864"/>
      </w:pPr>
      <w:rPr>
        <w:rFonts w:cs="Times New Roman" w:hint="default"/>
      </w:rPr>
    </w:lvl>
    <w:lvl w:ilvl="4">
      <w:start w:val="1"/>
      <w:numFmt w:val="none"/>
      <w:lvlText w:val=""/>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1.%21"/>
      <w:lvlJc w:val="left"/>
      <w:pPr>
        <w:ind w:left="1296" w:hanging="1296"/>
      </w:pPr>
      <w:rPr>
        <w:rFonts w:cs="Times New Roman" w:hint="default"/>
      </w:rPr>
    </w:lvl>
    <w:lvl w:ilvl="7">
      <w:start w:val="1"/>
      <w:numFmt w:val="decimal"/>
      <w:lvlText w:val="%8%1.%21.1"/>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0" w15:restartNumberingAfterBreak="0">
    <w:nsid w:val="7BFB1FD3"/>
    <w:multiLevelType w:val="hybridMultilevel"/>
    <w:tmpl w:val="3FAAE19A"/>
    <w:lvl w:ilvl="0" w:tplc="0C090001">
      <w:start w:val="1"/>
      <w:numFmt w:val="bullet"/>
      <w:lvlText w:val=""/>
      <w:lvlJc w:val="left"/>
      <w:pPr>
        <w:ind w:left="495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D1314E2"/>
    <w:multiLevelType w:val="hybridMultilevel"/>
    <w:tmpl w:val="4D88D650"/>
    <w:lvl w:ilvl="0" w:tplc="3894EE82">
      <w:start w:val="1"/>
      <w:numFmt w:val="bullet"/>
      <w:pStyle w:val="Bulletlistlevel1"/>
      <w:lvlText w:val=""/>
      <w:lvlJc w:val="left"/>
      <w:pPr>
        <w:ind w:left="-414" w:hanging="360"/>
      </w:pPr>
      <w:rPr>
        <w:rFonts w:ascii="Symbol" w:hAnsi="Symbol" w:hint="default"/>
      </w:rPr>
    </w:lvl>
    <w:lvl w:ilvl="1" w:tplc="87D8F8F0" w:tentative="1">
      <w:start w:val="1"/>
      <w:numFmt w:val="lowerLetter"/>
      <w:lvlText w:val="%2."/>
      <w:lvlJc w:val="left"/>
      <w:pPr>
        <w:ind w:left="306" w:hanging="360"/>
      </w:pPr>
      <w:rPr>
        <w:rFonts w:cs="Times New Roman"/>
      </w:rPr>
    </w:lvl>
    <w:lvl w:ilvl="2" w:tplc="B1323CB8" w:tentative="1">
      <w:start w:val="1"/>
      <w:numFmt w:val="lowerRoman"/>
      <w:lvlText w:val="%3."/>
      <w:lvlJc w:val="right"/>
      <w:pPr>
        <w:ind w:left="1026" w:hanging="180"/>
      </w:pPr>
      <w:rPr>
        <w:rFonts w:cs="Times New Roman"/>
      </w:rPr>
    </w:lvl>
    <w:lvl w:ilvl="3" w:tplc="CAE0A252" w:tentative="1">
      <w:start w:val="1"/>
      <w:numFmt w:val="decimal"/>
      <w:lvlText w:val="%4."/>
      <w:lvlJc w:val="left"/>
      <w:pPr>
        <w:ind w:left="1746" w:hanging="360"/>
      </w:pPr>
      <w:rPr>
        <w:rFonts w:cs="Times New Roman"/>
      </w:rPr>
    </w:lvl>
    <w:lvl w:ilvl="4" w:tplc="A496904E" w:tentative="1">
      <w:start w:val="1"/>
      <w:numFmt w:val="lowerLetter"/>
      <w:lvlText w:val="%5."/>
      <w:lvlJc w:val="left"/>
      <w:pPr>
        <w:ind w:left="2466" w:hanging="360"/>
      </w:pPr>
      <w:rPr>
        <w:rFonts w:cs="Times New Roman"/>
      </w:rPr>
    </w:lvl>
    <w:lvl w:ilvl="5" w:tplc="867CAE32" w:tentative="1">
      <w:start w:val="1"/>
      <w:numFmt w:val="lowerRoman"/>
      <w:lvlText w:val="%6."/>
      <w:lvlJc w:val="right"/>
      <w:pPr>
        <w:ind w:left="3186" w:hanging="180"/>
      </w:pPr>
      <w:rPr>
        <w:rFonts w:cs="Times New Roman"/>
      </w:rPr>
    </w:lvl>
    <w:lvl w:ilvl="6" w:tplc="36B64AEE" w:tentative="1">
      <w:start w:val="1"/>
      <w:numFmt w:val="decimal"/>
      <w:lvlText w:val="%7."/>
      <w:lvlJc w:val="left"/>
      <w:pPr>
        <w:ind w:left="3906" w:hanging="360"/>
      </w:pPr>
      <w:rPr>
        <w:rFonts w:cs="Times New Roman"/>
      </w:rPr>
    </w:lvl>
    <w:lvl w:ilvl="7" w:tplc="EB0E0432" w:tentative="1">
      <w:start w:val="1"/>
      <w:numFmt w:val="lowerLetter"/>
      <w:lvlText w:val="%8."/>
      <w:lvlJc w:val="left"/>
      <w:pPr>
        <w:ind w:left="4626" w:hanging="360"/>
      </w:pPr>
      <w:rPr>
        <w:rFonts w:cs="Times New Roman"/>
      </w:rPr>
    </w:lvl>
    <w:lvl w:ilvl="8" w:tplc="4C4454F4" w:tentative="1">
      <w:start w:val="1"/>
      <w:numFmt w:val="lowerRoman"/>
      <w:lvlText w:val="%9."/>
      <w:lvlJc w:val="right"/>
      <w:pPr>
        <w:ind w:left="5346" w:hanging="180"/>
      </w:pPr>
      <w:rPr>
        <w:rFonts w:cs="Times New Roman"/>
      </w:r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1"/>
  </w:num>
  <w:num w:numId="12">
    <w:abstractNumId w:val="21"/>
  </w:num>
  <w:num w:numId="13">
    <w:abstractNumId w:val="13"/>
  </w:num>
  <w:num w:numId="14">
    <w:abstractNumId w:val="30"/>
  </w:num>
  <w:num w:numId="15">
    <w:abstractNumId w:val="41"/>
  </w:num>
  <w:num w:numId="16">
    <w:abstractNumId w:val="23"/>
  </w:num>
  <w:num w:numId="17">
    <w:abstractNumId w:val="12"/>
  </w:num>
  <w:num w:numId="18">
    <w:abstractNumId w:val="15"/>
  </w:num>
  <w:num w:numId="19">
    <w:abstractNumId w:val="39"/>
  </w:num>
  <w:num w:numId="20">
    <w:abstractNumId w:val="36"/>
  </w:num>
  <w:num w:numId="21">
    <w:abstractNumId w:val="18"/>
  </w:num>
  <w:num w:numId="22">
    <w:abstractNumId w:val="19"/>
  </w:num>
  <w:num w:numId="23">
    <w:abstractNumId w:val="11"/>
  </w:num>
  <w:num w:numId="24">
    <w:abstractNumId w:val="17"/>
  </w:num>
  <w:num w:numId="25">
    <w:abstractNumId w:val="42"/>
  </w:num>
  <w:num w:numId="26">
    <w:abstractNumId w:val="14"/>
  </w:num>
  <w:num w:numId="27">
    <w:abstractNumId w:val="28"/>
  </w:num>
  <w:num w:numId="28">
    <w:abstractNumId w:val="37"/>
  </w:num>
  <w:num w:numId="29">
    <w:abstractNumId w:val="27"/>
  </w:num>
  <w:num w:numId="30">
    <w:abstractNumId w:val="34"/>
  </w:num>
  <w:num w:numId="31">
    <w:abstractNumId w:val="29"/>
  </w:num>
  <w:num w:numId="32">
    <w:abstractNumId w:val="32"/>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num>
  <w:num w:numId="35">
    <w:abstractNumId w:val="40"/>
  </w:num>
  <w:num w:numId="36">
    <w:abstractNumId w:val="26"/>
  </w:num>
  <w:num w:numId="37">
    <w:abstractNumId w:val="38"/>
  </w:num>
  <w:num w:numId="38">
    <w:abstractNumId w:val="10"/>
  </w:num>
  <w:num w:numId="39">
    <w:abstractNumId w:val="24"/>
  </w:num>
  <w:num w:numId="40">
    <w:abstractNumId w:val="35"/>
  </w:num>
  <w:num w:numId="41">
    <w:abstractNumId w:val="25"/>
  </w:num>
  <w:num w:numId="42">
    <w:abstractNumId w:val="20"/>
  </w:num>
  <w:num w:numId="43">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346"/>
  <w:evenAndOddHeaders/>
  <w:characterSpacingControl w:val="doNotCompress"/>
  <w:hdrShapeDefaults>
    <o:shapedefaults v:ext="edit" spidmax="10241" style="mso-position-horizontal:center;mso-position-horizontal-relative:margin;mso-position-vertical:center;mso-position-vertical-relative:margin" o:allowincell="f" fillcolor="silver" stroke="f">
      <v:fill color="silver" opacity=".5"/>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846"/>
    <w:rsid w:val="000011FF"/>
    <w:rsid w:val="000016B7"/>
    <w:rsid w:val="00001839"/>
    <w:rsid w:val="00004BBA"/>
    <w:rsid w:val="00010090"/>
    <w:rsid w:val="00012062"/>
    <w:rsid w:val="00012567"/>
    <w:rsid w:val="00012C7C"/>
    <w:rsid w:val="00013BA7"/>
    <w:rsid w:val="00015B3E"/>
    <w:rsid w:val="00016CCD"/>
    <w:rsid w:val="00016ECB"/>
    <w:rsid w:val="000171BE"/>
    <w:rsid w:val="0001725A"/>
    <w:rsid w:val="000223B2"/>
    <w:rsid w:val="00022A35"/>
    <w:rsid w:val="000233EA"/>
    <w:rsid w:val="000238D1"/>
    <w:rsid w:val="00024311"/>
    <w:rsid w:val="00024BDA"/>
    <w:rsid w:val="00025A33"/>
    <w:rsid w:val="00026D92"/>
    <w:rsid w:val="00030285"/>
    <w:rsid w:val="0003048A"/>
    <w:rsid w:val="00030DC6"/>
    <w:rsid w:val="00031176"/>
    <w:rsid w:val="00031636"/>
    <w:rsid w:val="00032058"/>
    <w:rsid w:val="00034823"/>
    <w:rsid w:val="00034ADC"/>
    <w:rsid w:val="00034CCA"/>
    <w:rsid w:val="00036A58"/>
    <w:rsid w:val="00037980"/>
    <w:rsid w:val="00037B25"/>
    <w:rsid w:val="00040028"/>
    <w:rsid w:val="000421E6"/>
    <w:rsid w:val="00042C45"/>
    <w:rsid w:val="00044012"/>
    <w:rsid w:val="00044194"/>
    <w:rsid w:val="0004551E"/>
    <w:rsid w:val="00045F75"/>
    <w:rsid w:val="00046DE2"/>
    <w:rsid w:val="0005204D"/>
    <w:rsid w:val="00052319"/>
    <w:rsid w:val="00052A23"/>
    <w:rsid w:val="00052F85"/>
    <w:rsid w:val="00053A61"/>
    <w:rsid w:val="00053DC1"/>
    <w:rsid w:val="00055077"/>
    <w:rsid w:val="00056859"/>
    <w:rsid w:val="00060D38"/>
    <w:rsid w:val="00060E04"/>
    <w:rsid w:val="000618AD"/>
    <w:rsid w:val="00061AB9"/>
    <w:rsid w:val="00061B6D"/>
    <w:rsid w:val="00061D08"/>
    <w:rsid w:val="00062087"/>
    <w:rsid w:val="00064F19"/>
    <w:rsid w:val="00067FAE"/>
    <w:rsid w:val="0007009F"/>
    <w:rsid w:val="0007136A"/>
    <w:rsid w:val="00073340"/>
    <w:rsid w:val="000737ED"/>
    <w:rsid w:val="0007461D"/>
    <w:rsid w:val="0007556D"/>
    <w:rsid w:val="0007683A"/>
    <w:rsid w:val="00077835"/>
    <w:rsid w:val="0008186E"/>
    <w:rsid w:val="000823F3"/>
    <w:rsid w:val="000840B5"/>
    <w:rsid w:val="0008663E"/>
    <w:rsid w:val="00086C99"/>
    <w:rsid w:val="000874A9"/>
    <w:rsid w:val="0009152D"/>
    <w:rsid w:val="000915D1"/>
    <w:rsid w:val="00092119"/>
    <w:rsid w:val="000927C6"/>
    <w:rsid w:val="00093922"/>
    <w:rsid w:val="000941F6"/>
    <w:rsid w:val="00094472"/>
    <w:rsid w:val="00094D98"/>
    <w:rsid w:val="00095C7A"/>
    <w:rsid w:val="000967E6"/>
    <w:rsid w:val="0009718B"/>
    <w:rsid w:val="000971E6"/>
    <w:rsid w:val="00097985"/>
    <w:rsid w:val="000A14A2"/>
    <w:rsid w:val="000A16C9"/>
    <w:rsid w:val="000A2214"/>
    <w:rsid w:val="000A33FE"/>
    <w:rsid w:val="000A5891"/>
    <w:rsid w:val="000A5E0A"/>
    <w:rsid w:val="000A6724"/>
    <w:rsid w:val="000A78C0"/>
    <w:rsid w:val="000B0846"/>
    <w:rsid w:val="000B0CDE"/>
    <w:rsid w:val="000B12AD"/>
    <w:rsid w:val="000B2688"/>
    <w:rsid w:val="000B4BFC"/>
    <w:rsid w:val="000B504D"/>
    <w:rsid w:val="000B510A"/>
    <w:rsid w:val="000B61F4"/>
    <w:rsid w:val="000B71DA"/>
    <w:rsid w:val="000C0208"/>
    <w:rsid w:val="000C0965"/>
    <w:rsid w:val="000C1130"/>
    <w:rsid w:val="000C12B1"/>
    <w:rsid w:val="000C12C3"/>
    <w:rsid w:val="000C2759"/>
    <w:rsid w:val="000C30A9"/>
    <w:rsid w:val="000C3653"/>
    <w:rsid w:val="000C49C9"/>
    <w:rsid w:val="000C5573"/>
    <w:rsid w:val="000C59EC"/>
    <w:rsid w:val="000C6DFF"/>
    <w:rsid w:val="000C6FA0"/>
    <w:rsid w:val="000C7916"/>
    <w:rsid w:val="000D384D"/>
    <w:rsid w:val="000D4F39"/>
    <w:rsid w:val="000D5EDC"/>
    <w:rsid w:val="000D68A2"/>
    <w:rsid w:val="000D6984"/>
    <w:rsid w:val="000D7541"/>
    <w:rsid w:val="000D7EBD"/>
    <w:rsid w:val="000E13B4"/>
    <w:rsid w:val="000E231B"/>
    <w:rsid w:val="000E2F92"/>
    <w:rsid w:val="000E440E"/>
    <w:rsid w:val="000E5A5A"/>
    <w:rsid w:val="000E66C0"/>
    <w:rsid w:val="000E79A3"/>
    <w:rsid w:val="000F0EFB"/>
    <w:rsid w:val="000F30A0"/>
    <w:rsid w:val="000F3D5D"/>
    <w:rsid w:val="000F6652"/>
    <w:rsid w:val="000F6785"/>
    <w:rsid w:val="00100B5B"/>
    <w:rsid w:val="001013B4"/>
    <w:rsid w:val="00101A1A"/>
    <w:rsid w:val="00103599"/>
    <w:rsid w:val="00103E7B"/>
    <w:rsid w:val="00104A8B"/>
    <w:rsid w:val="00104CBD"/>
    <w:rsid w:val="00105A3D"/>
    <w:rsid w:val="0010659A"/>
    <w:rsid w:val="001069C1"/>
    <w:rsid w:val="00106A85"/>
    <w:rsid w:val="00107EEA"/>
    <w:rsid w:val="001107D1"/>
    <w:rsid w:val="00112799"/>
    <w:rsid w:val="00115163"/>
    <w:rsid w:val="001154AD"/>
    <w:rsid w:val="00115E26"/>
    <w:rsid w:val="00116A46"/>
    <w:rsid w:val="00116E9B"/>
    <w:rsid w:val="001201A6"/>
    <w:rsid w:val="0012051D"/>
    <w:rsid w:val="00120F86"/>
    <w:rsid w:val="00121896"/>
    <w:rsid w:val="00123DBF"/>
    <w:rsid w:val="00125EA4"/>
    <w:rsid w:val="001266E9"/>
    <w:rsid w:val="00126C48"/>
    <w:rsid w:val="00126D9A"/>
    <w:rsid w:val="00127856"/>
    <w:rsid w:val="00131525"/>
    <w:rsid w:val="00132097"/>
    <w:rsid w:val="0013258C"/>
    <w:rsid w:val="00133077"/>
    <w:rsid w:val="00133A87"/>
    <w:rsid w:val="00133AB1"/>
    <w:rsid w:val="00134F41"/>
    <w:rsid w:val="001352E7"/>
    <w:rsid w:val="0013652A"/>
    <w:rsid w:val="00137745"/>
    <w:rsid w:val="001409BD"/>
    <w:rsid w:val="001415F9"/>
    <w:rsid w:val="00144967"/>
    <w:rsid w:val="0014536B"/>
    <w:rsid w:val="001454C8"/>
    <w:rsid w:val="00145B35"/>
    <w:rsid w:val="00145C9B"/>
    <w:rsid w:val="00147B04"/>
    <w:rsid w:val="00150083"/>
    <w:rsid w:val="001505EB"/>
    <w:rsid w:val="00151C3B"/>
    <w:rsid w:val="0015201D"/>
    <w:rsid w:val="001562EC"/>
    <w:rsid w:val="0016069D"/>
    <w:rsid w:val="001606A8"/>
    <w:rsid w:val="00163101"/>
    <w:rsid w:val="00163A08"/>
    <w:rsid w:val="0016463A"/>
    <w:rsid w:val="00165699"/>
    <w:rsid w:val="00166E04"/>
    <w:rsid w:val="00167169"/>
    <w:rsid w:val="00167537"/>
    <w:rsid w:val="00167EE2"/>
    <w:rsid w:val="0017063D"/>
    <w:rsid w:val="00170F9C"/>
    <w:rsid w:val="001712BC"/>
    <w:rsid w:val="001722F9"/>
    <w:rsid w:val="0017558F"/>
    <w:rsid w:val="0017638E"/>
    <w:rsid w:val="001777EE"/>
    <w:rsid w:val="001779EA"/>
    <w:rsid w:val="00180581"/>
    <w:rsid w:val="00180D09"/>
    <w:rsid w:val="001820C5"/>
    <w:rsid w:val="001829FA"/>
    <w:rsid w:val="00182A2F"/>
    <w:rsid w:val="001839D6"/>
    <w:rsid w:val="00184A7B"/>
    <w:rsid w:val="00184C56"/>
    <w:rsid w:val="00184D61"/>
    <w:rsid w:val="0018598D"/>
    <w:rsid w:val="00187105"/>
    <w:rsid w:val="0019001E"/>
    <w:rsid w:val="001917B3"/>
    <w:rsid w:val="001917DA"/>
    <w:rsid w:val="00192003"/>
    <w:rsid w:val="00192010"/>
    <w:rsid w:val="00195221"/>
    <w:rsid w:val="0019559B"/>
    <w:rsid w:val="00195B4C"/>
    <w:rsid w:val="00196028"/>
    <w:rsid w:val="001974F6"/>
    <w:rsid w:val="001A1A54"/>
    <w:rsid w:val="001A28BF"/>
    <w:rsid w:val="001A46D3"/>
    <w:rsid w:val="001A5269"/>
    <w:rsid w:val="001A5F09"/>
    <w:rsid w:val="001A6A02"/>
    <w:rsid w:val="001A78B6"/>
    <w:rsid w:val="001B0650"/>
    <w:rsid w:val="001B09FD"/>
    <w:rsid w:val="001B1173"/>
    <w:rsid w:val="001B207B"/>
    <w:rsid w:val="001B22F0"/>
    <w:rsid w:val="001B36FB"/>
    <w:rsid w:val="001B457B"/>
    <w:rsid w:val="001B4892"/>
    <w:rsid w:val="001B4930"/>
    <w:rsid w:val="001B5859"/>
    <w:rsid w:val="001B5C86"/>
    <w:rsid w:val="001B5E58"/>
    <w:rsid w:val="001B5EB3"/>
    <w:rsid w:val="001B5F08"/>
    <w:rsid w:val="001B73A1"/>
    <w:rsid w:val="001C11EA"/>
    <w:rsid w:val="001C2A48"/>
    <w:rsid w:val="001C3269"/>
    <w:rsid w:val="001C3601"/>
    <w:rsid w:val="001C5D82"/>
    <w:rsid w:val="001C6D5B"/>
    <w:rsid w:val="001C719C"/>
    <w:rsid w:val="001C7639"/>
    <w:rsid w:val="001C7818"/>
    <w:rsid w:val="001D00FF"/>
    <w:rsid w:val="001D2441"/>
    <w:rsid w:val="001D271A"/>
    <w:rsid w:val="001D2873"/>
    <w:rsid w:val="001D5DBF"/>
    <w:rsid w:val="001D60B6"/>
    <w:rsid w:val="001E0B71"/>
    <w:rsid w:val="001E197A"/>
    <w:rsid w:val="001E2F75"/>
    <w:rsid w:val="001E3462"/>
    <w:rsid w:val="001E3B56"/>
    <w:rsid w:val="001E3BA1"/>
    <w:rsid w:val="001E3ED8"/>
    <w:rsid w:val="001E533E"/>
    <w:rsid w:val="001E56FE"/>
    <w:rsid w:val="001E61F6"/>
    <w:rsid w:val="001E6B34"/>
    <w:rsid w:val="001E6B45"/>
    <w:rsid w:val="001F1058"/>
    <w:rsid w:val="001F1D6D"/>
    <w:rsid w:val="001F48AB"/>
    <w:rsid w:val="001F49B7"/>
    <w:rsid w:val="001F622E"/>
    <w:rsid w:val="00202358"/>
    <w:rsid w:val="00202660"/>
    <w:rsid w:val="00202BE1"/>
    <w:rsid w:val="002031BD"/>
    <w:rsid w:val="002032A0"/>
    <w:rsid w:val="002064D0"/>
    <w:rsid w:val="002076F3"/>
    <w:rsid w:val="002103BD"/>
    <w:rsid w:val="00210A63"/>
    <w:rsid w:val="00211156"/>
    <w:rsid w:val="0021195E"/>
    <w:rsid w:val="002128AF"/>
    <w:rsid w:val="00212F5E"/>
    <w:rsid w:val="0021614E"/>
    <w:rsid w:val="00216794"/>
    <w:rsid w:val="00220914"/>
    <w:rsid w:val="00221C9C"/>
    <w:rsid w:val="0022278A"/>
    <w:rsid w:val="002230E6"/>
    <w:rsid w:val="00224D59"/>
    <w:rsid w:val="002259AC"/>
    <w:rsid w:val="002264FA"/>
    <w:rsid w:val="00226A15"/>
    <w:rsid w:val="002270B3"/>
    <w:rsid w:val="00227281"/>
    <w:rsid w:val="0023358B"/>
    <w:rsid w:val="00233BF7"/>
    <w:rsid w:val="00235CF0"/>
    <w:rsid w:val="00235D37"/>
    <w:rsid w:val="002371DB"/>
    <w:rsid w:val="00237B6F"/>
    <w:rsid w:val="00240841"/>
    <w:rsid w:val="002412A4"/>
    <w:rsid w:val="0024153A"/>
    <w:rsid w:val="00241F22"/>
    <w:rsid w:val="00243563"/>
    <w:rsid w:val="00243715"/>
    <w:rsid w:val="00243CBE"/>
    <w:rsid w:val="00243DCB"/>
    <w:rsid w:val="0024524F"/>
    <w:rsid w:val="002458C5"/>
    <w:rsid w:val="00245D9F"/>
    <w:rsid w:val="00247FE5"/>
    <w:rsid w:val="002502AF"/>
    <w:rsid w:val="00251AC7"/>
    <w:rsid w:val="00252497"/>
    <w:rsid w:val="00252BBC"/>
    <w:rsid w:val="00254B7A"/>
    <w:rsid w:val="00256D7D"/>
    <w:rsid w:val="00256FBC"/>
    <w:rsid w:val="00262C9C"/>
    <w:rsid w:val="00264222"/>
    <w:rsid w:val="002644BB"/>
    <w:rsid w:val="002649B5"/>
    <w:rsid w:val="002718FF"/>
    <w:rsid w:val="00271A5B"/>
    <w:rsid w:val="00274070"/>
    <w:rsid w:val="00275330"/>
    <w:rsid w:val="002753EE"/>
    <w:rsid w:val="002805F4"/>
    <w:rsid w:val="002806E8"/>
    <w:rsid w:val="00280D11"/>
    <w:rsid w:val="00283F5C"/>
    <w:rsid w:val="00285335"/>
    <w:rsid w:val="00285ABC"/>
    <w:rsid w:val="00286673"/>
    <w:rsid w:val="00287FC6"/>
    <w:rsid w:val="00291D83"/>
    <w:rsid w:val="002973FA"/>
    <w:rsid w:val="00297673"/>
    <w:rsid w:val="00297FEE"/>
    <w:rsid w:val="002A0027"/>
    <w:rsid w:val="002A185D"/>
    <w:rsid w:val="002A24D0"/>
    <w:rsid w:val="002A257A"/>
    <w:rsid w:val="002A5344"/>
    <w:rsid w:val="002B0CED"/>
    <w:rsid w:val="002B1AC8"/>
    <w:rsid w:val="002B23FF"/>
    <w:rsid w:val="002B388D"/>
    <w:rsid w:val="002B4A3A"/>
    <w:rsid w:val="002B660A"/>
    <w:rsid w:val="002B7D81"/>
    <w:rsid w:val="002C1AB1"/>
    <w:rsid w:val="002C3AC7"/>
    <w:rsid w:val="002C3C37"/>
    <w:rsid w:val="002C3CF7"/>
    <w:rsid w:val="002C548A"/>
    <w:rsid w:val="002C5D93"/>
    <w:rsid w:val="002D0603"/>
    <w:rsid w:val="002D0702"/>
    <w:rsid w:val="002D0A83"/>
    <w:rsid w:val="002D1047"/>
    <w:rsid w:val="002D3B0A"/>
    <w:rsid w:val="002D485F"/>
    <w:rsid w:val="002D5907"/>
    <w:rsid w:val="002D7840"/>
    <w:rsid w:val="002E0324"/>
    <w:rsid w:val="002E2EB3"/>
    <w:rsid w:val="002E344A"/>
    <w:rsid w:val="002E3ED2"/>
    <w:rsid w:val="002E6EB6"/>
    <w:rsid w:val="002E726C"/>
    <w:rsid w:val="002F04E9"/>
    <w:rsid w:val="002F0D7F"/>
    <w:rsid w:val="002F1119"/>
    <w:rsid w:val="002F13B7"/>
    <w:rsid w:val="002F1D67"/>
    <w:rsid w:val="002F37BA"/>
    <w:rsid w:val="002F5386"/>
    <w:rsid w:val="00301635"/>
    <w:rsid w:val="00301F54"/>
    <w:rsid w:val="00302004"/>
    <w:rsid w:val="00302510"/>
    <w:rsid w:val="00302BD1"/>
    <w:rsid w:val="00302DF4"/>
    <w:rsid w:val="00303425"/>
    <w:rsid w:val="003042B1"/>
    <w:rsid w:val="003045B8"/>
    <w:rsid w:val="003045ED"/>
    <w:rsid w:val="00305BF6"/>
    <w:rsid w:val="00306B22"/>
    <w:rsid w:val="00307591"/>
    <w:rsid w:val="0031203B"/>
    <w:rsid w:val="003127FB"/>
    <w:rsid w:val="00314CF6"/>
    <w:rsid w:val="003155F0"/>
    <w:rsid w:val="0031570D"/>
    <w:rsid w:val="00316B2D"/>
    <w:rsid w:val="00317346"/>
    <w:rsid w:val="00317393"/>
    <w:rsid w:val="0031748B"/>
    <w:rsid w:val="00317E73"/>
    <w:rsid w:val="0032291C"/>
    <w:rsid w:val="003235F6"/>
    <w:rsid w:val="00326327"/>
    <w:rsid w:val="00330E92"/>
    <w:rsid w:val="00331026"/>
    <w:rsid w:val="00332D86"/>
    <w:rsid w:val="0033431C"/>
    <w:rsid w:val="003345DA"/>
    <w:rsid w:val="00336217"/>
    <w:rsid w:val="00336E84"/>
    <w:rsid w:val="003379D7"/>
    <w:rsid w:val="00337F40"/>
    <w:rsid w:val="00341320"/>
    <w:rsid w:val="003418C1"/>
    <w:rsid w:val="00341C98"/>
    <w:rsid w:val="003433AB"/>
    <w:rsid w:val="003443EB"/>
    <w:rsid w:val="00344677"/>
    <w:rsid w:val="003446DE"/>
    <w:rsid w:val="003458E5"/>
    <w:rsid w:val="00345A6D"/>
    <w:rsid w:val="003461FC"/>
    <w:rsid w:val="0034635E"/>
    <w:rsid w:val="00346CDE"/>
    <w:rsid w:val="00347618"/>
    <w:rsid w:val="00351015"/>
    <w:rsid w:val="00351A66"/>
    <w:rsid w:val="00351AD0"/>
    <w:rsid w:val="00352A23"/>
    <w:rsid w:val="00352BB3"/>
    <w:rsid w:val="003534F8"/>
    <w:rsid w:val="0035425D"/>
    <w:rsid w:val="00354B0F"/>
    <w:rsid w:val="00354DFF"/>
    <w:rsid w:val="00355DF5"/>
    <w:rsid w:val="003574E8"/>
    <w:rsid w:val="00357A4D"/>
    <w:rsid w:val="00361375"/>
    <w:rsid w:val="0036212E"/>
    <w:rsid w:val="00365970"/>
    <w:rsid w:val="003660F9"/>
    <w:rsid w:val="00367A7B"/>
    <w:rsid w:val="00367B9B"/>
    <w:rsid w:val="0037018E"/>
    <w:rsid w:val="003716A1"/>
    <w:rsid w:val="00372D3F"/>
    <w:rsid w:val="00373BD9"/>
    <w:rsid w:val="00374A59"/>
    <w:rsid w:val="003752E9"/>
    <w:rsid w:val="0037551C"/>
    <w:rsid w:val="0037659F"/>
    <w:rsid w:val="003823E4"/>
    <w:rsid w:val="00382B8E"/>
    <w:rsid w:val="0038468B"/>
    <w:rsid w:val="00384D92"/>
    <w:rsid w:val="003853BC"/>
    <w:rsid w:val="00385C4E"/>
    <w:rsid w:val="00386C0A"/>
    <w:rsid w:val="00387610"/>
    <w:rsid w:val="0038795E"/>
    <w:rsid w:val="00392C13"/>
    <w:rsid w:val="00393D9F"/>
    <w:rsid w:val="003941DF"/>
    <w:rsid w:val="00395762"/>
    <w:rsid w:val="00395E80"/>
    <w:rsid w:val="003A1F37"/>
    <w:rsid w:val="003A23E6"/>
    <w:rsid w:val="003A4294"/>
    <w:rsid w:val="003A5E73"/>
    <w:rsid w:val="003A71C5"/>
    <w:rsid w:val="003A7F93"/>
    <w:rsid w:val="003B3549"/>
    <w:rsid w:val="003B6A7E"/>
    <w:rsid w:val="003B6ED7"/>
    <w:rsid w:val="003C1078"/>
    <w:rsid w:val="003C1C5D"/>
    <w:rsid w:val="003C4A44"/>
    <w:rsid w:val="003C5A05"/>
    <w:rsid w:val="003C60E7"/>
    <w:rsid w:val="003C71A8"/>
    <w:rsid w:val="003C73B2"/>
    <w:rsid w:val="003D000F"/>
    <w:rsid w:val="003D0731"/>
    <w:rsid w:val="003D1F10"/>
    <w:rsid w:val="003D2825"/>
    <w:rsid w:val="003D3A4E"/>
    <w:rsid w:val="003D495F"/>
    <w:rsid w:val="003D4E3B"/>
    <w:rsid w:val="003D5EAE"/>
    <w:rsid w:val="003D6C98"/>
    <w:rsid w:val="003E032C"/>
    <w:rsid w:val="003E19C9"/>
    <w:rsid w:val="003E2637"/>
    <w:rsid w:val="003E361F"/>
    <w:rsid w:val="003E4C0B"/>
    <w:rsid w:val="003E5311"/>
    <w:rsid w:val="003E5742"/>
    <w:rsid w:val="003E78F5"/>
    <w:rsid w:val="003E792C"/>
    <w:rsid w:val="003E7E8B"/>
    <w:rsid w:val="003F186C"/>
    <w:rsid w:val="003F27B3"/>
    <w:rsid w:val="003F2C48"/>
    <w:rsid w:val="003F2D4B"/>
    <w:rsid w:val="003F4177"/>
    <w:rsid w:val="003F44C3"/>
    <w:rsid w:val="003F5C36"/>
    <w:rsid w:val="003F5F5D"/>
    <w:rsid w:val="003F6DD6"/>
    <w:rsid w:val="004008C9"/>
    <w:rsid w:val="00405459"/>
    <w:rsid w:val="00405D16"/>
    <w:rsid w:val="0040642A"/>
    <w:rsid w:val="00406890"/>
    <w:rsid w:val="004106A9"/>
    <w:rsid w:val="00410B6A"/>
    <w:rsid w:val="0041216C"/>
    <w:rsid w:val="00412296"/>
    <w:rsid w:val="00412858"/>
    <w:rsid w:val="00414319"/>
    <w:rsid w:val="00415478"/>
    <w:rsid w:val="004154A3"/>
    <w:rsid w:val="00415EC5"/>
    <w:rsid w:val="004164EB"/>
    <w:rsid w:val="00416EB1"/>
    <w:rsid w:val="00417022"/>
    <w:rsid w:val="004170C2"/>
    <w:rsid w:val="0042361E"/>
    <w:rsid w:val="004238FA"/>
    <w:rsid w:val="00424D0D"/>
    <w:rsid w:val="00424FD2"/>
    <w:rsid w:val="0042643F"/>
    <w:rsid w:val="0043069F"/>
    <w:rsid w:val="00430D98"/>
    <w:rsid w:val="00431098"/>
    <w:rsid w:val="00432423"/>
    <w:rsid w:val="004330A9"/>
    <w:rsid w:val="00433489"/>
    <w:rsid w:val="00433C0F"/>
    <w:rsid w:val="00433C23"/>
    <w:rsid w:val="00434745"/>
    <w:rsid w:val="00434FBC"/>
    <w:rsid w:val="00435E76"/>
    <w:rsid w:val="00435EFE"/>
    <w:rsid w:val="00436402"/>
    <w:rsid w:val="00437F34"/>
    <w:rsid w:val="004416E8"/>
    <w:rsid w:val="00442440"/>
    <w:rsid w:val="00443DBC"/>
    <w:rsid w:val="004449E4"/>
    <w:rsid w:val="0044555E"/>
    <w:rsid w:val="00445EFF"/>
    <w:rsid w:val="0044629B"/>
    <w:rsid w:val="00451132"/>
    <w:rsid w:val="00452F37"/>
    <w:rsid w:val="00454870"/>
    <w:rsid w:val="00454D04"/>
    <w:rsid w:val="004551BC"/>
    <w:rsid w:val="00457A9B"/>
    <w:rsid w:val="004616E0"/>
    <w:rsid w:val="00461B48"/>
    <w:rsid w:val="004641A0"/>
    <w:rsid w:val="00464752"/>
    <w:rsid w:val="0046526A"/>
    <w:rsid w:val="00465C30"/>
    <w:rsid w:val="0046623E"/>
    <w:rsid w:val="0046775E"/>
    <w:rsid w:val="0047083F"/>
    <w:rsid w:val="00470A21"/>
    <w:rsid w:val="00470CB9"/>
    <w:rsid w:val="00471620"/>
    <w:rsid w:val="00473CCE"/>
    <w:rsid w:val="00473E22"/>
    <w:rsid w:val="00474136"/>
    <w:rsid w:val="00474EC6"/>
    <w:rsid w:val="004750FD"/>
    <w:rsid w:val="00475385"/>
    <w:rsid w:val="004758C1"/>
    <w:rsid w:val="00475A42"/>
    <w:rsid w:val="00475B8B"/>
    <w:rsid w:val="00477B48"/>
    <w:rsid w:val="00480BFB"/>
    <w:rsid w:val="00480E59"/>
    <w:rsid w:val="00481446"/>
    <w:rsid w:val="00481F91"/>
    <w:rsid w:val="00484A97"/>
    <w:rsid w:val="00486F69"/>
    <w:rsid w:val="00487421"/>
    <w:rsid w:val="00487FDA"/>
    <w:rsid w:val="004909C8"/>
    <w:rsid w:val="0049262E"/>
    <w:rsid w:val="00492C1E"/>
    <w:rsid w:val="00492DDF"/>
    <w:rsid w:val="00492EFA"/>
    <w:rsid w:val="00496C40"/>
    <w:rsid w:val="00496F95"/>
    <w:rsid w:val="004975E9"/>
    <w:rsid w:val="00497A2F"/>
    <w:rsid w:val="004A069D"/>
    <w:rsid w:val="004A1224"/>
    <w:rsid w:val="004A21FF"/>
    <w:rsid w:val="004A2365"/>
    <w:rsid w:val="004A2390"/>
    <w:rsid w:val="004A284D"/>
    <w:rsid w:val="004A3FBA"/>
    <w:rsid w:val="004A47B6"/>
    <w:rsid w:val="004A4A2A"/>
    <w:rsid w:val="004A763D"/>
    <w:rsid w:val="004A7AAE"/>
    <w:rsid w:val="004A7DAA"/>
    <w:rsid w:val="004B065D"/>
    <w:rsid w:val="004B1072"/>
    <w:rsid w:val="004B1188"/>
    <w:rsid w:val="004B23EC"/>
    <w:rsid w:val="004B2546"/>
    <w:rsid w:val="004B428C"/>
    <w:rsid w:val="004B4505"/>
    <w:rsid w:val="004B546F"/>
    <w:rsid w:val="004B587A"/>
    <w:rsid w:val="004B6287"/>
    <w:rsid w:val="004B6619"/>
    <w:rsid w:val="004B6AD2"/>
    <w:rsid w:val="004B7735"/>
    <w:rsid w:val="004C08E9"/>
    <w:rsid w:val="004C0A90"/>
    <w:rsid w:val="004C0AA7"/>
    <w:rsid w:val="004C1D20"/>
    <w:rsid w:val="004C1F31"/>
    <w:rsid w:val="004C35FA"/>
    <w:rsid w:val="004C3CE8"/>
    <w:rsid w:val="004C6809"/>
    <w:rsid w:val="004C6F1E"/>
    <w:rsid w:val="004C7074"/>
    <w:rsid w:val="004C7E95"/>
    <w:rsid w:val="004D2235"/>
    <w:rsid w:val="004D3094"/>
    <w:rsid w:val="004E42BA"/>
    <w:rsid w:val="004E4D9C"/>
    <w:rsid w:val="004E5CC4"/>
    <w:rsid w:val="004E5D8F"/>
    <w:rsid w:val="004E69C7"/>
    <w:rsid w:val="004E7305"/>
    <w:rsid w:val="004E7C1D"/>
    <w:rsid w:val="004F019A"/>
    <w:rsid w:val="004F0366"/>
    <w:rsid w:val="004F1179"/>
    <w:rsid w:val="004F4BD9"/>
    <w:rsid w:val="004F5121"/>
    <w:rsid w:val="004F67F8"/>
    <w:rsid w:val="004F6AC2"/>
    <w:rsid w:val="004F6D09"/>
    <w:rsid w:val="00500866"/>
    <w:rsid w:val="00500C4A"/>
    <w:rsid w:val="00501A3F"/>
    <w:rsid w:val="00501CD0"/>
    <w:rsid w:val="005024AF"/>
    <w:rsid w:val="005030F9"/>
    <w:rsid w:val="00503304"/>
    <w:rsid w:val="0050636F"/>
    <w:rsid w:val="00506693"/>
    <w:rsid w:val="005074A4"/>
    <w:rsid w:val="00510424"/>
    <w:rsid w:val="00511278"/>
    <w:rsid w:val="005114F8"/>
    <w:rsid w:val="0051400D"/>
    <w:rsid w:val="00516733"/>
    <w:rsid w:val="00517EFF"/>
    <w:rsid w:val="00520380"/>
    <w:rsid w:val="00520708"/>
    <w:rsid w:val="00521512"/>
    <w:rsid w:val="00521536"/>
    <w:rsid w:val="005228F6"/>
    <w:rsid w:val="00523335"/>
    <w:rsid w:val="00523CF4"/>
    <w:rsid w:val="00525A82"/>
    <w:rsid w:val="0052687F"/>
    <w:rsid w:val="005270C2"/>
    <w:rsid w:val="00527137"/>
    <w:rsid w:val="00527991"/>
    <w:rsid w:val="00530B7A"/>
    <w:rsid w:val="00534514"/>
    <w:rsid w:val="00535407"/>
    <w:rsid w:val="00535FA7"/>
    <w:rsid w:val="005427CD"/>
    <w:rsid w:val="00542D7C"/>
    <w:rsid w:val="005433B1"/>
    <w:rsid w:val="00543600"/>
    <w:rsid w:val="00543790"/>
    <w:rsid w:val="00543B59"/>
    <w:rsid w:val="0054459E"/>
    <w:rsid w:val="005445D9"/>
    <w:rsid w:val="00545F82"/>
    <w:rsid w:val="005468A2"/>
    <w:rsid w:val="00546EA3"/>
    <w:rsid w:val="005478A3"/>
    <w:rsid w:val="005508C6"/>
    <w:rsid w:val="00551BE9"/>
    <w:rsid w:val="005543D2"/>
    <w:rsid w:val="00556063"/>
    <w:rsid w:val="00557013"/>
    <w:rsid w:val="00560B7B"/>
    <w:rsid w:val="00562622"/>
    <w:rsid w:val="00562E8A"/>
    <w:rsid w:val="005646D0"/>
    <w:rsid w:val="00570AD2"/>
    <w:rsid w:val="005724A3"/>
    <w:rsid w:val="0057279F"/>
    <w:rsid w:val="00572B8C"/>
    <w:rsid w:val="00572C00"/>
    <w:rsid w:val="00573888"/>
    <w:rsid w:val="00573E0C"/>
    <w:rsid w:val="005744D7"/>
    <w:rsid w:val="005764C2"/>
    <w:rsid w:val="005771CD"/>
    <w:rsid w:val="005779EB"/>
    <w:rsid w:val="00577B54"/>
    <w:rsid w:val="005809FD"/>
    <w:rsid w:val="00581C79"/>
    <w:rsid w:val="005829CA"/>
    <w:rsid w:val="00583FA9"/>
    <w:rsid w:val="0058445F"/>
    <w:rsid w:val="00584A82"/>
    <w:rsid w:val="00590AA6"/>
    <w:rsid w:val="00590E04"/>
    <w:rsid w:val="0059115E"/>
    <w:rsid w:val="00591276"/>
    <w:rsid w:val="005915CD"/>
    <w:rsid w:val="00591A9C"/>
    <w:rsid w:val="005921BF"/>
    <w:rsid w:val="0059274B"/>
    <w:rsid w:val="00594266"/>
    <w:rsid w:val="00594D43"/>
    <w:rsid w:val="00595C04"/>
    <w:rsid w:val="00596DE5"/>
    <w:rsid w:val="00597304"/>
    <w:rsid w:val="00597313"/>
    <w:rsid w:val="005A0384"/>
    <w:rsid w:val="005A086A"/>
    <w:rsid w:val="005A0F1D"/>
    <w:rsid w:val="005A137F"/>
    <w:rsid w:val="005A1831"/>
    <w:rsid w:val="005A1C9B"/>
    <w:rsid w:val="005A4E01"/>
    <w:rsid w:val="005A7435"/>
    <w:rsid w:val="005A7BB6"/>
    <w:rsid w:val="005B1D8F"/>
    <w:rsid w:val="005B35FB"/>
    <w:rsid w:val="005B3763"/>
    <w:rsid w:val="005B41CA"/>
    <w:rsid w:val="005B5F65"/>
    <w:rsid w:val="005B68B5"/>
    <w:rsid w:val="005C01C0"/>
    <w:rsid w:val="005C0B5F"/>
    <w:rsid w:val="005C0F24"/>
    <w:rsid w:val="005C176D"/>
    <w:rsid w:val="005C1B23"/>
    <w:rsid w:val="005C505E"/>
    <w:rsid w:val="005C603D"/>
    <w:rsid w:val="005C7610"/>
    <w:rsid w:val="005D0355"/>
    <w:rsid w:val="005D1BC8"/>
    <w:rsid w:val="005D2B7B"/>
    <w:rsid w:val="005D7839"/>
    <w:rsid w:val="005D79AF"/>
    <w:rsid w:val="005D7B3C"/>
    <w:rsid w:val="005E13B6"/>
    <w:rsid w:val="005E21F5"/>
    <w:rsid w:val="005E4A19"/>
    <w:rsid w:val="005E4CD6"/>
    <w:rsid w:val="005E56E4"/>
    <w:rsid w:val="005E7298"/>
    <w:rsid w:val="005E796A"/>
    <w:rsid w:val="005F072C"/>
    <w:rsid w:val="005F1A7E"/>
    <w:rsid w:val="005F4FDA"/>
    <w:rsid w:val="005F5419"/>
    <w:rsid w:val="005F7540"/>
    <w:rsid w:val="00600252"/>
    <w:rsid w:val="00600A32"/>
    <w:rsid w:val="00600F64"/>
    <w:rsid w:val="006013DE"/>
    <w:rsid w:val="0060428D"/>
    <w:rsid w:val="00606BD8"/>
    <w:rsid w:val="006074ED"/>
    <w:rsid w:val="00607578"/>
    <w:rsid w:val="006101F3"/>
    <w:rsid w:val="00610A2C"/>
    <w:rsid w:val="0061161F"/>
    <w:rsid w:val="00611873"/>
    <w:rsid w:val="006137B1"/>
    <w:rsid w:val="00613AE1"/>
    <w:rsid w:val="0061540B"/>
    <w:rsid w:val="0061673E"/>
    <w:rsid w:val="006174C7"/>
    <w:rsid w:val="006175A7"/>
    <w:rsid w:val="00617F24"/>
    <w:rsid w:val="00621662"/>
    <w:rsid w:val="00622E2C"/>
    <w:rsid w:val="00624556"/>
    <w:rsid w:val="0062481B"/>
    <w:rsid w:val="006251C9"/>
    <w:rsid w:val="006269A4"/>
    <w:rsid w:val="0062744D"/>
    <w:rsid w:val="00627499"/>
    <w:rsid w:val="00632981"/>
    <w:rsid w:val="00634118"/>
    <w:rsid w:val="00635EA7"/>
    <w:rsid w:val="00636785"/>
    <w:rsid w:val="00637FB3"/>
    <w:rsid w:val="006421C2"/>
    <w:rsid w:val="00642CEB"/>
    <w:rsid w:val="00643221"/>
    <w:rsid w:val="006449FA"/>
    <w:rsid w:val="006449FD"/>
    <w:rsid w:val="006454A7"/>
    <w:rsid w:val="0064567E"/>
    <w:rsid w:val="006465BB"/>
    <w:rsid w:val="00646941"/>
    <w:rsid w:val="00647F0C"/>
    <w:rsid w:val="00650133"/>
    <w:rsid w:val="00651F9D"/>
    <w:rsid w:val="006523B3"/>
    <w:rsid w:val="00652A64"/>
    <w:rsid w:val="00652F69"/>
    <w:rsid w:val="006543AB"/>
    <w:rsid w:val="00654E7E"/>
    <w:rsid w:val="006557E9"/>
    <w:rsid w:val="00656B71"/>
    <w:rsid w:val="00661F81"/>
    <w:rsid w:val="006631E8"/>
    <w:rsid w:val="00664473"/>
    <w:rsid w:val="006655D3"/>
    <w:rsid w:val="006665AB"/>
    <w:rsid w:val="00666CA6"/>
    <w:rsid w:val="00670AF9"/>
    <w:rsid w:val="00670CBD"/>
    <w:rsid w:val="0067133C"/>
    <w:rsid w:val="006721F0"/>
    <w:rsid w:val="0067249C"/>
    <w:rsid w:val="0067269D"/>
    <w:rsid w:val="00673E3D"/>
    <w:rsid w:val="00674502"/>
    <w:rsid w:val="00674B7E"/>
    <w:rsid w:val="006754C6"/>
    <w:rsid w:val="0067571E"/>
    <w:rsid w:val="0067686A"/>
    <w:rsid w:val="006825EA"/>
    <w:rsid w:val="00682746"/>
    <w:rsid w:val="006854B5"/>
    <w:rsid w:val="00685516"/>
    <w:rsid w:val="00685D6D"/>
    <w:rsid w:val="0068665B"/>
    <w:rsid w:val="00686ADD"/>
    <w:rsid w:val="0069017A"/>
    <w:rsid w:val="00691450"/>
    <w:rsid w:val="00692800"/>
    <w:rsid w:val="006971C2"/>
    <w:rsid w:val="006A0DEF"/>
    <w:rsid w:val="006A19A4"/>
    <w:rsid w:val="006A2417"/>
    <w:rsid w:val="006A2C44"/>
    <w:rsid w:val="006A5B02"/>
    <w:rsid w:val="006A5DD1"/>
    <w:rsid w:val="006A68B5"/>
    <w:rsid w:val="006A6C77"/>
    <w:rsid w:val="006A71F8"/>
    <w:rsid w:val="006B1DC1"/>
    <w:rsid w:val="006B24B6"/>
    <w:rsid w:val="006B3981"/>
    <w:rsid w:val="006B3BAF"/>
    <w:rsid w:val="006B4705"/>
    <w:rsid w:val="006B48A2"/>
    <w:rsid w:val="006B5DE4"/>
    <w:rsid w:val="006B6B13"/>
    <w:rsid w:val="006C04DF"/>
    <w:rsid w:val="006C0537"/>
    <w:rsid w:val="006C06E1"/>
    <w:rsid w:val="006C0CBD"/>
    <w:rsid w:val="006C1D3D"/>
    <w:rsid w:val="006C1FAF"/>
    <w:rsid w:val="006C35A8"/>
    <w:rsid w:val="006C3EDA"/>
    <w:rsid w:val="006C533C"/>
    <w:rsid w:val="006C5ACB"/>
    <w:rsid w:val="006C742E"/>
    <w:rsid w:val="006D01F3"/>
    <w:rsid w:val="006D14D5"/>
    <w:rsid w:val="006D418E"/>
    <w:rsid w:val="006D712F"/>
    <w:rsid w:val="006E06EE"/>
    <w:rsid w:val="006E0EDD"/>
    <w:rsid w:val="006E1ABB"/>
    <w:rsid w:val="006E1BA7"/>
    <w:rsid w:val="006E1FE0"/>
    <w:rsid w:val="006E6910"/>
    <w:rsid w:val="006E6D66"/>
    <w:rsid w:val="006E7853"/>
    <w:rsid w:val="006F0DB1"/>
    <w:rsid w:val="006F13F7"/>
    <w:rsid w:val="006F1544"/>
    <w:rsid w:val="006F2384"/>
    <w:rsid w:val="006F388D"/>
    <w:rsid w:val="006F3D82"/>
    <w:rsid w:val="006F4484"/>
    <w:rsid w:val="006F4CFB"/>
    <w:rsid w:val="006F5358"/>
    <w:rsid w:val="006F53A8"/>
    <w:rsid w:val="007000AB"/>
    <w:rsid w:val="00701E54"/>
    <w:rsid w:val="007047E4"/>
    <w:rsid w:val="00704C1C"/>
    <w:rsid w:val="00706014"/>
    <w:rsid w:val="007072D3"/>
    <w:rsid w:val="00710222"/>
    <w:rsid w:val="007122EB"/>
    <w:rsid w:val="0071342C"/>
    <w:rsid w:val="00713E5C"/>
    <w:rsid w:val="0071432B"/>
    <w:rsid w:val="007165BE"/>
    <w:rsid w:val="00716798"/>
    <w:rsid w:val="00716F71"/>
    <w:rsid w:val="00717A2D"/>
    <w:rsid w:val="00717FD1"/>
    <w:rsid w:val="00720331"/>
    <w:rsid w:val="00720BDD"/>
    <w:rsid w:val="00722625"/>
    <w:rsid w:val="00722817"/>
    <w:rsid w:val="00724270"/>
    <w:rsid w:val="007250F5"/>
    <w:rsid w:val="007255CB"/>
    <w:rsid w:val="00725B48"/>
    <w:rsid w:val="00726072"/>
    <w:rsid w:val="00726733"/>
    <w:rsid w:val="007305D4"/>
    <w:rsid w:val="007308F1"/>
    <w:rsid w:val="00731542"/>
    <w:rsid w:val="007337C0"/>
    <w:rsid w:val="0073390D"/>
    <w:rsid w:val="007341A9"/>
    <w:rsid w:val="00735400"/>
    <w:rsid w:val="00735AE4"/>
    <w:rsid w:val="00735C41"/>
    <w:rsid w:val="007377EC"/>
    <w:rsid w:val="00737ACF"/>
    <w:rsid w:val="00737BD8"/>
    <w:rsid w:val="00741A91"/>
    <w:rsid w:val="00741F31"/>
    <w:rsid w:val="00742019"/>
    <w:rsid w:val="00742447"/>
    <w:rsid w:val="00744FCE"/>
    <w:rsid w:val="00745A30"/>
    <w:rsid w:val="00747B00"/>
    <w:rsid w:val="00747FAE"/>
    <w:rsid w:val="007506A2"/>
    <w:rsid w:val="00751327"/>
    <w:rsid w:val="0075192D"/>
    <w:rsid w:val="007519D4"/>
    <w:rsid w:val="00751B6C"/>
    <w:rsid w:val="00752521"/>
    <w:rsid w:val="00753923"/>
    <w:rsid w:val="00753D4D"/>
    <w:rsid w:val="00754F27"/>
    <w:rsid w:val="00755DED"/>
    <w:rsid w:val="00756A18"/>
    <w:rsid w:val="00756C20"/>
    <w:rsid w:val="00760BAB"/>
    <w:rsid w:val="00762179"/>
    <w:rsid w:val="00763A5E"/>
    <w:rsid w:val="00764041"/>
    <w:rsid w:val="00764264"/>
    <w:rsid w:val="0076535F"/>
    <w:rsid w:val="00766734"/>
    <w:rsid w:val="00767D36"/>
    <w:rsid w:val="00770D34"/>
    <w:rsid w:val="007711B3"/>
    <w:rsid w:val="00771C62"/>
    <w:rsid w:val="00772529"/>
    <w:rsid w:val="00773399"/>
    <w:rsid w:val="007751E7"/>
    <w:rsid w:val="007753B8"/>
    <w:rsid w:val="00777340"/>
    <w:rsid w:val="00780B47"/>
    <w:rsid w:val="0078174E"/>
    <w:rsid w:val="00781A65"/>
    <w:rsid w:val="007848D1"/>
    <w:rsid w:val="0078493D"/>
    <w:rsid w:val="00784A75"/>
    <w:rsid w:val="00784A91"/>
    <w:rsid w:val="007861B3"/>
    <w:rsid w:val="0078689A"/>
    <w:rsid w:val="0078717B"/>
    <w:rsid w:val="00787F30"/>
    <w:rsid w:val="00790512"/>
    <w:rsid w:val="00794D83"/>
    <w:rsid w:val="00797A2A"/>
    <w:rsid w:val="00797BE5"/>
    <w:rsid w:val="00797F2E"/>
    <w:rsid w:val="007A1799"/>
    <w:rsid w:val="007A1BB2"/>
    <w:rsid w:val="007A4E51"/>
    <w:rsid w:val="007A4ED0"/>
    <w:rsid w:val="007A5009"/>
    <w:rsid w:val="007A6452"/>
    <w:rsid w:val="007A77AC"/>
    <w:rsid w:val="007A7E95"/>
    <w:rsid w:val="007B01C8"/>
    <w:rsid w:val="007B077A"/>
    <w:rsid w:val="007B0AE0"/>
    <w:rsid w:val="007B2889"/>
    <w:rsid w:val="007B2ACE"/>
    <w:rsid w:val="007B3429"/>
    <w:rsid w:val="007B477E"/>
    <w:rsid w:val="007B54AC"/>
    <w:rsid w:val="007B6724"/>
    <w:rsid w:val="007C03E5"/>
    <w:rsid w:val="007C2849"/>
    <w:rsid w:val="007C3449"/>
    <w:rsid w:val="007C4EF8"/>
    <w:rsid w:val="007C4FE2"/>
    <w:rsid w:val="007C5602"/>
    <w:rsid w:val="007C5669"/>
    <w:rsid w:val="007C5BE4"/>
    <w:rsid w:val="007C693A"/>
    <w:rsid w:val="007C6C59"/>
    <w:rsid w:val="007D0193"/>
    <w:rsid w:val="007D0FB4"/>
    <w:rsid w:val="007D2C2B"/>
    <w:rsid w:val="007D2F1F"/>
    <w:rsid w:val="007D4E4E"/>
    <w:rsid w:val="007D551C"/>
    <w:rsid w:val="007D55EE"/>
    <w:rsid w:val="007D66AE"/>
    <w:rsid w:val="007D6C78"/>
    <w:rsid w:val="007D791B"/>
    <w:rsid w:val="007D791F"/>
    <w:rsid w:val="007E0801"/>
    <w:rsid w:val="007E09DF"/>
    <w:rsid w:val="007E14F6"/>
    <w:rsid w:val="007E211A"/>
    <w:rsid w:val="007E2C3D"/>
    <w:rsid w:val="007E3057"/>
    <w:rsid w:val="007E46DC"/>
    <w:rsid w:val="007E6141"/>
    <w:rsid w:val="007E6667"/>
    <w:rsid w:val="007E6AE3"/>
    <w:rsid w:val="007E6BA0"/>
    <w:rsid w:val="007F09EE"/>
    <w:rsid w:val="007F1A96"/>
    <w:rsid w:val="007F28DF"/>
    <w:rsid w:val="007F4348"/>
    <w:rsid w:val="007F4A8B"/>
    <w:rsid w:val="007F580D"/>
    <w:rsid w:val="007F5B12"/>
    <w:rsid w:val="007F647F"/>
    <w:rsid w:val="007F6563"/>
    <w:rsid w:val="007F696B"/>
    <w:rsid w:val="007F6E9B"/>
    <w:rsid w:val="0080041B"/>
    <w:rsid w:val="00801245"/>
    <w:rsid w:val="008024FC"/>
    <w:rsid w:val="008026F8"/>
    <w:rsid w:val="008113FF"/>
    <w:rsid w:val="00811A84"/>
    <w:rsid w:val="008125BE"/>
    <w:rsid w:val="00812643"/>
    <w:rsid w:val="00812F03"/>
    <w:rsid w:val="00814AE9"/>
    <w:rsid w:val="00816ABF"/>
    <w:rsid w:val="00816C23"/>
    <w:rsid w:val="00821ACB"/>
    <w:rsid w:val="0082451D"/>
    <w:rsid w:val="0082538D"/>
    <w:rsid w:val="0083040F"/>
    <w:rsid w:val="008305AC"/>
    <w:rsid w:val="00830CE3"/>
    <w:rsid w:val="00831A03"/>
    <w:rsid w:val="00832E2B"/>
    <w:rsid w:val="00832EEB"/>
    <w:rsid w:val="00833A3B"/>
    <w:rsid w:val="0083497F"/>
    <w:rsid w:val="00835411"/>
    <w:rsid w:val="00836234"/>
    <w:rsid w:val="00836786"/>
    <w:rsid w:val="008375B2"/>
    <w:rsid w:val="00837B1B"/>
    <w:rsid w:val="00837CD3"/>
    <w:rsid w:val="008414CD"/>
    <w:rsid w:val="00841C69"/>
    <w:rsid w:val="00842084"/>
    <w:rsid w:val="008421FF"/>
    <w:rsid w:val="008435D8"/>
    <w:rsid w:val="00844113"/>
    <w:rsid w:val="008442BF"/>
    <w:rsid w:val="008443DA"/>
    <w:rsid w:val="00844FDA"/>
    <w:rsid w:val="008452D2"/>
    <w:rsid w:val="00845A78"/>
    <w:rsid w:val="0084607D"/>
    <w:rsid w:val="00846E5E"/>
    <w:rsid w:val="00847247"/>
    <w:rsid w:val="00852612"/>
    <w:rsid w:val="008527F3"/>
    <w:rsid w:val="008571E3"/>
    <w:rsid w:val="008572C2"/>
    <w:rsid w:val="00862500"/>
    <w:rsid w:val="008626A9"/>
    <w:rsid w:val="00864242"/>
    <w:rsid w:val="008648CC"/>
    <w:rsid w:val="00867110"/>
    <w:rsid w:val="0086795A"/>
    <w:rsid w:val="00867A54"/>
    <w:rsid w:val="00867B99"/>
    <w:rsid w:val="008735AF"/>
    <w:rsid w:val="008751B8"/>
    <w:rsid w:val="00875BF5"/>
    <w:rsid w:val="00875FC6"/>
    <w:rsid w:val="00877BEB"/>
    <w:rsid w:val="008807F2"/>
    <w:rsid w:val="00882057"/>
    <w:rsid w:val="00886169"/>
    <w:rsid w:val="008901E4"/>
    <w:rsid w:val="008906CF"/>
    <w:rsid w:val="00891275"/>
    <w:rsid w:val="0089208A"/>
    <w:rsid w:val="00893ED2"/>
    <w:rsid w:val="00895774"/>
    <w:rsid w:val="0089670C"/>
    <w:rsid w:val="008A05FB"/>
    <w:rsid w:val="008A0AAA"/>
    <w:rsid w:val="008A143A"/>
    <w:rsid w:val="008A26C5"/>
    <w:rsid w:val="008A4205"/>
    <w:rsid w:val="008A4CD4"/>
    <w:rsid w:val="008A5A1C"/>
    <w:rsid w:val="008A68C9"/>
    <w:rsid w:val="008A6BDF"/>
    <w:rsid w:val="008A6FB5"/>
    <w:rsid w:val="008B0287"/>
    <w:rsid w:val="008B0858"/>
    <w:rsid w:val="008B1000"/>
    <w:rsid w:val="008B1AB9"/>
    <w:rsid w:val="008B1F6C"/>
    <w:rsid w:val="008B27DB"/>
    <w:rsid w:val="008B3114"/>
    <w:rsid w:val="008B3F05"/>
    <w:rsid w:val="008B48A2"/>
    <w:rsid w:val="008B5709"/>
    <w:rsid w:val="008C0BE9"/>
    <w:rsid w:val="008C164D"/>
    <w:rsid w:val="008C2F43"/>
    <w:rsid w:val="008C5BA1"/>
    <w:rsid w:val="008C70D8"/>
    <w:rsid w:val="008C7B9E"/>
    <w:rsid w:val="008C7CF9"/>
    <w:rsid w:val="008D102E"/>
    <w:rsid w:val="008D2461"/>
    <w:rsid w:val="008D3648"/>
    <w:rsid w:val="008D43AA"/>
    <w:rsid w:val="008D4B51"/>
    <w:rsid w:val="008D6215"/>
    <w:rsid w:val="008D6C97"/>
    <w:rsid w:val="008E1A38"/>
    <w:rsid w:val="008E1BBB"/>
    <w:rsid w:val="008E1F8D"/>
    <w:rsid w:val="008E5488"/>
    <w:rsid w:val="008E5707"/>
    <w:rsid w:val="008E6136"/>
    <w:rsid w:val="008E6202"/>
    <w:rsid w:val="008E75F2"/>
    <w:rsid w:val="008E77D1"/>
    <w:rsid w:val="008F0CBA"/>
    <w:rsid w:val="008F2E30"/>
    <w:rsid w:val="008F424B"/>
    <w:rsid w:val="008F4307"/>
    <w:rsid w:val="008F4A12"/>
    <w:rsid w:val="008F6F47"/>
    <w:rsid w:val="008F7008"/>
    <w:rsid w:val="009006A5"/>
    <w:rsid w:val="00901231"/>
    <w:rsid w:val="00901791"/>
    <w:rsid w:val="009026EC"/>
    <w:rsid w:val="009037FF"/>
    <w:rsid w:val="00904BA4"/>
    <w:rsid w:val="00904E84"/>
    <w:rsid w:val="00906CEB"/>
    <w:rsid w:val="00907407"/>
    <w:rsid w:val="00907763"/>
    <w:rsid w:val="00907785"/>
    <w:rsid w:val="00910033"/>
    <w:rsid w:val="00911558"/>
    <w:rsid w:val="00911D5F"/>
    <w:rsid w:val="009140F1"/>
    <w:rsid w:val="009142E2"/>
    <w:rsid w:val="00915B62"/>
    <w:rsid w:val="00916524"/>
    <w:rsid w:val="00916A2C"/>
    <w:rsid w:val="009173D6"/>
    <w:rsid w:val="009173F2"/>
    <w:rsid w:val="009179F2"/>
    <w:rsid w:val="00920275"/>
    <w:rsid w:val="009202BD"/>
    <w:rsid w:val="00922B80"/>
    <w:rsid w:val="0092369C"/>
    <w:rsid w:val="00923BE6"/>
    <w:rsid w:val="00924690"/>
    <w:rsid w:val="00924A84"/>
    <w:rsid w:val="00924FD2"/>
    <w:rsid w:val="00925084"/>
    <w:rsid w:val="0092560D"/>
    <w:rsid w:val="009263A5"/>
    <w:rsid w:val="0092643A"/>
    <w:rsid w:val="009268DC"/>
    <w:rsid w:val="0092725D"/>
    <w:rsid w:val="009302F0"/>
    <w:rsid w:val="0093257E"/>
    <w:rsid w:val="0093399E"/>
    <w:rsid w:val="00935094"/>
    <w:rsid w:val="00935DBB"/>
    <w:rsid w:val="009361BB"/>
    <w:rsid w:val="009368E8"/>
    <w:rsid w:val="00936A8B"/>
    <w:rsid w:val="00936EC9"/>
    <w:rsid w:val="0094082D"/>
    <w:rsid w:val="009411C8"/>
    <w:rsid w:val="00941D2C"/>
    <w:rsid w:val="00945159"/>
    <w:rsid w:val="00946037"/>
    <w:rsid w:val="00946C51"/>
    <w:rsid w:val="00950535"/>
    <w:rsid w:val="009517FB"/>
    <w:rsid w:val="009517FE"/>
    <w:rsid w:val="00951D36"/>
    <w:rsid w:val="00951F21"/>
    <w:rsid w:val="0095448C"/>
    <w:rsid w:val="00955CD4"/>
    <w:rsid w:val="00956455"/>
    <w:rsid w:val="00960440"/>
    <w:rsid w:val="00960956"/>
    <w:rsid w:val="00960A45"/>
    <w:rsid w:val="009656E3"/>
    <w:rsid w:val="00965D0E"/>
    <w:rsid w:val="00965D6C"/>
    <w:rsid w:val="00965EEB"/>
    <w:rsid w:val="00965F38"/>
    <w:rsid w:val="0096634C"/>
    <w:rsid w:val="0096752A"/>
    <w:rsid w:val="00970499"/>
    <w:rsid w:val="009707DD"/>
    <w:rsid w:val="0097161A"/>
    <w:rsid w:val="00971F36"/>
    <w:rsid w:val="009741FD"/>
    <w:rsid w:val="0097476B"/>
    <w:rsid w:val="009764A4"/>
    <w:rsid w:val="00976E57"/>
    <w:rsid w:val="0097778C"/>
    <w:rsid w:val="009777C9"/>
    <w:rsid w:val="00977CC6"/>
    <w:rsid w:val="0098006B"/>
    <w:rsid w:val="00980667"/>
    <w:rsid w:val="00980D55"/>
    <w:rsid w:val="0098116B"/>
    <w:rsid w:val="00981C54"/>
    <w:rsid w:val="009829A8"/>
    <w:rsid w:val="009830E8"/>
    <w:rsid w:val="00984A1D"/>
    <w:rsid w:val="0098506E"/>
    <w:rsid w:val="00985112"/>
    <w:rsid w:val="00985FCF"/>
    <w:rsid w:val="009869C8"/>
    <w:rsid w:val="0098799C"/>
    <w:rsid w:val="009926EC"/>
    <w:rsid w:val="0099291C"/>
    <w:rsid w:val="00992CAF"/>
    <w:rsid w:val="0099315C"/>
    <w:rsid w:val="00993219"/>
    <w:rsid w:val="00994DC7"/>
    <w:rsid w:val="0099564D"/>
    <w:rsid w:val="0099751F"/>
    <w:rsid w:val="00997F73"/>
    <w:rsid w:val="009A1008"/>
    <w:rsid w:val="009A1595"/>
    <w:rsid w:val="009A15A7"/>
    <w:rsid w:val="009A1EC2"/>
    <w:rsid w:val="009A29D0"/>
    <w:rsid w:val="009A4262"/>
    <w:rsid w:val="009A594B"/>
    <w:rsid w:val="009A63C7"/>
    <w:rsid w:val="009A6CD4"/>
    <w:rsid w:val="009A713F"/>
    <w:rsid w:val="009B0D77"/>
    <w:rsid w:val="009B1FDD"/>
    <w:rsid w:val="009B2374"/>
    <w:rsid w:val="009B2F9D"/>
    <w:rsid w:val="009B364C"/>
    <w:rsid w:val="009B4153"/>
    <w:rsid w:val="009B4164"/>
    <w:rsid w:val="009B4974"/>
    <w:rsid w:val="009C0831"/>
    <w:rsid w:val="009C0D5C"/>
    <w:rsid w:val="009C1828"/>
    <w:rsid w:val="009C2F59"/>
    <w:rsid w:val="009C394B"/>
    <w:rsid w:val="009C3E2B"/>
    <w:rsid w:val="009C447C"/>
    <w:rsid w:val="009C4F5B"/>
    <w:rsid w:val="009C614E"/>
    <w:rsid w:val="009C72E4"/>
    <w:rsid w:val="009C7A35"/>
    <w:rsid w:val="009C7D1D"/>
    <w:rsid w:val="009D0568"/>
    <w:rsid w:val="009D13D0"/>
    <w:rsid w:val="009D168B"/>
    <w:rsid w:val="009D187A"/>
    <w:rsid w:val="009D1961"/>
    <w:rsid w:val="009D208C"/>
    <w:rsid w:val="009D2815"/>
    <w:rsid w:val="009D47DF"/>
    <w:rsid w:val="009D4A4D"/>
    <w:rsid w:val="009D5133"/>
    <w:rsid w:val="009D788E"/>
    <w:rsid w:val="009D7BDF"/>
    <w:rsid w:val="009E0166"/>
    <w:rsid w:val="009E0B89"/>
    <w:rsid w:val="009E29B6"/>
    <w:rsid w:val="009E2CEE"/>
    <w:rsid w:val="009E2E18"/>
    <w:rsid w:val="009E30C7"/>
    <w:rsid w:val="009E4976"/>
    <w:rsid w:val="009E4BD7"/>
    <w:rsid w:val="009E5652"/>
    <w:rsid w:val="009E7BB7"/>
    <w:rsid w:val="009F1C02"/>
    <w:rsid w:val="009F1E46"/>
    <w:rsid w:val="009F2665"/>
    <w:rsid w:val="009F354F"/>
    <w:rsid w:val="009F46A2"/>
    <w:rsid w:val="009F5585"/>
    <w:rsid w:val="009F5805"/>
    <w:rsid w:val="009F74E8"/>
    <w:rsid w:val="009F760C"/>
    <w:rsid w:val="009F7F6E"/>
    <w:rsid w:val="00A003B9"/>
    <w:rsid w:val="00A00BF5"/>
    <w:rsid w:val="00A00C63"/>
    <w:rsid w:val="00A014F1"/>
    <w:rsid w:val="00A026EC"/>
    <w:rsid w:val="00A0477A"/>
    <w:rsid w:val="00A05589"/>
    <w:rsid w:val="00A0572F"/>
    <w:rsid w:val="00A06311"/>
    <w:rsid w:val="00A0668C"/>
    <w:rsid w:val="00A06D05"/>
    <w:rsid w:val="00A11221"/>
    <w:rsid w:val="00A11DBC"/>
    <w:rsid w:val="00A13722"/>
    <w:rsid w:val="00A13726"/>
    <w:rsid w:val="00A13BAA"/>
    <w:rsid w:val="00A13C21"/>
    <w:rsid w:val="00A143CF"/>
    <w:rsid w:val="00A145A4"/>
    <w:rsid w:val="00A15B63"/>
    <w:rsid w:val="00A16160"/>
    <w:rsid w:val="00A17F25"/>
    <w:rsid w:val="00A2180D"/>
    <w:rsid w:val="00A218A3"/>
    <w:rsid w:val="00A23C4D"/>
    <w:rsid w:val="00A245D7"/>
    <w:rsid w:val="00A26D36"/>
    <w:rsid w:val="00A27042"/>
    <w:rsid w:val="00A317FB"/>
    <w:rsid w:val="00A34509"/>
    <w:rsid w:val="00A348BF"/>
    <w:rsid w:val="00A419B4"/>
    <w:rsid w:val="00A436B4"/>
    <w:rsid w:val="00A44D7A"/>
    <w:rsid w:val="00A45257"/>
    <w:rsid w:val="00A469B6"/>
    <w:rsid w:val="00A474EC"/>
    <w:rsid w:val="00A5283F"/>
    <w:rsid w:val="00A52CAB"/>
    <w:rsid w:val="00A53170"/>
    <w:rsid w:val="00A55029"/>
    <w:rsid w:val="00A55672"/>
    <w:rsid w:val="00A56A70"/>
    <w:rsid w:val="00A5710F"/>
    <w:rsid w:val="00A57EC1"/>
    <w:rsid w:val="00A60A8C"/>
    <w:rsid w:val="00A60EEF"/>
    <w:rsid w:val="00A61304"/>
    <w:rsid w:val="00A61B8E"/>
    <w:rsid w:val="00A63970"/>
    <w:rsid w:val="00A64F4C"/>
    <w:rsid w:val="00A65079"/>
    <w:rsid w:val="00A66C81"/>
    <w:rsid w:val="00A676FA"/>
    <w:rsid w:val="00A7105C"/>
    <w:rsid w:val="00A7179A"/>
    <w:rsid w:val="00A73CC7"/>
    <w:rsid w:val="00A75A97"/>
    <w:rsid w:val="00A75B8B"/>
    <w:rsid w:val="00A76044"/>
    <w:rsid w:val="00A76225"/>
    <w:rsid w:val="00A76622"/>
    <w:rsid w:val="00A80255"/>
    <w:rsid w:val="00A80DA1"/>
    <w:rsid w:val="00A833E0"/>
    <w:rsid w:val="00A83871"/>
    <w:rsid w:val="00A845CA"/>
    <w:rsid w:val="00A902E5"/>
    <w:rsid w:val="00A90B50"/>
    <w:rsid w:val="00A919BD"/>
    <w:rsid w:val="00A933DA"/>
    <w:rsid w:val="00A93BB6"/>
    <w:rsid w:val="00A95ED5"/>
    <w:rsid w:val="00A96888"/>
    <w:rsid w:val="00A96BAC"/>
    <w:rsid w:val="00A96EDB"/>
    <w:rsid w:val="00A97724"/>
    <w:rsid w:val="00A97952"/>
    <w:rsid w:val="00AA0175"/>
    <w:rsid w:val="00AA0780"/>
    <w:rsid w:val="00AA0952"/>
    <w:rsid w:val="00AA0A65"/>
    <w:rsid w:val="00AA1E14"/>
    <w:rsid w:val="00AA3003"/>
    <w:rsid w:val="00AA3302"/>
    <w:rsid w:val="00AA37B2"/>
    <w:rsid w:val="00AA408C"/>
    <w:rsid w:val="00AA6429"/>
    <w:rsid w:val="00AA6977"/>
    <w:rsid w:val="00AA71BF"/>
    <w:rsid w:val="00AA73E2"/>
    <w:rsid w:val="00AB064C"/>
    <w:rsid w:val="00AB1C65"/>
    <w:rsid w:val="00AB1FFC"/>
    <w:rsid w:val="00AB2447"/>
    <w:rsid w:val="00AB3C5A"/>
    <w:rsid w:val="00AB5343"/>
    <w:rsid w:val="00AB6078"/>
    <w:rsid w:val="00AB75BA"/>
    <w:rsid w:val="00AC094E"/>
    <w:rsid w:val="00AC0B09"/>
    <w:rsid w:val="00AC0DDB"/>
    <w:rsid w:val="00AC0E5D"/>
    <w:rsid w:val="00AC2769"/>
    <w:rsid w:val="00AC3D8F"/>
    <w:rsid w:val="00AC44A8"/>
    <w:rsid w:val="00AC5051"/>
    <w:rsid w:val="00AC528A"/>
    <w:rsid w:val="00AC5D14"/>
    <w:rsid w:val="00AD2B6D"/>
    <w:rsid w:val="00AD4B04"/>
    <w:rsid w:val="00AD53EA"/>
    <w:rsid w:val="00AD66BE"/>
    <w:rsid w:val="00AD6A29"/>
    <w:rsid w:val="00AD6B54"/>
    <w:rsid w:val="00AE0C07"/>
    <w:rsid w:val="00AE0D19"/>
    <w:rsid w:val="00AE4564"/>
    <w:rsid w:val="00AE47FB"/>
    <w:rsid w:val="00AE4D51"/>
    <w:rsid w:val="00AE616F"/>
    <w:rsid w:val="00AE636B"/>
    <w:rsid w:val="00AE70FD"/>
    <w:rsid w:val="00AE717C"/>
    <w:rsid w:val="00AE71CC"/>
    <w:rsid w:val="00AE7799"/>
    <w:rsid w:val="00AE7C71"/>
    <w:rsid w:val="00AF1C2E"/>
    <w:rsid w:val="00AF2B41"/>
    <w:rsid w:val="00AF356E"/>
    <w:rsid w:val="00AF3AA1"/>
    <w:rsid w:val="00AF6181"/>
    <w:rsid w:val="00AF6CB6"/>
    <w:rsid w:val="00AF70DA"/>
    <w:rsid w:val="00AF7645"/>
    <w:rsid w:val="00B006AA"/>
    <w:rsid w:val="00B013C5"/>
    <w:rsid w:val="00B03427"/>
    <w:rsid w:val="00B04475"/>
    <w:rsid w:val="00B07FFA"/>
    <w:rsid w:val="00B10352"/>
    <w:rsid w:val="00B10FCC"/>
    <w:rsid w:val="00B110AF"/>
    <w:rsid w:val="00B12A1F"/>
    <w:rsid w:val="00B13710"/>
    <w:rsid w:val="00B13AB0"/>
    <w:rsid w:val="00B142FB"/>
    <w:rsid w:val="00B15E18"/>
    <w:rsid w:val="00B161D2"/>
    <w:rsid w:val="00B17A2A"/>
    <w:rsid w:val="00B21950"/>
    <w:rsid w:val="00B2250F"/>
    <w:rsid w:val="00B22AAD"/>
    <w:rsid w:val="00B233D8"/>
    <w:rsid w:val="00B26871"/>
    <w:rsid w:val="00B27573"/>
    <w:rsid w:val="00B27C91"/>
    <w:rsid w:val="00B27C9C"/>
    <w:rsid w:val="00B3018B"/>
    <w:rsid w:val="00B32CDA"/>
    <w:rsid w:val="00B32DDB"/>
    <w:rsid w:val="00B332E3"/>
    <w:rsid w:val="00B351D8"/>
    <w:rsid w:val="00B35270"/>
    <w:rsid w:val="00B352D9"/>
    <w:rsid w:val="00B358EB"/>
    <w:rsid w:val="00B35F08"/>
    <w:rsid w:val="00B37A4B"/>
    <w:rsid w:val="00B42165"/>
    <w:rsid w:val="00B42218"/>
    <w:rsid w:val="00B422D9"/>
    <w:rsid w:val="00B42B5A"/>
    <w:rsid w:val="00B44BC2"/>
    <w:rsid w:val="00B44F2D"/>
    <w:rsid w:val="00B45946"/>
    <w:rsid w:val="00B45D0A"/>
    <w:rsid w:val="00B45EDA"/>
    <w:rsid w:val="00B47606"/>
    <w:rsid w:val="00B50558"/>
    <w:rsid w:val="00B533E0"/>
    <w:rsid w:val="00B54D6F"/>
    <w:rsid w:val="00B55615"/>
    <w:rsid w:val="00B55B9E"/>
    <w:rsid w:val="00B57F12"/>
    <w:rsid w:val="00B60298"/>
    <w:rsid w:val="00B60319"/>
    <w:rsid w:val="00B6224C"/>
    <w:rsid w:val="00B62440"/>
    <w:rsid w:val="00B626BE"/>
    <w:rsid w:val="00B63371"/>
    <w:rsid w:val="00B638BB"/>
    <w:rsid w:val="00B63947"/>
    <w:rsid w:val="00B64E76"/>
    <w:rsid w:val="00B66A00"/>
    <w:rsid w:val="00B70D27"/>
    <w:rsid w:val="00B7139F"/>
    <w:rsid w:val="00B72C3B"/>
    <w:rsid w:val="00B730BA"/>
    <w:rsid w:val="00B74B98"/>
    <w:rsid w:val="00B76B42"/>
    <w:rsid w:val="00B778CF"/>
    <w:rsid w:val="00B807A5"/>
    <w:rsid w:val="00B81375"/>
    <w:rsid w:val="00B81D54"/>
    <w:rsid w:val="00B835BB"/>
    <w:rsid w:val="00B83F62"/>
    <w:rsid w:val="00B845D3"/>
    <w:rsid w:val="00B85201"/>
    <w:rsid w:val="00B87479"/>
    <w:rsid w:val="00B87B69"/>
    <w:rsid w:val="00B87D53"/>
    <w:rsid w:val="00B93574"/>
    <w:rsid w:val="00B93A89"/>
    <w:rsid w:val="00B93B12"/>
    <w:rsid w:val="00B943D6"/>
    <w:rsid w:val="00B94FD5"/>
    <w:rsid w:val="00B9536B"/>
    <w:rsid w:val="00B955E6"/>
    <w:rsid w:val="00B95D7B"/>
    <w:rsid w:val="00B95EE7"/>
    <w:rsid w:val="00B96A0B"/>
    <w:rsid w:val="00BA01A6"/>
    <w:rsid w:val="00BA2049"/>
    <w:rsid w:val="00BA3E19"/>
    <w:rsid w:val="00BA474C"/>
    <w:rsid w:val="00BA50BE"/>
    <w:rsid w:val="00BA56D3"/>
    <w:rsid w:val="00BA606E"/>
    <w:rsid w:val="00BA64E2"/>
    <w:rsid w:val="00BA6A89"/>
    <w:rsid w:val="00BA6F63"/>
    <w:rsid w:val="00BA7131"/>
    <w:rsid w:val="00BA7FAC"/>
    <w:rsid w:val="00BB03C4"/>
    <w:rsid w:val="00BB0FA9"/>
    <w:rsid w:val="00BB158A"/>
    <w:rsid w:val="00BB391A"/>
    <w:rsid w:val="00BB4592"/>
    <w:rsid w:val="00BB4F51"/>
    <w:rsid w:val="00BB721F"/>
    <w:rsid w:val="00BB7F3E"/>
    <w:rsid w:val="00BC0181"/>
    <w:rsid w:val="00BC1AE8"/>
    <w:rsid w:val="00BC1FB7"/>
    <w:rsid w:val="00BC23C8"/>
    <w:rsid w:val="00BC39FC"/>
    <w:rsid w:val="00BC3D5C"/>
    <w:rsid w:val="00BC4A46"/>
    <w:rsid w:val="00BC4EBB"/>
    <w:rsid w:val="00BC5771"/>
    <w:rsid w:val="00BC61A3"/>
    <w:rsid w:val="00BD02B5"/>
    <w:rsid w:val="00BD2FDE"/>
    <w:rsid w:val="00BD3539"/>
    <w:rsid w:val="00BD6D9C"/>
    <w:rsid w:val="00BD794E"/>
    <w:rsid w:val="00BE0701"/>
    <w:rsid w:val="00BE16D9"/>
    <w:rsid w:val="00BE27FD"/>
    <w:rsid w:val="00BE2C75"/>
    <w:rsid w:val="00BE46C6"/>
    <w:rsid w:val="00BE58F9"/>
    <w:rsid w:val="00BE5922"/>
    <w:rsid w:val="00BE5FEC"/>
    <w:rsid w:val="00BE6460"/>
    <w:rsid w:val="00BE654A"/>
    <w:rsid w:val="00BE7D92"/>
    <w:rsid w:val="00BE7E69"/>
    <w:rsid w:val="00BE7FE4"/>
    <w:rsid w:val="00BF0F66"/>
    <w:rsid w:val="00BF294C"/>
    <w:rsid w:val="00BF4FFC"/>
    <w:rsid w:val="00BF5027"/>
    <w:rsid w:val="00BF5D4C"/>
    <w:rsid w:val="00BF7039"/>
    <w:rsid w:val="00BF7460"/>
    <w:rsid w:val="00C0039D"/>
    <w:rsid w:val="00C00560"/>
    <w:rsid w:val="00C011D6"/>
    <w:rsid w:val="00C012BA"/>
    <w:rsid w:val="00C01433"/>
    <w:rsid w:val="00C01717"/>
    <w:rsid w:val="00C01C1C"/>
    <w:rsid w:val="00C01E83"/>
    <w:rsid w:val="00C02700"/>
    <w:rsid w:val="00C05363"/>
    <w:rsid w:val="00C057A8"/>
    <w:rsid w:val="00C06197"/>
    <w:rsid w:val="00C0765A"/>
    <w:rsid w:val="00C10D21"/>
    <w:rsid w:val="00C11A22"/>
    <w:rsid w:val="00C11AAF"/>
    <w:rsid w:val="00C12B23"/>
    <w:rsid w:val="00C13B2C"/>
    <w:rsid w:val="00C13B3E"/>
    <w:rsid w:val="00C144C6"/>
    <w:rsid w:val="00C14596"/>
    <w:rsid w:val="00C14637"/>
    <w:rsid w:val="00C1554E"/>
    <w:rsid w:val="00C157EB"/>
    <w:rsid w:val="00C20882"/>
    <w:rsid w:val="00C21368"/>
    <w:rsid w:val="00C22F31"/>
    <w:rsid w:val="00C23680"/>
    <w:rsid w:val="00C23AA2"/>
    <w:rsid w:val="00C24E1B"/>
    <w:rsid w:val="00C26D19"/>
    <w:rsid w:val="00C271F5"/>
    <w:rsid w:val="00C279C0"/>
    <w:rsid w:val="00C308CB"/>
    <w:rsid w:val="00C3129D"/>
    <w:rsid w:val="00C31579"/>
    <w:rsid w:val="00C31602"/>
    <w:rsid w:val="00C31D8E"/>
    <w:rsid w:val="00C3273D"/>
    <w:rsid w:val="00C32D5D"/>
    <w:rsid w:val="00C33DD7"/>
    <w:rsid w:val="00C34DAE"/>
    <w:rsid w:val="00C350C8"/>
    <w:rsid w:val="00C3562F"/>
    <w:rsid w:val="00C35DAA"/>
    <w:rsid w:val="00C36418"/>
    <w:rsid w:val="00C36779"/>
    <w:rsid w:val="00C36B1A"/>
    <w:rsid w:val="00C40849"/>
    <w:rsid w:val="00C42A8F"/>
    <w:rsid w:val="00C43740"/>
    <w:rsid w:val="00C43853"/>
    <w:rsid w:val="00C45231"/>
    <w:rsid w:val="00C454BB"/>
    <w:rsid w:val="00C4601D"/>
    <w:rsid w:val="00C46C70"/>
    <w:rsid w:val="00C47AF0"/>
    <w:rsid w:val="00C50102"/>
    <w:rsid w:val="00C504F2"/>
    <w:rsid w:val="00C517A1"/>
    <w:rsid w:val="00C51D95"/>
    <w:rsid w:val="00C53197"/>
    <w:rsid w:val="00C56DC3"/>
    <w:rsid w:val="00C6027A"/>
    <w:rsid w:val="00C607C1"/>
    <w:rsid w:val="00C60DAD"/>
    <w:rsid w:val="00C60E86"/>
    <w:rsid w:val="00C619B5"/>
    <w:rsid w:val="00C62270"/>
    <w:rsid w:val="00C62498"/>
    <w:rsid w:val="00C63A3B"/>
    <w:rsid w:val="00C64BEE"/>
    <w:rsid w:val="00C65284"/>
    <w:rsid w:val="00C659AB"/>
    <w:rsid w:val="00C65D56"/>
    <w:rsid w:val="00C6628C"/>
    <w:rsid w:val="00C66462"/>
    <w:rsid w:val="00C67126"/>
    <w:rsid w:val="00C67A1F"/>
    <w:rsid w:val="00C67FFC"/>
    <w:rsid w:val="00C70013"/>
    <w:rsid w:val="00C70E5C"/>
    <w:rsid w:val="00C7382E"/>
    <w:rsid w:val="00C73F0D"/>
    <w:rsid w:val="00C75145"/>
    <w:rsid w:val="00C80D84"/>
    <w:rsid w:val="00C81AD6"/>
    <w:rsid w:val="00C8213C"/>
    <w:rsid w:val="00C8294E"/>
    <w:rsid w:val="00C845D6"/>
    <w:rsid w:val="00C86169"/>
    <w:rsid w:val="00C91B80"/>
    <w:rsid w:val="00C959BD"/>
    <w:rsid w:val="00C95BB9"/>
    <w:rsid w:val="00C95FEF"/>
    <w:rsid w:val="00C9619A"/>
    <w:rsid w:val="00C97D9A"/>
    <w:rsid w:val="00CA08ED"/>
    <w:rsid w:val="00CA1E99"/>
    <w:rsid w:val="00CA32D5"/>
    <w:rsid w:val="00CA440B"/>
    <w:rsid w:val="00CA4DF7"/>
    <w:rsid w:val="00CA58C5"/>
    <w:rsid w:val="00CA6C3E"/>
    <w:rsid w:val="00CA751D"/>
    <w:rsid w:val="00CB1860"/>
    <w:rsid w:val="00CB2AE5"/>
    <w:rsid w:val="00CB402F"/>
    <w:rsid w:val="00CB4546"/>
    <w:rsid w:val="00CB6294"/>
    <w:rsid w:val="00CB62E4"/>
    <w:rsid w:val="00CB7A34"/>
    <w:rsid w:val="00CB7D01"/>
    <w:rsid w:val="00CB7F46"/>
    <w:rsid w:val="00CC0684"/>
    <w:rsid w:val="00CC2E7B"/>
    <w:rsid w:val="00CC53BF"/>
    <w:rsid w:val="00CC597E"/>
    <w:rsid w:val="00CC61CF"/>
    <w:rsid w:val="00CC7911"/>
    <w:rsid w:val="00CD0715"/>
    <w:rsid w:val="00CD1256"/>
    <w:rsid w:val="00CD2FF0"/>
    <w:rsid w:val="00CD4398"/>
    <w:rsid w:val="00CD4E5E"/>
    <w:rsid w:val="00CD571E"/>
    <w:rsid w:val="00CD5AD5"/>
    <w:rsid w:val="00CD6C5C"/>
    <w:rsid w:val="00CE2180"/>
    <w:rsid w:val="00CE2533"/>
    <w:rsid w:val="00CE2685"/>
    <w:rsid w:val="00CE4FE2"/>
    <w:rsid w:val="00CE5469"/>
    <w:rsid w:val="00CE588C"/>
    <w:rsid w:val="00CE6B10"/>
    <w:rsid w:val="00CE6EEA"/>
    <w:rsid w:val="00CE7BEB"/>
    <w:rsid w:val="00CF0406"/>
    <w:rsid w:val="00CF2EBE"/>
    <w:rsid w:val="00CF3231"/>
    <w:rsid w:val="00CF37B2"/>
    <w:rsid w:val="00CF4857"/>
    <w:rsid w:val="00CF5C1B"/>
    <w:rsid w:val="00CF7B50"/>
    <w:rsid w:val="00CF7DEB"/>
    <w:rsid w:val="00D00142"/>
    <w:rsid w:val="00D009DD"/>
    <w:rsid w:val="00D016D1"/>
    <w:rsid w:val="00D0288E"/>
    <w:rsid w:val="00D04046"/>
    <w:rsid w:val="00D04D26"/>
    <w:rsid w:val="00D04F3D"/>
    <w:rsid w:val="00D05BBA"/>
    <w:rsid w:val="00D06817"/>
    <w:rsid w:val="00D076A8"/>
    <w:rsid w:val="00D10848"/>
    <w:rsid w:val="00D12A94"/>
    <w:rsid w:val="00D16121"/>
    <w:rsid w:val="00D1721B"/>
    <w:rsid w:val="00D20076"/>
    <w:rsid w:val="00D20610"/>
    <w:rsid w:val="00D20D02"/>
    <w:rsid w:val="00D20DDE"/>
    <w:rsid w:val="00D24B3D"/>
    <w:rsid w:val="00D25C7D"/>
    <w:rsid w:val="00D26341"/>
    <w:rsid w:val="00D27509"/>
    <w:rsid w:val="00D2760C"/>
    <w:rsid w:val="00D30021"/>
    <w:rsid w:val="00D306C2"/>
    <w:rsid w:val="00D3073F"/>
    <w:rsid w:val="00D32329"/>
    <w:rsid w:val="00D32538"/>
    <w:rsid w:val="00D34158"/>
    <w:rsid w:val="00D3424E"/>
    <w:rsid w:val="00D35132"/>
    <w:rsid w:val="00D35D7D"/>
    <w:rsid w:val="00D35EE8"/>
    <w:rsid w:val="00D40022"/>
    <w:rsid w:val="00D40A3C"/>
    <w:rsid w:val="00D4210F"/>
    <w:rsid w:val="00D447D3"/>
    <w:rsid w:val="00D44D86"/>
    <w:rsid w:val="00D450FB"/>
    <w:rsid w:val="00D45B05"/>
    <w:rsid w:val="00D463C3"/>
    <w:rsid w:val="00D467FD"/>
    <w:rsid w:val="00D47E37"/>
    <w:rsid w:val="00D50DEA"/>
    <w:rsid w:val="00D5112A"/>
    <w:rsid w:val="00D52457"/>
    <w:rsid w:val="00D527F6"/>
    <w:rsid w:val="00D554A2"/>
    <w:rsid w:val="00D56A85"/>
    <w:rsid w:val="00D60AD4"/>
    <w:rsid w:val="00D624A6"/>
    <w:rsid w:val="00D627CD"/>
    <w:rsid w:val="00D62802"/>
    <w:rsid w:val="00D63840"/>
    <w:rsid w:val="00D643EF"/>
    <w:rsid w:val="00D6508E"/>
    <w:rsid w:val="00D65BD2"/>
    <w:rsid w:val="00D65C31"/>
    <w:rsid w:val="00D66709"/>
    <w:rsid w:val="00D67B1A"/>
    <w:rsid w:val="00D71D2E"/>
    <w:rsid w:val="00D71D83"/>
    <w:rsid w:val="00D71DE7"/>
    <w:rsid w:val="00D73312"/>
    <w:rsid w:val="00D7348B"/>
    <w:rsid w:val="00D73CD7"/>
    <w:rsid w:val="00D76B8E"/>
    <w:rsid w:val="00D76E48"/>
    <w:rsid w:val="00D77442"/>
    <w:rsid w:val="00D80857"/>
    <w:rsid w:val="00D81239"/>
    <w:rsid w:val="00D817F1"/>
    <w:rsid w:val="00D81B3B"/>
    <w:rsid w:val="00D81C0D"/>
    <w:rsid w:val="00D82DA3"/>
    <w:rsid w:val="00D8489D"/>
    <w:rsid w:val="00D85697"/>
    <w:rsid w:val="00D862A9"/>
    <w:rsid w:val="00D86F68"/>
    <w:rsid w:val="00D90865"/>
    <w:rsid w:val="00D94356"/>
    <w:rsid w:val="00D9488E"/>
    <w:rsid w:val="00D94ABA"/>
    <w:rsid w:val="00D95483"/>
    <w:rsid w:val="00D95927"/>
    <w:rsid w:val="00D95A5D"/>
    <w:rsid w:val="00D97CF1"/>
    <w:rsid w:val="00D97DF4"/>
    <w:rsid w:val="00DA162C"/>
    <w:rsid w:val="00DA202E"/>
    <w:rsid w:val="00DA2505"/>
    <w:rsid w:val="00DA3B8A"/>
    <w:rsid w:val="00DA4101"/>
    <w:rsid w:val="00DA6061"/>
    <w:rsid w:val="00DA61E5"/>
    <w:rsid w:val="00DB2A3A"/>
    <w:rsid w:val="00DB2EB9"/>
    <w:rsid w:val="00DB3F35"/>
    <w:rsid w:val="00DB45B6"/>
    <w:rsid w:val="00DB629B"/>
    <w:rsid w:val="00DB62F1"/>
    <w:rsid w:val="00DB787C"/>
    <w:rsid w:val="00DB7E49"/>
    <w:rsid w:val="00DC0879"/>
    <w:rsid w:val="00DC173A"/>
    <w:rsid w:val="00DC1742"/>
    <w:rsid w:val="00DC1A00"/>
    <w:rsid w:val="00DC22B8"/>
    <w:rsid w:val="00DC38C2"/>
    <w:rsid w:val="00DC420C"/>
    <w:rsid w:val="00DC4394"/>
    <w:rsid w:val="00DC43BC"/>
    <w:rsid w:val="00DC4910"/>
    <w:rsid w:val="00DC4A69"/>
    <w:rsid w:val="00DC4A7D"/>
    <w:rsid w:val="00DC4B7C"/>
    <w:rsid w:val="00DC528C"/>
    <w:rsid w:val="00DC52C8"/>
    <w:rsid w:val="00DC64BB"/>
    <w:rsid w:val="00DC71B1"/>
    <w:rsid w:val="00DD245B"/>
    <w:rsid w:val="00DD4D13"/>
    <w:rsid w:val="00DD7049"/>
    <w:rsid w:val="00DE229C"/>
    <w:rsid w:val="00DE23D8"/>
    <w:rsid w:val="00DE2B8B"/>
    <w:rsid w:val="00DE62A9"/>
    <w:rsid w:val="00DE78FD"/>
    <w:rsid w:val="00DE7F72"/>
    <w:rsid w:val="00DF0499"/>
    <w:rsid w:val="00DF23C5"/>
    <w:rsid w:val="00DF26E7"/>
    <w:rsid w:val="00DF2B7E"/>
    <w:rsid w:val="00DF2CC5"/>
    <w:rsid w:val="00DF3D7B"/>
    <w:rsid w:val="00DF4A03"/>
    <w:rsid w:val="00DF4BF9"/>
    <w:rsid w:val="00DF57DD"/>
    <w:rsid w:val="00DF5A23"/>
    <w:rsid w:val="00DF6A6F"/>
    <w:rsid w:val="00E01931"/>
    <w:rsid w:val="00E01E87"/>
    <w:rsid w:val="00E043ED"/>
    <w:rsid w:val="00E04E44"/>
    <w:rsid w:val="00E04EF7"/>
    <w:rsid w:val="00E05345"/>
    <w:rsid w:val="00E05372"/>
    <w:rsid w:val="00E05D4B"/>
    <w:rsid w:val="00E06146"/>
    <w:rsid w:val="00E06528"/>
    <w:rsid w:val="00E06823"/>
    <w:rsid w:val="00E06A60"/>
    <w:rsid w:val="00E06B8F"/>
    <w:rsid w:val="00E07317"/>
    <w:rsid w:val="00E075AA"/>
    <w:rsid w:val="00E0771E"/>
    <w:rsid w:val="00E0797D"/>
    <w:rsid w:val="00E11EC4"/>
    <w:rsid w:val="00E13074"/>
    <w:rsid w:val="00E13397"/>
    <w:rsid w:val="00E14403"/>
    <w:rsid w:val="00E14ABF"/>
    <w:rsid w:val="00E14C16"/>
    <w:rsid w:val="00E162CE"/>
    <w:rsid w:val="00E16EA5"/>
    <w:rsid w:val="00E213EC"/>
    <w:rsid w:val="00E21679"/>
    <w:rsid w:val="00E2180E"/>
    <w:rsid w:val="00E22EB0"/>
    <w:rsid w:val="00E2301D"/>
    <w:rsid w:val="00E24A77"/>
    <w:rsid w:val="00E25B59"/>
    <w:rsid w:val="00E2748A"/>
    <w:rsid w:val="00E307DD"/>
    <w:rsid w:val="00E31A45"/>
    <w:rsid w:val="00E31AA8"/>
    <w:rsid w:val="00E31EFA"/>
    <w:rsid w:val="00E32319"/>
    <w:rsid w:val="00E3264B"/>
    <w:rsid w:val="00E32696"/>
    <w:rsid w:val="00E35C96"/>
    <w:rsid w:val="00E36686"/>
    <w:rsid w:val="00E37AE1"/>
    <w:rsid w:val="00E41D9C"/>
    <w:rsid w:val="00E44D66"/>
    <w:rsid w:val="00E46845"/>
    <w:rsid w:val="00E46D80"/>
    <w:rsid w:val="00E477C3"/>
    <w:rsid w:val="00E52CCD"/>
    <w:rsid w:val="00E53420"/>
    <w:rsid w:val="00E556A0"/>
    <w:rsid w:val="00E603AB"/>
    <w:rsid w:val="00E60F1E"/>
    <w:rsid w:val="00E614F4"/>
    <w:rsid w:val="00E61722"/>
    <w:rsid w:val="00E621AB"/>
    <w:rsid w:val="00E633D8"/>
    <w:rsid w:val="00E64170"/>
    <w:rsid w:val="00E6496A"/>
    <w:rsid w:val="00E6627C"/>
    <w:rsid w:val="00E66858"/>
    <w:rsid w:val="00E700A8"/>
    <w:rsid w:val="00E71100"/>
    <w:rsid w:val="00E7274A"/>
    <w:rsid w:val="00E74A59"/>
    <w:rsid w:val="00E75300"/>
    <w:rsid w:val="00E75EC4"/>
    <w:rsid w:val="00E76009"/>
    <w:rsid w:val="00E77FC9"/>
    <w:rsid w:val="00E8228B"/>
    <w:rsid w:val="00E8247B"/>
    <w:rsid w:val="00E845BB"/>
    <w:rsid w:val="00E84F73"/>
    <w:rsid w:val="00E85AAD"/>
    <w:rsid w:val="00E870A7"/>
    <w:rsid w:val="00E87196"/>
    <w:rsid w:val="00E90629"/>
    <w:rsid w:val="00E90E97"/>
    <w:rsid w:val="00E90FE6"/>
    <w:rsid w:val="00E91309"/>
    <w:rsid w:val="00E921AB"/>
    <w:rsid w:val="00E958E7"/>
    <w:rsid w:val="00E96A76"/>
    <w:rsid w:val="00EA03F3"/>
    <w:rsid w:val="00EA1227"/>
    <w:rsid w:val="00EA2570"/>
    <w:rsid w:val="00EA3133"/>
    <w:rsid w:val="00EA4487"/>
    <w:rsid w:val="00EA5B91"/>
    <w:rsid w:val="00EA5F4D"/>
    <w:rsid w:val="00EA609A"/>
    <w:rsid w:val="00EA6709"/>
    <w:rsid w:val="00EA78BD"/>
    <w:rsid w:val="00EB0375"/>
    <w:rsid w:val="00EB0872"/>
    <w:rsid w:val="00EB0CB8"/>
    <w:rsid w:val="00EB2070"/>
    <w:rsid w:val="00EB2CCF"/>
    <w:rsid w:val="00EB384D"/>
    <w:rsid w:val="00EB3A61"/>
    <w:rsid w:val="00EB3EC6"/>
    <w:rsid w:val="00EB4022"/>
    <w:rsid w:val="00EB462B"/>
    <w:rsid w:val="00EB4BD7"/>
    <w:rsid w:val="00EB5874"/>
    <w:rsid w:val="00EB62C5"/>
    <w:rsid w:val="00EC220B"/>
    <w:rsid w:val="00EC432A"/>
    <w:rsid w:val="00EC60BA"/>
    <w:rsid w:val="00EC6979"/>
    <w:rsid w:val="00EC76A1"/>
    <w:rsid w:val="00EC7DB6"/>
    <w:rsid w:val="00ED0AAB"/>
    <w:rsid w:val="00ED0CC7"/>
    <w:rsid w:val="00ED1A75"/>
    <w:rsid w:val="00ED2B9C"/>
    <w:rsid w:val="00ED3041"/>
    <w:rsid w:val="00ED3594"/>
    <w:rsid w:val="00ED38F3"/>
    <w:rsid w:val="00ED4734"/>
    <w:rsid w:val="00ED7C96"/>
    <w:rsid w:val="00EE0900"/>
    <w:rsid w:val="00EE0DE0"/>
    <w:rsid w:val="00EE1E11"/>
    <w:rsid w:val="00EE2907"/>
    <w:rsid w:val="00EE37E5"/>
    <w:rsid w:val="00EE3B08"/>
    <w:rsid w:val="00EE534B"/>
    <w:rsid w:val="00EE53D1"/>
    <w:rsid w:val="00EE701F"/>
    <w:rsid w:val="00EE730C"/>
    <w:rsid w:val="00EE770E"/>
    <w:rsid w:val="00EE7D7F"/>
    <w:rsid w:val="00EE7EBD"/>
    <w:rsid w:val="00EF05D1"/>
    <w:rsid w:val="00EF119E"/>
    <w:rsid w:val="00EF22CC"/>
    <w:rsid w:val="00EF2553"/>
    <w:rsid w:val="00EF3592"/>
    <w:rsid w:val="00EF655D"/>
    <w:rsid w:val="00EF6815"/>
    <w:rsid w:val="00EF6B87"/>
    <w:rsid w:val="00EF6E8E"/>
    <w:rsid w:val="00EF747E"/>
    <w:rsid w:val="00EF764F"/>
    <w:rsid w:val="00F039FC"/>
    <w:rsid w:val="00F04C20"/>
    <w:rsid w:val="00F04C92"/>
    <w:rsid w:val="00F0513E"/>
    <w:rsid w:val="00F051EE"/>
    <w:rsid w:val="00F05F6D"/>
    <w:rsid w:val="00F11962"/>
    <w:rsid w:val="00F12968"/>
    <w:rsid w:val="00F12FC0"/>
    <w:rsid w:val="00F13633"/>
    <w:rsid w:val="00F13A5D"/>
    <w:rsid w:val="00F13A7E"/>
    <w:rsid w:val="00F143DA"/>
    <w:rsid w:val="00F1456D"/>
    <w:rsid w:val="00F17589"/>
    <w:rsid w:val="00F179F9"/>
    <w:rsid w:val="00F204EB"/>
    <w:rsid w:val="00F20C70"/>
    <w:rsid w:val="00F21791"/>
    <w:rsid w:val="00F229B4"/>
    <w:rsid w:val="00F23CCD"/>
    <w:rsid w:val="00F24079"/>
    <w:rsid w:val="00F24646"/>
    <w:rsid w:val="00F24D96"/>
    <w:rsid w:val="00F259A5"/>
    <w:rsid w:val="00F27399"/>
    <w:rsid w:val="00F274F8"/>
    <w:rsid w:val="00F275ED"/>
    <w:rsid w:val="00F30563"/>
    <w:rsid w:val="00F3147D"/>
    <w:rsid w:val="00F31CD4"/>
    <w:rsid w:val="00F322E9"/>
    <w:rsid w:val="00F3319E"/>
    <w:rsid w:val="00F33F95"/>
    <w:rsid w:val="00F348CD"/>
    <w:rsid w:val="00F359CA"/>
    <w:rsid w:val="00F3660F"/>
    <w:rsid w:val="00F369D0"/>
    <w:rsid w:val="00F370D1"/>
    <w:rsid w:val="00F4231D"/>
    <w:rsid w:val="00F42923"/>
    <w:rsid w:val="00F43181"/>
    <w:rsid w:val="00F477BB"/>
    <w:rsid w:val="00F47E3F"/>
    <w:rsid w:val="00F51720"/>
    <w:rsid w:val="00F51BE0"/>
    <w:rsid w:val="00F520AA"/>
    <w:rsid w:val="00F52AA6"/>
    <w:rsid w:val="00F537CC"/>
    <w:rsid w:val="00F538BB"/>
    <w:rsid w:val="00F53DBD"/>
    <w:rsid w:val="00F5461D"/>
    <w:rsid w:val="00F554A1"/>
    <w:rsid w:val="00F56071"/>
    <w:rsid w:val="00F57687"/>
    <w:rsid w:val="00F57B2F"/>
    <w:rsid w:val="00F6072C"/>
    <w:rsid w:val="00F612BD"/>
    <w:rsid w:val="00F6153A"/>
    <w:rsid w:val="00F63CBA"/>
    <w:rsid w:val="00F653F1"/>
    <w:rsid w:val="00F65983"/>
    <w:rsid w:val="00F674D2"/>
    <w:rsid w:val="00F67D21"/>
    <w:rsid w:val="00F70281"/>
    <w:rsid w:val="00F712D3"/>
    <w:rsid w:val="00F72119"/>
    <w:rsid w:val="00F7309A"/>
    <w:rsid w:val="00F735CA"/>
    <w:rsid w:val="00F73BFE"/>
    <w:rsid w:val="00F73DE4"/>
    <w:rsid w:val="00F744BE"/>
    <w:rsid w:val="00F74A55"/>
    <w:rsid w:val="00F753CA"/>
    <w:rsid w:val="00F759BF"/>
    <w:rsid w:val="00F77C6F"/>
    <w:rsid w:val="00F817BF"/>
    <w:rsid w:val="00F81836"/>
    <w:rsid w:val="00F81B4A"/>
    <w:rsid w:val="00F82011"/>
    <w:rsid w:val="00F825FE"/>
    <w:rsid w:val="00F8329E"/>
    <w:rsid w:val="00F83FAF"/>
    <w:rsid w:val="00F84A9D"/>
    <w:rsid w:val="00F8654F"/>
    <w:rsid w:val="00F8674A"/>
    <w:rsid w:val="00F9013F"/>
    <w:rsid w:val="00F90469"/>
    <w:rsid w:val="00F9213C"/>
    <w:rsid w:val="00F92426"/>
    <w:rsid w:val="00F92AA0"/>
    <w:rsid w:val="00F95A50"/>
    <w:rsid w:val="00F971E0"/>
    <w:rsid w:val="00F9772E"/>
    <w:rsid w:val="00FA0437"/>
    <w:rsid w:val="00FA17AC"/>
    <w:rsid w:val="00FA1A74"/>
    <w:rsid w:val="00FA1D3B"/>
    <w:rsid w:val="00FA3229"/>
    <w:rsid w:val="00FA35ED"/>
    <w:rsid w:val="00FA3D87"/>
    <w:rsid w:val="00FA542A"/>
    <w:rsid w:val="00FA56B6"/>
    <w:rsid w:val="00FA6395"/>
    <w:rsid w:val="00FA755A"/>
    <w:rsid w:val="00FA7F57"/>
    <w:rsid w:val="00FB1646"/>
    <w:rsid w:val="00FB4BEB"/>
    <w:rsid w:val="00FB4C42"/>
    <w:rsid w:val="00FB54CE"/>
    <w:rsid w:val="00FB5915"/>
    <w:rsid w:val="00FB6545"/>
    <w:rsid w:val="00FB6B23"/>
    <w:rsid w:val="00FC0510"/>
    <w:rsid w:val="00FC0706"/>
    <w:rsid w:val="00FC0D54"/>
    <w:rsid w:val="00FC1BF1"/>
    <w:rsid w:val="00FC2EEA"/>
    <w:rsid w:val="00FC46AA"/>
    <w:rsid w:val="00FC587B"/>
    <w:rsid w:val="00FC5C22"/>
    <w:rsid w:val="00FC7820"/>
    <w:rsid w:val="00FD17DA"/>
    <w:rsid w:val="00FD1B18"/>
    <w:rsid w:val="00FD233A"/>
    <w:rsid w:val="00FD2E87"/>
    <w:rsid w:val="00FD36B2"/>
    <w:rsid w:val="00FD4C53"/>
    <w:rsid w:val="00FD68FC"/>
    <w:rsid w:val="00FD6E06"/>
    <w:rsid w:val="00FD7B60"/>
    <w:rsid w:val="00FE0607"/>
    <w:rsid w:val="00FE0925"/>
    <w:rsid w:val="00FE0C4A"/>
    <w:rsid w:val="00FE104C"/>
    <w:rsid w:val="00FE1933"/>
    <w:rsid w:val="00FE1AD6"/>
    <w:rsid w:val="00FE271B"/>
    <w:rsid w:val="00FE4BCB"/>
    <w:rsid w:val="00FE61EA"/>
    <w:rsid w:val="00FF120D"/>
    <w:rsid w:val="00FF1811"/>
    <w:rsid w:val="00FF28F8"/>
    <w:rsid w:val="00FF2947"/>
    <w:rsid w:val="00FF297C"/>
    <w:rsid w:val="00FF45A9"/>
    <w:rsid w:val="00FF6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style="mso-position-horizontal:center;mso-position-horizontal-relative:margin;mso-position-vertical:center;mso-position-vertical-relative:margin" o:allowincell="f" fillcolor="silver" stroke="f">
      <v:fill color="silver" opacity=".5"/>
      <v:stroke on="f"/>
    </o:shapedefaults>
    <o:shapelayout v:ext="edit">
      <o:idmap v:ext="edit" data="1"/>
    </o:shapelayout>
  </w:shapeDefaults>
  <w:decimalSymbol w:val="."/>
  <w:listSeparator w:val=","/>
  <w15:docId w15:val="{939BB826-6528-4AB3-B13F-860F39C90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CDA"/>
    <w:pPr>
      <w:spacing w:before="220" w:after="220" w:line="280" w:lineRule="exact"/>
    </w:pPr>
  </w:style>
  <w:style w:type="paragraph" w:styleId="Heading1">
    <w:name w:val="heading 1"/>
    <w:aliases w:val="numbered"/>
    <w:basedOn w:val="Normal"/>
    <w:next w:val="Normal"/>
    <w:link w:val="Heading1Char"/>
    <w:qFormat/>
    <w:rsid w:val="000B0846"/>
    <w:pPr>
      <w:keepNext/>
      <w:keepLines/>
      <w:spacing w:before="7600" w:after="480"/>
      <w:jc w:val="right"/>
      <w:outlineLvl w:val="0"/>
    </w:pPr>
    <w:rPr>
      <w:rFonts w:ascii="Arial Narrow" w:eastAsiaTheme="majorEastAsia" w:hAnsi="Arial Narrow" w:cstheme="majorBidi"/>
      <w:smallCaps/>
      <w:sz w:val="42"/>
      <w:szCs w:val="32"/>
    </w:rPr>
  </w:style>
  <w:style w:type="paragraph" w:styleId="Heading2">
    <w:name w:val="heading 2"/>
    <w:basedOn w:val="Normal"/>
    <w:next w:val="Normal"/>
    <w:link w:val="Heading2Char"/>
    <w:autoRedefine/>
    <w:unhideWhenUsed/>
    <w:qFormat/>
    <w:rsid w:val="008C0BE9"/>
    <w:pPr>
      <w:keepNext/>
      <w:keepLines/>
      <w:spacing w:before="320" w:after="320" w:line="235" w:lineRule="auto"/>
      <w:outlineLvl w:val="1"/>
    </w:pPr>
    <w:rPr>
      <w:rFonts w:ascii="Arial Narrow" w:eastAsia="Times New Roman" w:hAnsi="Arial Narrow" w:cstheme="majorBidi"/>
      <w:smallCaps/>
      <w:kern w:val="32"/>
      <w:sz w:val="44"/>
      <w:szCs w:val="44"/>
    </w:rPr>
  </w:style>
  <w:style w:type="paragraph" w:styleId="Heading3">
    <w:name w:val="heading 3"/>
    <w:basedOn w:val="Normal"/>
    <w:next w:val="Normal"/>
    <w:link w:val="Heading3Char"/>
    <w:unhideWhenUsed/>
    <w:qFormat/>
    <w:rsid w:val="0021195E"/>
    <w:pPr>
      <w:keepNext/>
      <w:keepLines/>
      <w:spacing w:before="240" w:after="240"/>
      <w:outlineLvl w:val="2"/>
    </w:pPr>
    <w:rPr>
      <w:rFonts w:ascii="Arial Narrow" w:eastAsiaTheme="majorEastAsia" w:hAnsi="Arial Narrow" w:cstheme="majorBidi"/>
      <w:smallCaps/>
      <w:sz w:val="30"/>
      <w:szCs w:val="24"/>
    </w:rPr>
  </w:style>
  <w:style w:type="paragraph" w:styleId="Heading4">
    <w:name w:val="heading 4"/>
    <w:aliases w:val="Heading 4 numbered"/>
    <w:basedOn w:val="Normal"/>
    <w:next w:val="Normal"/>
    <w:link w:val="Heading4Char"/>
    <w:uiPriority w:val="9"/>
    <w:unhideWhenUsed/>
    <w:qFormat/>
    <w:rsid w:val="000C30A9"/>
    <w:pPr>
      <w:keepNext/>
      <w:keepLines/>
      <w:spacing w:before="240" w:after="240"/>
      <w:outlineLvl w:val="3"/>
    </w:pPr>
    <w:rPr>
      <w:rFonts w:ascii="Arial Narrow" w:eastAsiaTheme="majorEastAsia" w:hAnsi="Arial Narrow" w:cstheme="majorBidi"/>
      <w:b/>
      <w:iCs/>
      <w:smallCaps/>
      <w:sz w:val="26"/>
    </w:rPr>
  </w:style>
  <w:style w:type="paragraph" w:styleId="Heading5">
    <w:name w:val="heading 5"/>
    <w:basedOn w:val="Heading6"/>
    <w:next w:val="Normal"/>
    <w:link w:val="Heading5Char"/>
    <w:uiPriority w:val="9"/>
    <w:unhideWhenUsed/>
    <w:qFormat/>
    <w:rsid w:val="00FA3D87"/>
    <w:pPr>
      <w:keepLines w:val="0"/>
      <w:outlineLvl w:val="4"/>
    </w:pPr>
    <w:rPr>
      <w:rFonts w:ascii="Arial Narrow" w:eastAsia="Calibri" w:hAnsi="Arial Narrow"/>
      <w:i w:val="0"/>
      <w:iCs w:val="0"/>
      <w:smallCaps/>
      <w:szCs w:val="24"/>
      <w:lang w:eastAsia="en-AU"/>
    </w:rPr>
  </w:style>
  <w:style w:type="paragraph" w:styleId="Heading6">
    <w:name w:val="heading 6"/>
    <w:basedOn w:val="Heading7"/>
    <w:next w:val="Normal"/>
    <w:link w:val="Heading6Char"/>
    <w:uiPriority w:val="9"/>
    <w:unhideWhenUsed/>
    <w:qFormat/>
    <w:rsid w:val="005C7610"/>
    <w:pPr>
      <w:spacing w:before="220" w:after="220"/>
      <w:outlineLvl w:val="5"/>
    </w:pPr>
    <w:rPr>
      <w:rFonts w:ascii="Calibri" w:hAnsi="Calibri"/>
      <w:i/>
      <w:smallCaps w:val="0"/>
    </w:rPr>
  </w:style>
  <w:style w:type="paragraph" w:styleId="Heading7">
    <w:name w:val="heading 7"/>
    <w:basedOn w:val="Normal"/>
    <w:next w:val="Normal"/>
    <w:link w:val="Heading7Char"/>
    <w:unhideWhenUsed/>
    <w:qFormat/>
    <w:rsid w:val="00B27573"/>
    <w:pPr>
      <w:keepNext/>
      <w:keepLines/>
      <w:spacing w:before="240" w:after="240"/>
      <w:outlineLvl w:val="6"/>
    </w:pPr>
    <w:rPr>
      <w:rFonts w:eastAsiaTheme="majorEastAsia" w:cstheme="majorBidi"/>
      <w:iCs/>
      <w:smallCaps/>
    </w:rPr>
  </w:style>
  <w:style w:type="paragraph" w:styleId="Heading8">
    <w:name w:val="heading 8"/>
    <w:basedOn w:val="Normal"/>
    <w:next w:val="Normal"/>
    <w:link w:val="Heading8Char"/>
    <w:uiPriority w:val="9"/>
    <w:unhideWhenUsed/>
    <w:qFormat/>
    <w:rsid w:val="00713E5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713E5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08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846"/>
  </w:style>
  <w:style w:type="paragraph" w:styleId="Footer">
    <w:name w:val="footer"/>
    <w:basedOn w:val="Normal"/>
    <w:link w:val="FooterChar"/>
    <w:uiPriority w:val="99"/>
    <w:unhideWhenUsed/>
    <w:rsid w:val="000B08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846"/>
  </w:style>
  <w:style w:type="character" w:customStyle="1" w:styleId="Heading1Char">
    <w:name w:val="Heading 1 Char"/>
    <w:aliases w:val="numbered Char"/>
    <w:basedOn w:val="DefaultParagraphFont"/>
    <w:link w:val="Heading1"/>
    <w:rsid w:val="000B0846"/>
    <w:rPr>
      <w:rFonts w:ascii="Arial Narrow" w:eastAsiaTheme="majorEastAsia" w:hAnsi="Arial Narrow" w:cstheme="majorBidi"/>
      <w:smallCaps/>
      <w:sz w:val="42"/>
      <w:szCs w:val="32"/>
    </w:rPr>
  </w:style>
  <w:style w:type="character" w:customStyle="1" w:styleId="Heading2Char">
    <w:name w:val="Heading 2 Char"/>
    <w:basedOn w:val="DefaultParagraphFont"/>
    <w:link w:val="Heading2"/>
    <w:rsid w:val="008C0BE9"/>
    <w:rPr>
      <w:rFonts w:ascii="Arial Narrow" w:eastAsia="Times New Roman" w:hAnsi="Arial Narrow" w:cstheme="majorBidi"/>
      <w:smallCaps/>
      <w:kern w:val="32"/>
      <w:sz w:val="44"/>
      <w:szCs w:val="44"/>
    </w:rPr>
  </w:style>
  <w:style w:type="character" w:customStyle="1" w:styleId="Heading3Char">
    <w:name w:val="Heading 3 Char"/>
    <w:basedOn w:val="DefaultParagraphFont"/>
    <w:link w:val="Heading3"/>
    <w:rsid w:val="0021195E"/>
    <w:rPr>
      <w:rFonts w:ascii="Arial Narrow" w:eastAsiaTheme="majorEastAsia" w:hAnsi="Arial Narrow" w:cstheme="majorBidi"/>
      <w:smallCaps/>
      <w:sz w:val="30"/>
      <w:szCs w:val="24"/>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列出段,列出,列"/>
    <w:basedOn w:val="Normal"/>
    <w:link w:val="ListParagraphChar"/>
    <w:uiPriority w:val="34"/>
    <w:qFormat/>
    <w:rsid w:val="00F6072C"/>
    <w:pPr>
      <w:ind w:left="720"/>
      <w:contextualSpacing/>
    </w:pPr>
  </w:style>
  <w:style w:type="paragraph" w:styleId="BalloonText">
    <w:name w:val="Balloon Text"/>
    <w:basedOn w:val="Normal"/>
    <w:link w:val="BalloonTextChar"/>
    <w:semiHidden/>
    <w:unhideWhenUsed/>
    <w:rsid w:val="00713E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13E5C"/>
    <w:rPr>
      <w:rFonts w:ascii="Segoe UI" w:hAnsi="Segoe UI" w:cs="Segoe UI"/>
      <w:sz w:val="18"/>
      <w:szCs w:val="18"/>
    </w:rPr>
  </w:style>
  <w:style w:type="paragraph" w:styleId="Bibliography">
    <w:name w:val="Bibliography"/>
    <w:basedOn w:val="Normal"/>
    <w:next w:val="Normal"/>
    <w:uiPriority w:val="37"/>
    <w:semiHidden/>
    <w:unhideWhenUsed/>
    <w:rsid w:val="00713E5C"/>
  </w:style>
  <w:style w:type="paragraph" w:styleId="BlockText">
    <w:name w:val="Block Text"/>
    <w:basedOn w:val="Normal"/>
    <w:uiPriority w:val="99"/>
    <w:semiHidden/>
    <w:unhideWhenUsed/>
    <w:rsid w:val="00713E5C"/>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eastAsiaTheme="minorEastAsia"/>
      <w:i/>
      <w:iCs/>
      <w:color w:val="5B9BD5" w:themeColor="accent1"/>
    </w:rPr>
  </w:style>
  <w:style w:type="paragraph" w:styleId="BodyText">
    <w:name w:val="Body Text"/>
    <w:basedOn w:val="Normal"/>
    <w:link w:val="BodyTextChar"/>
    <w:unhideWhenUsed/>
    <w:rsid w:val="00713E5C"/>
    <w:pPr>
      <w:spacing w:after="120"/>
    </w:pPr>
  </w:style>
  <w:style w:type="character" w:customStyle="1" w:styleId="BodyTextChar">
    <w:name w:val="Body Text Char"/>
    <w:basedOn w:val="DefaultParagraphFont"/>
    <w:link w:val="BodyText"/>
    <w:rsid w:val="00713E5C"/>
  </w:style>
  <w:style w:type="paragraph" w:styleId="BodyText2">
    <w:name w:val="Body Text 2"/>
    <w:basedOn w:val="Normal"/>
    <w:link w:val="BodyText2Char"/>
    <w:uiPriority w:val="99"/>
    <w:semiHidden/>
    <w:unhideWhenUsed/>
    <w:rsid w:val="00713E5C"/>
    <w:pPr>
      <w:spacing w:after="120" w:line="480" w:lineRule="auto"/>
    </w:pPr>
  </w:style>
  <w:style w:type="character" w:customStyle="1" w:styleId="BodyText2Char">
    <w:name w:val="Body Text 2 Char"/>
    <w:basedOn w:val="DefaultParagraphFont"/>
    <w:link w:val="BodyText2"/>
    <w:uiPriority w:val="99"/>
    <w:semiHidden/>
    <w:rsid w:val="00713E5C"/>
  </w:style>
  <w:style w:type="paragraph" w:styleId="BodyText3">
    <w:name w:val="Body Text 3"/>
    <w:basedOn w:val="Normal"/>
    <w:link w:val="BodyText3Char"/>
    <w:uiPriority w:val="99"/>
    <w:semiHidden/>
    <w:unhideWhenUsed/>
    <w:rsid w:val="00713E5C"/>
    <w:pPr>
      <w:spacing w:after="120"/>
    </w:pPr>
    <w:rPr>
      <w:sz w:val="16"/>
      <w:szCs w:val="16"/>
    </w:rPr>
  </w:style>
  <w:style w:type="character" w:customStyle="1" w:styleId="BodyText3Char">
    <w:name w:val="Body Text 3 Char"/>
    <w:basedOn w:val="DefaultParagraphFont"/>
    <w:link w:val="BodyText3"/>
    <w:uiPriority w:val="99"/>
    <w:semiHidden/>
    <w:rsid w:val="00713E5C"/>
    <w:rPr>
      <w:sz w:val="16"/>
      <w:szCs w:val="16"/>
    </w:rPr>
  </w:style>
  <w:style w:type="paragraph" w:styleId="BodyTextFirstIndent">
    <w:name w:val="Body Text First Indent"/>
    <w:basedOn w:val="BodyText"/>
    <w:link w:val="BodyTextFirstIndentChar"/>
    <w:uiPriority w:val="99"/>
    <w:semiHidden/>
    <w:unhideWhenUsed/>
    <w:rsid w:val="00713E5C"/>
    <w:pPr>
      <w:spacing w:after="160"/>
      <w:ind w:firstLine="360"/>
    </w:pPr>
  </w:style>
  <w:style w:type="character" w:customStyle="1" w:styleId="BodyTextFirstIndentChar">
    <w:name w:val="Body Text First Indent Char"/>
    <w:basedOn w:val="BodyTextChar"/>
    <w:link w:val="BodyTextFirstIndent"/>
    <w:uiPriority w:val="99"/>
    <w:semiHidden/>
    <w:rsid w:val="00713E5C"/>
  </w:style>
  <w:style w:type="paragraph" w:styleId="BodyTextIndent">
    <w:name w:val="Body Text Indent"/>
    <w:basedOn w:val="Normal"/>
    <w:link w:val="BodyTextIndentChar"/>
    <w:unhideWhenUsed/>
    <w:rsid w:val="00713E5C"/>
    <w:pPr>
      <w:spacing w:after="120"/>
      <w:ind w:left="283"/>
    </w:pPr>
  </w:style>
  <w:style w:type="character" w:customStyle="1" w:styleId="BodyTextIndentChar">
    <w:name w:val="Body Text Indent Char"/>
    <w:basedOn w:val="DefaultParagraphFont"/>
    <w:link w:val="BodyTextIndent"/>
    <w:rsid w:val="00713E5C"/>
  </w:style>
  <w:style w:type="paragraph" w:styleId="BodyTextFirstIndent2">
    <w:name w:val="Body Text First Indent 2"/>
    <w:basedOn w:val="BodyTextIndent"/>
    <w:link w:val="BodyTextFirstIndent2Char"/>
    <w:uiPriority w:val="99"/>
    <w:semiHidden/>
    <w:unhideWhenUsed/>
    <w:rsid w:val="00713E5C"/>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713E5C"/>
  </w:style>
  <w:style w:type="paragraph" w:styleId="BodyTextIndent2">
    <w:name w:val="Body Text Indent 2"/>
    <w:basedOn w:val="Normal"/>
    <w:link w:val="BodyTextIndent2Char"/>
    <w:uiPriority w:val="99"/>
    <w:semiHidden/>
    <w:unhideWhenUsed/>
    <w:rsid w:val="00713E5C"/>
    <w:pPr>
      <w:spacing w:after="120" w:line="480" w:lineRule="auto"/>
      <w:ind w:left="283"/>
    </w:pPr>
  </w:style>
  <w:style w:type="character" w:customStyle="1" w:styleId="BodyTextIndent2Char">
    <w:name w:val="Body Text Indent 2 Char"/>
    <w:basedOn w:val="DefaultParagraphFont"/>
    <w:link w:val="BodyTextIndent2"/>
    <w:uiPriority w:val="99"/>
    <w:semiHidden/>
    <w:rsid w:val="00713E5C"/>
  </w:style>
  <w:style w:type="paragraph" w:styleId="BodyTextIndent3">
    <w:name w:val="Body Text Indent 3"/>
    <w:basedOn w:val="Normal"/>
    <w:link w:val="BodyTextIndent3Char"/>
    <w:uiPriority w:val="99"/>
    <w:semiHidden/>
    <w:unhideWhenUsed/>
    <w:rsid w:val="00713E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13E5C"/>
    <w:rPr>
      <w:sz w:val="16"/>
      <w:szCs w:val="16"/>
    </w:rPr>
  </w:style>
  <w:style w:type="paragraph" w:styleId="Caption">
    <w:name w:val="caption"/>
    <w:basedOn w:val="Normal"/>
    <w:next w:val="Normal"/>
    <w:unhideWhenUsed/>
    <w:qFormat/>
    <w:rsid w:val="00713E5C"/>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13E5C"/>
    <w:pPr>
      <w:spacing w:after="0" w:line="240" w:lineRule="auto"/>
      <w:ind w:left="4252"/>
    </w:pPr>
  </w:style>
  <w:style w:type="character" w:customStyle="1" w:styleId="ClosingChar">
    <w:name w:val="Closing Char"/>
    <w:basedOn w:val="DefaultParagraphFont"/>
    <w:link w:val="Closing"/>
    <w:uiPriority w:val="99"/>
    <w:semiHidden/>
    <w:rsid w:val="00713E5C"/>
  </w:style>
  <w:style w:type="paragraph" w:styleId="CommentText">
    <w:name w:val="annotation text"/>
    <w:basedOn w:val="Normal"/>
    <w:link w:val="CommentTextChar"/>
    <w:unhideWhenUsed/>
    <w:rsid w:val="00713E5C"/>
    <w:pPr>
      <w:spacing w:line="240" w:lineRule="auto"/>
    </w:pPr>
    <w:rPr>
      <w:sz w:val="20"/>
      <w:szCs w:val="20"/>
    </w:rPr>
  </w:style>
  <w:style w:type="character" w:customStyle="1" w:styleId="CommentTextChar">
    <w:name w:val="Comment Text Char"/>
    <w:basedOn w:val="DefaultParagraphFont"/>
    <w:link w:val="CommentText"/>
    <w:rsid w:val="00713E5C"/>
    <w:rPr>
      <w:sz w:val="20"/>
      <w:szCs w:val="20"/>
    </w:rPr>
  </w:style>
  <w:style w:type="paragraph" w:styleId="CommentSubject">
    <w:name w:val="annotation subject"/>
    <w:basedOn w:val="CommentText"/>
    <w:next w:val="CommentText"/>
    <w:link w:val="CommentSubjectChar"/>
    <w:unhideWhenUsed/>
    <w:rsid w:val="00713E5C"/>
    <w:rPr>
      <w:b/>
      <w:bCs/>
    </w:rPr>
  </w:style>
  <w:style w:type="character" w:customStyle="1" w:styleId="CommentSubjectChar">
    <w:name w:val="Comment Subject Char"/>
    <w:basedOn w:val="CommentTextChar"/>
    <w:link w:val="CommentSubject"/>
    <w:rsid w:val="00713E5C"/>
    <w:rPr>
      <w:b/>
      <w:bCs/>
      <w:sz w:val="20"/>
      <w:szCs w:val="20"/>
    </w:rPr>
  </w:style>
  <w:style w:type="paragraph" w:styleId="Date">
    <w:name w:val="Date"/>
    <w:basedOn w:val="Normal"/>
    <w:next w:val="Normal"/>
    <w:link w:val="DateChar"/>
    <w:uiPriority w:val="99"/>
    <w:semiHidden/>
    <w:unhideWhenUsed/>
    <w:rsid w:val="00713E5C"/>
  </w:style>
  <w:style w:type="character" w:customStyle="1" w:styleId="DateChar">
    <w:name w:val="Date Char"/>
    <w:basedOn w:val="DefaultParagraphFont"/>
    <w:link w:val="Date"/>
    <w:uiPriority w:val="99"/>
    <w:semiHidden/>
    <w:rsid w:val="00713E5C"/>
  </w:style>
  <w:style w:type="paragraph" w:styleId="DocumentMap">
    <w:name w:val="Document Map"/>
    <w:basedOn w:val="Normal"/>
    <w:link w:val="DocumentMapChar"/>
    <w:uiPriority w:val="99"/>
    <w:semiHidden/>
    <w:unhideWhenUsed/>
    <w:rsid w:val="00713E5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13E5C"/>
    <w:rPr>
      <w:rFonts w:ascii="Segoe UI" w:hAnsi="Segoe UI" w:cs="Segoe UI"/>
      <w:sz w:val="16"/>
      <w:szCs w:val="16"/>
    </w:rPr>
  </w:style>
  <w:style w:type="paragraph" w:styleId="E-mailSignature">
    <w:name w:val="E-mail Signature"/>
    <w:basedOn w:val="Normal"/>
    <w:link w:val="E-mailSignatureChar"/>
    <w:uiPriority w:val="99"/>
    <w:semiHidden/>
    <w:unhideWhenUsed/>
    <w:rsid w:val="00713E5C"/>
    <w:pPr>
      <w:spacing w:after="0" w:line="240" w:lineRule="auto"/>
    </w:pPr>
  </w:style>
  <w:style w:type="character" w:customStyle="1" w:styleId="E-mailSignatureChar">
    <w:name w:val="E-mail Signature Char"/>
    <w:basedOn w:val="DefaultParagraphFont"/>
    <w:link w:val="E-mailSignature"/>
    <w:uiPriority w:val="99"/>
    <w:semiHidden/>
    <w:rsid w:val="00713E5C"/>
  </w:style>
  <w:style w:type="paragraph" w:styleId="EndnoteText">
    <w:name w:val="endnote text"/>
    <w:basedOn w:val="Normal"/>
    <w:link w:val="EndnoteTextChar"/>
    <w:unhideWhenUsed/>
    <w:rsid w:val="00713E5C"/>
    <w:pPr>
      <w:spacing w:after="0" w:line="240" w:lineRule="auto"/>
    </w:pPr>
    <w:rPr>
      <w:sz w:val="20"/>
      <w:szCs w:val="20"/>
    </w:rPr>
  </w:style>
  <w:style w:type="character" w:customStyle="1" w:styleId="EndnoteTextChar">
    <w:name w:val="Endnote Text Char"/>
    <w:basedOn w:val="DefaultParagraphFont"/>
    <w:link w:val="EndnoteText"/>
    <w:rsid w:val="00713E5C"/>
    <w:rPr>
      <w:sz w:val="20"/>
      <w:szCs w:val="20"/>
    </w:rPr>
  </w:style>
  <w:style w:type="paragraph" w:styleId="EnvelopeAddress">
    <w:name w:val="envelope address"/>
    <w:basedOn w:val="Normal"/>
    <w:uiPriority w:val="99"/>
    <w:semiHidden/>
    <w:unhideWhenUsed/>
    <w:rsid w:val="00713E5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13E5C"/>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unhideWhenUsed/>
    <w:rsid w:val="00B32CDA"/>
    <w:pPr>
      <w:spacing w:after="0" w:line="240" w:lineRule="auto"/>
      <w:ind w:left="115" w:hanging="115"/>
    </w:pPr>
    <w:rPr>
      <w:sz w:val="20"/>
      <w:szCs w:val="20"/>
    </w:rPr>
  </w:style>
  <w:style w:type="character" w:customStyle="1" w:styleId="FootnoteTextChar">
    <w:name w:val="Footnote Text Char"/>
    <w:basedOn w:val="DefaultParagraphFont"/>
    <w:link w:val="FootnoteText"/>
    <w:uiPriority w:val="99"/>
    <w:rsid w:val="00B32CDA"/>
    <w:rPr>
      <w:sz w:val="20"/>
      <w:szCs w:val="20"/>
    </w:rPr>
  </w:style>
  <w:style w:type="character" w:customStyle="1" w:styleId="Heading4Char">
    <w:name w:val="Heading 4 Char"/>
    <w:aliases w:val="Heading 4 numbered Char"/>
    <w:basedOn w:val="DefaultParagraphFont"/>
    <w:link w:val="Heading4"/>
    <w:uiPriority w:val="9"/>
    <w:rsid w:val="000C30A9"/>
    <w:rPr>
      <w:rFonts w:ascii="Arial Narrow" w:eastAsiaTheme="majorEastAsia" w:hAnsi="Arial Narrow" w:cstheme="majorBidi"/>
      <w:b/>
      <w:iCs/>
      <w:smallCaps/>
      <w:sz w:val="26"/>
    </w:rPr>
  </w:style>
  <w:style w:type="character" w:customStyle="1" w:styleId="Heading5Char">
    <w:name w:val="Heading 5 Char"/>
    <w:basedOn w:val="DefaultParagraphFont"/>
    <w:link w:val="Heading5"/>
    <w:uiPriority w:val="9"/>
    <w:rsid w:val="00FA3D87"/>
    <w:rPr>
      <w:rFonts w:ascii="Arial Narrow" w:eastAsia="Calibri" w:hAnsi="Arial Narrow" w:cstheme="majorBidi"/>
      <w:smallCaps/>
      <w:szCs w:val="24"/>
      <w:lang w:eastAsia="en-AU"/>
    </w:rPr>
  </w:style>
  <w:style w:type="character" w:customStyle="1" w:styleId="Heading6Char">
    <w:name w:val="Heading 6 Char"/>
    <w:basedOn w:val="DefaultParagraphFont"/>
    <w:link w:val="Heading6"/>
    <w:uiPriority w:val="9"/>
    <w:rsid w:val="005C7610"/>
    <w:rPr>
      <w:rFonts w:ascii="Calibri" w:eastAsiaTheme="majorEastAsia" w:hAnsi="Calibri" w:cstheme="majorBidi"/>
      <w:i/>
      <w:iCs/>
    </w:rPr>
  </w:style>
  <w:style w:type="character" w:customStyle="1" w:styleId="Heading7Char">
    <w:name w:val="Heading 7 Char"/>
    <w:basedOn w:val="DefaultParagraphFont"/>
    <w:link w:val="Heading7"/>
    <w:rsid w:val="00B27573"/>
    <w:rPr>
      <w:rFonts w:eastAsiaTheme="majorEastAsia" w:cstheme="majorBidi"/>
      <w:iCs/>
      <w:smallCaps/>
    </w:rPr>
  </w:style>
  <w:style w:type="character" w:customStyle="1" w:styleId="Heading8Char">
    <w:name w:val="Heading 8 Char"/>
    <w:basedOn w:val="DefaultParagraphFont"/>
    <w:link w:val="Heading8"/>
    <w:semiHidden/>
    <w:rsid w:val="00713E5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713E5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13E5C"/>
    <w:pPr>
      <w:spacing w:after="0" w:line="240" w:lineRule="auto"/>
    </w:pPr>
    <w:rPr>
      <w:i/>
      <w:iCs/>
    </w:rPr>
  </w:style>
  <w:style w:type="character" w:customStyle="1" w:styleId="HTMLAddressChar">
    <w:name w:val="HTML Address Char"/>
    <w:basedOn w:val="DefaultParagraphFont"/>
    <w:link w:val="HTMLAddress"/>
    <w:uiPriority w:val="99"/>
    <w:semiHidden/>
    <w:rsid w:val="00713E5C"/>
    <w:rPr>
      <w:i/>
      <w:iCs/>
    </w:rPr>
  </w:style>
  <w:style w:type="paragraph" w:styleId="HTMLPreformatted">
    <w:name w:val="HTML Preformatted"/>
    <w:basedOn w:val="Normal"/>
    <w:link w:val="HTMLPreformattedChar"/>
    <w:uiPriority w:val="99"/>
    <w:semiHidden/>
    <w:unhideWhenUsed/>
    <w:rsid w:val="00713E5C"/>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13E5C"/>
    <w:rPr>
      <w:rFonts w:ascii="Consolas" w:hAnsi="Consolas" w:cs="Consolas"/>
      <w:sz w:val="20"/>
      <w:szCs w:val="20"/>
    </w:rPr>
  </w:style>
  <w:style w:type="paragraph" w:styleId="Index1">
    <w:name w:val="index 1"/>
    <w:basedOn w:val="Normal"/>
    <w:next w:val="Normal"/>
    <w:autoRedefine/>
    <w:uiPriority w:val="99"/>
    <w:semiHidden/>
    <w:unhideWhenUsed/>
    <w:rsid w:val="00713E5C"/>
    <w:pPr>
      <w:spacing w:after="0" w:line="240" w:lineRule="auto"/>
      <w:ind w:left="220" w:hanging="220"/>
    </w:pPr>
  </w:style>
  <w:style w:type="paragraph" w:styleId="Index2">
    <w:name w:val="index 2"/>
    <w:basedOn w:val="Normal"/>
    <w:next w:val="Normal"/>
    <w:autoRedefine/>
    <w:uiPriority w:val="99"/>
    <w:semiHidden/>
    <w:unhideWhenUsed/>
    <w:rsid w:val="00713E5C"/>
    <w:pPr>
      <w:spacing w:after="0" w:line="240" w:lineRule="auto"/>
      <w:ind w:left="440" w:hanging="220"/>
    </w:pPr>
  </w:style>
  <w:style w:type="paragraph" w:styleId="Index3">
    <w:name w:val="index 3"/>
    <w:basedOn w:val="Normal"/>
    <w:next w:val="Normal"/>
    <w:autoRedefine/>
    <w:uiPriority w:val="99"/>
    <w:semiHidden/>
    <w:unhideWhenUsed/>
    <w:rsid w:val="00713E5C"/>
    <w:pPr>
      <w:spacing w:after="0" w:line="240" w:lineRule="auto"/>
      <w:ind w:left="660" w:hanging="220"/>
    </w:pPr>
  </w:style>
  <w:style w:type="paragraph" w:styleId="Index4">
    <w:name w:val="index 4"/>
    <w:basedOn w:val="Normal"/>
    <w:next w:val="Normal"/>
    <w:autoRedefine/>
    <w:uiPriority w:val="99"/>
    <w:semiHidden/>
    <w:unhideWhenUsed/>
    <w:rsid w:val="00713E5C"/>
    <w:pPr>
      <w:spacing w:after="0" w:line="240" w:lineRule="auto"/>
      <w:ind w:left="880" w:hanging="220"/>
    </w:pPr>
  </w:style>
  <w:style w:type="paragraph" w:styleId="Index5">
    <w:name w:val="index 5"/>
    <w:basedOn w:val="Normal"/>
    <w:next w:val="Normal"/>
    <w:autoRedefine/>
    <w:uiPriority w:val="99"/>
    <w:semiHidden/>
    <w:unhideWhenUsed/>
    <w:rsid w:val="00713E5C"/>
    <w:pPr>
      <w:spacing w:after="0" w:line="240" w:lineRule="auto"/>
      <w:ind w:left="1100" w:hanging="220"/>
    </w:pPr>
  </w:style>
  <w:style w:type="paragraph" w:styleId="Index6">
    <w:name w:val="index 6"/>
    <w:basedOn w:val="Normal"/>
    <w:next w:val="Normal"/>
    <w:autoRedefine/>
    <w:uiPriority w:val="99"/>
    <w:semiHidden/>
    <w:unhideWhenUsed/>
    <w:rsid w:val="00713E5C"/>
    <w:pPr>
      <w:spacing w:after="0" w:line="240" w:lineRule="auto"/>
      <w:ind w:left="1320" w:hanging="220"/>
    </w:pPr>
  </w:style>
  <w:style w:type="paragraph" w:styleId="Index7">
    <w:name w:val="index 7"/>
    <w:basedOn w:val="Normal"/>
    <w:next w:val="Normal"/>
    <w:autoRedefine/>
    <w:uiPriority w:val="99"/>
    <w:semiHidden/>
    <w:unhideWhenUsed/>
    <w:rsid w:val="00713E5C"/>
    <w:pPr>
      <w:spacing w:after="0" w:line="240" w:lineRule="auto"/>
      <w:ind w:left="1540" w:hanging="220"/>
    </w:pPr>
  </w:style>
  <w:style w:type="paragraph" w:styleId="Index8">
    <w:name w:val="index 8"/>
    <w:basedOn w:val="Normal"/>
    <w:next w:val="Normal"/>
    <w:autoRedefine/>
    <w:uiPriority w:val="99"/>
    <w:semiHidden/>
    <w:unhideWhenUsed/>
    <w:rsid w:val="00713E5C"/>
    <w:pPr>
      <w:spacing w:after="0" w:line="240" w:lineRule="auto"/>
      <w:ind w:left="1760" w:hanging="220"/>
    </w:pPr>
  </w:style>
  <w:style w:type="paragraph" w:styleId="Index9">
    <w:name w:val="index 9"/>
    <w:basedOn w:val="Normal"/>
    <w:next w:val="Normal"/>
    <w:autoRedefine/>
    <w:uiPriority w:val="99"/>
    <w:semiHidden/>
    <w:unhideWhenUsed/>
    <w:rsid w:val="00713E5C"/>
    <w:pPr>
      <w:spacing w:after="0" w:line="240" w:lineRule="auto"/>
      <w:ind w:left="1980" w:hanging="220"/>
    </w:pPr>
  </w:style>
  <w:style w:type="paragraph" w:styleId="IndexHeading">
    <w:name w:val="index heading"/>
    <w:basedOn w:val="Normal"/>
    <w:next w:val="Index1"/>
    <w:uiPriority w:val="99"/>
    <w:semiHidden/>
    <w:unhideWhenUsed/>
    <w:rsid w:val="00713E5C"/>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713E5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13E5C"/>
    <w:rPr>
      <w:i/>
      <w:iCs/>
      <w:color w:val="5B9BD5" w:themeColor="accent1"/>
    </w:rPr>
  </w:style>
  <w:style w:type="paragraph" w:styleId="List">
    <w:name w:val="List"/>
    <w:basedOn w:val="Normal"/>
    <w:uiPriority w:val="99"/>
    <w:semiHidden/>
    <w:unhideWhenUsed/>
    <w:rsid w:val="00713E5C"/>
    <w:pPr>
      <w:ind w:left="283" w:hanging="283"/>
      <w:contextualSpacing/>
    </w:pPr>
  </w:style>
  <w:style w:type="paragraph" w:styleId="List2">
    <w:name w:val="List 2"/>
    <w:basedOn w:val="Normal"/>
    <w:uiPriority w:val="99"/>
    <w:semiHidden/>
    <w:unhideWhenUsed/>
    <w:rsid w:val="00713E5C"/>
    <w:pPr>
      <w:ind w:left="566" w:hanging="283"/>
      <w:contextualSpacing/>
    </w:pPr>
  </w:style>
  <w:style w:type="paragraph" w:styleId="List3">
    <w:name w:val="List 3"/>
    <w:basedOn w:val="Normal"/>
    <w:uiPriority w:val="99"/>
    <w:semiHidden/>
    <w:unhideWhenUsed/>
    <w:rsid w:val="00713E5C"/>
    <w:pPr>
      <w:ind w:left="849" w:hanging="283"/>
      <w:contextualSpacing/>
    </w:pPr>
  </w:style>
  <w:style w:type="paragraph" w:styleId="List4">
    <w:name w:val="List 4"/>
    <w:basedOn w:val="Normal"/>
    <w:uiPriority w:val="99"/>
    <w:semiHidden/>
    <w:unhideWhenUsed/>
    <w:rsid w:val="00713E5C"/>
    <w:pPr>
      <w:ind w:left="1132" w:hanging="283"/>
      <w:contextualSpacing/>
    </w:pPr>
  </w:style>
  <w:style w:type="paragraph" w:styleId="List5">
    <w:name w:val="List 5"/>
    <w:basedOn w:val="Normal"/>
    <w:uiPriority w:val="99"/>
    <w:semiHidden/>
    <w:unhideWhenUsed/>
    <w:rsid w:val="00713E5C"/>
    <w:pPr>
      <w:ind w:left="1415" w:hanging="283"/>
      <w:contextualSpacing/>
    </w:pPr>
  </w:style>
  <w:style w:type="paragraph" w:styleId="ListBullet">
    <w:name w:val="List Bullet"/>
    <w:basedOn w:val="Normal"/>
    <w:uiPriority w:val="99"/>
    <w:semiHidden/>
    <w:unhideWhenUsed/>
    <w:rsid w:val="00713E5C"/>
    <w:pPr>
      <w:numPr>
        <w:numId w:val="1"/>
      </w:numPr>
      <w:contextualSpacing/>
    </w:pPr>
  </w:style>
  <w:style w:type="paragraph" w:styleId="ListBullet2">
    <w:name w:val="List Bullet 2"/>
    <w:basedOn w:val="Normal"/>
    <w:uiPriority w:val="99"/>
    <w:semiHidden/>
    <w:unhideWhenUsed/>
    <w:rsid w:val="00713E5C"/>
    <w:pPr>
      <w:numPr>
        <w:numId w:val="2"/>
      </w:numPr>
      <w:contextualSpacing/>
    </w:pPr>
  </w:style>
  <w:style w:type="paragraph" w:styleId="ListBullet3">
    <w:name w:val="List Bullet 3"/>
    <w:basedOn w:val="Normal"/>
    <w:uiPriority w:val="99"/>
    <w:semiHidden/>
    <w:unhideWhenUsed/>
    <w:rsid w:val="00713E5C"/>
    <w:pPr>
      <w:numPr>
        <w:numId w:val="3"/>
      </w:numPr>
      <w:contextualSpacing/>
    </w:pPr>
  </w:style>
  <w:style w:type="paragraph" w:styleId="ListBullet4">
    <w:name w:val="List Bullet 4"/>
    <w:basedOn w:val="Normal"/>
    <w:uiPriority w:val="99"/>
    <w:semiHidden/>
    <w:unhideWhenUsed/>
    <w:rsid w:val="00713E5C"/>
    <w:pPr>
      <w:numPr>
        <w:numId w:val="4"/>
      </w:numPr>
      <w:contextualSpacing/>
    </w:pPr>
  </w:style>
  <w:style w:type="paragraph" w:styleId="ListBullet5">
    <w:name w:val="List Bullet 5"/>
    <w:basedOn w:val="Normal"/>
    <w:uiPriority w:val="99"/>
    <w:semiHidden/>
    <w:unhideWhenUsed/>
    <w:rsid w:val="00713E5C"/>
    <w:pPr>
      <w:numPr>
        <w:numId w:val="5"/>
      </w:numPr>
      <w:contextualSpacing/>
    </w:pPr>
  </w:style>
  <w:style w:type="paragraph" w:styleId="ListContinue">
    <w:name w:val="List Continue"/>
    <w:basedOn w:val="Normal"/>
    <w:uiPriority w:val="99"/>
    <w:semiHidden/>
    <w:unhideWhenUsed/>
    <w:rsid w:val="00713E5C"/>
    <w:pPr>
      <w:spacing w:after="120"/>
      <w:ind w:left="283"/>
      <w:contextualSpacing/>
    </w:pPr>
  </w:style>
  <w:style w:type="paragraph" w:styleId="ListContinue2">
    <w:name w:val="List Continue 2"/>
    <w:basedOn w:val="Normal"/>
    <w:uiPriority w:val="99"/>
    <w:semiHidden/>
    <w:unhideWhenUsed/>
    <w:rsid w:val="00713E5C"/>
    <w:pPr>
      <w:spacing w:after="120"/>
      <w:ind w:left="566"/>
      <w:contextualSpacing/>
    </w:pPr>
  </w:style>
  <w:style w:type="paragraph" w:styleId="ListContinue3">
    <w:name w:val="List Continue 3"/>
    <w:basedOn w:val="Normal"/>
    <w:uiPriority w:val="99"/>
    <w:semiHidden/>
    <w:unhideWhenUsed/>
    <w:rsid w:val="00713E5C"/>
    <w:pPr>
      <w:spacing w:after="120"/>
      <w:ind w:left="849"/>
      <w:contextualSpacing/>
    </w:pPr>
  </w:style>
  <w:style w:type="paragraph" w:styleId="ListContinue4">
    <w:name w:val="List Continue 4"/>
    <w:basedOn w:val="Normal"/>
    <w:uiPriority w:val="99"/>
    <w:semiHidden/>
    <w:unhideWhenUsed/>
    <w:rsid w:val="00713E5C"/>
    <w:pPr>
      <w:spacing w:after="120"/>
      <w:ind w:left="1132"/>
      <w:contextualSpacing/>
    </w:pPr>
  </w:style>
  <w:style w:type="paragraph" w:styleId="ListContinue5">
    <w:name w:val="List Continue 5"/>
    <w:basedOn w:val="Normal"/>
    <w:uiPriority w:val="99"/>
    <w:semiHidden/>
    <w:unhideWhenUsed/>
    <w:rsid w:val="00713E5C"/>
    <w:pPr>
      <w:spacing w:after="120"/>
      <w:ind w:left="1415"/>
      <w:contextualSpacing/>
    </w:pPr>
  </w:style>
  <w:style w:type="paragraph" w:styleId="ListNumber">
    <w:name w:val="List Number"/>
    <w:basedOn w:val="Normal"/>
    <w:uiPriority w:val="99"/>
    <w:semiHidden/>
    <w:unhideWhenUsed/>
    <w:rsid w:val="00713E5C"/>
    <w:pPr>
      <w:numPr>
        <w:numId w:val="6"/>
      </w:numPr>
      <w:contextualSpacing/>
    </w:pPr>
  </w:style>
  <w:style w:type="paragraph" w:styleId="ListNumber2">
    <w:name w:val="List Number 2"/>
    <w:basedOn w:val="Normal"/>
    <w:uiPriority w:val="99"/>
    <w:unhideWhenUsed/>
    <w:rsid w:val="00713E5C"/>
    <w:pPr>
      <w:numPr>
        <w:numId w:val="7"/>
      </w:numPr>
      <w:contextualSpacing/>
    </w:pPr>
  </w:style>
  <w:style w:type="paragraph" w:styleId="ListNumber3">
    <w:name w:val="List Number 3"/>
    <w:basedOn w:val="Normal"/>
    <w:uiPriority w:val="99"/>
    <w:semiHidden/>
    <w:unhideWhenUsed/>
    <w:rsid w:val="00713E5C"/>
    <w:pPr>
      <w:numPr>
        <w:numId w:val="8"/>
      </w:numPr>
      <w:contextualSpacing/>
    </w:pPr>
  </w:style>
  <w:style w:type="paragraph" w:styleId="ListNumber4">
    <w:name w:val="List Number 4"/>
    <w:basedOn w:val="Normal"/>
    <w:uiPriority w:val="99"/>
    <w:semiHidden/>
    <w:unhideWhenUsed/>
    <w:rsid w:val="00713E5C"/>
    <w:pPr>
      <w:numPr>
        <w:numId w:val="9"/>
      </w:numPr>
      <w:contextualSpacing/>
    </w:pPr>
  </w:style>
  <w:style w:type="paragraph" w:styleId="ListNumber5">
    <w:name w:val="List Number 5"/>
    <w:basedOn w:val="Normal"/>
    <w:uiPriority w:val="99"/>
    <w:semiHidden/>
    <w:unhideWhenUsed/>
    <w:rsid w:val="00713E5C"/>
    <w:pPr>
      <w:numPr>
        <w:numId w:val="10"/>
      </w:numPr>
      <w:contextualSpacing/>
    </w:pPr>
  </w:style>
  <w:style w:type="paragraph" w:styleId="MacroText">
    <w:name w:val="macro"/>
    <w:link w:val="MacroTextChar"/>
    <w:uiPriority w:val="99"/>
    <w:semiHidden/>
    <w:unhideWhenUsed/>
    <w:rsid w:val="00713E5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713E5C"/>
    <w:rPr>
      <w:rFonts w:ascii="Consolas" w:hAnsi="Consolas" w:cs="Consolas"/>
      <w:sz w:val="20"/>
      <w:szCs w:val="20"/>
    </w:rPr>
  </w:style>
  <w:style w:type="paragraph" w:styleId="MessageHeader">
    <w:name w:val="Message Header"/>
    <w:basedOn w:val="Normal"/>
    <w:link w:val="MessageHeaderChar"/>
    <w:uiPriority w:val="99"/>
    <w:semiHidden/>
    <w:unhideWhenUsed/>
    <w:rsid w:val="00713E5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13E5C"/>
    <w:rPr>
      <w:rFonts w:asciiTheme="majorHAnsi" w:eastAsiaTheme="majorEastAsia" w:hAnsiTheme="majorHAnsi" w:cstheme="majorBidi"/>
      <w:sz w:val="24"/>
      <w:szCs w:val="24"/>
      <w:shd w:val="pct20" w:color="auto" w:fill="auto"/>
    </w:rPr>
  </w:style>
  <w:style w:type="paragraph" w:styleId="NoSpacing">
    <w:name w:val="No Spacing"/>
    <w:uiPriority w:val="1"/>
    <w:qFormat/>
    <w:rsid w:val="00713E5C"/>
    <w:pPr>
      <w:spacing w:after="0" w:line="240" w:lineRule="auto"/>
    </w:pPr>
  </w:style>
  <w:style w:type="paragraph" w:styleId="NormalWeb">
    <w:name w:val="Normal (Web)"/>
    <w:basedOn w:val="Normal"/>
    <w:uiPriority w:val="99"/>
    <w:unhideWhenUsed/>
    <w:rsid w:val="00713E5C"/>
    <w:rPr>
      <w:rFonts w:ascii="Times New Roman" w:hAnsi="Times New Roman" w:cs="Times New Roman"/>
      <w:sz w:val="24"/>
      <w:szCs w:val="24"/>
    </w:rPr>
  </w:style>
  <w:style w:type="paragraph" w:styleId="NormalIndent">
    <w:name w:val="Normal Indent"/>
    <w:basedOn w:val="Normal"/>
    <w:uiPriority w:val="99"/>
    <w:semiHidden/>
    <w:unhideWhenUsed/>
    <w:rsid w:val="00713E5C"/>
    <w:pPr>
      <w:ind w:left="720"/>
    </w:pPr>
  </w:style>
  <w:style w:type="paragraph" w:styleId="NoteHeading">
    <w:name w:val="Note Heading"/>
    <w:basedOn w:val="Normal"/>
    <w:next w:val="Normal"/>
    <w:link w:val="NoteHeadingChar"/>
    <w:uiPriority w:val="99"/>
    <w:semiHidden/>
    <w:unhideWhenUsed/>
    <w:rsid w:val="00713E5C"/>
    <w:pPr>
      <w:spacing w:after="0" w:line="240" w:lineRule="auto"/>
    </w:pPr>
  </w:style>
  <w:style w:type="character" w:customStyle="1" w:styleId="NoteHeadingChar">
    <w:name w:val="Note Heading Char"/>
    <w:basedOn w:val="DefaultParagraphFont"/>
    <w:link w:val="NoteHeading"/>
    <w:uiPriority w:val="99"/>
    <w:semiHidden/>
    <w:rsid w:val="00713E5C"/>
  </w:style>
  <w:style w:type="paragraph" w:styleId="PlainText">
    <w:name w:val="Plain Text"/>
    <w:basedOn w:val="Normal"/>
    <w:link w:val="PlainTextChar"/>
    <w:uiPriority w:val="99"/>
    <w:unhideWhenUsed/>
    <w:rsid w:val="00713E5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713E5C"/>
    <w:rPr>
      <w:rFonts w:ascii="Consolas" w:hAnsi="Consolas" w:cs="Consolas"/>
      <w:sz w:val="21"/>
      <w:szCs w:val="21"/>
    </w:rPr>
  </w:style>
  <w:style w:type="paragraph" w:styleId="Quote">
    <w:name w:val="Quote"/>
    <w:basedOn w:val="Normal"/>
    <w:next w:val="Normal"/>
    <w:link w:val="QuoteChar"/>
    <w:uiPriority w:val="29"/>
    <w:qFormat/>
    <w:rsid w:val="00ED4734"/>
    <w:pPr>
      <w:ind w:left="709"/>
    </w:pPr>
  </w:style>
  <w:style w:type="character" w:customStyle="1" w:styleId="QuoteChar">
    <w:name w:val="Quote Char"/>
    <w:basedOn w:val="DefaultParagraphFont"/>
    <w:link w:val="Quote"/>
    <w:uiPriority w:val="29"/>
    <w:rsid w:val="00ED4734"/>
  </w:style>
  <w:style w:type="paragraph" w:styleId="Salutation">
    <w:name w:val="Salutation"/>
    <w:basedOn w:val="Normal"/>
    <w:next w:val="Normal"/>
    <w:link w:val="SalutationChar"/>
    <w:uiPriority w:val="99"/>
    <w:semiHidden/>
    <w:unhideWhenUsed/>
    <w:rsid w:val="00713E5C"/>
  </w:style>
  <w:style w:type="character" w:customStyle="1" w:styleId="SalutationChar">
    <w:name w:val="Salutation Char"/>
    <w:basedOn w:val="DefaultParagraphFont"/>
    <w:link w:val="Salutation"/>
    <w:uiPriority w:val="99"/>
    <w:semiHidden/>
    <w:rsid w:val="00713E5C"/>
  </w:style>
  <w:style w:type="paragraph" w:styleId="Signature">
    <w:name w:val="Signature"/>
    <w:basedOn w:val="Normal"/>
    <w:link w:val="SignatureChar"/>
    <w:uiPriority w:val="99"/>
    <w:semiHidden/>
    <w:unhideWhenUsed/>
    <w:rsid w:val="00713E5C"/>
    <w:pPr>
      <w:spacing w:after="0" w:line="240" w:lineRule="auto"/>
      <w:ind w:left="4252"/>
    </w:pPr>
  </w:style>
  <w:style w:type="character" w:customStyle="1" w:styleId="SignatureChar">
    <w:name w:val="Signature Char"/>
    <w:basedOn w:val="DefaultParagraphFont"/>
    <w:link w:val="Signature"/>
    <w:uiPriority w:val="99"/>
    <w:semiHidden/>
    <w:rsid w:val="00713E5C"/>
  </w:style>
  <w:style w:type="paragraph" w:styleId="Subtitle">
    <w:name w:val="Subtitle"/>
    <w:basedOn w:val="Normal"/>
    <w:next w:val="Normal"/>
    <w:link w:val="SubtitleChar"/>
    <w:uiPriority w:val="11"/>
    <w:rsid w:val="00713E5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13E5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13E5C"/>
    <w:pPr>
      <w:spacing w:after="0"/>
      <w:ind w:left="220" w:hanging="220"/>
    </w:pPr>
  </w:style>
  <w:style w:type="paragraph" w:styleId="TableofFigures">
    <w:name w:val="table of figures"/>
    <w:basedOn w:val="Normal"/>
    <w:next w:val="Normal"/>
    <w:uiPriority w:val="99"/>
    <w:semiHidden/>
    <w:unhideWhenUsed/>
    <w:rsid w:val="00713E5C"/>
    <w:pPr>
      <w:spacing w:after="0"/>
    </w:pPr>
  </w:style>
  <w:style w:type="paragraph" w:styleId="Title">
    <w:name w:val="Title"/>
    <w:basedOn w:val="Normal"/>
    <w:next w:val="Normal"/>
    <w:link w:val="TitleChar"/>
    <w:uiPriority w:val="10"/>
    <w:rsid w:val="00713E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E5C"/>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13E5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A0668C"/>
    <w:pPr>
      <w:keepNext/>
      <w:tabs>
        <w:tab w:val="right" w:leader="dot" w:pos="9061"/>
      </w:tabs>
      <w:spacing w:before="240" w:after="40" w:line="312" w:lineRule="auto"/>
      <w:ind w:left="288" w:hanging="288"/>
    </w:pPr>
    <w:rPr>
      <w:rFonts w:ascii="Calibri" w:eastAsia="Times New Roman" w:hAnsi="Calibri" w:cs="Times New Roman"/>
      <w:bCs/>
      <w:smallCaps/>
      <w:noProof/>
      <w:spacing w:val="40"/>
      <w:sz w:val="28"/>
      <w:szCs w:val="28"/>
    </w:rPr>
  </w:style>
  <w:style w:type="paragraph" w:styleId="TOC2">
    <w:name w:val="toc 2"/>
    <w:basedOn w:val="Normal"/>
    <w:next w:val="Normal"/>
    <w:autoRedefine/>
    <w:uiPriority w:val="39"/>
    <w:unhideWhenUsed/>
    <w:rsid w:val="00EB384D"/>
    <w:pPr>
      <w:tabs>
        <w:tab w:val="right" w:leader="dot" w:pos="9061"/>
      </w:tabs>
      <w:spacing w:before="120" w:after="0" w:line="240" w:lineRule="auto"/>
      <w:ind w:left="850" w:hanging="562"/>
    </w:pPr>
    <w:rPr>
      <w:rFonts w:ascii="Calibri" w:eastAsia="Times New Roman" w:hAnsi="Calibri" w:cs="Times New Roman"/>
      <w:b/>
      <w:sz w:val="24"/>
      <w:szCs w:val="24"/>
    </w:rPr>
  </w:style>
  <w:style w:type="paragraph" w:styleId="TOC3">
    <w:name w:val="toc 3"/>
    <w:basedOn w:val="Normal"/>
    <w:next w:val="Normal"/>
    <w:autoRedefine/>
    <w:uiPriority w:val="39"/>
    <w:unhideWhenUsed/>
    <w:rsid w:val="007D6C78"/>
    <w:pPr>
      <w:tabs>
        <w:tab w:val="right" w:leader="dot" w:pos="9016"/>
      </w:tabs>
      <w:spacing w:before="120" w:after="120" w:line="240" w:lineRule="auto"/>
      <w:ind w:left="692"/>
    </w:pPr>
    <w:rPr>
      <w:rFonts w:eastAsia="Times New Roman"/>
      <w:b/>
      <w:smallCaps/>
      <w:noProof/>
    </w:rPr>
  </w:style>
  <w:style w:type="paragraph" w:styleId="TOC4">
    <w:name w:val="toc 4"/>
    <w:basedOn w:val="Normal"/>
    <w:next w:val="Normal"/>
    <w:autoRedefine/>
    <w:unhideWhenUsed/>
    <w:rsid w:val="0097778C"/>
    <w:pPr>
      <w:tabs>
        <w:tab w:val="right" w:leader="dot" w:pos="9016"/>
      </w:tabs>
      <w:spacing w:beforeLines="100" w:afterLines="100" w:line="240" w:lineRule="auto"/>
      <w:ind w:left="658"/>
    </w:pPr>
    <w:rPr>
      <w:rFonts w:ascii="Arial Narrow" w:hAnsi="Arial Narrow"/>
      <w:b/>
      <w:noProof/>
      <w:sz w:val="24"/>
    </w:rPr>
  </w:style>
  <w:style w:type="paragraph" w:styleId="TOC5">
    <w:name w:val="toc 5"/>
    <w:basedOn w:val="Normal"/>
    <w:next w:val="Normal"/>
    <w:autoRedefine/>
    <w:uiPriority w:val="39"/>
    <w:semiHidden/>
    <w:unhideWhenUsed/>
    <w:rsid w:val="00713E5C"/>
    <w:pPr>
      <w:spacing w:after="100"/>
      <w:ind w:left="880"/>
    </w:pPr>
  </w:style>
  <w:style w:type="paragraph" w:styleId="TOC6">
    <w:name w:val="toc 6"/>
    <w:basedOn w:val="Normal"/>
    <w:next w:val="Normal"/>
    <w:autoRedefine/>
    <w:uiPriority w:val="39"/>
    <w:semiHidden/>
    <w:unhideWhenUsed/>
    <w:rsid w:val="00713E5C"/>
    <w:pPr>
      <w:spacing w:after="100"/>
      <w:ind w:left="1100"/>
    </w:pPr>
  </w:style>
  <w:style w:type="paragraph" w:styleId="TOC7">
    <w:name w:val="toc 7"/>
    <w:basedOn w:val="Normal"/>
    <w:next w:val="Normal"/>
    <w:autoRedefine/>
    <w:uiPriority w:val="39"/>
    <w:semiHidden/>
    <w:unhideWhenUsed/>
    <w:rsid w:val="00713E5C"/>
    <w:pPr>
      <w:spacing w:after="100"/>
      <w:ind w:left="1320"/>
    </w:pPr>
  </w:style>
  <w:style w:type="paragraph" w:styleId="TOC8">
    <w:name w:val="toc 8"/>
    <w:basedOn w:val="Normal"/>
    <w:next w:val="Normal"/>
    <w:autoRedefine/>
    <w:uiPriority w:val="39"/>
    <w:semiHidden/>
    <w:unhideWhenUsed/>
    <w:rsid w:val="00713E5C"/>
    <w:pPr>
      <w:spacing w:after="100"/>
      <w:ind w:left="1540"/>
    </w:pPr>
  </w:style>
  <w:style w:type="paragraph" w:styleId="TOC9">
    <w:name w:val="toc 9"/>
    <w:basedOn w:val="Normal"/>
    <w:next w:val="Normal"/>
    <w:autoRedefine/>
    <w:uiPriority w:val="39"/>
    <w:semiHidden/>
    <w:unhideWhenUsed/>
    <w:rsid w:val="00713E5C"/>
    <w:pPr>
      <w:spacing w:after="100"/>
      <w:ind w:left="1760"/>
    </w:pPr>
  </w:style>
  <w:style w:type="paragraph" w:styleId="TOCHeading">
    <w:name w:val="TOC Heading"/>
    <w:basedOn w:val="Heading1"/>
    <w:next w:val="Normal"/>
    <w:unhideWhenUsed/>
    <w:qFormat/>
    <w:rsid w:val="00116E9B"/>
    <w:pPr>
      <w:spacing w:before="240" w:after="240"/>
      <w:jc w:val="left"/>
      <w:outlineLvl w:val="9"/>
    </w:pPr>
    <w:rPr>
      <w:smallCaps w:val="0"/>
      <w:sz w:val="30"/>
    </w:rPr>
  </w:style>
  <w:style w:type="character" w:styleId="Hyperlink">
    <w:name w:val="Hyperlink"/>
    <w:basedOn w:val="DefaultParagraphFont"/>
    <w:uiPriority w:val="99"/>
    <w:unhideWhenUsed/>
    <w:rsid w:val="00AD53EA"/>
    <w:rPr>
      <w:color w:val="0000FF"/>
    </w:rPr>
  </w:style>
  <w:style w:type="character" w:styleId="FootnoteReference">
    <w:name w:val="footnote reference"/>
    <w:aliases w:val="Footnote number,Footnotes refss"/>
    <w:basedOn w:val="DefaultParagraphFont"/>
    <w:uiPriority w:val="99"/>
    <w:unhideWhenUsed/>
    <w:rsid w:val="006013DE"/>
    <w:rPr>
      <w:vertAlign w:val="superscript"/>
    </w:rPr>
  </w:style>
  <w:style w:type="character" w:styleId="Strong">
    <w:name w:val="Strong"/>
    <w:basedOn w:val="DefaultParagraphFont"/>
    <w:uiPriority w:val="22"/>
    <w:qFormat/>
    <w:rsid w:val="00034ADC"/>
    <w:rPr>
      <w:b/>
      <w:bCs/>
    </w:rPr>
  </w:style>
  <w:style w:type="paragraph" w:customStyle="1" w:styleId="Bodycopy">
    <w:name w:val="Body copy"/>
    <w:qFormat/>
    <w:rsid w:val="00133AB1"/>
    <w:pPr>
      <w:widowControl w:val="0"/>
      <w:tabs>
        <w:tab w:val="left" w:pos="1276"/>
      </w:tabs>
      <w:spacing w:before="240" w:after="240" w:line="300" w:lineRule="exact"/>
    </w:pPr>
    <w:rPr>
      <w:rFonts w:ascii="Calibri" w:eastAsia="Calibri" w:hAnsi="Calibri" w:cs="Calibri"/>
      <w:color w:val="000000"/>
      <w:szCs w:val="20"/>
      <w:lang w:eastAsia="en-AU"/>
    </w:rPr>
  </w:style>
  <w:style w:type="character" w:styleId="FollowedHyperlink">
    <w:name w:val="FollowedHyperlink"/>
    <w:basedOn w:val="DefaultParagraphFont"/>
    <w:unhideWhenUsed/>
    <w:rsid w:val="00670CBD"/>
    <w:rPr>
      <w:color w:val="954F72" w:themeColor="followedHyperlink"/>
      <w:u w:val="single"/>
    </w:rPr>
  </w:style>
  <w:style w:type="paragraph" w:customStyle="1" w:styleId="Amain">
    <w:name w:val="A main"/>
    <w:basedOn w:val="Normal"/>
    <w:link w:val="AmainChar"/>
    <w:rsid w:val="00833A3B"/>
    <w:pPr>
      <w:tabs>
        <w:tab w:val="right" w:pos="900"/>
        <w:tab w:val="left" w:pos="1100"/>
      </w:tabs>
      <w:spacing w:before="140" w:after="0" w:line="240" w:lineRule="auto"/>
      <w:ind w:left="1100" w:hanging="1100"/>
      <w:jc w:val="both"/>
      <w:outlineLvl w:val="5"/>
    </w:pPr>
    <w:rPr>
      <w:rFonts w:ascii="Times New Roman" w:eastAsia="Times New Roman" w:hAnsi="Times New Roman" w:cs="Times New Roman"/>
      <w:sz w:val="24"/>
      <w:szCs w:val="20"/>
    </w:rPr>
  </w:style>
  <w:style w:type="paragraph" w:customStyle="1" w:styleId="Apara">
    <w:name w:val="A para"/>
    <w:basedOn w:val="Normal"/>
    <w:link w:val="AparaChar"/>
    <w:rsid w:val="00833A3B"/>
    <w:pPr>
      <w:tabs>
        <w:tab w:val="right" w:pos="1400"/>
        <w:tab w:val="left" w:pos="1600"/>
      </w:tabs>
      <w:spacing w:before="140" w:after="0" w:line="240" w:lineRule="auto"/>
      <w:ind w:left="1600" w:hanging="1600"/>
      <w:jc w:val="both"/>
      <w:outlineLvl w:val="6"/>
    </w:pPr>
    <w:rPr>
      <w:rFonts w:ascii="Times New Roman" w:eastAsia="Times New Roman" w:hAnsi="Times New Roman" w:cs="Times New Roman"/>
      <w:sz w:val="24"/>
      <w:szCs w:val="20"/>
    </w:rPr>
  </w:style>
  <w:style w:type="paragraph" w:customStyle="1" w:styleId="Asubpara">
    <w:name w:val="A subpara"/>
    <w:basedOn w:val="Normal"/>
    <w:rsid w:val="00833A3B"/>
    <w:pPr>
      <w:tabs>
        <w:tab w:val="right" w:pos="1900"/>
        <w:tab w:val="left" w:pos="2100"/>
      </w:tabs>
      <w:spacing w:before="140" w:after="0" w:line="240" w:lineRule="auto"/>
      <w:ind w:left="2100" w:hanging="2100"/>
      <w:jc w:val="both"/>
      <w:outlineLvl w:val="7"/>
    </w:pPr>
    <w:rPr>
      <w:rFonts w:ascii="Times New Roman" w:eastAsia="Times New Roman" w:hAnsi="Times New Roman" w:cs="Times New Roman"/>
      <w:sz w:val="24"/>
      <w:szCs w:val="20"/>
    </w:rPr>
  </w:style>
  <w:style w:type="character" w:customStyle="1" w:styleId="charItals">
    <w:name w:val="charItals"/>
    <w:basedOn w:val="DefaultParagraphFont"/>
    <w:rsid w:val="00833A3B"/>
    <w:rPr>
      <w:rFonts w:cs="Times New Roman"/>
      <w:i/>
    </w:rPr>
  </w:style>
  <w:style w:type="paragraph" w:customStyle="1" w:styleId="aNotepar">
    <w:name w:val="aNotepar"/>
    <w:basedOn w:val="Normal"/>
    <w:next w:val="Normal"/>
    <w:rsid w:val="00833A3B"/>
    <w:pPr>
      <w:spacing w:before="140" w:after="0" w:line="240" w:lineRule="auto"/>
      <w:ind w:left="2400" w:hanging="800"/>
      <w:jc w:val="both"/>
    </w:pPr>
    <w:rPr>
      <w:rFonts w:ascii="Times New Roman" w:eastAsia="Times New Roman" w:hAnsi="Times New Roman" w:cs="Times New Roman"/>
      <w:sz w:val="20"/>
      <w:szCs w:val="20"/>
    </w:rPr>
  </w:style>
  <w:style w:type="character" w:customStyle="1" w:styleId="charCitHyperlinkAbbrev">
    <w:name w:val="charCitHyperlinkAbbrev"/>
    <w:basedOn w:val="Hyperlink"/>
    <w:uiPriority w:val="1"/>
    <w:rsid w:val="00833A3B"/>
    <w:rPr>
      <w:rFonts w:cs="Times New Roman"/>
      <w:color w:val="0563C1" w:themeColor="hyperlink"/>
      <w:u w:val="none"/>
    </w:rPr>
  </w:style>
  <w:style w:type="paragraph" w:customStyle="1" w:styleId="Amainreturn">
    <w:name w:val="A main return"/>
    <w:basedOn w:val="Normal"/>
    <w:link w:val="AmainreturnChar"/>
    <w:rsid w:val="00BC1FB7"/>
    <w:pPr>
      <w:spacing w:before="140" w:after="0" w:line="240" w:lineRule="auto"/>
      <w:ind w:left="1100"/>
      <w:jc w:val="both"/>
    </w:pPr>
    <w:rPr>
      <w:rFonts w:ascii="Times New Roman" w:eastAsia="Times New Roman" w:hAnsi="Times New Roman" w:cs="Times New Roman"/>
      <w:sz w:val="24"/>
      <w:szCs w:val="20"/>
    </w:rPr>
  </w:style>
  <w:style w:type="paragraph" w:customStyle="1" w:styleId="aNote">
    <w:name w:val="aNote"/>
    <w:basedOn w:val="Normal"/>
    <w:link w:val="aNoteChar"/>
    <w:rsid w:val="00BC1FB7"/>
    <w:pPr>
      <w:spacing w:before="140" w:after="0" w:line="240" w:lineRule="auto"/>
      <w:ind w:left="1900" w:hanging="800"/>
      <w:jc w:val="both"/>
    </w:pPr>
    <w:rPr>
      <w:rFonts w:ascii="Times New Roman" w:eastAsia="Times New Roman" w:hAnsi="Times New Roman" w:cs="Times New Roman"/>
      <w:sz w:val="20"/>
      <w:szCs w:val="20"/>
    </w:rPr>
  </w:style>
  <w:style w:type="paragraph" w:customStyle="1" w:styleId="IH5Sec">
    <w:name w:val="I H5 Sec"/>
    <w:basedOn w:val="Normal"/>
    <w:next w:val="Normal"/>
    <w:rsid w:val="00BC1FB7"/>
    <w:pPr>
      <w:keepNext/>
      <w:tabs>
        <w:tab w:val="left" w:pos="1100"/>
      </w:tabs>
      <w:spacing w:before="240" w:after="0" w:line="240" w:lineRule="auto"/>
      <w:ind w:left="1100" w:hanging="1100"/>
    </w:pPr>
    <w:rPr>
      <w:rFonts w:ascii="Arial" w:eastAsia="Times New Roman" w:hAnsi="Arial" w:cs="Times New Roman"/>
      <w:b/>
      <w:sz w:val="24"/>
      <w:szCs w:val="20"/>
    </w:rPr>
  </w:style>
  <w:style w:type="paragraph" w:customStyle="1" w:styleId="Ipara">
    <w:name w:val="I para"/>
    <w:basedOn w:val="Apara"/>
    <w:rsid w:val="00BC1FB7"/>
    <w:pPr>
      <w:outlineLvl w:val="9"/>
    </w:pPr>
  </w:style>
  <w:style w:type="paragraph" w:customStyle="1" w:styleId="PenaltyPara">
    <w:name w:val="PenaltyPara"/>
    <w:basedOn w:val="Normal"/>
    <w:rsid w:val="00BC1FB7"/>
    <w:pPr>
      <w:tabs>
        <w:tab w:val="left" w:pos="0"/>
        <w:tab w:val="right" w:pos="1360"/>
      </w:tabs>
      <w:spacing w:before="60" w:after="0" w:line="240" w:lineRule="auto"/>
      <w:ind w:left="1600" w:hanging="1600"/>
      <w:jc w:val="both"/>
    </w:pPr>
    <w:rPr>
      <w:rFonts w:ascii="Times New Roman" w:eastAsia="Times New Roman" w:hAnsi="Times New Roman" w:cs="Times New Roman"/>
      <w:sz w:val="24"/>
      <w:szCs w:val="20"/>
    </w:rPr>
  </w:style>
  <w:style w:type="paragraph" w:customStyle="1" w:styleId="Penalty">
    <w:name w:val="Penalty"/>
    <w:basedOn w:val="Amainreturn"/>
    <w:rsid w:val="00BC1FB7"/>
  </w:style>
  <w:style w:type="character" w:customStyle="1" w:styleId="aNoteChar">
    <w:name w:val="aNote Char"/>
    <w:basedOn w:val="DefaultParagraphFont"/>
    <w:link w:val="aNote"/>
    <w:locked/>
    <w:rsid w:val="00BC1FB7"/>
    <w:rPr>
      <w:rFonts w:ascii="Times New Roman" w:eastAsia="Times New Roman" w:hAnsi="Times New Roman" w:cs="Times New Roman"/>
      <w:sz w:val="20"/>
      <w:szCs w:val="20"/>
    </w:rPr>
  </w:style>
  <w:style w:type="character" w:customStyle="1" w:styleId="AmainreturnChar">
    <w:name w:val="A main return Char"/>
    <w:basedOn w:val="DefaultParagraphFont"/>
    <w:link w:val="Amainreturn"/>
    <w:locked/>
    <w:rsid w:val="00BC1FB7"/>
    <w:rPr>
      <w:rFonts w:ascii="Times New Roman" w:eastAsia="Times New Roman" w:hAnsi="Times New Roman" w:cs="Times New Roman"/>
      <w:sz w:val="24"/>
      <w:szCs w:val="20"/>
    </w:rPr>
  </w:style>
  <w:style w:type="paragraph" w:customStyle="1" w:styleId="Headiong5">
    <w:name w:val="Headiong 5"/>
    <w:basedOn w:val="Normal"/>
    <w:rsid w:val="007F6E9B"/>
    <w:pPr>
      <w:keepNext/>
      <w:keepLines/>
      <w:outlineLvl w:val="4"/>
    </w:pPr>
    <w:rPr>
      <w:rFonts w:ascii="Arial Narrow" w:eastAsia="Times New Roman" w:hAnsi="Arial Narrow" w:cs="Times New Roman"/>
      <w:iCs/>
      <w:smallCaps/>
      <w:szCs w:val="24"/>
    </w:rPr>
  </w:style>
  <w:style w:type="paragraph" w:customStyle="1" w:styleId="Paper">
    <w:name w:val="Paper"/>
    <w:rsid w:val="00434745"/>
    <w:pPr>
      <w:spacing w:after="120" w:line="240" w:lineRule="auto"/>
    </w:pPr>
    <w:rPr>
      <w:rFonts w:ascii="Times New Roman" w:eastAsia="Times New Roman" w:hAnsi="Times New Roman" w:cs="Times New Roman"/>
      <w:sz w:val="24"/>
      <w:szCs w:val="20"/>
    </w:rPr>
  </w:style>
  <w:style w:type="paragraph" w:customStyle="1" w:styleId="Hyper">
    <w:name w:val="Hyper"/>
    <w:basedOn w:val="Normal"/>
    <w:rsid w:val="0093399E"/>
    <w:pPr>
      <w:spacing w:line="280" w:lineRule="atLeast"/>
    </w:pPr>
    <w:rPr>
      <w:rFonts w:ascii="Calibri" w:eastAsia="Times New Roman" w:hAnsi="Calibri" w:cs="Calibri"/>
      <w:color w:val="1F3864" w:themeColor="accent5" w:themeShade="80"/>
    </w:rPr>
  </w:style>
  <w:style w:type="paragraph" w:customStyle="1" w:styleId="Bodycopynumbered">
    <w:name w:val="Body copy numbered"/>
    <w:rsid w:val="00196028"/>
    <w:pPr>
      <w:keepNext/>
      <w:widowControl w:val="0"/>
      <w:spacing w:before="240" w:after="100" w:line="300" w:lineRule="exact"/>
      <w:ind w:left="567" w:hanging="567"/>
      <w:outlineLvl w:val="1"/>
    </w:pPr>
    <w:rPr>
      <w:rFonts w:ascii="Calibri" w:eastAsia="Calibri" w:hAnsi="Calibri" w:cs="Arial"/>
      <w:bCs/>
      <w:kern w:val="32"/>
      <w:szCs w:val="20"/>
    </w:rPr>
  </w:style>
  <w:style w:type="paragraph" w:customStyle="1" w:styleId="Body">
    <w:name w:val="Body"/>
    <w:basedOn w:val="Paper"/>
    <w:rsid w:val="00BB4F51"/>
    <w:rPr>
      <w:rFonts w:ascii="Calibri" w:hAnsi="Calibri" w:cs="Calibri"/>
      <w:b/>
    </w:rPr>
  </w:style>
  <w:style w:type="paragraph" w:customStyle="1" w:styleId="headingparagraph">
    <w:name w:val="headingparagraph"/>
    <w:basedOn w:val="Normal"/>
    <w:rsid w:val="00B422D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name">
    <w:name w:val="headingname"/>
    <w:basedOn w:val="DefaultParagraphFont"/>
    <w:rsid w:val="00B422D9"/>
  </w:style>
  <w:style w:type="character" w:customStyle="1" w:styleId="listnumber0">
    <w:name w:val="listnumber"/>
    <w:basedOn w:val="DefaultParagraphFont"/>
    <w:rsid w:val="00B422D9"/>
  </w:style>
  <w:style w:type="character" w:customStyle="1" w:styleId="CharSectNo">
    <w:name w:val="CharSectNo"/>
    <w:rsid w:val="00B76B42"/>
    <w:rPr>
      <w:rFonts w:cs="Times New Roman"/>
    </w:rPr>
  </w:style>
  <w:style w:type="paragraph" w:customStyle="1" w:styleId="Schclauseheading">
    <w:name w:val="Sch clause heading"/>
    <w:basedOn w:val="Normal"/>
    <w:next w:val="Normal"/>
    <w:rsid w:val="00B76B42"/>
    <w:pPr>
      <w:keepNext/>
      <w:tabs>
        <w:tab w:val="left" w:pos="1100"/>
      </w:tabs>
      <w:spacing w:before="240" w:after="0" w:line="240" w:lineRule="auto"/>
      <w:ind w:left="1100" w:hanging="1100"/>
      <w:outlineLvl w:val="4"/>
    </w:pPr>
    <w:rPr>
      <w:rFonts w:ascii="Arial" w:eastAsia="Times New Roman" w:hAnsi="Arial" w:cs="Times New Roman"/>
      <w:b/>
      <w:sz w:val="24"/>
      <w:szCs w:val="20"/>
    </w:rPr>
  </w:style>
  <w:style w:type="paragraph" w:customStyle="1" w:styleId="AH5Sec">
    <w:name w:val="A H5 Sec"/>
    <w:basedOn w:val="Normal"/>
    <w:next w:val="Amain"/>
    <w:link w:val="AH5SecChar"/>
    <w:rsid w:val="004B2546"/>
    <w:pPr>
      <w:keepNext/>
      <w:tabs>
        <w:tab w:val="left" w:pos="1100"/>
      </w:tabs>
      <w:spacing w:before="240" w:after="0" w:line="240" w:lineRule="auto"/>
      <w:ind w:left="1100" w:hanging="1100"/>
      <w:outlineLvl w:val="4"/>
    </w:pPr>
    <w:rPr>
      <w:rFonts w:ascii="Arial" w:eastAsia="Times New Roman" w:hAnsi="Arial" w:cs="Times New Roman"/>
      <w:b/>
      <w:sz w:val="24"/>
      <w:szCs w:val="20"/>
    </w:rPr>
  </w:style>
  <w:style w:type="character" w:customStyle="1" w:styleId="charBoldItals">
    <w:name w:val="charBoldItals"/>
    <w:basedOn w:val="DefaultParagraphFont"/>
    <w:rsid w:val="004B2546"/>
    <w:rPr>
      <w:b/>
      <w:i/>
    </w:rPr>
  </w:style>
  <w:style w:type="character" w:customStyle="1" w:styleId="AH5SecChar">
    <w:name w:val="A H5 Sec Char"/>
    <w:basedOn w:val="DefaultParagraphFont"/>
    <w:link w:val="AH5Sec"/>
    <w:locked/>
    <w:rsid w:val="004B2546"/>
    <w:rPr>
      <w:rFonts w:ascii="Arial" w:eastAsia="Times New Roman" w:hAnsi="Arial" w:cs="Times New Roman"/>
      <w:b/>
      <w:sz w:val="24"/>
      <w:szCs w:val="20"/>
    </w:rPr>
  </w:style>
  <w:style w:type="paragraph" w:customStyle="1" w:styleId="PaperTitle">
    <w:name w:val="PaperTitle"/>
    <w:basedOn w:val="Normal"/>
    <w:rsid w:val="003446DE"/>
    <w:pPr>
      <w:tabs>
        <w:tab w:val="left" w:leader="dot" w:pos="6379"/>
      </w:tabs>
      <w:spacing w:before="0" w:after="0" w:line="240" w:lineRule="auto"/>
      <w:ind w:left="284" w:hanging="284"/>
    </w:pPr>
    <w:rPr>
      <w:rFonts w:ascii="Times New (W1)" w:eastAsia="Times New Roman" w:hAnsi="Times New (W1)" w:cs="Times New Roman"/>
      <w:sz w:val="20"/>
      <w:szCs w:val="20"/>
      <w:lang w:eastAsia="en-AU"/>
    </w:rPr>
  </w:style>
  <w:style w:type="paragraph" w:customStyle="1" w:styleId="aDef">
    <w:name w:val="aDef"/>
    <w:basedOn w:val="Normal"/>
    <w:link w:val="aDefChar"/>
    <w:rsid w:val="009B1FDD"/>
    <w:pPr>
      <w:spacing w:before="140" w:after="0" w:line="240" w:lineRule="auto"/>
      <w:ind w:left="1100"/>
      <w:jc w:val="both"/>
    </w:pPr>
    <w:rPr>
      <w:rFonts w:ascii="Times New Roman" w:eastAsia="Times New Roman" w:hAnsi="Times New Roman" w:cs="Times New Roman"/>
      <w:sz w:val="24"/>
      <w:szCs w:val="20"/>
      <w:lang w:eastAsia="en-AU"/>
    </w:rPr>
  </w:style>
  <w:style w:type="character" w:customStyle="1" w:styleId="aDefChar">
    <w:name w:val="aDef Char"/>
    <w:link w:val="aDef"/>
    <w:locked/>
    <w:rsid w:val="009B1FDD"/>
    <w:rPr>
      <w:rFonts w:ascii="Times New Roman" w:eastAsia="Times New Roman" w:hAnsi="Times New Roman" w:cs="Times New Roman"/>
      <w:sz w:val="24"/>
      <w:szCs w:val="20"/>
      <w:lang w:eastAsia="en-AU"/>
    </w:rPr>
  </w:style>
  <w:style w:type="paragraph" w:customStyle="1" w:styleId="Idefpara">
    <w:name w:val="I def para"/>
    <w:basedOn w:val="Ipara"/>
    <w:rsid w:val="009B1FDD"/>
  </w:style>
  <w:style w:type="paragraph" w:customStyle="1" w:styleId="Idefsubpara">
    <w:name w:val="I def subpara"/>
    <w:basedOn w:val="Normal"/>
    <w:rsid w:val="009B1FDD"/>
    <w:pPr>
      <w:tabs>
        <w:tab w:val="right" w:pos="1940"/>
        <w:tab w:val="left" w:pos="2140"/>
      </w:tabs>
      <w:spacing w:before="140" w:after="0" w:line="240" w:lineRule="auto"/>
      <w:ind w:left="2140" w:hanging="2140"/>
      <w:jc w:val="both"/>
    </w:pPr>
    <w:rPr>
      <w:rFonts w:ascii="Times New Roman" w:eastAsia="Times New Roman" w:hAnsi="Times New Roman" w:cs="Times New Roman"/>
      <w:sz w:val="24"/>
      <w:szCs w:val="20"/>
    </w:rPr>
  </w:style>
  <w:style w:type="paragraph" w:customStyle="1" w:styleId="Bodycopybulletlevel2">
    <w:name w:val="Body copy bullet level 2"/>
    <w:rsid w:val="00DF23C5"/>
    <w:pPr>
      <w:keepNext/>
      <w:widowControl w:val="0"/>
      <w:numPr>
        <w:numId w:val="16"/>
      </w:numPr>
      <w:spacing w:after="0" w:line="240" w:lineRule="auto"/>
      <w:ind w:left="1701" w:hanging="567"/>
    </w:pPr>
    <w:rPr>
      <w:rFonts w:ascii="Calibri" w:eastAsia="Times New Roman" w:hAnsi="Calibri" w:cs="Calibri"/>
      <w:color w:val="000000"/>
      <w:szCs w:val="20"/>
      <w:lang w:eastAsia="en-AU"/>
    </w:rPr>
  </w:style>
  <w:style w:type="paragraph" w:customStyle="1" w:styleId="Titleheading">
    <w:name w:val="Title heading"/>
    <w:next w:val="Bodycopy"/>
    <w:rsid w:val="00DF23C5"/>
    <w:pPr>
      <w:keepNext/>
      <w:pageBreakBefore/>
      <w:widowControl w:val="0"/>
      <w:tabs>
        <w:tab w:val="left" w:pos="9643"/>
      </w:tabs>
      <w:spacing w:afterLines="200" w:after="0" w:line="240" w:lineRule="auto"/>
      <w:outlineLvl w:val="0"/>
    </w:pPr>
    <w:rPr>
      <w:rFonts w:ascii="Arial Narrow" w:eastAsia="Calibri" w:hAnsi="Arial Narrow" w:cs="Arial Narrow"/>
      <w:smallCaps/>
      <w:color w:val="000000"/>
      <w:sz w:val="60"/>
      <w:szCs w:val="60"/>
      <w:lang w:eastAsia="en-AU"/>
    </w:rPr>
  </w:style>
  <w:style w:type="table" w:customStyle="1" w:styleId="LightShading1">
    <w:name w:val="Light Shading1"/>
    <w:rsid w:val="00DF23C5"/>
    <w:pPr>
      <w:spacing w:after="0" w:line="240" w:lineRule="auto"/>
    </w:pPr>
    <w:rPr>
      <w:rFonts w:ascii="Calibri" w:eastAsia="Calibri" w:hAnsi="Calibri" w:cs="Times New Roman"/>
      <w:color w:val="000000"/>
      <w:sz w:val="20"/>
      <w:szCs w:val="20"/>
      <w:lang w:eastAsia="en-A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Bulletlistlevel1">
    <w:name w:val="Bullet list  level 1"/>
    <w:qFormat/>
    <w:rsid w:val="00DF23C5"/>
    <w:pPr>
      <w:keepNext/>
      <w:widowControl w:val="0"/>
      <w:numPr>
        <w:numId w:val="15"/>
      </w:numPr>
      <w:spacing w:before="120" w:after="120" w:line="300" w:lineRule="exact"/>
      <w:ind w:left="1134" w:hanging="567"/>
    </w:pPr>
    <w:rPr>
      <w:rFonts w:ascii="Calibri" w:eastAsia="Times New Roman" w:hAnsi="Calibri" w:cs="Calibri"/>
      <w:color w:val="000000"/>
      <w:szCs w:val="20"/>
      <w:lang w:eastAsia="en-AU"/>
    </w:rPr>
  </w:style>
  <w:style w:type="paragraph" w:customStyle="1" w:styleId="Tableheading">
    <w:name w:val="Table heading"/>
    <w:rsid w:val="00DF23C5"/>
    <w:pPr>
      <w:keepNext/>
      <w:widowControl w:val="0"/>
      <w:spacing w:before="120" w:after="120" w:line="240" w:lineRule="auto"/>
    </w:pPr>
    <w:rPr>
      <w:rFonts w:ascii="Arial Narrow" w:eastAsia="Times New Roman" w:hAnsi="Arial Narrow" w:cs="Calibri"/>
      <w:b/>
      <w:bCs/>
      <w:smallCaps/>
      <w:color w:val="FFFFFF"/>
      <w:szCs w:val="20"/>
      <w:lang w:eastAsia="en-AU"/>
    </w:rPr>
  </w:style>
  <w:style w:type="paragraph" w:customStyle="1" w:styleId="Tablebodycopy">
    <w:name w:val="Table body copy"/>
    <w:rsid w:val="00DF23C5"/>
    <w:pPr>
      <w:keepNext/>
      <w:widowControl w:val="0"/>
      <w:spacing w:before="120" w:after="120" w:line="240" w:lineRule="auto"/>
    </w:pPr>
    <w:rPr>
      <w:rFonts w:ascii="Calibri" w:eastAsia="Times New Roman" w:hAnsi="Calibri" w:cs="Calibri"/>
      <w:bCs/>
      <w:szCs w:val="20"/>
      <w:lang w:eastAsia="en-AU"/>
    </w:rPr>
  </w:style>
  <w:style w:type="paragraph" w:customStyle="1" w:styleId="Bulletlistquote">
    <w:name w:val="Bullet list quote"/>
    <w:rsid w:val="00DF23C5"/>
    <w:pPr>
      <w:keepNext/>
      <w:widowControl w:val="0"/>
      <w:spacing w:after="0" w:line="240" w:lineRule="auto"/>
      <w:ind w:left="1701"/>
    </w:pPr>
    <w:rPr>
      <w:rFonts w:ascii="Calibri" w:eastAsia="Times New Roman" w:hAnsi="Calibri" w:cs="Calibri"/>
      <w:i/>
      <w:color w:val="000000"/>
      <w:szCs w:val="20"/>
      <w:lang w:eastAsia="en-AU"/>
    </w:rPr>
  </w:style>
  <w:style w:type="paragraph" w:customStyle="1" w:styleId="TOCHeading1">
    <w:name w:val="TOC Heading1"/>
    <w:rsid w:val="00DF23C5"/>
    <w:pPr>
      <w:keepNext/>
      <w:pageBreakBefore/>
      <w:widowControl w:val="0"/>
      <w:spacing w:after="480" w:line="240" w:lineRule="auto"/>
    </w:pPr>
    <w:rPr>
      <w:rFonts w:ascii="Arial Narrow" w:eastAsia="Calibri" w:hAnsi="Arial Narrow" w:cs="Arial Narrow"/>
      <w:smallCaps/>
      <w:color w:val="000000"/>
      <w:sz w:val="60"/>
      <w:szCs w:val="60"/>
      <w:lang w:eastAsia="en-AU"/>
    </w:rPr>
  </w:style>
  <w:style w:type="paragraph" w:customStyle="1" w:styleId="Heading1nonumber">
    <w:name w:val="Heading 1 no number"/>
    <w:next w:val="Bodycopynumbered"/>
    <w:rsid w:val="00DF23C5"/>
    <w:pPr>
      <w:keepNext/>
      <w:widowControl w:val="0"/>
      <w:spacing w:after="100" w:line="240" w:lineRule="auto"/>
    </w:pPr>
    <w:rPr>
      <w:rFonts w:ascii="Arial Narrow" w:eastAsia="Calibri" w:hAnsi="Arial Narrow" w:cs="Times New Roman"/>
      <w:bCs/>
      <w:smallCaps/>
      <w:color w:val="000000"/>
      <w:sz w:val="44"/>
      <w:szCs w:val="44"/>
    </w:rPr>
  </w:style>
  <w:style w:type="paragraph" w:customStyle="1" w:styleId="Bodycopynumbered2">
    <w:name w:val="Body copy numbered 2"/>
    <w:rsid w:val="00DF23C5"/>
    <w:pPr>
      <w:keepNext/>
      <w:widowControl w:val="0"/>
      <w:numPr>
        <w:numId w:val="21"/>
      </w:numPr>
      <w:spacing w:before="120" w:after="120" w:line="300" w:lineRule="exact"/>
      <w:ind w:left="567" w:hanging="567"/>
    </w:pPr>
    <w:rPr>
      <w:rFonts w:ascii="Calibri" w:eastAsia="Times New Roman" w:hAnsi="Calibri" w:cs="Calibri"/>
      <w:color w:val="000000"/>
      <w:szCs w:val="20"/>
      <w:lang w:eastAsia="en-AU"/>
    </w:rPr>
  </w:style>
  <w:style w:type="paragraph" w:customStyle="1" w:styleId="Committeemembership">
    <w:name w:val="Committee membership"/>
    <w:next w:val="Bodycopy"/>
    <w:rsid w:val="00DF23C5"/>
    <w:pPr>
      <w:keepNext/>
      <w:widowControl w:val="0"/>
      <w:spacing w:beforeLines="100" w:afterLines="100" w:after="0" w:line="240" w:lineRule="auto"/>
      <w:outlineLvl w:val="0"/>
    </w:pPr>
    <w:rPr>
      <w:rFonts w:ascii="Arial Narrow" w:eastAsia="Calibri" w:hAnsi="Arial Narrow" w:cs="Arial Narrow"/>
      <w:smallCaps/>
      <w:sz w:val="44"/>
      <w:szCs w:val="44"/>
    </w:rPr>
  </w:style>
  <w:style w:type="paragraph" w:customStyle="1" w:styleId="Secretariat">
    <w:name w:val="Secretariat"/>
    <w:next w:val="Bodycopy"/>
    <w:rsid w:val="00DF23C5"/>
    <w:pPr>
      <w:spacing w:beforeLines="400" w:afterLines="100" w:after="0" w:line="240" w:lineRule="auto"/>
      <w:outlineLvl w:val="0"/>
    </w:pPr>
    <w:rPr>
      <w:rFonts w:ascii="Arial Narrow" w:eastAsia="Calibri" w:hAnsi="Arial Narrow" w:cs="Arial Narrow"/>
      <w:smallCaps/>
      <w:sz w:val="44"/>
      <w:szCs w:val="44"/>
    </w:rPr>
  </w:style>
  <w:style w:type="paragraph" w:customStyle="1" w:styleId="Contactinformation">
    <w:name w:val="Contact information"/>
    <w:next w:val="Bodycopy"/>
    <w:rsid w:val="00DF23C5"/>
    <w:pPr>
      <w:spacing w:beforeLines="400" w:afterLines="100" w:after="0" w:line="240" w:lineRule="auto"/>
      <w:outlineLvl w:val="0"/>
    </w:pPr>
    <w:rPr>
      <w:rFonts w:ascii="Arial Narrow" w:eastAsia="Calibri" w:hAnsi="Arial Narrow" w:cs="Arial Narrow"/>
      <w:smallCaps/>
      <w:sz w:val="44"/>
      <w:szCs w:val="44"/>
    </w:rPr>
  </w:style>
  <w:style w:type="paragraph" w:customStyle="1" w:styleId="Recommendationsheading">
    <w:name w:val="Recommendations heading"/>
    <w:next w:val="Recommendationbodycopy"/>
    <w:rsid w:val="00DF23C5"/>
    <w:pPr>
      <w:keepNext/>
      <w:pageBreakBefore/>
      <w:widowControl w:val="0"/>
      <w:spacing w:after="240" w:line="240" w:lineRule="auto"/>
    </w:pPr>
    <w:rPr>
      <w:rFonts w:ascii="Arial Narrow" w:eastAsia="Calibri" w:hAnsi="Arial Narrow" w:cs="Times New Roman"/>
      <w:bCs/>
      <w:smallCaps/>
      <w:color w:val="000000"/>
      <w:sz w:val="44"/>
      <w:szCs w:val="44"/>
    </w:rPr>
  </w:style>
  <w:style w:type="character" w:styleId="PageNumber">
    <w:name w:val="page number"/>
    <w:rsid w:val="00DF23C5"/>
    <w:rPr>
      <w:rFonts w:ascii="Calibri" w:hAnsi="Calibri" w:cs="Times New Roman"/>
      <w:b/>
      <w:sz w:val="18"/>
      <w:szCs w:val="18"/>
    </w:rPr>
  </w:style>
  <w:style w:type="paragraph" w:customStyle="1" w:styleId="Recommendationbodycopy">
    <w:name w:val="Recommendation body copy"/>
    <w:rsid w:val="00DF23C5"/>
    <w:pPr>
      <w:keepNext/>
      <w:widowControl w:val="0"/>
      <w:spacing w:after="0" w:line="240" w:lineRule="auto"/>
    </w:pPr>
    <w:rPr>
      <w:rFonts w:ascii="Arial Narrow" w:eastAsia="Calibri" w:hAnsi="Arial Narrow" w:cs="Arial"/>
      <w:bCs/>
      <w:kern w:val="32"/>
      <w:szCs w:val="20"/>
    </w:rPr>
  </w:style>
  <w:style w:type="paragraph" w:customStyle="1" w:styleId="Recommendationbodycopynumbered">
    <w:name w:val="Recommendation body copy numbered"/>
    <w:rsid w:val="00DF23C5"/>
    <w:pPr>
      <w:keepNext/>
      <w:widowControl w:val="0"/>
      <w:numPr>
        <w:ilvl w:val="1"/>
        <w:numId w:val="23"/>
      </w:numPr>
      <w:spacing w:before="200" w:after="200" w:line="240" w:lineRule="auto"/>
      <w:ind w:left="578" w:hanging="578"/>
      <w:outlineLvl w:val="7"/>
    </w:pPr>
    <w:rPr>
      <w:rFonts w:ascii="Arial Narrow" w:eastAsia="Calibri" w:hAnsi="Arial Narrow" w:cs="Arial"/>
      <w:b/>
      <w:bCs/>
      <w:kern w:val="32"/>
      <w:szCs w:val="20"/>
    </w:rPr>
  </w:style>
  <w:style w:type="paragraph" w:customStyle="1" w:styleId="Recommendationheadingbody">
    <w:name w:val="Recommendation heading body"/>
    <w:next w:val="Recommendationbodycopynumbered"/>
    <w:rsid w:val="00DF23C5"/>
    <w:pPr>
      <w:keepNext/>
      <w:widowControl w:val="0"/>
      <w:spacing w:beforeLines="150" w:afterLines="100" w:after="0" w:line="240" w:lineRule="auto"/>
      <w:outlineLvl w:val="6"/>
    </w:pPr>
    <w:rPr>
      <w:rFonts w:ascii="Arial Narrow" w:eastAsia="Calibri" w:hAnsi="Arial Narrow" w:cs="Arial Narrow"/>
      <w:b/>
      <w:smallCaps/>
      <w:sz w:val="30"/>
      <w:szCs w:val="30"/>
    </w:rPr>
  </w:style>
  <w:style w:type="paragraph" w:customStyle="1" w:styleId="Bodycopybulletlevel1alpha">
    <w:name w:val="Body copy bullet level 1 alpha"/>
    <w:rsid w:val="00DF23C5"/>
    <w:pPr>
      <w:keepNext/>
      <w:widowControl w:val="0"/>
      <w:numPr>
        <w:numId w:val="18"/>
      </w:numPr>
      <w:spacing w:after="0" w:line="240" w:lineRule="auto"/>
      <w:ind w:left="851" w:hanging="284"/>
    </w:pPr>
    <w:rPr>
      <w:rFonts w:ascii="Calibri" w:eastAsia="Times New Roman" w:hAnsi="Calibri" w:cs="Calibri"/>
      <w:color w:val="000000"/>
      <w:szCs w:val="20"/>
      <w:lang w:eastAsia="en-AU"/>
    </w:rPr>
  </w:style>
  <w:style w:type="paragraph" w:customStyle="1" w:styleId="Headereven">
    <w:name w:val="Header even"/>
    <w:rsid w:val="00DF23C5"/>
    <w:pPr>
      <w:keepNext/>
      <w:widowControl w:val="0"/>
      <w:tabs>
        <w:tab w:val="center" w:pos="4513"/>
        <w:tab w:val="right" w:pos="9026"/>
      </w:tabs>
      <w:spacing w:after="0" w:line="240" w:lineRule="auto"/>
    </w:pPr>
    <w:rPr>
      <w:rFonts w:ascii="Calibri" w:eastAsia="Calibri" w:hAnsi="Calibri" w:cs="Arial Narrow"/>
      <w:smallCaps/>
      <w:szCs w:val="20"/>
    </w:rPr>
  </w:style>
  <w:style w:type="paragraph" w:customStyle="1" w:styleId="Headerodd">
    <w:name w:val="Header odd"/>
    <w:rsid w:val="00DF23C5"/>
    <w:pPr>
      <w:keepNext/>
      <w:widowControl w:val="0"/>
      <w:tabs>
        <w:tab w:val="center" w:pos="4513"/>
        <w:tab w:val="right" w:pos="9026"/>
      </w:tabs>
      <w:spacing w:after="0" w:line="240" w:lineRule="auto"/>
      <w:jc w:val="right"/>
    </w:pPr>
    <w:rPr>
      <w:rFonts w:ascii="Calibri" w:eastAsia="Calibri" w:hAnsi="Calibri" w:cs="Arial Narrow"/>
      <w:smallCaps/>
      <w:szCs w:val="20"/>
    </w:rPr>
  </w:style>
  <w:style w:type="paragraph" w:customStyle="1" w:styleId="Reportcoverfooter">
    <w:name w:val="Report cover footer"/>
    <w:basedOn w:val="Headerodd"/>
    <w:rsid w:val="00DF23C5"/>
    <w:rPr>
      <w:smallCaps w:val="0"/>
      <w:sz w:val="28"/>
      <w:szCs w:val="28"/>
    </w:rPr>
  </w:style>
  <w:style w:type="paragraph" w:customStyle="1" w:styleId="ReportTitle">
    <w:name w:val="Report Title"/>
    <w:rsid w:val="00DF23C5"/>
    <w:pPr>
      <w:keepNext/>
      <w:widowControl w:val="0"/>
      <w:spacing w:after="480" w:line="240" w:lineRule="auto"/>
      <w:jc w:val="right"/>
    </w:pPr>
    <w:rPr>
      <w:rFonts w:ascii="Arial Narrow" w:eastAsia="Calibri" w:hAnsi="Arial Narrow" w:cs="Arial Narrow"/>
      <w:smallCaps/>
      <w:sz w:val="56"/>
      <w:szCs w:val="56"/>
    </w:rPr>
  </w:style>
  <w:style w:type="paragraph" w:customStyle="1" w:styleId="CommitteeName">
    <w:name w:val="Committee Name"/>
    <w:rsid w:val="00DF23C5"/>
    <w:pPr>
      <w:keepNext/>
      <w:widowControl w:val="0"/>
      <w:spacing w:after="480" w:line="240" w:lineRule="auto"/>
      <w:jc w:val="right"/>
    </w:pPr>
    <w:rPr>
      <w:rFonts w:ascii="Arial Narrow" w:eastAsia="Calibri" w:hAnsi="Arial Narrow" w:cs="Arial Narrow"/>
      <w:smallCaps/>
      <w:sz w:val="44"/>
      <w:szCs w:val="44"/>
    </w:rPr>
  </w:style>
  <w:style w:type="paragraph" w:customStyle="1" w:styleId="Bulletlistalpha">
    <w:name w:val="Bullet list alpha"/>
    <w:rsid w:val="00DF23C5"/>
    <w:pPr>
      <w:keepNext/>
      <w:widowControl w:val="0"/>
      <w:numPr>
        <w:ilvl w:val="1"/>
        <w:numId w:val="16"/>
      </w:numPr>
      <w:spacing w:beforeLines="120" w:afterLines="120" w:after="0" w:line="200" w:lineRule="exact"/>
      <w:ind w:left="1701" w:hanging="567"/>
    </w:pPr>
    <w:rPr>
      <w:rFonts w:ascii="Calibri" w:eastAsia="Times New Roman" w:hAnsi="Calibri" w:cs="Calibri"/>
      <w:color w:val="000000"/>
      <w:spacing w:val="-3"/>
      <w:szCs w:val="20"/>
      <w:lang w:eastAsia="en-AU"/>
    </w:rPr>
  </w:style>
  <w:style w:type="paragraph" w:customStyle="1" w:styleId="Bulletlistroman">
    <w:name w:val="Bullet list roman"/>
    <w:rsid w:val="00DF23C5"/>
    <w:pPr>
      <w:keepNext/>
      <w:widowControl w:val="0"/>
      <w:numPr>
        <w:numId w:val="20"/>
      </w:numPr>
      <w:spacing w:beforeLines="120" w:afterLines="120" w:after="0" w:line="200" w:lineRule="exact"/>
      <w:ind w:left="2268" w:hanging="567"/>
    </w:pPr>
    <w:rPr>
      <w:rFonts w:ascii="Calibri" w:eastAsia="Times New Roman" w:hAnsi="Calibri" w:cs="Calibri"/>
      <w:color w:val="000000"/>
      <w:spacing w:val="-3"/>
      <w:szCs w:val="20"/>
      <w:lang w:eastAsia="en-AU"/>
    </w:rPr>
  </w:style>
  <w:style w:type="paragraph" w:customStyle="1" w:styleId="Heading4nonumber">
    <w:name w:val="Heading 4 no number"/>
    <w:next w:val="Bodycopynumbered"/>
    <w:rsid w:val="00DF23C5"/>
    <w:pPr>
      <w:keepNext/>
      <w:widowControl w:val="0"/>
      <w:spacing w:after="0" w:line="240" w:lineRule="auto"/>
    </w:pPr>
    <w:rPr>
      <w:rFonts w:ascii="Arial Narrow" w:eastAsia="Calibri" w:hAnsi="Arial Narrow" w:cs="Arial Narrow"/>
      <w:smallCaps/>
      <w:sz w:val="26"/>
      <w:szCs w:val="26"/>
    </w:rPr>
  </w:style>
  <w:style w:type="paragraph" w:customStyle="1" w:styleId="aIndent">
    <w:name w:val="(a) Indent"/>
    <w:basedOn w:val="Normal"/>
    <w:rsid w:val="00DF23C5"/>
    <w:pPr>
      <w:tabs>
        <w:tab w:val="left" w:pos="560"/>
      </w:tabs>
      <w:spacing w:before="0" w:after="0" w:line="240" w:lineRule="auto"/>
      <w:ind w:left="1120" w:hanging="1120"/>
    </w:pPr>
    <w:rPr>
      <w:rFonts w:ascii="Times" w:eastAsia="Times New Roman" w:hAnsi="Times" w:cs="Times New Roman"/>
      <w:sz w:val="24"/>
      <w:szCs w:val="20"/>
      <w:lang w:val="en-US" w:eastAsia="en-AU"/>
    </w:rPr>
  </w:style>
  <w:style w:type="numbering" w:customStyle="1" w:styleId="Style1">
    <w:name w:val="Style1"/>
    <w:rsid w:val="00DF23C5"/>
    <w:pPr>
      <w:numPr>
        <w:numId w:val="17"/>
      </w:numPr>
    </w:pPr>
  </w:style>
  <w:style w:type="numbering" w:customStyle="1" w:styleId="Style3">
    <w:name w:val="Style3"/>
    <w:rsid w:val="00DF23C5"/>
    <w:pPr>
      <w:numPr>
        <w:numId w:val="22"/>
      </w:numPr>
    </w:pPr>
  </w:style>
  <w:style w:type="numbering" w:customStyle="1" w:styleId="Style2">
    <w:name w:val="Style2"/>
    <w:rsid w:val="00DF23C5"/>
    <w:pPr>
      <w:numPr>
        <w:numId w:val="19"/>
      </w:numPr>
    </w:pPr>
  </w:style>
  <w:style w:type="paragraph" w:customStyle="1" w:styleId="Default">
    <w:name w:val="Default"/>
    <w:rsid w:val="00DF23C5"/>
    <w:pPr>
      <w:autoSpaceDE w:val="0"/>
      <w:autoSpaceDN w:val="0"/>
      <w:adjustRightInd w:val="0"/>
      <w:spacing w:after="0" w:line="240" w:lineRule="auto"/>
    </w:pPr>
    <w:rPr>
      <w:rFonts w:ascii="Arial Narrow" w:eastAsia="Times New Roman" w:hAnsi="Arial Narrow" w:cs="Arial Narrow"/>
      <w:color w:val="000000"/>
      <w:sz w:val="24"/>
      <w:szCs w:val="24"/>
      <w:lang w:eastAsia="en-AU"/>
    </w:rPr>
  </w:style>
  <w:style w:type="table" w:styleId="TableGrid">
    <w:name w:val="Table Grid"/>
    <w:basedOn w:val="TableNormal"/>
    <w:uiPriority w:val="59"/>
    <w:rsid w:val="00DF23C5"/>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BHeading">
    <w:name w:val="GB Heading"/>
    <w:basedOn w:val="Normal"/>
    <w:link w:val="GBHeadingChar"/>
    <w:rsid w:val="00DF23C5"/>
    <w:pPr>
      <w:spacing w:before="0" w:after="0" w:line="240" w:lineRule="auto"/>
      <w:jc w:val="both"/>
    </w:pPr>
    <w:rPr>
      <w:rFonts w:ascii="AvantGarde Bk BT" w:eastAsia="Times New Roman" w:hAnsi="AvantGarde Bk BT" w:cs="Times New Roman"/>
      <w:b/>
      <w:sz w:val="24"/>
      <w:szCs w:val="24"/>
      <w:lang w:eastAsia="en-AU"/>
    </w:rPr>
  </w:style>
  <w:style w:type="character" w:customStyle="1" w:styleId="GBHeadingChar">
    <w:name w:val="GB Heading Char"/>
    <w:link w:val="GBHeading"/>
    <w:locked/>
    <w:rsid w:val="00DF23C5"/>
    <w:rPr>
      <w:rFonts w:ascii="AvantGarde Bk BT" w:eastAsia="Times New Roman" w:hAnsi="AvantGarde Bk BT" w:cs="Times New Roman"/>
      <w:b/>
      <w:sz w:val="24"/>
      <w:szCs w:val="24"/>
      <w:lang w:eastAsia="en-AU"/>
    </w:rPr>
  </w:style>
  <w:style w:type="paragraph" w:customStyle="1" w:styleId="PaperTitleIndent1">
    <w:name w:val="PaperTitleIndent1"/>
    <w:basedOn w:val="Normal"/>
    <w:uiPriority w:val="99"/>
    <w:rsid w:val="00DF23C5"/>
    <w:pPr>
      <w:spacing w:before="0" w:after="120" w:line="240" w:lineRule="auto"/>
      <w:ind w:right="1701"/>
    </w:pPr>
    <w:rPr>
      <w:rFonts w:ascii="Times New Roman" w:eastAsia="Calibri" w:hAnsi="Times New Roman" w:cs="Times New Roman"/>
      <w:sz w:val="24"/>
      <w:szCs w:val="24"/>
      <w:lang w:eastAsia="en-AU"/>
    </w:rPr>
  </w:style>
  <w:style w:type="paragraph" w:customStyle="1" w:styleId="PaperTitleIndent2">
    <w:name w:val="PaperTitleIndent2"/>
    <w:basedOn w:val="Normal"/>
    <w:uiPriority w:val="99"/>
    <w:rsid w:val="00DF23C5"/>
    <w:pPr>
      <w:spacing w:before="0" w:after="120" w:line="240" w:lineRule="auto"/>
      <w:ind w:left="238" w:right="1701"/>
    </w:pPr>
    <w:rPr>
      <w:rFonts w:ascii="Times New Roman" w:eastAsia="Calibri" w:hAnsi="Times New Roman" w:cs="Times New Roman"/>
      <w:sz w:val="24"/>
      <w:szCs w:val="24"/>
      <w:lang w:eastAsia="en-AU"/>
    </w:rPr>
  </w:style>
  <w:style w:type="character" w:styleId="CommentReference">
    <w:name w:val="annotation reference"/>
    <w:rsid w:val="00DF23C5"/>
    <w:rPr>
      <w:sz w:val="16"/>
      <w:szCs w:val="16"/>
    </w:rPr>
  </w:style>
  <w:style w:type="paragraph" w:customStyle="1" w:styleId="IMain">
    <w:name w:val="I Main"/>
    <w:basedOn w:val="Normal"/>
    <w:rsid w:val="00DF23C5"/>
    <w:pPr>
      <w:tabs>
        <w:tab w:val="right" w:pos="900"/>
        <w:tab w:val="left" w:pos="1100"/>
      </w:tabs>
      <w:spacing w:before="140" w:after="0" w:line="240" w:lineRule="auto"/>
      <w:ind w:left="1100" w:hanging="1100"/>
      <w:jc w:val="both"/>
      <w:outlineLvl w:val="5"/>
    </w:pPr>
    <w:rPr>
      <w:rFonts w:ascii="Times New Roman" w:eastAsia="Times New Roman" w:hAnsi="Times New Roman" w:cs="Times New Roman"/>
      <w:sz w:val="24"/>
      <w:szCs w:val="20"/>
      <w:lang w:eastAsia="en-AU"/>
    </w:rPr>
  </w:style>
  <w:style w:type="paragraph" w:customStyle="1" w:styleId="Resol">
    <w:name w:val="Resol"/>
    <w:basedOn w:val="Committeemembership"/>
    <w:rsid w:val="00DF23C5"/>
    <w:pPr>
      <w:spacing w:before="240" w:after="240"/>
    </w:pPr>
    <w:rPr>
      <w:rFonts w:eastAsia="Times New Roman"/>
    </w:rPr>
  </w:style>
  <w:style w:type="character" w:customStyle="1" w:styleId="charCitHyperlinkItal">
    <w:name w:val="charCitHyperlinkItal"/>
    <w:uiPriority w:val="1"/>
    <w:rsid w:val="00DF23C5"/>
    <w:rPr>
      <w:rFonts w:cs="Times New Roman"/>
      <w:i/>
      <w:color w:val="0000FF"/>
      <w:u w:val="none"/>
    </w:rPr>
  </w:style>
  <w:style w:type="paragraph" w:customStyle="1" w:styleId="aDefpara">
    <w:name w:val="aDef para"/>
    <w:basedOn w:val="Apara"/>
    <w:rsid w:val="00DF23C5"/>
    <w:rPr>
      <w:lang w:eastAsia="en-AU"/>
    </w:rPr>
  </w:style>
  <w:style w:type="paragraph" w:customStyle="1" w:styleId="aExamHdgss">
    <w:name w:val="aExamHdgss"/>
    <w:basedOn w:val="Normal"/>
    <w:next w:val="Normal"/>
    <w:rsid w:val="00DF23C5"/>
    <w:pPr>
      <w:keepNext/>
      <w:spacing w:before="140" w:after="0" w:line="240" w:lineRule="auto"/>
      <w:ind w:left="1100"/>
    </w:pPr>
    <w:rPr>
      <w:rFonts w:ascii="Arial" w:eastAsia="Times New Roman" w:hAnsi="Arial" w:cs="Times New Roman"/>
      <w:b/>
      <w:sz w:val="18"/>
      <w:szCs w:val="20"/>
      <w:lang w:eastAsia="en-AU"/>
    </w:rPr>
  </w:style>
  <w:style w:type="paragraph" w:customStyle="1" w:styleId="aExamss">
    <w:name w:val="aExamss"/>
    <w:basedOn w:val="aNote"/>
    <w:rsid w:val="00DF23C5"/>
    <w:pPr>
      <w:spacing w:before="60"/>
      <w:ind w:left="1100" w:firstLine="0"/>
    </w:pPr>
    <w:rPr>
      <w:lang w:eastAsia="en-AU"/>
    </w:rPr>
  </w:style>
  <w:style w:type="character" w:customStyle="1" w:styleId="aNoteCharChar">
    <w:name w:val="aNote Char Char"/>
    <w:locked/>
    <w:rsid w:val="00DF23C5"/>
    <w:rPr>
      <w:rFonts w:cs="Times New Roman"/>
      <w:lang w:val="x-none" w:eastAsia="en-US"/>
    </w:rPr>
  </w:style>
  <w:style w:type="paragraph" w:customStyle="1" w:styleId="CoverActName">
    <w:name w:val="CoverActName"/>
    <w:basedOn w:val="Normal"/>
    <w:rsid w:val="00DF23C5"/>
    <w:pPr>
      <w:tabs>
        <w:tab w:val="left" w:pos="2600"/>
      </w:tabs>
      <w:overflowPunct w:val="0"/>
      <w:autoSpaceDE w:val="0"/>
      <w:autoSpaceDN w:val="0"/>
      <w:adjustRightInd w:val="0"/>
      <w:spacing w:before="200" w:after="60" w:line="240" w:lineRule="auto"/>
      <w:jc w:val="both"/>
    </w:pPr>
    <w:rPr>
      <w:rFonts w:ascii="Arial" w:eastAsia="Times New Roman" w:hAnsi="Arial" w:cs="Arial"/>
      <w:b/>
      <w:bCs/>
      <w:sz w:val="24"/>
      <w:szCs w:val="24"/>
      <w:lang w:eastAsia="en-AU"/>
    </w:rPr>
  </w:style>
  <w:style w:type="character" w:customStyle="1" w:styleId="AparaChar">
    <w:name w:val="A para Char"/>
    <w:link w:val="Apara"/>
    <w:locked/>
    <w:rsid w:val="00DF23C5"/>
    <w:rPr>
      <w:rFonts w:ascii="Times New Roman" w:eastAsia="Times New Roman" w:hAnsi="Times New Roman" w:cs="Times New Roman"/>
      <w:sz w:val="24"/>
      <w:szCs w:val="20"/>
    </w:rPr>
  </w:style>
  <w:style w:type="paragraph" w:customStyle="1" w:styleId="ESText">
    <w:name w:val="ES_Text"/>
    <w:basedOn w:val="Normal"/>
    <w:uiPriority w:val="99"/>
    <w:rsid w:val="00DF23C5"/>
    <w:pPr>
      <w:spacing w:before="0" w:after="0"/>
    </w:pPr>
    <w:rPr>
      <w:rFonts w:ascii="Times New Roman" w:eastAsia="Times New Roman" w:hAnsi="Times New Roman" w:cs="Times New Roman"/>
      <w:sz w:val="24"/>
      <w:szCs w:val="24"/>
      <w:lang w:eastAsia="en-AU"/>
    </w:rPr>
  </w:style>
  <w:style w:type="character" w:customStyle="1" w:styleId="Mention">
    <w:name w:val="Mention"/>
    <w:uiPriority w:val="99"/>
    <w:semiHidden/>
    <w:unhideWhenUsed/>
    <w:rsid w:val="00DF23C5"/>
    <w:rPr>
      <w:color w:val="2B579A"/>
      <w:shd w:val="clear" w:color="auto" w:fill="E6E6E6"/>
    </w:rPr>
  </w:style>
  <w:style w:type="character" w:customStyle="1" w:styleId="UnresolvedMention">
    <w:name w:val="Unresolved Mention"/>
    <w:uiPriority w:val="99"/>
    <w:semiHidden/>
    <w:unhideWhenUsed/>
    <w:rsid w:val="00DF23C5"/>
    <w:rPr>
      <w:color w:val="808080"/>
      <w:shd w:val="clear" w:color="auto" w:fill="E6E6E6"/>
    </w:rPr>
  </w:style>
  <w:style w:type="numbering" w:styleId="1ai">
    <w:name w:val="Outline List 1"/>
    <w:basedOn w:val="NoList"/>
    <w:rsid w:val="00DF23C5"/>
    <w:pPr>
      <w:numPr>
        <w:numId w:val="24"/>
      </w:numPr>
    </w:pPr>
  </w:style>
  <w:style w:type="paragraph" w:customStyle="1" w:styleId="TableHd">
    <w:name w:val="TableHd"/>
    <w:basedOn w:val="Normal"/>
    <w:rsid w:val="00DF23C5"/>
    <w:pPr>
      <w:keepNext/>
      <w:tabs>
        <w:tab w:val="left" w:pos="0"/>
      </w:tabs>
      <w:spacing w:before="300" w:after="0" w:line="240" w:lineRule="auto"/>
      <w:ind w:left="1200" w:hanging="1200"/>
    </w:pPr>
    <w:rPr>
      <w:rFonts w:ascii="Arial" w:eastAsia="Times New Roman" w:hAnsi="Arial" w:cs="Times New Roman"/>
      <w:b/>
      <w:sz w:val="20"/>
      <w:szCs w:val="20"/>
    </w:rPr>
  </w:style>
  <w:style w:type="paragraph" w:customStyle="1" w:styleId="TableColHd">
    <w:name w:val="TableColHd"/>
    <w:basedOn w:val="Normal"/>
    <w:rsid w:val="00DF23C5"/>
    <w:pPr>
      <w:keepNext/>
      <w:tabs>
        <w:tab w:val="left" w:pos="0"/>
      </w:tabs>
      <w:spacing w:before="0" w:after="60" w:line="240" w:lineRule="auto"/>
    </w:pPr>
    <w:rPr>
      <w:rFonts w:ascii="Arial" w:eastAsia="Times New Roman" w:hAnsi="Arial" w:cs="Times New Roman"/>
      <w:b/>
      <w:sz w:val="18"/>
      <w:szCs w:val="20"/>
    </w:rPr>
  </w:style>
  <w:style w:type="paragraph" w:customStyle="1" w:styleId="TableText">
    <w:name w:val="TableText"/>
    <w:basedOn w:val="Normal"/>
    <w:uiPriority w:val="99"/>
    <w:rsid w:val="00DF23C5"/>
    <w:pPr>
      <w:spacing w:before="60" w:after="60" w:line="240" w:lineRule="auto"/>
    </w:pPr>
    <w:rPr>
      <w:rFonts w:ascii="Times New Roman" w:eastAsia="Times New Roman" w:hAnsi="Times New Roman" w:cs="Times New Roman"/>
      <w:sz w:val="24"/>
      <w:szCs w:val="24"/>
    </w:rPr>
  </w:style>
  <w:style w:type="character" w:customStyle="1" w:styleId="AmainChar">
    <w:name w:val="A main Char"/>
    <w:link w:val="Amain"/>
    <w:locked/>
    <w:rsid w:val="007377EC"/>
    <w:rPr>
      <w:rFonts w:ascii="Times New Roman" w:eastAsia="Times New Roman" w:hAnsi="Times New Roman" w:cs="Times New Roman"/>
      <w:sz w:val="24"/>
      <w:szCs w:val="20"/>
    </w:rPr>
  </w:style>
  <w:style w:type="character" w:customStyle="1" w:styleId="Calibri12">
    <w:name w:val="Calibri 12"/>
    <w:basedOn w:val="DefaultParagraphFont"/>
    <w:uiPriority w:val="1"/>
    <w:qFormat/>
    <w:rsid w:val="00B32DDB"/>
    <w:rPr>
      <w:rFonts w:ascii="Calibri" w:hAnsi="Calibri"/>
      <w:sz w:val="24"/>
    </w:rPr>
  </w:style>
  <w:style w:type="paragraph" w:customStyle="1" w:styleId="ref">
    <w:name w:val="ref"/>
    <w:basedOn w:val="Normal"/>
    <w:next w:val="Normal"/>
    <w:rsid w:val="007E46DC"/>
    <w:pPr>
      <w:spacing w:before="60" w:after="0" w:line="240" w:lineRule="auto"/>
      <w:jc w:val="both"/>
    </w:pPr>
    <w:rPr>
      <w:rFonts w:ascii="Times New Roman" w:eastAsia="Times New Roman" w:hAnsi="Times New Roman" w:cs="Times New Roman"/>
      <w:sz w:val="18"/>
      <w:szCs w:val="20"/>
    </w:rPr>
  </w:style>
  <w:style w:type="paragraph" w:customStyle="1" w:styleId="TableText10">
    <w:name w:val="TableText10"/>
    <w:basedOn w:val="TableText"/>
    <w:rsid w:val="007E46DC"/>
    <w:pPr>
      <w:tabs>
        <w:tab w:val="left" w:pos="0"/>
      </w:tabs>
    </w:pPr>
    <w:rPr>
      <w:sz w:val="20"/>
      <w:szCs w:val="20"/>
    </w:rPr>
  </w:style>
  <w:style w:type="paragraph" w:customStyle="1" w:styleId="TableNumbered">
    <w:name w:val="TableNumbered"/>
    <w:basedOn w:val="TableText10"/>
    <w:qFormat/>
    <w:rsid w:val="007E46DC"/>
    <w:pPr>
      <w:numPr>
        <w:numId w:val="25"/>
      </w:numPr>
    </w:pPr>
  </w:style>
  <w:style w:type="paragraph" w:customStyle="1" w:styleId="Sched-heading">
    <w:name w:val="Sched-heading"/>
    <w:basedOn w:val="Normal"/>
    <w:next w:val="Normal"/>
    <w:rsid w:val="007E46DC"/>
    <w:pPr>
      <w:keepNext/>
      <w:tabs>
        <w:tab w:val="left" w:pos="2600"/>
      </w:tabs>
      <w:spacing w:before="380" w:after="0" w:line="240" w:lineRule="auto"/>
      <w:ind w:left="2600" w:hanging="2600"/>
      <w:outlineLvl w:val="0"/>
    </w:pPr>
    <w:rPr>
      <w:rFonts w:ascii="Arial" w:eastAsia="Times New Roman" w:hAnsi="Arial" w:cs="Times New Roman"/>
      <w:b/>
      <w:sz w:val="34"/>
      <w:szCs w:val="20"/>
    </w:rPr>
  </w:style>
  <w:style w:type="character" w:customStyle="1" w:styleId="CharChapNo">
    <w:name w:val="CharChapNo"/>
    <w:rsid w:val="007E46DC"/>
  </w:style>
  <w:style w:type="character" w:customStyle="1" w:styleId="CharChapText">
    <w:name w:val="CharChapText"/>
    <w:rsid w:val="007E46DC"/>
  </w:style>
  <w:style w:type="paragraph" w:customStyle="1" w:styleId="Calibribody">
    <w:name w:val="Calibri body"/>
    <w:basedOn w:val="AH5Sec"/>
    <w:rsid w:val="00452F37"/>
    <w:pPr>
      <w:tabs>
        <w:tab w:val="clear" w:pos="1100"/>
        <w:tab w:val="left" w:pos="360"/>
        <w:tab w:val="left" w:pos="1440"/>
      </w:tabs>
      <w:spacing w:before="220" w:after="220" w:line="280" w:lineRule="atLeast"/>
      <w:ind w:left="360" w:firstLine="0"/>
    </w:pPr>
    <w:rPr>
      <w:rFonts w:ascii="Calibri" w:hAnsi="Calibri" w:cs="Calibri"/>
      <w:sz w:val="22"/>
      <w:szCs w:val="22"/>
    </w:rPr>
  </w:style>
  <w:style w:type="paragraph" w:customStyle="1" w:styleId="TOCHeading2">
    <w:name w:val="TOC Heading2"/>
    <w:rsid w:val="00AF6CB6"/>
    <w:pPr>
      <w:keepNext/>
      <w:pageBreakBefore/>
      <w:widowControl w:val="0"/>
      <w:spacing w:after="480" w:line="240" w:lineRule="auto"/>
    </w:pPr>
    <w:rPr>
      <w:rFonts w:ascii="Arial Narrow" w:eastAsia="Calibri" w:hAnsi="Arial Narrow" w:cs="Arial Narrow"/>
      <w:smallCaps/>
      <w:color w:val="000000"/>
      <w:sz w:val="60"/>
      <w:szCs w:val="60"/>
      <w:lang w:eastAsia="en-AU"/>
    </w:rPr>
  </w:style>
  <w:style w:type="character" w:styleId="EndnoteReference">
    <w:name w:val="endnote reference"/>
    <w:rsid w:val="00AF6CB6"/>
    <w:rPr>
      <w:vertAlign w:val="superscript"/>
    </w:rPr>
  </w:style>
  <w:style w:type="paragraph" w:customStyle="1" w:styleId="LongTitle">
    <w:name w:val="LongTitle"/>
    <w:basedOn w:val="Normal"/>
    <w:rsid w:val="001352E7"/>
    <w:pPr>
      <w:spacing w:before="240" w:after="60" w:line="240" w:lineRule="auto"/>
      <w:jc w:val="both"/>
    </w:pPr>
    <w:rPr>
      <w:rFonts w:ascii="Times New Roman" w:eastAsia="Times New Roman" w:hAnsi="Times New Roman" w:cs="Times New Roman"/>
      <w:sz w:val="24"/>
      <w:szCs w:val="24"/>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link w:val="ListParagraph"/>
    <w:uiPriority w:val="34"/>
    <w:qFormat/>
    <w:locked/>
    <w:rsid w:val="00535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3566">
      <w:bodyDiv w:val="1"/>
      <w:marLeft w:val="0"/>
      <w:marRight w:val="0"/>
      <w:marTop w:val="0"/>
      <w:marBottom w:val="0"/>
      <w:divBdr>
        <w:top w:val="none" w:sz="0" w:space="0" w:color="auto"/>
        <w:left w:val="none" w:sz="0" w:space="0" w:color="auto"/>
        <w:bottom w:val="none" w:sz="0" w:space="0" w:color="auto"/>
        <w:right w:val="none" w:sz="0" w:space="0" w:color="auto"/>
      </w:divBdr>
    </w:div>
    <w:div w:id="44761495">
      <w:bodyDiv w:val="1"/>
      <w:marLeft w:val="0"/>
      <w:marRight w:val="0"/>
      <w:marTop w:val="0"/>
      <w:marBottom w:val="0"/>
      <w:divBdr>
        <w:top w:val="none" w:sz="0" w:space="0" w:color="auto"/>
        <w:left w:val="none" w:sz="0" w:space="0" w:color="auto"/>
        <w:bottom w:val="none" w:sz="0" w:space="0" w:color="auto"/>
        <w:right w:val="none" w:sz="0" w:space="0" w:color="auto"/>
      </w:divBdr>
    </w:div>
    <w:div w:id="80682419">
      <w:bodyDiv w:val="1"/>
      <w:marLeft w:val="0"/>
      <w:marRight w:val="0"/>
      <w:marTop w:val="0"/>
      <w:marBottom w:val="0"/>
      <w:divBdr>
        <w:top w:val="none" w:sz="0" w:space="0" w:color="auto"/>
        <w:left w:val="none" w:sz="0" w:space="0" w:color="auto"/>
        <w:bottom w:val="none" w:sz="0" w:space="0" w:color="auto"/>
        <w:right w:val="none" w:sz="0" w:space="0" w:color="auto"/>
      </w:divBdr>
    </w:div>
    <w:div w:id="204761089">
      <w:bodyDiv w:val="1"/>
      <w:marLeft w:val="0"/>
      <w:marRight w:val="0"/>
      <w:marTop w:val="0"/>
      <w:marBottom w:val="0"/>
      <w:divBdr>
        <w:top w:val="none" w:sz="0" w:space="0" w:color="auto"/>
        <w:left w:val="none" w:sz="0" w:space="0" w:color="auto"/>
        <w:bottom w:val="none" w:sz="0" w:space="0" w:color="auto"/>
        <w:right w:val="none" w:sz="0" w:space="0" w:color="auto"/>
      </w:divBdr>
    </w:div>
    <w:div w:id="353387201">
      <w:bodyDiv w:val="1"/>
      <w:marLeft w:val="0"/>
      <w:marRight w:val="0"/>
      <w:marTop w:val="0"/>
      <w:marBottom w:val="0"/>
      <w:divBdr>
        <w:top w:val="none" w:sz="0" w:space="0" w:color="auto"/>
        <w:left w:val="none" w:sz="0" w:space="0" w:color="auto"/>
        <w:bottom w:val="none" w:sz="0" w:space="0" w:color="auto"/>
        <w:right w:val="none" w:sz="0" w:space="0" w:color="auto"/>
      </w:divBdr>
    </w:div>
    <w:div w:id="378287222">
      <w:bodyDiv w:val="1"/>
      <w:marLeft w:val="0"/>
      <w:marRight w:val="0"/>
      <w:marTop w:val="0"/>
      <w:marBottom w:val="0"/>
      <w:divBdr>
        <w:top w:val="none" w:sz="0" w:space="0" w:color="auto"/>
        <w:left w:val="none" w:sz="0" w:space="0" w:color="auto"/>
        <w:bottom w:val="none" w:sz="0" w:space="0" w:color="auto"/>
        <w:right w:val="none" w:sz="0" w:space="0" w:color="auto"/>
      </w:divBdr>
    </w:div>
    <w:div w:id="413749720">
      <w:bodyDiv w:val="1"/>
      <w:marLeft w:val="0"/>
      <w:marRight w:val="0"/>
      <w:marTop w:val="0"/>
      <w:marBottom w:val="0"/>
      <w:divBdr>
        <w:top w:val="none" w:sz="0" w:space="0" w:color="auto"/>
        <w:left w:val="none" w:sz="0" w:space="0" w:color="auto"/>
        <w:bottom w:val="none" w:sz="0" w:space="0" w:color="auto"/>
        <w:right w:val="none" w:sz="0" w:space="0" w:color="auto"/>
      </w:divBdr>
    </w:div>
    <w:div w:id="451359759">
      <w:bodyDiv w:val="1"/>
      <w:marLeft w:val="0"/>
      <w:marRight w:val="0"/>
      <w:marTop w:val="0"/>
      <w:marBottom w:val="0"/>
      <w:divBdr>
        <w:top w:val="none" w:sz="0" w:space="0" w:color="auto"/>
        <w:left w:val="none" w:sz="0" w:space="0" w:color="auto"/>
        <w:bottom w:val="none" w:sz="0" w:space="0" w:color="auto"/>
        <w:right w:val="none" w:sz="0" w:space="0" w:color="auto"/>
      </w:divBdr>
    </w:div>
    <w:div w:id="453252857">
      <w:bodyDiv w:val="1"/>
      <w:marLeft w:val="0"/>
      <w:marRight w:val="0"/>
      <w:marTop w:val="0"/>
      <w:marBottom w:val="0"/>
      <w:divBdr>
        <w:top w:val="none" w:sz="0" w:space="0" w:color="auto"/>
        <w:left w:val="none" w:sz="0" w:space="0" w:color="auto"/>
        <w:bottom w:val="none" w:sz="0" w:space="0" w:color="auto"/>
        <w:right w:val="none" w:sz="0" w:space="0" w:color="auto"/>
      </w:divBdr>
    </w:div>
    <w:div w:id="479882438">
      <w:bodyDiv w:val="1"/>
      <w:marLeft w:val="0"/>
      <w:marRight w:val="0"/>
      <w:marTop w:val="0"/>
      <w:marBottom w:val="0"/>
      <w:divBdr>
        <w:top w:val="none" w:sz="0" w:space="0" w:color="auto"/>
        <w:left w:val="none" w:sz="0" w:space="0" w:color="auto"/>
        <w:bottom w:val="none" w:sz="0" w:space="0" w:color="auto"/>
        <w:right w:val="none" w:sz="0" w:space="0" w:color="auto"/>
      </w:divBdr>
    </w:div>
    <w:div w:id="496581886">
      <w:bodyDiv w:val="1"/>
      <w:marLeft w:val="0"/>
      <w:marRight w:val="0"/>
      <w:marTop w:val="0"/>
      <w:marBottom w:val="0"/>
      <w:divBdr>
        <w:top w:val="none" w:sz="0" w:space="0" w:color="auto"/>
        <w:left w:val="none" w:sz="0" w:space="0" w:color="auto"/>
        <w:bottom w:val="none" w:sz="0" w:space="0" w:color="auto"/>
        <w:right w:val="none" w:sz="0" w:space="0" w:color="auto"/>
      </w:divBdr>
    </w:div>
    <w:div w:id="653217435">
      <w:bodyDiv w:val="1"/>
      <w:marLeft w:val="0"/>
      <w:marRight w:val="0"/>
      <w:marTop w:val="0"/>
      <w:marBottom w:val="0"/>
      <w:divBdr>
        <w:top w:val="none" w:sz="0" w:space="0" w:color="auto"/>
        <w:left w:val="none" w:sz="0" w:space="0" w:color="auto"/>
        <w:bottom w:val="none" w:sz="0" w:space="0" w:color="auto"/>
        <w:right w:val="none" w:sz="0" w:space="0" w:color="auto"/>
      </w:divBdr>
    </w:div>
    <w:div w:id="665597187">
      <w:bodyDiv w:val="1"/>
      <w:marLeft w:val="0"/>
      <w:marRight w:val="0"/>
      <w:marTop w:val="0"/>
      <w:marBottom w:val="0"/>
      <w:divBdr>
        <w:top w:val="none" w:sz="0" w:space="0" w:color="auto"/>
        <w:left w:val="none" w:sz="0" w:space="0" w:color="auto"/>
        <w:bottom w:val="none" w:sz="0" w:space="0" w:color="auto"/>
        <w:right w:val="none" w:sz="0" w:space="0" w:color="auto"/>
      </w:divBdr>
    </w:div>
    <w:div w:id="669332373">
      <w:bodyDiv w:val="1"/>
      <w:marLeft w:val="0"/>
      <w:marRight w:val="0"/>
      <w:marTop w:val="0"/>
      <w:marBottom w:val="0"/>
      <w:divBdr>
        <w:top w:val="none" w:sz="0" w:space="0" w:color="auto"/>
        <w:left w:val="none" w:sz="0" w:space="0" w:color="auto"/>
        <w:bottom w:val="none" w:sz="0" w:space="0" w:color="auto"/>
        <w:right w:val="none" w:sz="0" w:space="0" w:color="auto"/>
      </w:divBdr>
    </w:div>
    <w:div w:id="709569828">
      <w:bodyDiv w:val="1"/>
      <w:marLeft w:val="0"/>
      <w:marRight w:val="0"/>
      <w:marTop w:val="0"/>
      <w:marBottom w:val="0"/>
      <w:divBdr>
        <w:top w:val="none" w:sz="0" w:space="0" w:color="auto"/>
        <w:left w:val="none" w:sz="0" w:space="0" w:color="auto"/>
        <w:bottom w:val="none" w:sz="0" w:space="0" w:color="auto"/>
        <w:right w:val="none" w:sz="0" w:space="0" w:color="auto"/>
      </w:divBdr>
    </w:div>
    <w:div w:id="752706501">
      <w:bodyDiv w:val="1"/>
      <w:marLeft w:val="0"/>
      <w:marRight w:val="0"/>
      <w:marTop w:val="0"/>
      <w:marBottom w:val="0"/>
      <w:divBdr>
        <w:top w:val="none" w:sz="0" w:space="0" w:color="auto"/>
        <w:left w:val="none" w:sz="0" w:space="0" w:color="auto"/>
        <w:bottom w:val="none" w:sz="0" w:space="0" w:color="auto"/>
        <w:right w:val="none" w:sz="0" w:space="0" w:color="auto"/>
      </w:divBdr>
    </w:div>
    <w:div w:id="859782865">
      <w:bodyDiv w:val="1"/>
      <w:marLeft w:val="0"/>
      <w:marRight w:val="0"/>
      <w:marTop w:val="0"/>
      <w:marBottom w:val="0"/>
      <w:divBdr>
        <w:top w:val="none" w:sz="0" w:space="0" w:color="auto"/>
        <w:left w:val="none" w:sz="0" w:space="0" w:color="auto"/>
        <w:bottom w:val="none" w:sz="0" w:space="0" w:color="auto"/>
        <w:right w:val="none" w:sz="0" w:space="0" w:color="auto"/>
      </w:divBdr>
    </w:div>
    <w:div w:id="893808291">
      <w:bodyDiv w:val="1"/>
      <w:marLeft w:val="0"/>
      <w:marRight w:val="0"/>
      <w:marTop w:val="0"/>
      <w:marBottom w:val="0"/>
      <w:divBdr>
        <w:top w:val="none" w:sz="0" w:space="0" w:color="auto"/>
        <w:left w:val="none" w:sz="0" w:space="0" w:color="auto"/>
        <w:bottom w:val="none" w:sz="0" w:space="0" w:color="auto"/>
        <w:right w:val="none" w:sz="0" w:space="0" w:color="auto"/>
      </w:divBdr>
    </w:div>
    <w:div w:id="921261751">
      <w:bodyDiv w:val="1"/>
      <w:marLeft w:val="0"/>
      <w:marRight w:val="0"/>
      <w:marTop w:val="0"/>
      <w:marBottom w:val="0"/>
      <w:divBdr>
        <w:top w:val="none" w:sz="0" w:space="0" w:color="auto"/>
        <w:left w:val="none" w:sz="0" w:space="0" w:color="auto"/>
        <w:bottom w:val="none" w:sz="0" w:space="0" w:color="auto"/>
        <w:right w:val="none" w:sz="0" w:space="0" w:color="auto"/>
      </w:divBdr>
    </w:div>
    <w:div w:id="1040787363">
      <w:bodyDiv w:val="1"/>
      <w:marLeft w:val="0"/>
      <w:marRight w:val="0"/>
      <w:marTop w:val="0"/>
      <w:marBottom w:val="0"/>
      <w:divBdr>
        <w:top w:val="none" w:sz="0" w:space="0" w:color="auto"/>
        <w:left w:val="none" w:sz="0" w:space="0" w:color="auto"/>
        <w:bottom w:val="none" w:sz="0" w:space="0" w:color="auto"/>
        <w:right w:val="none" w:sz="0" w:space="0" w:color="auto"/>
      </w:divBdr>
    </w:div>
    <w:div w:id="1101681319">
      <w:bodyDiv w:val="1"/>
      <w:marLeft w:val="0"/>
      <w:marRight w:val="0"/>
      <w:marTop w:val="0"/>
      <w:marBottom w:val="0"/>
      <w:divBdr>
        <w:top w:val="none" w:sz="0" w:space="0" w:color="auto"/>
        <w:left w:val="none" w:sz="0" w:space="0" w:color="auto"/>
        <w:bottom w:val="none" w:sz="0" w:space="0" w:color="auto"/>
        <w:right w:val="none" w:sz="0" w:space="0" w:color="auto"/>
      </w:divBdr>
    </w:div>
    <w:div w:id="1140925372">
      <w:bodyDiv w:val="1"/>
      <w:marLeft w:val="0"/>
      <w:marRight w:val="0"/>
      <w:marTop w:val="0"/>
      <w:marBottom w:val="0"/>
      <w:divBdr>
        <w:top w:val="none" w:sz="0" w:space="0" w:color="auto"/>
        <w:left w:val="none" w:sz="0" w:space="0" w:color="auto"/>
        <w:bottom w:val="none" w:sz="0" w:space="0" w:color="auto"/>
        <w:right w:val="none" w:sz="0" w:space="0" w:color="auto"/>
      </w:divBdr>
    </w:div>
    <w:div w:id="1159611574">
      <w:bodyDiv w:val="1"/>
      <w:marLeft w:val="0"/>
      <w:marRight w:val="0"/>
      <w:marTop w:val="0"/>
      <w:marBottom w:val="0"/>
      <w:divBdr>
        <w:top w:val="none" w:sz="0" w:space="0" w:color="auto"/>
        <w:left w:val="none" w:sz="0" w:space="0" w:color="auto"/>
        <w:bottom w:val="none" w:sz="0" w:space="0" w:color="auto"/>
        <w:right w:val="none" w:sz="0" w:space="0" w:color="auto"/>
      </w:divBdr>
    </w:div>
    <w:div w:id="1221866825">
      <w:bodyDiv w:val="1"/>
      <w:marLeft w:val="0"/>
      <w:marRight w:val="0"/>
      <w:marTop w:val="0"/>
      <w:marBottom w:val="0"/>
      <w:divBdr>
        <w:top w:val="none" w:sz="0" w:space="0" w:color="auto"/>
        <w:left w:val="none" w:sz="0" w:space="0" w:color="auto"/>
        <w:bottom w:val="none" w:sz="0" w:space="0" w:color="auto"/>
        <w:right w:val="none" w:sz="0" w:space="0" w:color="auto"/>
      </w:divBdr>
    </w:div>
    <w:div w:id="1272972304">
      <w:bodyDiv w:val="1"/>
      <w:marLeft w:val="0"/>
      <w:marRight w:val="0"/>
      <w:marTop w:val="0"/>
      <w:marBottom w:val="0"/>
      <w:divBdr>
        <w:top w:val="none" w:sz="0" w:space="0" w:color="auto"/>
        <w:left w:val="none" w:sz="0" w:space="0" w:color="auto"/>
        <w:bottom w:val="none" w:sz="0" w:space="0" w:color="auto"/>
        <w:right w:val="none" w:sz="0" w:space="0" w:color="auto"/>
      </w:divBdr>
    </w:div>
    <w:div w:id="1288320872">
      <w:bodyDiv w:val="1"/>
      <w:marLeft w:val="0"/>
      <w:marRight w:val="0"/>
      <w:marTop w:val="0"/>
      <w:marBottom w:val="0"/>
      <w:divBdr>
        <w:top w:val="none" w:sz="0" w:space="0" w:color="auto"/>
        <w:left w:val="none" w:sz="0" w:space="0" w:color="auto"/>
        <w:bottom w:val="none" w:sz="0" w:space="0" w:color="auto"/>
        <w:right w:val="none" w:sz="0" w:space="0" w:color="auto"/>
      </w:divBdr>
    </w:div>
    <w:div w:id="1288389191">
      <w:bodyDiv w:val="1"/>
      <w:marLeft w:val="0"/>
      <w:marRight w:val="0"/>
      <w:marTop w:val="0"/>
      <w:marBottom w:val="0"/>
      <w:divBdr>
        <w:top w:val="none" w:sz="0" w:space="0" w:color="auto"/>
        <w:left w:val="none" w:sz="0" w:space="0" w:color="auto"/>
        <w:bottom w:val="none" w:sz="0" w:space="0" w:color="auto"/>
        <w:right w:val="none" w:sz="0" w:space="0" w:color="auto"/>
      </w:divBdr>
    </w:div>
    <w:div w:id="1297570248">
      <w:bodyDiv w:val="1"/>
      <w:marLeft w:val="0"/>
      <w:marRight w:val="0"/>
      <w:marTop w:val="0"/>
      <w:marBottom w:val="0"/>
      <w:divBdr>
        <w:top w:val="none" w:sz="0" w:space="0" w:color="auto"/>
        <w:left w:val="none" w:sz="0" w:space="0" w:color="auto"/>
        <w:bottom w:val="none" w:sz="0" w:space="0" w:color="auto"/>
        <w:right w:val="none" w:sz="0" w:space="0" w:color="auto"/>
      </w:divBdr>
    </w:div>
    <w:div w:id="1307322897">
      <w:bodyDiv w:val="1"/>
      <w:marLeft w:val="0"/>
      <w:marRight w:val="0"/>
      <w:marTop w:val="0"/>
      <w:marBottom w:val="0"/>
      <w:divBdr>
        <w:top w:val="none" w:sz="0" w:space="0" w:color="auto"/>
        <w:left w:val="none" w:sz="0" w:space="0" w:color="auto"/>
        <w:bottom w:val="none" w:sz="0" w:space="0" w:color="auto"/>
        <w:right w:val="none" w:sz="0" w:space="0" w:color="auto"/>
      </w:divBdr>
    </w:div>
    <w:div w:id="1311326864">
      <w:bodyDiv w:val="1"/>
      <w:marLeft w:val="0"/>
      <w:marRight w:val="0"/>
      <w:marTop w:val="0"/>
      <w:marBottom w:val="0"/>
      <w:divBdr>
        <w:top w:val="none" w:sz="0" w:space="0" w:color="auto"/>
        <w:left w:val="none" w:sz="0" w:space="0" w:color="auto"/>
        <w:bottom w:val="none" w:sz="0" w:space="0" w:color="auto"/>
        <w:right w:val="none" w:sz="0" w:space="0" w:color="auto"/>
      </w:divBdr>
    </w:div>
    <w:div w:id="1341810655">
      <w:bodyDiv w:val="1"/>
      <w:marLeft w:val="0"/>
      <w:marRight w:val="0"/>
      <w:marTop w:val="0"/>
      <w:marBottom w:val="0"/>
      <w:divBdr>
        <w:top w:val="none" w:sz="0" w:space="0" w:color="auto"/>
        <w:left w:val="none" w:sz="0" w:space="0" w:color="auto"/>
        <w:bottom w:val="none" w:sz="0" w:space="0" w:color="auto"/>
        <w:right w:val="none" w:sz="0" w:space="0" w:color="auto"/>
      </w:divBdr>
    </w:div>
    <w:div w:id="1405562978">
      <w:bodyDiv w:val="1"/>
      <w:marLeft w:val="0"/>
      <w:marRight w:val="0"/>
      <w:marTop w:val="0"/>
      <w:marBottom w:val="0"/>
      <w:divBdr>
        <w:top w:val="none" w:sz="0" w:space="0" w:color="auto"/>
        <w:left w:val="none" w:sz="0" w:space="0" w:color="auto"/>
        <w:bottom w:val="none" w:sz="0" w:space="0" w:color="auto"/>
        <w:right w:val="none" w:sz="0" w:space="0" w:color="auto"/>
      </w:divBdr>
    </w:div>
    <w:div w:id="1413235515">
      <w:bodyDiv w:val="1"/>
      <w:marLeft w:val="0"/>
      <w:marRight w:val="0"/>
      <w:marTop w:val="0"/>
      <w:marBottom w:val="0"/>
      <w:divBdr>
        <w:top w:val="none" w:sz="0" w:space="0" w:color="auto"/>
        <w:left w:val="none" w:sz="0" w:space="0" w:color="auto"/>
        <w:bottom w:val="none" w:sz="0" w:space="0" w:color="auto"/>
        <w:right w:val="none" w:sz="0" w:space="0" w:color="auto"/>
      </w:divBdr>
    </w:div>
    <w:div w:id="1449006435">
      <w:bodyDiv w:val="1"/>
      <w:marLeft w:val="0"/>
      <w:marRight w:val="0"/>
      <w:marTop w:val="0"/>
      <w:marBottom w:val="0"/>
      <w:divBdr>
        <w:top w:val="none" w:sz="0" w:space="0" w:color="auto"/>
        <w:left w:val="none" w:sz="0" w:space="0" w:color="auto"/>
        <w:bottom w:val="none" w:sz="0" w:space="0" w:color="auto"/>
        <w:right w:val="none" w:sz="0" w:space="0" w:color="auto"/>
      </w:divBdr>
    </w:div>
    <w:div w:id="1456174768">
      <w:bodyDiv w:val="1"/>
      <w:marLeft w:val="0"/>
      <w:marRight w:val="0"/>
      <w:marTop w:val="0"/>
      <w:marBottom w:val="0"/>
      <w:divBdr>
        <w:top w:val="none" w:sz="0" w:space="0" w:color="auto"/>
        <w:left w:val="none" w:sz="0" w:space="0" w:color="auto"/>
        <w:bottom w:val="none" w:sz="0" w:space="0" w:color="auto"/>
        <w:right w:val="none" w:sz="0" w:space="0" w:color="auto"/>
      </w:divBdr>
    </w:div>
    <w:div w:id="1484615299">
      <w:bodyDiv w:val="1"/>
      <w:marLeft w:val="0"/>
      <w:marRight w:val="0"/>
      <w:marTop w:val="0"/>
      <w:marBottom w:val="0"/>
      <w:divBdr>
        <w:top w:val="none" w:sz="0" w:space="0" w:color="auto"/>
        <w:left w:val="none" w:sz="0" w:space="0" w:color="auto"/>
        <w:bottom w:val="none" w:sz="0" w:space="0" w:color="auto"/>
        <w:right w:val="none" w:sz="0" w:space="0" w:color="auto"/>
      </w:divBdr>
    </w:div>
    <w:div w:id="1586106688">
      <w:bodyDiv w:val="1"/>
      <w:marLeft w:val="0"/>
      <w:marRight w:val="0"/>
      <w:marTop w:val="0"/>
      <w:marBottom w:val="0"/>
      <w:divBdr>
        <w:top w:val="none" w:sz="0" w:space="0" w:color="auto"/>
        <w:left w:val="none" w:sz="0" w:space="0" w:color="auto"/>
        <w:bottom w:val="none" w:sz="0" w:space="0" w:color="auto"/>
        <w:right w:val="none" w:sz="0" w:space="0" w:color="auto"/>
      </w:divBdr>
    </w:div>
    <w:div w:id="1861891162">
      <w:bodyDiv w:val="1"/>
      <w:marLeft w:val="0"/>
      <w:marRight w:val="0"/>
      <w:marTop w:val="0"/>
      <w:marBottom w:val="0"/>
      <w:divBdr>
        <w:top w:val="none" w:sz="0" w:space="0" w:color="auto"/>
        <w:left w:val="none" w:sz="0" w:space="0" w:color="auto"/>
        <w:bottom w:val="none" w:sz="0" w:space="0" w:color="auto"/>
        <w:right w:val="none" w:sz="0" w:space="0" w:color="auto"/>
      </w:divBdr>
      <w:divsChild>
        <w:div w:id="856774478">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19148265">
              <w:blockQuote w:val="1"/>
              <w:marLeft w:val="480"/>
              <w:marRight w:val="0"/>
              <w:marTop w:val="120"/>
              <w:marBottom w:val="120"/>
              <w:divBdr>
                <w:top w:val="none" w:sz="0" w:space="0" w:color="auto"/>
                <w:left w:val="none" w:sz="0" w:space="0" w:color="auto"/>
                <w:bottom w:val="none" w:sz="0" w:space="0" w:color="auto"/>
                <w:right w:val="none" w:sz="0" w:space="0" w:color="auto"/>
              </w:divBdr>
            </w:div>
            <w:div w:id="445807919">
              <w:blockQuote w:val="1"/>
              <w:marLeft w:val="480"/>
              <w:marRight w:val="0"/>
              <w:marTop w:val="120"/>
              <w:marBottom w:val="120"/>
              <w:divBdr>
                <w:top w:val="none" w:sz="0" w:space="0" w:color="auto"/>
                <w:left w:val="none" w:sz="0" w:space="0" w:color="auto"/>
                <w:bottom w:val="none" w:sz="0" w:space="0" w:color="auto"/>
                <w:right w:val="none" w:sz="0" w:space="0" w:color="auto"/>
              </w:divBdr>
            </w:div>
            <w:div w:id="455835139">
              <w:blockQuote w:val="1"/>
              <w:marLeft w:val="480"/>
              <w:marRight w:val="0"/>
              <w:marTop w:val="120"/>
              <w:marBottom w:val="120"/>
              <w:divBdr>
                <w:top w:val="none" w:sz="0" w:space="0" w:color="auto"/>
                <w:left w:val="none" w:sz="0" w:space="0" w:color="auto"/>
                <w:bottom w:val="none" w:sz="0" w:space="0" w:color="auto"/>
                <w:right w:val="none" w:sz="0" w:space="0" w:color="auto"/>
              </w:divBdr>
              <w:divsChild>
                <w:div w:id="514419143">
                  <w:blockQuote w:val="1"/>
                  <w:marLeft w:val="480"/>
                  <w:marRight w:val="0"/>
                  <w:marTop w:val="120"/>
                  <w:marBottom w:val="120"/>
                  <w:divBdr>
                    <w:top w:val="none" w:sz="0" w:space="0" w:color="auto"/>
                    <w:left w:val="none" w:sz="0" w:space="0" w:color="auto"/>
                    <w:bottom w:val="none" w:sz="0" w:space="0" w:color="auto"/>
                    <w:right w:val="none" w:sz="0" w:space="0" w:color="auto"/>
                  </w:divBdr>
                </w:div>
              </w:divsChild>
            </w:div>
            <w:div w:id="1652513648">
              <w:blockQuote w:val="1"/>
              <w:marLeft w:val="480"/>
              <w:marRight w:val="0"/>
              <w:marTop w:val="120"/>
              <w:marBottom w:val="120"/>
              <w:divBdr>
                <w:top w:val="none" w:sz="0" w:space="0" w:color="auto"/>
                <w:left w:val="none" w:sz="0" w:space="0" w:color="auto"/>
                <w:bottom w:val="none" w:sz="0" w:space="0" w:color="auto"/>
                <w:right w:val="none" w:sz="0" w:space="0" w:color="auto"/>
              </w:divBdr>
              <w:divsChild>
                <w:div w:id="1783913921">
                  <w:blockQuote w:val="1"/>
                  <w:marLeft w:val="480"/>
                  <w:marRight w:val="0"/>
                  <w:marTop w:val="120"/>
                  <w:marBottom w:val="120"/>
                  <w:divBdr>
                    <w:top w:val="none" w:sz="0" w:space="0" w:color="auto"/>
                    <w:left w:val="none" w:sz="0" w:space="0" w:color="auto"/>
                    <w:bottom w:val="none" w:sz="0" w:space="0" w:color="auto"/>
                    <w:right w:val="none" w:sz="0" w:space="0" w:color="auto"/>
                  </w:divBdr>
                </w:div>
              </w:divsChild>
            </w:div>
            <w:div w:id="1761950779">
              <w:blockQuote w:val="1"/>
              <w:marLeft w:val="480"/>
              <w:marRight w:val="0"/>
              <w:marTop w:val="120"/>
              <w:marBottom w:val="120"/>
              <w:divBdr>
                <w:top w:val="none" w:sz="0" w:space="0" w:color="auto"/>
                <w:left w:val="none" w:sz="0" w:space="0" w:color="auto"/>
                <w:bottom w:val="none" w:sz="0" w:space="0" w:color="auto"/>
                <w:right w:val="none" w:sz="0" w:space="0" w:color="auto"/>
              </w:divBdr>
            </w:div>
          </w:divsChild>
        </w:div>
      </w:divsChild>
    </w:div>
    <w:div w:id="1941982867">
      <w:bodyDiv w:val="1"/>
      <w:marLeft w:val="0"/>
      <w:marRight w:val="0"/>
      <w:marTop w:val="0"/>
      <w:marBottom w:val="0"/>
      <w:divBdr>
        <w:top w:val="none" w:sz="0" w:space="0" w:color="auto"/>
        <w:left w:val="none" w:sz="0" w:space="0" w:color="auto"/>
        <w:bottom w:val="none" w:sz="0" w:space="0" w:color="auto"/>
        <w:right w:val="none" w:sz="0" w:space="0" w:color="auto"/>
      </w:divBdr>
    </w:div>
    <w:div w:id="2003269818">
      <w:bodyDiv w:val="1"/>
      <w:marLeft w:val="0"/>
      <w:marRight w:val="0"/>
      <w:marTop w:val="0"/>
      <w:marBottom w:val="0"/>
      <w:divBdr>
        <w:top w:val="none" w:sz="0" w:space="0" w:color="auto"/>
        <w:left w:val="none" w:sz="0" w:space="0" w:color="auto"/>
        <w:bottom w:val="none" w:sz="0" w:space="0" w:color="auto"/>
        <w:right w:val="none" w:sz="0" w:space="0" w:color="auto"/>
      </w:divBdr>
    </w:div>
    <w:div w:id="2004315815">
      <w:bodyDiv w:val="1"/>
      <w:marLeft w:val="0"/>
      <w:marRight w:val="0"/>
      <w:marTop w:val="0"/>
      <w:marBottom w:val="0"/>
      <w:divBdr>
        <w:top w:val="none" w:sz="0" w:space="0" w:color="auto"/>
        <w:left w:val="none" w:sz="0" w:space="0" w:color="auto"/>
        <w:bottom w:val="none" w:sz="0" w:space="0" w:color="auto"/>
        <w:right w:val="none" w:sz="0" w:space="0" w:color="auto"/>
      </w:divBdr>
    </w:div>
    <w:div w:id="200462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 Type="http://schemas.openxmlformats.org/officeDocument/2006/relationships/numbering" Target="numbering.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parliament.act.gov.au/parliamentary-business/in-committees/committees/JCS_Scrutiny/responses-to-comments-on-bills" TargetMode="Externa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7.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parliament.act.gov.au/__data/assets/pdf_file/0009/1762587/Statutory-Review-of-the-Terrorism-Extraordinary-Temporary-Powers-Act-20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E5B0B-D405-4F95-84A1-A56830AF9D1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70E51F3-2236-4467-BBA2-1798E5612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20</Pages>
  <Words>6499</Words>
  <Characters>37047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Scrutiny Report 6—15 June 2021</vt:lpstr>
    </vt:vector>
  </TitlesOfParts>
  <Company/>
  <LinksUpToDate>false</LinksUpToDate>
  <CharactersWithSpaces>43460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Scrutiny Report 6—15 June 2021</dc:title>
  <dc:creator>Anne Shannon</dc:creator>
  <cp:lastModifiedBy>Shannon, Anne</cp:lastModifiedBy>
  <cp:revision>33</cp:revision>
  <cp:lastPrinted>2021-07-27T04:07:00Z</cp:lastPrinted>
  <dcterms:created xsi:type="dcterms:W3CDTF">2021-07-19T04:10:00Z</dcterms:created>
  <dcterms:modified xsi:type="dcterms:W3CDTF">2021-07-27T04:07:00Z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b5416023-e907-4e5c-94a6-d4a6d91d63bb</vt:lpwstr>
  </property>
  <property fmtid="{D5CDD505-2E9C-101B-9397-08002B2CF9AE}" pid="3" name="bjSaver">
    <vt:lpwstr>ZwE+/ToLrPDfvyrx1nh9MyjXnSm5Wksu</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ies>
</file>