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8727FB" w:rsidRDefault="007B6AF4" w:rsidP="00CD7F25">
      <w:pPr>
        <w:pStyle w:val="Heading1"/>
      </w:pPr>
      <w:r>
        <w:t>Report on i</w:t>
      </w:r>
      <w:r w:rsidR="00F712A2" w:rsidRPr="008727FB">
        <w:t>nquiry into the Crimes (Consent) Amendment Bill 2018</w:t>
      </w:r>
    </w:p>
    <w:p w:rsidR="00F712A2" w:rsidRPr="008727FB" w:rsidRDefault="00F712A2" w:rsidP="00F712A2">
      <w:pPr>
        <w:pStyle w:val="Committeename0"/>
        <w:spacing w:before="480" w:after="480"/>
      </w:pPr>
      <w:r w:rsidRPr="008727FB">
        <w:t>Standing Committee on Justice and Community Safety</w:t>
      </w:r>
    </w:p>
    <w:p w:rsidR="00ED225C" w:rsidRPr="008727FB" w:rsidRDefault="00F712A2" w:rsidP="001B4B71">
      <w:pPr>
        <w:pStyle w:val="Date"/>
      </w:pPr>
      <w:r w:rsidRPr="008727FB">
        <w:t>October 2018</w:t>
      </w:r>
    </w:p>
    <w:p w:rsidR="004001FB" w:rsidRPr="008727FB" w:rsidRDefault="00F712A2" w:rsidP="004001FB">
      <w:pPr>
        <w:spacing w:before="1200"/>
        <w:jc w:val="right"/>
        <w:rPr>
          <w:rFonts w:ascii="Arial Narrow" w:hAnsi="Arial Narrow"/>
          <w:smallCaps/>
          <w:sz w:val="24"/>
        </w:rPr>
      </w:pPr>
      <w:r w:rsidRPr="008727FB">
        <w:rPr>
          <w:rFonts w:ascii="Arial Narrow" w:hAnsi="Arial Narrow"/>
          <w:smallCaps/>
          <w:sz w:val="24"/>
        </w:rPr>
        <w:t>Report 3</w:t>
      </w:r>
    </w:p>
    <w:p w:rsidR="008A0235" w:rsidRPr="008727FB" w:rsidRDefault="008A0235" w:rsidP="0022524E">
      <w:pPr>
        <w:pStyle w:val="Heading2"/>
        <w:numPr>
          <w:ilvl w:val="0"/>
          <w:numId w:val="0"/>
        </w:numPr>
        <w:ind w:left="567" w:hanging="567"/>
        <w:sectPr w:rsidR="008A0235" w:rsidRPr="008727FB" w:rsidSect="001C2D1C">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pgNumType w:fmt="lowerRoman" w:start="1"/>
          <w:cols w:space="720"/>
          <w:docGrid w:linePitch="360"/>
        </w:sectPr>
      </w:pPr>
      <w:bookmarkStart w:id="0" w:name="_Toc502671580"/>
      <w:bookmarkStart w:id="1" w:name="_Toc502671759"/>
      <w:bookmarkStart w:id="2" w:name="_Toc502671864"/>
      <w:bookmarkStart w:id="3" w:name="_Toc502672797"/>
      <w:bookmarkStart w:id="4" w:name="_Toc514768035"/>
      <w:bookmarkStart w:id="5" w:name="_Toc502671581"/>
      <w:bookmarkStart w:id="6" w:name="_Toc502671760"/>
      <w:bookmarkStart w:id="7" w:name="_Toc502671865"/>
      <w:bookmarkStart w:id="8" w:name="_Toc502672798"/>
    </w:p>
    <w:p w:rsidR="0022524E" w:rsidRPr="008727FB" w:rsidRDefault="0022524E" w:rsidP="0022524E">
      <w:pPr>
        <w:pStyle w:val="Heading2"/>
        <w:numPr>
          <w:ilvl w:val="0"/>
          <w:numId w:val="0"/>
        </w:numPr>
        <w:ind w:left="567" w:hanging="567"/>
      </w:pPr>
      <w:bookmarkStart w:id="9" w:name="_Toc528670920"/>
      <w:r w:rsidRPr="008727FB">
        <w:lastRenderedPageBreak/>
        <w:t>The Committee</w:t>
      </w:r>
      <w:bookmarkEnd w:id="0"/>
      <w:bookmarkEnd w:id="1"/>
      <w:bookmarkEnd w:id="2"/>
      <w:bookmarkEnd w:id="3"/>
      <w:bookmarkEnd w:id="4"/>
      <w:bookmarkEnd w:id="9"/>
    </w:p>
    <w:p w:rsidR="006C34AD" w:rsidRPr="008727FB" w:rsidRDefault="006C34AD" w:rsidP="006C34AD">
      <w:pPr>
        <w:pStyle w:val="Heading3"/>
        <w:ind w:hanging="567"/>
      </w:pPr>
      <w:bookmarkStart w:id="10" w:name="_Toc514768036"/>
      <w:bookmarkStart w:id="11" w:name="_Toc528670921"/>
      <w:r w:rsidRPr="008727FB">
        <w:t>Committee Membership</w:t>
      </w:r>
      <w:bookmarkEnd w:id="10"/>
      <w:bookmarkEnd w:id="11"/>
    </w:p>
    <w:p w:rsidR="00F712A2" w:rsidRPr="008727FB" w:rsidRDefault="00F712A2" w:rsidP="006C34AD">
      <w:pPr>
        <w:spacing w:before="120" w:after="120" w:line="240" w:lineRule="auto"/>
      </w:pPr>
      <w:bookmarkStart w:id="12" w:name="_Toc502671582"/>
      <w:bookmarkStart w:id="13" w:name="_Toc502671761"/>
      <w:bookmarkStart w:id="14" w:name="_Toc502671866"/>
      <w:bookmarkStart w:id="15" w:name="_Toc502672799"/>
      <w:bookmarkEnd w:id="5"/>
      <w:bookmarkEnd w:id="6"/>
      <w:bookmarkEnd w:id="7"/>
      <w:bookmarkEnd w:id="8"/>
      <w:r w:rsidRPr="008727FB">
        <w:t>Ms Elizabeth Lee MLA</w:t>
      </w:r>
      <w:r w:rsidRPr="008727FB">
        <w:tab/>
      </w:r>
      <w:r w:rsidRPr="008727FB">
        <w:tab/>
        <w:t>Chair from 22 March 2018</w:t>
      </w:r>
    </w:p>
    <w:p w:rsidR="00F712A2" w:rsidRPr="008727FB" w:rsidRDefault="00F712A2" w:rsidP="006C34AD">
      <w:pPr>
        <w:spacing w:before="120" w:after="120" w:line="240" w:lineRule="auto"/>
        <w:ind w:left="2160" w:firstLine="720"/>
      </w:pPr>
      <w:r w:rsidRPr="008727FB">
        <w:t>Member from 13 December 2016</w:t>
      </w:r>
    </w:p>
    <w:p w:rsidR="00F712A2" w:rsidRPr="008727FB" w:rsidRDefault="00F712A2" w:rsidP="006C34AD">
      <w:pPr>
        <w:spacing w:before="120" w:after="120" w:line="240" w:lineRule="auto"/>
      </w:pPr>
      <w:r w:rsidRPr="008727FB">
        <w:t xml:space="preserve">Mrs Giulia Jones </w:t>
      </w:r>
      <w:r w:rsidRPr="008727FB">
        <w:tab/>
      </w:r>
      <w:r w:rsidRPr="008727FB">
        <w:tab/>
        <w:t xml:space="preserve">Chair from 14 December 2016 to 22 March 2018 </w:t>
      </w:r>
    </w:p>
    <w:p w:rsidR="00F712A2" w:rsidRPr="008727FB" w:rsidRDefault="00F712A2" w:rsidP="006C34AD">
      <w:pPr>
        <w:spacing w:before="120" w:after="120" w:line="240" w:lineRule="auto"/>
        <w:ind w:left="2880"/>
      </w:pPr>
      <w:r w:rsidRPr="008727FB">
        <w:t>[On 21 March 2018 the Assembly discharged Mrs Giulia Jones MLA from the Committee and appointed Ms Nicole Lawder MLA in her place (for the period 22 March 2018 to 17 September 2018</w:t>
      </w:r>
      <w:r w:rsidR="007B6AF4">
        <w:t>]</w:t>
      </w:r>
      <w:r w:rsidRPr="008727FB">
        <w:rPr>
          <w:rStyle w:val="FootnoteReference"/>
          <w:rFonts w:eastAsiaTheme="majorEastAsia"/>
        </w:rPr>
        <w:footnoteReference w:id="1"/>
      </w:r>
    </w:p>
    <w:p w:rsidR="00F712A2" w:rsidRPr="008727FB" w:rsidRDefault="00F712A2" w:rsidP="006C34AD">
      <w:pPr>
        <w:spacing w:before="120" w:after="120" w:line="240" w:lineRule="auto"/>
        <w:ind w:left="2160" w:firstLine="720"/>
      </w:pPr>
      <w:r w:rsidRPr="008727FB">
        <w:t>Member from 13 December 2016</w:t>
      </w:r>
    </w:p>
    <w:p w:rsidR="00F712A2" w:rsidRPr="008727FB" w:rsidRDefault="00F712A2" w:rsidP="006C34AD">
      <w:pPr>
        <w:spacing w:before="120" w:after="120" w:line="240" w:lineRule="auto"/>
      </w:pPr>
      <w:r w:rsidRPr="008727FB">
        <w:t>Ms Bec Cody MLA</w:t>
      </w:r>
      <w:r w:rsidRPr="008727FB">
        <w:tab/>
      </w:r>
      <w:r w:rsidRPr="008727FB">
        <w:tab/>
        <w:t>Deputy Chair from 14 December 2016</w:t>
      </w:r>
    </w:p>
    <w:p w:rsidR="00F712A2" w:rsidRPr="008727FB" w:rsidRDefault="00F712A2" w:rsidP="006C34AD">
      <w:pPr>
        <w:spacing w:before="120" w:after="120" w:line="240" w:lineRule="auto"/>
      </w:pPr>
      <w:r w:rsidRPr="008727FB">
        <w:tab/>
      </w:r>
      <w:r w:rsidRPr="008727FB">
        <w:tab/>
      </w:r>
      <w:r w:rsidRPr="008727FB">
        <w:tab/>
      </w:r>
      <w:r w:rsidRPr="008727FB">
        <w:tab/>
        <w:t>Member from 13 December 2016</w:t>
      </w:r>
    </w:p>
    <w:p w:rsidR="00F712A2" w:rsidRPr="008727FB" w:rsidRDefault="00F712A2" w:rsidP="0023663C">
      <w:pPr>
        <w:spacing w:before="120" w:after="120" w:line="240" w:lineRule="auto"/>
        <w:ind w:left="2880" w:hanging="2880"/>
      </w:pPr>
      <w:r w:rsidRPr="008727FB">
        <w:t xml:space="preserve">Ms Nicole Lawder </w:t>
      </w:r>
      <w:r w:rsidR="0023663C" w:rsidRPr="008727FB">
        <w:t>MLA</w:t>
      </w:r>
      <w:r w:rsidR="0023663C" w:rsidRPr="008727FB">
        <w:tab/>
      </w:r>
      <w:r w:rsidRPr="008727FB">
        <w:t>Member from 22 March 2018 (for the period 22 </w:t>
      </w:r>
      <w:r w:rsidR="0023663C" w:rsidRPr="008727FB">
        <w:t>March 2018 to</w:t>
      </w:r>
      <w:r w:rsidR="0023663C" w:rsidRPr="008727FB">
        <w:br/>
      </w:r>
      <w:r w:rsidRPr="008727FB">
        <w:t>17 September 2018)</w:t>
      </w:r>
    </w:p>
    <w:p w:rsidR="00F712A2" w:rsidRPr="008727FB" w:rsidRDefault="00F712A2" w:rsidP="006C34AD">
      <w:pPr>
        <w:spacing w:before="120" w:after="120" w:line="240" w:lineRule="auto"/>
      </w:pPr>
      <w:r w:rsidRPr="008727FB">
        <w:t>Mr Chris Steel MLA</w:t>
      </w:r>
      <w:r w:rsidRPr="008727FB">
        <w:tab/>
      </w:r>
      <w:r w:rsidRPr="008727FB">
        <w:tab/>
        <w:t>Member from 13 December 2016 to 23 August 2018</w:t>
      </w:r>
    </w:p>
    <w:p w:rsidR="00F712A2" w:rsidRPr="008727FB" w:rsidRDefault="00F712A2" w:rsidP="006C34AD">
      <w:pPr>
        <w:spacing w:before="120" w:after="120" w:line="240" w:lineRule="auto"/>
      </w:pPr>
      <w:r w:rsidRPr="008727FB">
        <w:t>Mr Michael Pettersson MLA</w:t>
      </w:r>
      <w:r w:rsidRPr="008727FB">
        <w:tab/>
        <w:t>Member from 23 August 2018</w:t>
      </w:r>
    </w:p>
    <w:p w:rsidR="004001FB" w:rsidRPr="008727FB" w:rsidRDefault="004001FB" w:rsidP="006C34AD">
      <w:pPr>
        <w:pStyle w:val="Heading3"/>
        <w:ind w:hanging="567"/>
      </w:pPr>
      <w:bookmarkStart w:id="16" w:name="_Toc528670922"/>
      <w:r w:rsidRPr="008727FB">
        <w:t>Secretariat</w:t>
      </w:r>
      <w:bookmarkEnd w:id="12"/>
      <w:bookmarkEnd w:id="13"/>
      <w:bookmarkEnd w:id="14"/>
      <w:bookmarkEnd w:id="15"/>
      <w:bookmarkEnd w:id="16"/>
    </w:p>
    <w:p w:rsidR="00F712A2" w:rsidRPr="008727FB" w:rsidRDefault="00F712A2" w:rsidP="006C34AD">
      <w:pPr>
        <w:pStyle w:val="Bodytextnonumbering"/>
        <w:keepNext w:val="0"/>
        <w:spacing w:before="100" w:beforeAutospacing="1" w:after="0" w:line="240" w:lineRule="auto"/>
      </w:pPr>
      <w:bookmarkStart w:id="17" w:name="_Toc341433414"/>
      <w:bookmarkStart w:id="18" w:name="_Toc341687857"/>
      <w:bookmarkStart w:id="19" w:name="_Toc502671583"/>
      <w:bookmarkStart w:id="20" w:name="_Toc502671762"/>
      <w:bookmarkStart w:id="21" w:name="_Toc502671867"/>
      <w:bookmarkStart w:id="22" w:name="_Toc502672800"/>
      <w:r w:rsidRPr="008727FB">
        <w:t>Mr Andrew Snedden</w:t>
      </w:r>
      <w:r w:rsidRPr="008727FB">
        <w:tab/>
      </w:r>
      <w:r w:rsidRPr="008727FB">
        <w:tab/>
        <w:t>Acting Secretary [from 10 April 2018]</w:t>
      </w:r>
    </w:p>
    <w:p w:rsidR="00F712A2" w:rsidRPr="008727FB" w:rsidRDefault="00F712A2" w:rsidP="006C34AD">
      <w:pPr>
        <w:pStyle w:val="Bodytextnonumbering"/>
        <w:keepNext w:val="0"/>
        <w:spacing w:before="100" w:beforeAutospacing="1" w:after="0" w:line="240" w:lineRule="auto"/>
      </w:pPr>
      <w:r w:rsidRPr="008727FB">
        <w:t>Dr Andréa Cullen AGIA ACIS</w:t>
      </w:r>
      <w:r w:rsidRPr="008727FB">
        <w:tab/>
        <w:t>Secretary [to 9 April 2018]</w:t>
      </w:r>
    </w:p>
    <w:p w:rsidR="00F712A2" w:rsidRPr="008727FB" w:rsidRDefault="00F712A2" w:rsidP="006C34AD">
      <w:pPr>
        <w:pStyle w:val="Bodytextnonumbering"/>
        <w:keepNext w:val="0"/>
        <w:spacing w:before="100" w:beforeAutospacing="1" w:after="0" w:line="240" w:lineRule="auto"/>
      </w:pPr>
      <w:r w:rsidRPr="008727FB">
        <w:t>Ms Lydia Chung</w:t>
      </w:r>
      <w:r w:rsidRPr="008727FB">
        <w:tab/>
      </w:r>
      <w:r w:rsidRPr="008727FB">
        <w:tab/>
      </w:r>
      <w:r w:rsidRPr="008727FB">
        <w:tab/>
        <w:t>Administrative Assistance</w:t>
      </w:r>
    </w:p>
    <w:p w:rsidR="004001FB" w:rsidRPr="008727FB" w:rsidRDefault="004001FB" w:rsidP="006C34AD">
      <w:pPr>
        <w:pStyle w:val="Heading3"/>
        <w:ind w:hanging="567"/>
      </w:pPr>
      <w:bookmarkStart w:id="23" w:name="_Toc528670923"/>
      <w:bookmarkEnd w:id="17"/>
      <w:bookmarkEnd w:id="18"/>
      <w:r w:rsidRPr="008727FB">
        <w:t>Contact Information</w:t>
      </w:r>
      <w:bookmarkEnd w:id="19"/>
      <w:bookmarkEnd w:id="20"/>
      <w:bookmarkEnd w:id="21"/>
      <w:bookmarkEnd w:id="22"/>
      <w:bookmarkEnd w:id="23"/>
    </w:p>
    <w:p w:rsidR="004001FB" w:rsidRPr="008727FB" w:rsidRDefault="00F712A2" w:rsidP="006C34AD">
      <w:pPr>
        <w:spacing w:before="100" w:beforeAutospacing="1" w:after="0" w:line="240" w:lineRule="auto"/>
      </w:pPr>
      <w:r w:rsidRPr="008727FB">
        <w:t>Telephone</w:t>
      </w:r>
      <w:r w:rsidRPr="008727FB">
        <w:tab/>
      </w:r>
      <w:r w:rsidR="006C34AD" w:rsidRPr="008727FB">
        <w:tab/>
      </w:r>
      <w:r w:rsidR="006C34AD" w:rsidRPr="008727FB">
        <w:tab/>
      </w:r>
      <w:r w:rsidRPr="008727FB">
        <w:t>02 6205 0199</w:t>
      </w:r>
    </w:p>
    <w:p w:rsidR="004001FB" w:rsidRPr="008727FB" w:rsidRDefault="004001FB" w:rsidP="006C34AD">
      <w:pPr>
        <w:spacing w:before="100" w:beforeAutospacing="1" w:after="0" w:line="240" w:lineRule="auto"/>
      </w:pPr>
      <w:r w:rsidRPr="008727FB">
        <w:t>Post</w:t>
      </w:r>
      <w:r w:rsidRPr="008727FB">
        <w:tab/>
      </w:r>
      <w:r w:rsidR="004C52C9" w:rsidRPr="008727FB">
        <w:tab/>
      </w:r>
      <w:r w:rsidR="006C34AD" w:rsidRPr="008727FB">
        <w:tab/>
      </w:r>
      <w:r w:rsidR="006C34AD" w:rsidRPr="008727FB">
        <w:tab/>
      </w:r>
      <w:r w:rsidRPr="008727FB">
        <w:t>GPO Box 1020, CANBERRA ACT 2601</w:t>
      </w:r>
    </w:p>
    <w:p w:rsidR="004001FB" w:rsidRPr="008727FB" w:rsidRDefault="004001FB" w:rsidP="006C34AD">
      <w:pPr>
        <w:spacing w:before="100" w:beforeAutospacing="1" w:after="0" w:line="240" w:lineRule="auto"/>
      </w:pPr>
      <w:r w:rsidRPr="008727FB">
        <w:t>Email</w:t>
      </w:r>
      <w:r w:rsidRPr="008727FB">
        <w:tab/>
      </w:r>
      <w:r w:rsidR="006C34AD" w:rsidRPr="008727FB">
        <w:tab/>
      </w:r>
      <w:r w:rsidR="006C34AD" w:rsidRPr="008727FB">
        <w:tab/>
      </w:r>
      <w:r w:rsidR="006C34AD" w:rsidRPr="008727FB">
        <w:tab/>
      </w:r>
      <w:hyperlink r:id="rId15" w:history="1">
        <w:r w:rsidR="004B618B" w:rsidRPr="008727FB">
          <w:rPr>
            <w:rStyle w:val="Hyperlink"/>
            <w:color w:val="auto"/>
          </w:rPr>
          <w:t>committees@parliament.act.gov.au</w:t>
        </w:r>
      </w:hyperlink>
    </w:p>
    <w:p w:rsidR="0022524E" w:rsidRPr="008727FB" w:rsidRDefault="004001FB" w:rsidP="006C34AD">
      <w:pPr>
        <w:spacing w:before="100" w:beforeAutospacing="1" w:after="0" w:line="240" w:lineRule="auto"/>
        <w:sectPr w:rsidR="0022524E" w:rsidRPr="008727FB" w:rsidSect="001C2D1C">
          <w:headerReference w:type="default" r:id="rId16"/>
          <w:footerReference w:type="default" r:id="rId17"/>
          <w:type w:val="oddPage"/>
          <w:pgSz w:w="11907" w:h="16840" w:code="9"/>
          <w:pgMar w:top="1588" w:right="1418" w:bottom="1418" w:left="1418" w:header="720" w:footer="851" w:gutter="0"/>
          <w:pgNumType w:fmt="lowerRoman" w:start="1"/>
          <w:cols w:space="720"/>
          <w:docGrid w:linePitch="360"/>
        </w:sectPr>
      </w:pPr>
      <w:r w:rsidRPr="008727FB">
        <w:t>Website</w:t>
      </w:r>
      <w:r w:rsidRPr="008727FB">
        <w:tab/>
      </w:r>
      <w:r w:rsidR="006C34AD" w:rsidRPr="008727FB">
        <w:tab/>
      </w:r>
      <w:r w:rsidR="006C34AD" w:rsidRPr="008727FB">
        <w:tab/>
      </w:r>
      <w:hyperlink r:id="rId18" w:history="1">
        <w:r w:rsidR="004B618B" w:rsidRPr="008727FB">
          <w:rPr>
            <w:rStyle w:val="Hyperlink"/>
            <w:color w:val="auto"/>
          </w:rPr>
          <w:t>www.parliament.act.gov.au</w:t>
        </w:r>
      </w:hyperlink>
      <w:bookmarkStart w:id="24" w:name="_Toc502671585"/>
      <w:bookmarkStart w:id="25" w:name="_Toc502671764"/>
      <w:bookmarkStart w:id="26" w:name="_Toc502671869"/>
      <w:bookmarkStart w:id="27" w:name="_Toc502672802"/>
      <w:bookmarkStart w:id="28" w:name="_Toc162949738"/>
      <w:bookmarkStart w:id="29" w:name="_Toc170711048"/>
      <w:bookmarkStart w:id="30" w:name="_Toc341433421"/>
      <w:bookmarkStart w:id="31" w:name="_Toc341687864"/>
      <w:bookmarkStart w:id="32" w:name="_Toc526761292"/>
    </w:p>
    <w:p w:rsidR="00001C7E" w:rsidRPr="008727FB" w:rsidRDefault="00001C7E" w:rsidP="00001C7E">
      <w:pPr>
        <w:pStyle w:val="Heading3"/>
        <w:ind w:hanging="567"/>
        <w:rPr>
          <w:iCs w:val="0"/>
        </w:rPr>
      </w:pPr>
      <w:bookmarkStart w:id="33" w:name="_Toc514768039"/>
      <w:bookmarkStart w:id="34" w:name="_Toc528670924"/>
      <w:r w:rsidRPr="008727FB">
        <w:rPr>
          <w:iCs w:val="0"/>
        </w:rPr>
        <w:lastRenderedPageBreak/>
        <w:t>Resolution of Committee appointment</w:t>
      </w:r>
      <w:bookmarkEnd w:id="33"/>
      <w:bookmarkEnd w:id="34"/>
    </w:p>
    <w:bookmarkEnd w:id="24"/>
    <w:bookmarkEnd w:id="25"/>
    <w:bookmarkEnd w:id="26"/>
    <w:bookmarkEnd w:id="27"/>
    <w:bookmarkEnd w:id="28"/>
    <w:bookmarkEnd w:id="29"/>
    <w:bookmarkEnd w:id="30"/>
    <w:bookmarkEnd w:id="31"/>
    <w:bookmarkEnd w:id="32"/>
    <w:p w:rsidR="00F712A2" w:rsidRPr="008727FB" w:rsidRDefault="00F712A2" w:rsidP="00F712A2">
      <w:pPr>
        <w:keepNext/>
        <w:spacing w:before="160" w:after="80" w:line="288" w:lineRule="auto"/>
        <w:outlineLvl w:val="1"/>
        <w:rPr>
          <w:rFonts w:cs="Arial"/>
          <w:iCs/>
        </w:rPr>
      </w:pPr>
      <w:r w:rsidRPr="008727FB">
        <w:rPr>
          <w:rFonts w:cs="Arial"/>
          <w:iCs/>
        </w:rPr>
        <w:t>The Legislative Assembly for the ACT appointed the Standing Committee on Justice and Community Safety on 13 December 2016.</w:t>
      </w:r>
    </w:p>
    <w:p w:rsidR="00F712A2" w:rsidRPr="008727FB" w:rsidRDefault="00F712A2" w:rsidP="00F712A2">
      <w:pPr>
        <w:keepNext/>
        <w:spacing w:before="160" w:after="80" w:line="288" w:lineRule="auto"/>
        <w:outlineLvl w:val="1"/>
        <w:rPr>
          <w:rFonts w:cs="Arial"/>
          <w:iCs/>
        </w:rPr>
      </w:pPr>
      <w:r w:rsidRPr="008727FB">
        <w:rPr>
          <w:rFonts w:cs="Arial"/>
          <w:iCs/>
        </w:rPr>
        <w:t>Specifically the resolution of 13 December 2016 establishing the Standing Committees of the 9</w:t>
      </w:r>
      <w:r w:rsidRPr="008727FB">
        <w:rPr>
          <w:rFonts w:cs="Arial"/>
          <w:iCs/>
          <w:vertAlign w:val="superscript"/>
        </w:rPr>
        <w:t>th </w:t>
      </w:r>
      <w:r w:rsidR="00092955" w:rsidRPr="008727FB">
        <w:rPr>
          <w:rFonts w:cs="Arial"/>
          <w:iCs/>
        </w:rPr>
        <w:t>A</w:t>
      </w:r>
      <w:r w:rsidR="00092955" w:rsidRPr="008727FB">
        <w:rPr>
          <w:rFonts w:ascii="ZWAdobeF" w:hAnsi="ZWAdobeF" w:cs="ZWAdobeF"/>
          <w:iCs/>
          <w:sz w:val="2"/>
          <w:szCs w:val="2"/>
        </w:rPr>
        <w:t>s</w:t>
      </w:r>
      <w:r w:rsidR="00092955" w:rsidRPr="008727FB">
        <w:rPr>
          <w:rFonts w:cs="Arial"/>
          <w:iCs/>
        </w:rPr>
        <w:t>ssembly</w:t>
      </w:r>
      <w:r w:rsidRPr="008727FB">
        <w:rPr>
          <w:rFonts w:cs="Arial"/>
          <w:iCs/>
        </w:rPr>
        <w:t>, as it relates to the Justice and Community Safety Committee states:</w:t>
      </w:r>
    </w:p>
    <w:p w:rsidR="00F712A2" w:rsidRPr="008727FB" w:rsidRDefault="00F712A2" w:rsidP="00F712A2">
      <w:pPr>
        <w:pStyle w:val="Bodytextnonumbering"/>
      </w:pPr>
      <w:r w:rsidRPr="008727FB">
        <w:t>That:</w:t>
      </w:r>
    </w:p>
    <w:p w:rsidR="00F712A2" w:rsidRPr="008727FB" w:rsidRDefault="00F712A2" w:rsidP="00F712A2">
      <w:pPr>
        <w:pStyle w:val="Bodytextnonumbering"/>
      </w:pPr>
      <w:r w:rsidRPr="008727FB">
        <w:t>(1) The following general purpose standing committees be established and each committee inquire into and report on matters referred to it by the Assembly or matters that are considered by the committee to be of concern to the community:</w:t>
      </w:r>
    </w:p>
    <w:p w:rsidR="00F712A2" w:rsidRPr="008727FB" w:rsidRDefault="00F712A2" w:rsidP="00723F7F">
      <w:r w:rsidRPr="008727FB">
        <w:t>(d) a Standing Committee on Justice and Community Safety to perform a legislative scrutiny role and examine matters related to community and individual rights, consumer rights, courts, police and emergency services, corrections including a prison, administrative law, civil liberties and human rights, censorship, company law, law and order, criminal law, consumer affairs and regulatory services;</w:t>
      </w:r>
    </w:p>
    <w:p w:rsidR="00F712A2" w:rsidRPr="008727FB" w:rsidRDefault="00F712A2" w:rsidP="00F712A2">
      <w:pPr>
        <w:pStyle w:val="Bodytextnonumbering"/>
      </w:pPr>
      <w:r w:rsidRPr="008727FB">
        <w:t>(4) Each general purpose committee shall consist of the following number of members, composed as follows:</w:t>
      </w:r>
    </w:p>
    <w:p w:rsidR="00F712A2" w:rsidRPr="008727FB" w:rsidRDefault="00F712A2" w:rsidP="00723F7F">
      <w:r w:rsidRPr="008727FB">
        <w:t>(d) the Standing Committee on Justice and Community Safety:</w:t>
      </w:r>
    </w:p>
    <w:p w:rsidR="00F712A2" w:rsidRPr="008727FB" w:rsidRDefault="00F712A2" w:rsidP="00723F7F">
      <w:r w:rsidRPr="008727FB">
        <w:t>(i) two members to be nominated by the Opposition;</w:t>
      </w:r>
    </w:p>
    <w:p w:rsidR="00F712A2" w:rsidRPr="008727FB" w:rsidRDefault="00F712A2" w:rsidP="00723F7F">
      <w:r w:rsidRPr="008727FB">
        <w:t>(ii) two members to be nominated by the Government; and</w:t>
      </w:r>
    </w:p>
    <w:p w:rsidR="003555E7" w:rsidRPr="008727FB" w:rsidRDefault="00F712A2" w:rsidP="003555E7">
      <w:r w:rsidRPr="008727FB">
        <w:t>(iii) the Chair shall be an Opposition member;</w:t>
      </w:r>
    </w:p>
    <w:p w:rsidR="003555E7" w:rsidRPr="008727FB" w:rsidRDefault="003555E7" w:rsidP="003555E7">
      <w:r w:rsidRPr="008727FB">
        <w:t>(5</w:t>
      </w:r>
      <w:r w:rsidR="00F712A2" w:rsidRPr="008727FB">
        <w:t>) Each committee shall have power to consider and make use of the evidence and records of the relevant standing committee during the previous Assembly.</w:t>
      </w:r>
    </w:p>
    <w:p w:rsidR="003555E7" w:rsidRPr="008727FB" w:rsidRDefault="003555E7" w:rsidP="003555E7">
      <w:r w:rsidRPr="008727FB">
        <w:t>(6</w:t>
      </w:r>
      <w:r w:rsidR="00F712A2" w:rsidRPr="008727FB">
        <w:t>) Each committee be provided with necessary staff, facilities and resources.</w:t>
      </w:r>
    </w:p>
    <w:p w:rsidR="003555E7" w:rsidRPr="008727FB" w:rsidRDefault="003555E7" w:rsidP="003555E7">
      <w:r w:rsidRPr="008727FB">
        <w:t>(7</w:t>
      </w:r>
      <w:r w:rsidR="00F712A2" w:rsidRPr="008727FB">
        <w:t>) The foregoing provisions of this resolution, so far as they are inconsistent with the standing orders, have effect notwithstanding anything contained in the standing orders.</w:t>
      </w:r>
      <w:r w:rsidR="00F712A2" w:rsidRPr="008727FB">
        <w:rPr>
          <w:rStyle w:val="FootnoteReference"/>
          <w:rFonts w:eastAsiaTheme="majorEastAsia"/>
        </w:rPr>
        <w:footnoteReference w:id="2"/>
      </w:r>
    </w:p>
    <w:p w:rsidR="003555E7" w:rsidRPr="008727FB" w:rsidRDefault="003555E7" w:rsidP="00F712A2">
      <w:pPr>
        <w:pStyle w:val="Bodytextnonumbering"/>
      </w:pPr>
      <w:r w:rsidRPr="008727FB">
        <w:lastRenderedPageBreak/>
        <w:t>On 20 September 2018, paragraph (4) of this resolution was omitted and the following paragraph substituted:</w:t>
      </w:r>
    </w:p>
    <w:p w:rsidR="003555E7" w:rsidRPr="008727FB" w:rsidRDefault="003555E7" w:rsidP="0023663C">
      <w:r w:rsidRPr="008727FB">
        <w:t>(4) Each general purpose committee shall consist of the following number of members, composed as follows:</w:t>
      </w:r>
    </w:p>
    <w:p w:rsidR="003555E7" w:rsidRPr="008727FB" w:rsidRDefault="003555E7" w:rsidP="0023663C">
      <w:r w:rsidRPr="008727FB">
        <w:t>(d) the Standing Committee on Justice and Community Safety:</w:t>
      </w:r>
    </w:p>
    <w:p w:rsidR="003555E7" w:rsidRPr="008727FB" w:rsidRDefault="003555E7" w:rsidP="0023663C">
      <w:r w:rsidRPr="008727FB">
        <w:t>(i) one member to be nominated by the Opposition;</w:t>
      </w:r>
    </w:p>
    <w:p w:rsidR="003555E7" w:rsidRPr="008727FB" w:rsidRDefault="003555E7" w:rsidP="0023663C">
      <w:r w:rsidRPr="008727FB">
        <w:t>(ii) two members to be nominated by the Government; and</w:t>
      </w:r>
    </w:p>
    <w:p w:rsidR="003555E7" w:rsidRPr="008727FB" w:rsidRDefault="003555E7" w:rsidP="0023663C">
      <w:r w:rsidRPr="008727FB">
        <w:t>(iii)</w:t>
      </w:r>
      <w:r w:rsidR="0023663C" w:rsidRPr="008727FB">
        <w:t xml:space="preserve"> </w:t>
      </w:r>
      <w:r w:rsidRPr="008727FB">
        <w:t>the Chair shall be the Opposition member.</w:t>
      </w:r>
      <w:r w:rsidRPr="008727FB">
        <w:rPr>
          <w:rStyle w:val="FootnoteReference"/>
          <w:rFonts w:eastAsiaTheme="majorEastAsia"/>
        </w:rPr>
        <w:footnoteReference w:id="3"/>
      </w:r>
    </w:p>
    <w:p w:rsidR="00F712A2" w:rsidRPr="008727FB" w:rsidRDefault="004C52C9" w:rsidP="00001C7E">
      <w:pPr>
        <w:pStyle w:val="Heading3"/>
        <w:ind w:hanging="567"/>
        <w:rPr>
          <w:iCs w:val="0"/>
        </w:rPr>
      </w:pPr>
      <w:r w:rsidRPr="008727FB">
        <w:br w:type="page"/>
      </w:r>
      <w:bookmarkStart w:id="35" w:name="_Toc528670925"/>
      <w:r w:rsidR="00F712A2" w:rsidRPr="008727FB">
        <w:rPr>
          <w:iCs w:val="0"/>
        </w:rPr>
        <w:lastRenderedPageBreak/>
        <w:t>Reference of the Bill to the Standing Committee</w:t>
      </w:r>
      <w:bookmarkEnd w:id="35"/>
    </w:p>
    <w:p w:rsidR="00F712A2" w:rsidRPr="008727FB" w:rsidRDefault="00F712A2" w:rsidP="00F712A2">
      <w:pPr>
        <w:pStyle w:val="Bodytextnonumbering"/>
      </w:pPr>
      <w:r w:rsidRPr="008727FB">
        <w:t xml:space="preserve">On 8 May 2018 the Legislative Assembly referred the </w:t>
      </w:r>
      <w:r w:rsidRPr="008727FB">
        <w:rPr>
          <w:i/>
        </w:rPr>
        <w:t>Crimes (Consent) Amendment Bill</w:t>
      </w:r>
      <w:r w:rsidRPr="008727FB">
        <w:t xml:space="preserve"> </w:t>
      </w:r>
      <w:r w:rsidRPr="008727FB">
        <w:rPr>
          <w:i/>
        </w:rPr>
        <w:t>2018</w:t>
      </w:r>
      <w:r w:rsidRPr="008727FB">
        <w:t xml:space="preserve"> to the Sta</w:t>
      </w:r>
      <w:r w:rsidR="0023663C" w:rsidRPr="008727FB">
        <w:t>nding Committee on Justice and C</w:t>
      </w:r>
      <w:r w:rsidRPr="008727FB">
        <w:t xml:space="preserve">ommunity Safety for inquiry and report by </w:t>
      </w:r>
      <w:r w:rsidR="00F360BB" w:rsidRPr="008727FB">
        <w:t xml:space="preserve">31 October </w:t>
      </w:r>
      <w:r w:rsidRPr="008727FB">
        <w:t>2018.</w:t>
      </w:r>
      <w:r w:rsidRPr="008727FB">
        <w:rPr>
          <w:rStyle w:val="FootnoteReference"/>
        </w:rPr>
        <w:footnoteReference w:id="4"/>
      </w:r>
    </w:p>
    <w:p w:rsidR="00F712A2" w:rsidRPr="008727FB" w:rsidRDefault="00F712A2" w:rsidP="0023663C">
      <w:pPr>
        <w:pStyle w:val="Bodytextnonumbering"/>
      </w:pPr>
      <w:r w:rsidRPr="008727FB">
        <w:t xml:space="preserve">The Bill and accompanying Explanatory </w:t>
      </w:r>
      <w:r w:rsidR="0023663C" w:rsidRPr="008727FB">
        <w:t>Statement</w:t>
      </w:r>
      <w:r w:rsidRPr="008727FB">
        <w:t xml:space="preserve"> are at</w:t>
      </w:r>
      <w:r w:rsidR="0023663C" w:rsidRPr="008727FB">
        <w:t xml:space="preserve">: </w:t>
      </w:r>
      <w:hyperlink r:id="rId19" w:history="1">
        <w:r w:rsidRPr="008727FB">
          <w:rPr>
            <w:rStyle w:val="Hyperlink"/>
            <w:color w:val="auto"/>
            <w:lang w:eastAsia="en-AU"/>
          </w:rPr>
          <w:t>http://www.legislation.act.gov.au/b/db_57900/default.asp</w:t>
        </w:r>
      </w:hyperlink>
    </w:p>
    <w:p w:rsidR="0022524E" w:rsidRPr="008727FB" w:rsidRDefault="0022524E" w:rsidP="00723F7F">
      <w:pPr>
        <w:sectPr w:rsidR="0022524E" w:rsidRPr="008727FB" w:rsidSect="008A0235">
          <w:type w:val="oddPage"/>
          <w:pgSz w:w="11907" w:h="16840" w:code="9"/>
          <w:pgMar w:top="1588" w:right="1418" w:bottom="1418" w:left="1418" w:header="720" w:footer="851" w:gutter="0"/>
          <w:pgNumType w:fmt="lowerRoman"/>
          <w:cols w:space="720"/>
          <w:docGrid w:linePitch="360"/>
        </w:sectPr>
      </w:pPr>
    </w:p>
    <w:p w:rsidR="004001FB" w:rsidRPr="008727FB" w:rsidRDefault="00A86276" w:rsidP="00001C7E">
      <w:pPr>
        <w:pStyle w:val="Heading3"/>
        <w:ind w:hanging="567"/>
        <w:rPr>
          <w:iCs w:val="0"/>
        </w:rPr>
      </w:pPr>
      <w:bookmarkStart w:id="36" w:name="_Toc528670926"/>
      <w:r w:rsidRPr="008727FB">
        <w:rPr>
          <w:iCs w:val="0"/>
        </w:rPr>
        <w:lastRenderedPageBreak/>
        <w:t>A</w:t>
      </w:r>
      <w:r w:rsidR="00D37A0C" w:rsidRPr="008727FB">
        <w:rPr>
          <w:iCs w:val="0"/>
        </w:rPr>
        <w:t>cronyms</w:t>
      </w:r>
      <w:bookmarkEnd w:id="36"/>
    </w:p>
    <w:tbl>
      <w:tblPr>
        <w:tblStyle w:val="CommitteeTable"/>
        <w:tblW w:w="9072" w:type="dxa"/>
        <w:tblInd w:w="-5" w:type="dxa"/>
        <w:tblLook w:val="04A0" w:firstRow="1" w:lastRow="0" w:firstColumn="1" w:lastColumn="0" w:noHBand="0" w:noVBand="1"/>
      </w:tblPr>
      <w:tblGrid>
        <w:gridCol w:w="2098"/>
        <w:gridCol w:w="6974"/>
      </w:tblGrid>
      <w:tr w:rsidR="008727FB" w:rsidRPr="008727FB" w:rsidTr="00E73487">
        <w:trPr>
          <w:cnfStyle w:val="100000000000" w:firstRow="1" w:lastRow="0" w:firstColumn="0" w:lastColumn="0" w:oddVBand="0" w:evenVBand="0" w:oddHBand="0" w:evenHBand="0" w:firstRowFirstColumn="0" w:firstRowLastColumn="0" w:lastRowFirstColumn="0" w:lastRowLastColumn="0"/>
        </w:trPr>
        <w:tc>
          <w:tcPr>
            <w:tcW w:w="2098" w:type="dxa"/>
          </w:tcPr>
          <w:p w:rsidR="00E73487" w:rsidRPr="008727FB" w:rsidRDefault="00E73487" w:rsidP="00E73487">
            <w:pPr>
              <w:pStyle w:val="TableText"/>
              <w:rPr>
                <w:b w:val="0"/>
              </w:rPr>
            </w:pPr>
            <w:r w:rsidRPr="008727FB">
              <w:rPr>
                <w:b w:val="0"/>
              </w:rPr>
              <w:t>DPP</w:t>
            </w:r>
          </w:p>
        </w:tc>
        <w:tc>
          <w:tcPr>
            <w:tcW w:w="6974" w:type="dxa"/>
          </w:tcPr>
          <w:p w:rsidR="00E73487" w:rsidRPr="008727FB" w:rsidRDefault="00E73487" w:rsidP="00E73487">
            <w:pPr>
              <w:pStyle w:val="TableText"/>
              <w:rPr>
                <w:b w:val="0"/>
              </w:rPr>
            </w:pPr>
            <w:r w:rsidRPr="008727FB">
              <w:rPr>
                <w:b w:val="0"/>
              </w:rPr>
              <w:t>Director of Public Prosecutions  - ACT</w:t>
            </w:r>
          </w:p>
        </w:tc>
      </w:tr>
      <w:tr w:rsidR="008727FB" w:rsidRPr="008727FB" w:rsidTr="00E73487">
        <w:trPr>
          <w:cnfStyle w:val="000000100000" w:firstRow="0" w:lastRow="0" w:firstColumn="0" w:lastColumn="0" w:oddVBand="0" w:evenVBand="0" w:oddHBand="1" w:evenHBand="0" w:firstRowFirstColumn="0" w:firstRowLastColumn="0" w:lastRowFirstColumn="0" w:lastRowLastColumn="0"/>
        </w:trPr>
        <w:tc>
          <w:tcPr>
            <w:tcW w:w="2098" w:type="dxa"/>
          </w:tcPr>
          <w:p w:rsidR="00E73487" w:rsidRPr="008727FB" w:rsidRDefault="00E73487" w:rsidP="00E73487">
            <w:pPr>
              <w:pStyle w:val="TableText"/>
            </w:pPr>
            <w:r w:rsidRPr="008727FB">
              <w:t>HRA</w:t>
            </w:r>
          </w:p>
        </w:tc>
        <w:tc>
          <w:tcPr>
            <w:tcW w:w="6974" w:type="dxa"/>
          </w:tcPr>
          <w:p w:rsidR="00E73487" w:rsidRPr="008727FB" w:rsidRDefault="00E73487" w:rsidP="00E73487">
            <w:pPr>
              <w:pStyle w:val="TableText"/>
            </w:pPr>
            <w:r w:rsidRPr="008727FB">
              <w:rPr>
                <w:i/>
              </w:rPr>
              <w:t>Human Rights Act 2004</w:t>
            </w:r>
            <w:r w:rsidRPr="008727FB">
              <w:t xml:space="preserve"> (ACT)</w:t>
            </w:r>
          </w:p>
        </w:tc>
      </w:tr>
      <w:tr w:rsidR="008727FB" w:rsidRPr="008727FB" w:rsidTr="00E73487">
        <w:tc>
          <w:tcPr>
            <w:tcW w:w="2098" w:type="dxa"/>
          </w:tcPr>
          <w:p w:rsidR="00FD509B" w:rsidRPr="008727FB" w:rsidRDefault="00522A5C" w:rsidP="0056020D">
            <w:pPr>
              <w:pStyle w:val="TableText"/>
            </w:pPr>
            <w:r w:rsidRPr="008727FB">
              <w:t>HRC</w:t>
            </w:r>
          </w:p>
        </w:tc>
        <w:tc>
          <w:tcPr>
            <w:tcW w:w="6974" w:type="dxa"/>
          </w:tcPr>
          <w:p w:rsidR="00FD509B" w:rsidRPr="008727FB" w:rsidRDefault="00522A5C" w:rsidP="0056020D">
            <w:pPr>
              <w:pStyle w:val="TableText"/>
            </w:pPr>
            <w:r w:rsidRPr="008727FB">
              <w:t>Human Rights Commission</w:t>
            </w:r>
          </w:p>
        </w:tc>
      </w:tr>
      <w:tr w:rsidR="008727FB" w:rsidRPr="008727FB" w:rsidTr="00E73487">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8727FB" w:rsidRDefault="00522A5C" w:rsidP="0056020D">
            <w:pPr>
              <w:pStyle w:val="TableText"/>
            </w:pPr>
            <w:bookmarkStart w:id="37" w:name="RowTitle_Acronyms"/>
            <w:bookmarkEnd w:id="37"/>
            <w:r w:rsidRPr="008727FB">
              <w:t>NSWLRC</w:t>
            </w:r>
          </w:p>
        </w:tc>
        <w:tc>
          <w:tcPr>
            <w:tcW w:w="6974" w:type="dxa"/>
          </w:tcPr>
          <w:p w:rsidR="00FD509B" w:rsidRPr="008727FB" w:rsidRDefault="00522A5C" w:rsidP="0056020D">
            <w:pPr>
              <w:pStyle w:val="TableText"/>
            </w:pPr>
            <w:r w:rsidRPr="008727FB">
              <w:t>New South Wales Law Reform Commission</w:t>
            </w:r>
          </w:p>
        </w:tc>
      </w:tr>
    </w:tbl>
    <w:p w:rsidR="00D37A0C" w:rsidRPr="008727FB" w:rsidRDefault="00D37A0C" w:rsidP="00D37A0C"/>
    <w:p w:rsidR="0022524E" w:rsidRPr="008727FB" w:rsidRDefault="0022524E" w:rsidP="0064133C">
      <w:pPr>
        <w:pStyle w:val="TOCHeading"/>
        <w:sectPr w:rsidR="0022524E" w:rsidRPr="008727FB" w:rsidSect="008A0235">
          <w:type w:val="oddPage"/>
          <w:pgSz w:w="11907" w:h="16840" w:code="9"/>
          <w:pgMar w:top="1588" w:right="1418" w:bottom="1418" w:left="1418" w:header="720" w:footer="851" w:gutter="0"/>
          <w:pgNumType w:fmt="lowerRoman"/>
          <w:cols w:space="720"/>
          <w:docGrid w:linePitch="360"/>
        </w:sectPr>
      </w:pPr>
    </w:p>
    <w:p w:rsidR="005973EA" w:rsidRPr="008727FB" w:rsidRDefault="00566B91" w:rsidP="00606F3D">
      <w:pPr>
        <w:pStyle w:val="TOCHeading"/>
        <w:spacing w:before="720"/>
      </w:pPr>
      <w:r w:rsidRPr="008727FB">
        <w:lastRenderedPageBreak/>
        <w:t>Table of Contents</w:t>
      </w:r>
    </w:p>
    <w:p w:rsidR="00821AF5" w:rsidRDefault="00171CA7">
      <w:pPr>
        <w:pStyle w:val="TOC1"/>
        <w:rPr>
          <w:rFonts w:asciiTheme="minorHAnsi" w:eastAsiaTheme="minorEastAsia" w:hAnsiTheme="minorHAnsi" w:cstheme="minorBidi"/>
          <w:b w:val="0"/>
          <w:bCs w:val="0"/>
          <w:smallCaps w:val="0"/>
          <w:noProof/>
          <w:spacing w:val="0"/>
          <w:sz w:val="22"/>
          <w:szCs w:val="22"/>
          <w:lang w:eastAsia="en-AU"/>
        </w:rPr>
      </w:pPr>
      <w:r w:rsidRPr="008727FB">
        <w:rPr>
          <w:sz w:val="20"/>
        </w:rPr>
        <w:fldChar w:fldCharType="begin"/>
      </w:r>
      <w:r w:rsidR="00383DFC" w:rsidRPr="008727FB">
        <w:instrText xml:space="preserve"> TOC \h \z \t "Heading 2,1,Heading 3,2" </w:instrText>
      </w:r>
      <w:r w:rsidRPr="008727FB">
        <w:rPr>
          <w:sz w:val="20"/>
        </w:rPr>
        <w:fldChar w:fldCharType="separate"/>
      </w:r>
      <w:hyperlink w:anchor="_Toc528670920" w:history="1">
        <w:r w:rsidR="00821AF5" w:rsidRPr="00A01158">
          <w:rPr>
            <w:rStyle w:val="Hyperlink"/>
            <w:noProof/>
          </w:rPr>
          <w:t>The Committee</w:t>
        </w:r>
        <w:r w:rsidR="00821AF5">
          <w:rPr>
            <w:noProof/>
            <w:webHidden/>
          </w:rPr>
          <w:tab/>
        </w:r>
        <w:r w:rsidR="00821AF5">
          <w:rPr>
            <w:noProof/>
            <w:webHidden/>
          </w:rPr>
          <w:fldChar w:fldCharType="begin"/>
        </w:r>
        <w:r w:rsidR="00821AF5">
          <w:rPr>
            <w:noProof/>
            <w:webHidden/>
          </w:rPr>
          <w:instrText xml:space="preserve"> PAGEREF _Toc528670920 \h </w:instrText>
        </w:r>
        <w:r w:rsidR="00821AF5">
          <w:rPr>
            <w:noProof/>
            <w:webHidden/>
          </w:rPr>
        </w:r>
        <w:r w:rsidR="00821AF5">
          <w:rPr>
            <w:noProof/>
            <w:webHidden/>
          </w:rPr>
          <w:fldChar w:fldCharType="separate"/>
        </w:r>
        <w:r w:rsidR="00FD43C9">
          <w:rPr>
            <w:noProof/>
            <w:webHidden/>
          </w:rPr>
          <w:t>i</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1" w:history="1">
        <w:r w:rsidR="00821AF5" w:rsidRPr="00A01158">
          <w:rPr>
            <w:rStyle w:val="Hyperlink"/>
            <w:noProof/>
          </w:rPr>
          <w:t>Committee Membership</w:t>
        </w:r>
        <w:r w:rsidR="00821AF5">
          <w:rPr>
            <w:noProof/>
            <w:webHidden/>
          </w:rPr>
          <w:tab/>
        </w:r>
        <w:r w:rsidR="00821AF5">
          <w:rPr>
            <w:noProof/>
            <w:webHidden/>
          </w:rPr>
          <w:fldChar w:fldCharType="begin"/>
        </w:r>
        <w:r w:rsidR="00821AF5">
          <w:rPr>
            <w:noProof/>
            <w:webHidden/>
          </w:rPr>
          <w:instrText xml:space="preserve"> PAGEREF _Toc528670921 \h </w:instrText>
        </w:r>
        <w:r w:rsidR="00821AF5">
          <w:rPr>
            <w:noProof/>
            <w:webHidden/>
          </w:rPr>
        </w:r>
        <w:r w:rsidR="00821AF5">
          <w:rPr>
            <w:noProof/>
            <w:webHidden/>
          </w:rPr>
          <w:fldChar w:fldCharType="separate"/>
        </w:r>
        <w:r w:rsidR="00FD43C9">
          <w:rPr>
            <w:noProof/>
            <w:webHidden/>
          </w:rPr>
          <w:t>i</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2" w:history="1">
        <w:r w:rsidR="00821AF5" w:rsidRPr="00A01158">
          <w:rPr>
            <w:rStyle w:val="Hyperlink"/>
            <w:noProof/>
          </w:rPr>
          <w:t>Secretariat</w:t>
        </w:r>
        <w:r w:rsidR="00821AF5">
          <w:rPr>
            <w:noProof/>
            <w:webHidden/>
          </w:rPr>
          <w:tab/>
        </w:r>
        <w:r w:rsidR="00821AF5">
          <w:rPr>
            <w:noProof/>
            <w:webHidden/>
          </w:rPr>
          <w:fldChar w:fldCharType="begin"/>
        </w:r>
        <w:r w:rsidR="00821AF5">
          <w:rPr>
            <w:noProof/>
            <w:webHidden/>
          </w:rPr>
          <w:instrText xml:space="preserve"> PAGEREF _Toc528670922 \h </w:instrText>
        </w:r>
        <w:r w:rsidR="00821AF5">
          <w:rPr>
            <w:noProof/>
            <w:webHidden/>
          </w:rPr>
        </w:r>
        <w:r w:rsidR="00821AF5">
          <w:rPr>
            <w:noProof/>
            <w:webHidden/>
          </w:rPr>
          <w:fldChar w:fldCharType="separate"/>
        </w:r>
        <w:r w:rsidR="00FD43C9">
          <w:rPr>
            <w:noProof/>
            <w:webHidden/>
          </w:rPr>
          <w:t>i</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3" w:history="1">
        <w:r w:rsidR="00821AF5" w:rsidRPr="00A01158">
          <w:rPr>
            <w:rStyle w:val="Hyperlink"/>
            <w:noProof/>
          </w:rPr>
          <w:t>Contact Information</w:t>
        </w:r>
        <w:r w:rsidR="00821AF5">
          <w:rPr>
            <w:noProof/>
            <w:webHidden/>
          </w:rPr>
          <w:tab/>
        </w:r>
        <w:r w:rsidR="00821AF5">
          <w:rPr>
            <w:noProof/>
            <w:webHidden/>
          </w:rPr>
          <w:fldChar w:fldCharType="begin"/>
        </w:r>
        <w:r w:rsidR="00821AF5">
          <w:rPr>
            <w:noProof/>
            <w:webHidden/>
          </w:rPr>
          <w:instrText xml:space="preserve"> PAGEREF _Toc528670923 \h </w:instrText>
        </w:r>
        <w:r w:rsidR="00821AF5">
          <w:rPr>
            <w:noProof/>
            <w:webHidden/>
          </w:rPr>
        </w:r>
        <w:r w:rsidR="00821AF5">
          <w:rPr>
            <w:noProof/>
            <w:webHidden/>
          </w:rPr>
          <w:fldChar w:fldCharType="separate"/>
        </w:r>
        <w:r w:rsidR="00FD43C9">
          <w:rPr>
            <w:noProof/>
            <w:webHidden/>
          </w:rPr>
          <w:t>i</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4" w:history="1">
        <w:r w:rsidR="00821AF5" w:rsidRPr="00A01158">
          <w:rPr>
            <w:rStyle w:val="Hyperlink"/>
            <w:noProof/>
          </w:rPr>
          <w:t>Resolution of Committee appointment</w:t>
        </w:r>
        <w:r w:rsidR="00821AF5">
          <w:rPr>
            <w:noProof/>
            <w:webHidden/>
          </w:rPr>
          <w:tab/>
        </w:r>
        <w:r w:rsidR="00821AF5">
          <w:rPr>
            <w:noProof/>
            <w:webHidden/>
          </w:rPr>
          <w:fldChar w:fldCharType="begin"/>
        </w:r>
        <w:r w:rsidR="00821AF5">
          <w:rPr>
            <w:noProof/>
            <w:webHidden/>
          </w:rPr>
          <w:instrText xml:space="preserve"> PAGEREF _Toc528670924 \h </w:instrText>
        </w:r>
        <w:r w:rsidR="00821AF5">
          <w:rPr>
            <w:noProof/>
            <w:webHidden/>
          </w:rPr>
        </w:r>
        <w:r w:rsidR="00821AF5">
          <w:rPr>
            <w:noProof/>
            <w:webHidden/>
          </w:rPr>
          <w:fldChar w:fldCharType="separate"/>
        </w:r>
        <w:r w:rsidR="00FD43C9">
          <w:rPr>
            <w:noProof/>
            <w:webHidden/>
          </w:rPr>
          <w:t>iii</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5" w:history="1">
        <w:r w:rsidR="00821AF5" w:rsidRPr="00A01158">
          <w:rPr>
            <w:rStyle w:val="Hyperlink"/>
            <w:noProof/>
          </w:rPr>
          <w:t>Reference of the Bill to the Standing Committee</w:t>
        </w:r>
        <w:r w:rsidR="00821AF5">
          <w:rPr>
            <w:noProof/>
            <w:webHidden/>
          </w:rPr>
          <w:tab/>
        </w:r>
        <w:r w:rsidR="00821AF5">
          <w:rPr>
            <w:noProof/>
            <w:webHidden/>
          </w:rPr>
          <w:fldChar w:fldCharType="begin"/>
        </w:r>
        <w:r w:rsidR="00821AF5">
          <w:rPr>
            <w:noProof/>
            <w:webHidden/>
          </w:rPr>
          <w:instrText xml:space="preserve"> PAGEREF _Toc528670925 \h </w:instrText>
        </w:r>
        <w:r w:rsidR="00821AF5">
          <w:rPr>
            <w:noProof/>
            <w:webHidden/>
          </w:rPr>
        </w:r>
        <w:r w:rsidR="00821AF5">
          <w:rPr>
            <w:noProof/>
            <w:webHidden/>
          </w:rPr>
          <w:fldChar w:fldCharType="separate"/>
        </w:r>
        <w:r w:rsidR="00FD43C9">
          <w:rPr>
            <w:noProof/>
            <w:webHidden/>
          </w:rPr>
          <w:t>v</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6" w:history="1">
        <w:r w:rsidR="00821AF5" w:rsidRPr="00A01158">
          <w:rPr>
            <w:rStyle w:val="Hyperlink"/>
            <w:noProof/>
          </w:rPr>
          <w:t>Acronyms</w:t>
        </w:r>
        <w:r w:rsidR="00821AF5">
          <w:rPr>
            <w:noProof/>
            <w:webHidden/>
          </w:rPr>
          <w:tab/>
        </w:r>
        <w:r w:rsidR="00821AF5">
          <w:rPr>
            <w:noProof/>
            <w:webHidden/>
          </w:rPr>
          <w:fldChar w:fldCharType="begin"/>
        </w:r>
        <w:r w:rsidR="00821AF5">
          <w:rPr>
            <w:noProof/>
            <w:webHidden/>
          </w:rPr>
          <w:instrText xml:space="preserve"> PAGEREF _Toc528670926 \h </w:instrText>
        </w:r>
        <w:r w:rsidR="00821AF5">
          <w:rPr>
            <w:noProof/>
            <w:webHidden/>
          </w:rPr>
        </w:r>
        <w:r w:rsidR="00821AF5">
          <w:rPr>
            <w:noProof/>
            <w:webHidden/>
          </w:rPr>
          <w:fldChar w:fldCharType="separate"/>
        </w:r>
        <w:r w:rsidR="00FD43C9">
          <w:rPr>
            <w:noProof/>
            <w:webHidden/>
          </w:rPr>
          <w:t>vii</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7" w:history="1">
        <w:r w:rsidR="00821AF5" w:rsidRPr="00A01158">
          <w:rPr>
            <w:rStyle w:val="Hyperlink"/>
            <w:noProof/>
          </w:rPr>
          <w:t>Recommendations</w:t>
        </w:r>
        <w:r w:rsidR="00821AF5">
          <w:rPr>
            <w:noProof/>
            <w:webHidden/>
          </w:rPr>
          <w:tab/>
        </w:r>
        <w:r w:rsidR="00821AF5">
          <w:rPr>
            <w:noProof/>
            <w:webHidden/>
          </w:rPr>
          <w:fldChar w:fldCharType="begin"/>
        </w:r>
        <w:r w:rsidR="00821AF5">
          <w:rPr>
            <w:noProof/>
            <w:webHidden/>
          </w:rPr>
          <w:instrText xml:space="preserve"> PAGEREF _Toc528670927 \h </w:instrText>
        </w:r>
        <w:r w:rsidR="00821AF5">
          <w:rPr>
            <w:noProof/>
            <w:webHidden/>
          </w:rPr>
        </w:r>
        <w:r w:rsidR="00821AF5">
          <w:rPr>
            <w:noProof/>
            <w:webHidden/>
          </w:rPr>
          <w:fldChar w:fldCharType="separate"/>
        </w:r>
        <w:r w:rsidR="00FD43C9">
          <w:rPr>
            <w:noProof/>
            <w:webHidden/>
          </w:rPr>
          <w:t>xi</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28" w:history="1">
        <w:r w:rsidR="00821AF5" w:rsidRPr="00A01158">
          <w:rPr>
            <w:rStyle w:val="Hyperlink"/>
            <w:noProof/>
          </w:rPr>
          <w:t>1</w:t>
        </w:r>
        <w:r w:rsidR="00821AF5">
          <w:rPr>
            <w:rFonts w:asciiTheme="minorHAnsi" w:eastAsiaTheme="minorEastAsia" w:hAnsiTheme="minorHAnsi" w:cstheme="minorBidi"/>
            <w:b w:val="0"/>
            <w:bCs w:val="0"/>
            <w:smallCaps w:val="0"/>
            <w:noProof/>
            <w:spacing w:val="0"/>
            <w:sz w:val="22"/>
            <w:szCs w:val="22"/>
            <w:lang w:eastAsia="en-AU"/>
          </w:rPr>
          <w:tab/>
        </w:r>
        <w:r w:rsidR="00821AF5" w:rsidRPr="00A01158">
          <w:rPr>
            <w:rStyle w:val="Hyperlink"/>
            <w:noProof/>
          </w:rPr>
          <w:t>Conduct of the Inquiry</w:t>
        </w:r>
        <w:r w:rsidR="00821AF5">
          <w:rPr>
            <w:noProof/>
            <w:webHidden/>
          </w:rPr>
          <w:tab/>
        </w:r>
        <w:r w:rsidR="00821AF5">
          <w:rPr>
            <w:noProof/>
            <w:webHidden/>
          </w:rPr>
          <w:fldChar w:fldCharType="begin"/>
        </w:r>
        <w:r w:rsidR="00821AF5">
          <w:rPr>
            <w:noProof/>
            <w:webHidden/>
          </w:rPr>
          <w:instrText xml:space="preserve"> PAGEREF _Toc528670928 \h </w:instrText>
        </w:r>
        <w:r w:rsidR="00821AF5">
          <w:rPr>
            <w:noProof/>
            <w:webHidden/>
          </w:rPr>
        </w:r>
        <w:r w:rsidR="00821AF5">
          <w:rPr>
            <w:noProof/>
            <w:webHidden/>
          </w:rPr>
          <w:fldChar w:fldCharType="separate"/>
        </w:r>
        <w:r w:rsidR="00FD43C9">
          <w:rPr>
            <w:noProof/>
            <w:webHidden/>
          </w:rPr>
          <w:t>1</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29" w:history="1">
        <w:r w:rsidR="00821AF5" w:rsidRPr="00A01158">
          <w:rPr>
            <w:rStyle w:val="Hyperlink"/>
            <w:noProof/>
          </w:rPr>
          <w:t>Referral of the Bill</w:t>
        </w:r>
        <w:r w:rsidR="00821AF5">
          <w:rPr>
            <w:noProof/>
            <w:webHidden/>
          </w:rPr>
          <w:tab/>
        </w:r>
        <w:r w:rsidR="00821AF5">
          <w:rPr>
            <w:noProof/>
            <w:webHidden/>
          </w:rPr>
          <w:fldChar w:fldCharType="begin"/>
        </w:r>
        <w:r w:rsidR="00821AF5">
          <w:rPr>
            <w:noProof/>
            <w:webHidden/>
          </w:rPr>
          <w:instrText xml:space="preserve"> PAGEREF _Toc528670929 \h </w:instrText>
        </w:r>
        <w:r w:rsidR="00821AF5">
          <w:rPr>
            <w:noProof/>
            <w:webHidden/>
          </w:rPr>
        </w:r>
        <w:r w:rsidR="00821AF5">
          <w:rPr>
            <w:noProof/>
            <w:webHidden/>
          </w:rPr>
          <w:fldChar w:fldCharType="separate"/>
        </w:r>
        <w:r w:rsidR="00FD43C9">
          <w:rPr>
            <w:noProof/>
            <w:webHidden/>
          </w:rPr>
          <w:t>1</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0" w:history="1">
        <w:r w:rsidR="00821AF5" w:rsidRPr="00A01158">
          <w:rPr>
            <w:rStyle w:val="Hyperlink"/>
            <w:noProof/>
          </w:rPr>
          <w:t>Committee inquiry – Issues for examination and report</w:t>
        </w:r>
        <w:r w:rsidR="00821AF5">
          <w:rPr>
            <w:noProof/>
            <w:webHidden/>
          </w:rPr>
          <w:tab/>
        </w:r>
        <w:r w:rsidR="00821AF5">
          <w:rPr>
            <w:noProof/>
            <w:webHidden/>
          </w:rPr>
          <w:fldChar w:fldCharType="begin"/>
        </w:r>
        <w:r w:rsidR="00821AF5">
          <w:rPr>
            <w:noProof/>
            <w:webHidden/>
          </w:rPr>
          <w:instrText xml:space="preserve"> PAGEREF _Toc528670930 \h </w:instrText>
        </w:r>
        <w:r w:rsidR="00821AF5">
          <w:rPr>
            <w:noProof/>
            <w:webHidden/>
          </w:rPr>
        </w:r>
        <w:r w:rsidR="00821AF5">
          <w:rPr>
            <w:noProof/>
            <w:webHidden/>
          </w:rPr>
          <w:fldChar w:fldCharType="separate"/>
        </w:r>
        <w:r w:rsidR="00FD43C9">
          <w:rPr>
            <w:noProof/>
            <w:webHidden/>
          </w:rPr>
          <w:t>1</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1" w:history="1">
        <w:r w:rsidR="00821AF5" w:rsidRPr="00A01158">
          <w:rPr>
            <w:rStyle w:val="Hyperlink"/>
            <w:noProof/>
          </w:rPr>
          <w:t>Submissions</w:t>
        </w:r>
        <w:r w:rsidR="00821AF5">
          <w:rPr>
            <w:noProof/>
            <w:webHidden/>
          </w:rPr>
          <w:tab/>
        </w:r>
        <w:r w:rsidR="00821AF5">
          <w:rPr>
            <w:noProof/>
            <w:webHidden/>
          </w:rPr>
          <w:fldChar w:fldCharType="begin"/>
        </w:r>
        <w:r w:rsidR="00821AF5">
          <w:rPr>
            <w:noProof/>
            <w:webHidden/>
          </w:rPr>
          <w:instrText xml:space="preserve"> PAGEREF _Toc528670931 \h </w:instrText>
        </w:r>
        <w:r w:rsidR="00821AF5">
          <w:rPr>
            <w:noProof/>
            <w:webHidden/>
          </w:rPr>
        </w:r>
        <w:r w:rsidR="00821AF5">
          <w:rPr>
            <w:noProof/>
            <w:webHidden/>
          </w:rPr>
          <w:fldChar w:fldCharType="separate"/>
        </w:r>
        <w:r w:rsidR="00FD43C9">
          <w:rPr>
            <w:noProof/>
            <w:webHidden/>
          </w:rPr>
          <w:t>2</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2" w:history="1">
        <w:r w:rsidR="00821AF5" w:rsidRPr="00A01158">
          <w:rPr>
            <w:rStyle w:val="Hyperlink"/>
            <w:noProof/>
          </w:rPr>
          <w:t>Public hearings</w:t>
        </w:r>
        <w:r w:rsidR="00821AF5">
          <w:rPr>
            <w:noProof/>
            <w:webHidden/>
          </w:rPr>
          <w:tab/>
        </w:r>
        <w:r w:rsidR="00821AF5">
          <w:rPr>
            <w:noProof/>
            <w:webHidden/>
          </w:rPr>
          <w:fldChar w:fldCharType="begin"/>
        </w:r>
        <w:r w:rsidR="00821AF5">
          <w:rPr>
            <w:noProof/>
            <w:webHidden/>
          </w:rPr>
          <w:instrText xml:space="preserve"> PAGEREF _Toc528670932 \h </w:instrText>
        </w:r>
        <w:r w:rsidR="00821AF5">
          <w:rPr>
            <w:noProof/>
            <w:webHidden/>
          </w:rPr>
        </w:r>
        <w:r w:rsidR="00821AF5">
          <w:rPr>
            <w:noProof/>
            <w:webHidden/>
          </w:rPr>
          <w:fldChar w:fldCharType="separate"/>
        </w:r>
        <w:r w:rsidR="00FD43C9">
          <w:rPr>
            <w:noProof/>
            <w:webHidden/>
          </w:rPr>
          <w:t>2</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3" w:history="1">
        <w:r w:rsidR="00821AF5" w:rsidRPr="00A01158">
          <w:rPr>
            <w:rStyle w:val="Hyperlink"/>
            <w:noProof/>
          </w:rPr>
          <w:t>Structure of the report</w:t>
        </w:r>
        <w:r w:rsidR="00821AF5">
          <w:rPr>
            <w:noProof/>
            <w:webHidden/>
          </w:rPr>
          <w:tab/>
        </w:r>
        <w:r w:rsidR="00821AF5">
          <w:rPr>
            <w:noProof/>
            <w:webHidden/>
          </w:rPr>
          <w:fldChar w:fldCharType="begin"/>
        </w:r>
        <w:r w:rsidR="00821AF5">
          <w:rPr>
            <w:noProof/>
            <w:webHidden/>
          </w:rPr>
          <w:instrText xml:space="preserve"> PAGEREF _Toc528670933 \h </w:instrText>
        </w:r>
        <w:r w:rsidR="00821AF5">
          <w:rPr>
            <w:noProof/>
            <w:webHidden/>
          </w:rPr>
        </w:r>
        <w:r w:rsidR="00821AF5">
          <w:rPr>
            <w:noProof/>
            <w:webHidden/>
          </w:rPr>
          <w:fldChar w:fldCharType="separate"/>
        </w:r>
        <w:r w:rsidR="00FD43C9">
          <w:rPr>
            <w:noProof/>
            <w:webHidden/>
          </w:rPr>
          <w:t>2</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4" w:history="1">
        <w:r w:rsidR="00821AF5" w:rsidRPr="00A01158">
          <w:rPr>
            <w:rStyle w:val="Hyperlink"/>
            <w:noProof/>
          </w:rPr>
          <w:t>Acknowledgments</w:t>
        </w:r>
        <w:r w:rsidR="00821AF5">
          <w:rPr>
            <w:noProof/>
            <w:webHidden/>
          </w:rPr>
          <w:tab/>
        </w:r>
        <w:r w:rsidR="00821AF5">
          <w:rPr>
            <w:noProof/>
            <w:webHidden/>
          </w:rPr>
          <w:fldChar w:fldCharType="begin"/>
        </w:r>
        <w:r w:rsidR="00821AF5">
          <w:rPr>
            <w:noProof/>
            <w:webHidden/>
          </w:rPr>
          <w:instrText xml:space="preserve"> PAGEREF _Toc528670934 \h </w:instrText>
        </w:r>
        <w:r w:rsidR="00821AF5">
          <w:rPr>
            <w:noProof/>
            <w:webHidden/>
          </w:rPr>
        </w:r>
        <w:r w:rsidR="00821AF5">
          <w:rPr>
            <w:noProof/>
            <w:webHidden/>
          </w:rPr>
          <w:fldChar w:fldCharType="separate"/>
        </w:r>
        <w:r w:rsidR="00FD43C9">
          <w:rPr>
            <w:noProof/>
            <w:webHidden/>
          </w:rPr>
          <w:t>3</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35" w:history="1">
        <w:r w:rsidR="00821AF5" w:rsidRPr="00A01158">
          <w:rPr>
            <w:rStyle w:val="Hyperlink"/>
            <w:noProof/>
          </w:rPr>
          <w:t>2</w:t>
        </w:r>
        <w:r w:rsidR="00821AF5">
          <w:rPr>
            <w:rFonts w:asciiTheme="minorHAnsi" w:eastAsiaTheme="minorEastAsia" w:hAnsiTheme="minorHAnsi" w:cstheme="minorBidi"/>
            <w:b w:val="0"/>
            <w:bCs w:val="0"/>
            <w:smallCaps w:val="0"/>
            <w:noProof/>
            <w:spacing w:val="0"/>
            <w:sz w:val="22"/>
            <w:szCs w:val="22"/>
            <w:lang w:eastAsia="en-AU"/>
          </w:rPr>
          <w:tab/>
        </w:r>
        <w:r w:rsidR="00821AF5" w:rsidRPr="00A01158">
          <w:rPr>
            <w:rStyle w:val="Hyperlink"/>
            <w:noProof/>
          </w:rPr>
          <w:t>The Bill and its provisions</w:t>
        </w:r>
        <w:r w:rsidR="00821AF5">
          <w:rPr>
            <w:noProof/>
            <w:webHidden/>
          </w:rPr>
          <w:tab/>
        </w:r>
        <w:r w:rsidR="00821AF5">
          <w:rPr>
            <w:noProof/>
            <w:webHidden/>
          </w:rPr>
          <w:fldChar w:fldCharType="begin"/>
        </w:r>
        <w:r w:rsidR="00821AF5">
          <w:rPr>
            <w:noProof/>
            <w:webHidden/>
          </w:rPr>
          <w:instrText xml:space="preserve"> PAGEREF _Toc528670935 \h </w:instrText>
        </w:r>
        <w:r w:rsidR="00821AF5">
          <w:rPr>
            <w:noProof/>
            <w:webHidden/>
          </w:rPr>
        </w:r>
        <w:r w:rsidR="00821AF5">
          <w:rPr>
            <w:noProof/>
            <w:webHidden/>
          </w:rPr>
          <w:fldChar w:fldCharType="separate"/>
        </w:r>
        <w:r w:rsidR="00FD43C9">
          <w:rPr>
            <w:noProof/>
            <w:webHidden/>
          </w:rPr>
          <w:t>5</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6" w:history="1">
        <w:r w:rsidR="00821AF5" w:rsidRPr="00A01158">
          <w:rPr>
            <w:rStyle w:val="Hyperlink"/>
            <w:noProof/>
          </w:rPr>
          <w:t>Introduction</w:t>
        </w:r>
        <w:r w:rsidR="00821AF5">
          <w:rPr>
            <w:noProof/>
            <w:webHidden/>
          </w:rPr>
          <w:tab/>
        </w:r>
        <w:r w:rsidR="00821AF5">
          <w:rPr>
            <w:noProof/>
            <w:webHidden/>
          </w:rPr>
          <w:fldChar w:fldCharType="begin"/>
        </w:r>
        <w:r w:rsidR="00821AF5">
          <w:rPr>
            <w:noProof/>
            <w:webHidden/>
          </w:rPr>
          <w:instrText xml:space="preserve"> PAGEREF _Toc528670936 \h </w:instrText>
        </w:r>
        <w:r w:rsidR="00821AF5">
          <w:rPr>
            <w:noProof/>
            <w:webHidden/>
          </w:rPr>
        </w:r>
        <w:r w:rsidR="00821AF5">
          <w:rPr>
            <w:noProof/>
            <w:webHidden/>
          </w:rPr>
          <w:fldChar w:fldCharType="separate"/>
        </w:r>
        <w:r w:rsidR="00FD43C9">
          <w:rPr>
            <w:noProof/>
            <w:webHidden/>
          </w:rPr>
          <w:t>5</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7" w:history="1">
        <w:r w:rsidR="00821AF5" w:rsidRPr="00A01158">
          <w:rPr>
            <w:rStyle w:val="Hyperlink"/>
            <w:noProof/>
          </w:rPr>
          <w:t>Provisions in the Bill</w:t>
        </w:r>
        <w:r w:rsidR="00821AF5">
          <w:rPr>
            <w:noProof/>
            <w:webHidden/>
          </w:rPr>
          <w:tab/>
        </w:r>
        <w:r w:rsidR="00821AF5">
          <w:rPr>
            <w:noProof/>
            <w:webHidden/>
          </w:rPr>
          <w:fldChar w:fldCharType="begin"/>
        </w:r>
        <w:r w:rsidR="00821AF5">
          <w:rPr>
            <w:noProof/>
            <w:webHidden/>
          </w:rPr>
          <w:instrText xml:space="preserve"> PAGEREF _Toc528670937 \h </w:instrText>
        </w:r>
        <w:r w:rsidR="00821AF5">
          <w:rPr>
            <w:noProof/>
            <w:webHidden/>
          </w:rPr>
        </w:r>
        <w:r w:rsidR="00821AF5">
          <w:rPr>
            <w:noProof/>
            <w:webHidden/>
          </w:rPr>
          <w:fldChar w:fldCharType="separate"/>
        </w:r>
        <w:r w:rsidR="00FD43C9">
          <w:rPr>
            <w:noProof/>
            <w:webHidden/>
          </w:rPr>
          <w:t>5</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8" w:history="1">
        <w:r w:rsidR="00821AF5" w:rsidRPr="00A01158">
          <w:rPr>
            <w:rStyle w:val="Hyperlink"/>
            <w:noProof/>
          </w:rPr>
          <w:t>Provisions of the Bill – consent in sexual offences.</w:t>
        </w:r>
        <w:r w:rsidR="00821AF5">
          <w:rPr>
            <w:noProof/>
            <w:webHidden/>
          </w:rPr>
          <w:tab/>
        </w:r>
        <w:r w:rsidR="00821AF5">
          <w:rPr>
            <w:noProof/>
            <w:webHidden/>
          </w:rPr>
          <w:fldChar w:fldCharType="begin"/>
        </w:r>
        <w:r w:rsidR="00821AF5">
          <w:rPr>
            <w:noProof/>
            <w:webHidden/>
          </w:rPr>
          <w:instrText xml:space="preserve"> PAGEREF _Toc528670938 \h </w:instrText>
        </w:r>
        <w:r w:rsidR="00821AF5">
          <w:rPr>
            <w:noProof/>
            <w:webHidden/>
          </w:rPr>
        </w:r>
        <w:r w:rsidR="00821AF5">
          <w:rPr>
            <w:noProof/>
            <w:webHidden/>
          </w:rPr>
          <w:fldChar w:fldCharType="separate"/>
        </w:r>
        <w:r w:rsidR="00FD43C9">
          <w:rPr>
            <w:noProof/>
            <w:webHidden/>
          </w:rPr>
          <w:t>5</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39" w:history="1">
        <w:r w:rsidR="00821AF5" w:rsidRPr="00A01158">
          <w:rPr>
            <w:rStyle w:val="Hyperlink"/>
            <w:noProof/>
          </w:rPr>
          <w:t>The Bill – Scrutiny Committee comments</w:t>
        </w:r>
        <w:r w:rsidR="00821AF5">
          <w:rPr>
            <w:noProof/>
            <w:webHidden/>
          </w:rPr>
          <w:tab/>
        </w:r>
        <w:r w:rsidR="00821AF5">
          <w:rPr>
            <w:noProof/>
            <w:webHidden/>
          </w:rPr>
          <w:fldChar w:fldCharType="begin"/>
        </w:r>
        <w:r w:rsidR="00821AF5">
          <w:rPr>
            <w:noProof/>
            <w:webHidden/>
          </w:rPr>
          <w:instrText xml:space="preserve"> PAGEREF _Toc528670939 \h </w:instrText>
        </w:r>
        <w:r w:rsidR="00821AF5">
          <w:rPr>
            <w:noProof/>
            <w:webHidden/>
          </w:rPr>
        </w:r>
        <w:r w:rsidR="00821AF5">
          <w:rPr>
            <w:noProof/>
            <w:webHidden/>
          </w:rPr>
          <w:fldChar w:fldCharType="separate"/>
        </w:r>
        <w:r w:rsidR="00FD43C9">
          <w:rPr>
            <w:noProof/>
            <w:webHidden/>
          </w:rPr>
          <w:t>9</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0" w:history="1">
        <w:r w:rsidR="00821AF5" w:rsidRPr="00A01158">
          <w:rPr>
            <w:rStyle w:val="Hyperlink"/>
            <w:noProof/>
          </w:rPr>
          <w:t>Committee Comment</w:t>
        </w:r>
        <w:r w:rsidR="00821AF5">
          <w:rPr>
            <w:noProof/>
            <w:webHidden/>
          </w:rPr>
          <w:tab/>
        </w:r>
        <w:r w:rsidR="00821AF5">
          <w:rPr>
            <w:noProof/>
            <w:webHidden/>
          </w:rPr>
          <w:fldChar w:fldCharType="begin"/>
        </w:r>
        <w:r w:rsidR="00821AF5">
          <w:rPr>
            <w:noProof/>
            <w:webHidden/>
          </w:rPr>
          <w:instrText xml:space="preserve"> PAGEREF _Toc528670940 \h </w:instrText>
        </w:r>
        <w:r w:rsidR="00821AF5">
          <w:rPr>
            <w:noProof/>
            <w:webHidden/>
          </w:rPr>
        </w:r>
        <w:r w:rsidR="00821AF5">
          <w:rPr>
            <w:noProof/>
            <w:webHidden/>
          </w:rPr>
          <w:fldChar w:fldCharType="separate"/>
        </w:r>
        <w:r w:rsidR="00FD43C9">
          <w:rPr>
            <w:noProof/>
            <w:webHidden/>
          </w:rPr>
          <w:t>11</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41" w:history="1">
        <w:r w:rsidR="00821AF5" w:rsidRPr="00A01158">
          <w:rPr>
            <w:rStyle w:val="Hyperlink"/>
            <w:noProof/>
          </w:rPr>
          <w:t>3</w:t>
        </w:r>
        <w:r w:rsidR="00821AF5">
          <w:rPr>
            <w:rFonts w:asciiTheme="minorHAnsi" w:eastAsiaTheme="minorEastAsia" w:hAnsiTheme="minorHAnsi" w:cstheme="minorBidi"/>
            <w:b w:val="0"/>
            <w:bCs w:val="0"/>
            <w:smallCaps w:val="0"/>
            <w:noProof/>
            <w:spacing w:val="0"/>
            <w:sz w:val="22"/>
            <w:szCs w:val="22"/>
            <w:lang w:eastAsia="en-AU"/>
          </w:rPr>
          <w:tab/>
        </w:r>
        <w:r w:rsidR="00821AF5" w:rsidRPr="00A01158">
          <w:rPr>
            <w:rStyle w:val="Hyperlink"/>
            <w:noProof/>
          </w:rPr>
          <w:t>Views Put to the Committee on the Bill</w:t>
        </w:r>
        <w:r w:rsidR="00821AF5">
          <w:rPr>
            <w:noProof/>
            <w:webHidden/>
          </w:rPr>
          <w:tab/>
        </w:r>
        <w:r w:rsidR="00821AF5">
          <w:rPr>
            <w:noProof/>
            <w:webHidden/>
          </w:rPr>
          <w:fldChar w:fldCharType="begin"/>
        </w:r>
        <w:r w:rsidR="00821AF5">
          <w:rPr>
            <w:noProof/>
            <w:webHidden/>
          </w:rPr>
          <w:instrText xml:space="preserve"> PAGEREF _Toc528670941 \h </w:instrText>
        </w:r>
        <w:r w:rsidR="00821AF5">
          <w:rPr>
            <w:noProof/>
            <w:webHidden/>
          </w:rPr>
        </w:r>
        <w:r w:rsidR="00821AF5">
          <w:rPr>
            <w:noProof/>
            <w:webHidden/>
          </w:rPr>
          <w:fldChar w:fldCharType="separate"/>
        </w:r>
        <w:r w:rsidR="00FD43C9">
          <w:rPr>
            <w:noProof/>
            <w:webHidden/>
          </w:rPr>
          <w:t>13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2" w:history="1">
        <w:r w:rsidR="00821AF5" w:rsidRPr="00A01158">
          <w:rPr>
            <w:rStyle w:val="Hyperlink"/>
            <w:noProof/>
          </w:rPr>
          <w:t>Introduction</w:t>
        </w:r>
        <w:r w:rsidR="00821AF5">
          <w:rPr>
            <w:noProof/>
            <w:webHidden/>
          </w:rPr>
          <w:tab/>
        </w:r>
        <w:r w:rsidR="00821AF5">
          <w:rPr>
            <w:noProof/>
            <w:webHidden/>
          </w:rPr>
          <w:fldChar w:fldCharType="begin"/>
        </w:r>
        <w:r w:rsidR="00821AF5">
          <w:rPr>
            <w:noProof/>
            <w:webHidden/>
          </w:rPr>
          <w:instrText xml:space="preserve"> PAGEREF _Toc528670942 \h </w:instrText>
        </w:r>
        <w:r w:rsidR="00821AF5">
          <w:rPr>
            <w:noProof/>
            <w:webHidden/>
          </w:rPr>
        </w:r>
        <w:r w:rsidR="00821AF5">
          <w:rPr>
            <w:noProof/>
            <w:webHidden/>
          </w:rPr>
          <w:fldChar w:fldCharType="separate"/>
        </w:r>
        <w:r w:rsidR="00FD43C9">
          <w:rPr>
            <w:noProof/>
            <w:webHidden/>
          </w:rPr>
          <w:t>13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3" w:history="1">
        <w:r w:rsidR="00821AF5" w:rsidRPr="00A01158">
          <w:rPr>
            <w:rStyle w:val="Hyperlink"/>
            <w:noProof/>
          </w:rPr>
          <w:t>Views put to the Committee – Ms Le Couteur MLA</w:t>
        </w:r>
        <w:r w:rsidR="00821AF5">
          <w:rPr>
            <w:noProof/>
            <w:webHidden/>
          </w:rPr>
          <w:tab/>
        </w:r>
        <w:r w:rsidR="00821AF5">
          <w:rPr>
            <w:noProof/>
            <w:webHidden/>
          </w:rPr>
          <w:fldChar w:fldCharType="begin"/>
        </w:r>
        <w:r w:rsidR="00821AF5">
          <w:rPr>
            <w:noProof/>
            <w:webHidden/>
          </w:rPr>
          <w:instrText xml:space="preserve"> PAGEREF _Toc528670943 \h </w:instrText>
        </w:r>
        <w:r w:rsidR="00821AF5">
          <w:rPr>
            <w:noProof/>
            <w:webHidden/>
          </w:rPr>
        </w:r>
        <w:r w:rsidR="00821AF5">
          <w:rPr>
            <w:noProof/>
            <w:webHidden/>
          </w:rPr>
          <w:fldChar w:fldCharType="separate"/>
        </w:r>
        <w:r w:rsidR="00FD43C9">
          <w:rPr>
            <w:noProof/>
            <w:webHidden/>
          </w:rPr>
          <w:t>14</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4" w:history="1">
        <w:r w:rsidR="00821AF5" w:rsidRPr="00A01158">
          <w:rPr>
            <w:rStyle w:val="Hyperlink"/>
            <w:noProof/>
          </w:rPr>
          <w:t>Views put to the Committee – Legal Practitioner Bodies</w:t>
        </w:r>
        <w:r w:rsidR="00821AF5">
          <w:rPr>
            <w:noProof/>
            <w:webHidden/>
          </w:rPr>
          <w:tab/>
        </w:r>
        <w:r w:rsidR="00821AF5">
          <w:rPr>
            <w:noProof/>
            <w:webHidden/>
          </w:rPr>
          <w:fldChar w:fldCharType="begin"/>
        </w:r>
        <w:r w:rsidR="00821AF5">
          <w:rPr>
            <w:noProof/>
            <w:webHidden/>
          </w:rPr>
          <w:instrText xml:space="preserve"> PAGEREF _Toc528670944 \h </w:instrText>
        </w:r>
        <w:r w:rsidR="00821AF5">
          <w:rPr>
            <w:noProof/>
            <w:webHidden/>
          </w:rPr>
        </w:r>
        <w:r w:rsidR="00821AF5">
          <w:rPr>
            <w:noProof/>
            <w:webHidden/>
          </w:rPr>
          <w:fldChar w:fldCharType="separate"/>
        </w:r>
        <w:r w:rsidR="00FD43C9">
          <w:rPr>
            <w:noProof/>
            <w:webHidden/>
          </w:rPr>
          <w:t>16</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5" w:history="1">
        <w:r w:rsidR="00821AF5" w:rsidRPr="00A01158">
          <w:rPr>
            <w:rStyle w:val="Hyperlink"/>
            <w:noProof/>
          </w:rPr>
          <w:t>ACT Director of Public Prosecutions (DPP)</w:t>
        </w:r>
        <w:r w:rsidR="00821AF5">
          <w:rPr>
            <w:noProof/>
            <w:webHidden/>
          </w:rPr>
          <w:tab/>
        </w:r>
        <w:r w:rsidR="00821AF5">
          <w:rPr>
            <w:noProof/>
            <w:webHidden/>
          </w:rPr>
          <w:fldChar w:fldCharType="begin"/>
        </w:r>
        <w:r w:rsidR="00821AF5">
          <w:rPr>
            <w:noProof/>
            <w:webHidden/>
          </w:rPr>
          <w:instrText xml:space="preserve"> PAGEREF _Toc528670945 \h </w:instrText>
        </w:r>
        <w:r w:rsidR="00821AF5">
          <w:rPr>
            <w:noProof/>
            <w:webHidden/>
          </w:rPr>
        </w:r>
        <w:r w:rsidR="00821AF5">
          <w:rPr>
            <w:noProof/>
            <w:webHidden/>
          </w:rPr>
          <w:fldChar w:fldCharType="separate"/>
        </w:r>
        <w:r w:rsidR="00FD43C9">
          <w:rPr>
            <w:noProof/>
            <w:webHidden/>
          </w:rPr>
          <w:t>16</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6" w:history="1">
        <w:r w:rsidR="00821AF5" w:rsidRPr="00A01158">
          <w:rPr>
            <w:rStyle w:val="Hyperlink"/>
            <w:noProof/>
          </w:rPr>
          <w:t>ACT Bar Association</w:t>
        </w:r>
        <w:r w:rsidR="00821AF5">
          <w:rPr>
            <w:noProof/>
            <w:webHidden/>
          </w:rPr>
          <w:tab/>
        </w:r>
        <w:r w:rsidR="00821AF5">
          <w:rPr>
            <w:noProof/>
            <w:webHidden/>
          </w:rPr>
          <w:fldChar w:fldCharType="begin"/>
        </w:r>
        <w:r w:rsidR="00821AF5">
          <w:rPr>
            <w:noProof/>
            <w:webHidden/>
          </w:rPr>
          <w:instrText xml:space="preserve"> PAGEREF _Toc528670946 \h </w:instrText>
        </w:r>
        <w:r w:rsidR="00821AF5">
          <w:rPr>
            <w:noProof/>
            <w:webHidden/>
          </w:rPr>
        </w:r>
        <w:r w:rsidR="00821AF5">
          <w:rPr>
            <w:noProof/>
            <w:webHidden/>
          </w:rPr>
          <w:fldChar w:fldCharType="separate"/>
        </w:r>
        <w:r w:rsidR="00FD43C9">
          <w:rPr>
            <w:noProof/>
            <w:webHidden/>
          </w:rPr>
          <w:t>18</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7" w:history="1">
        <w:r w:rsidR="00821AF5" w:rsidRPr="00A01158">
          <w:rPr>
            <w:rStyle w:val="Hyperlink"/>
            <w:noProof/>
          </w:rPr>
          <w:t>ACT Law Society</w:t>
        </w:r>
        <w:r w:rsidR="00821AF5">
          <w:rPr>
            <w:noProof/>
            <w:webHidden/>
          </w:rPr>
          <w:tab/>
        </w:r>
        <w:r w:rsidR="00821AF5">
          <w:rPr>
            <w:noProof/>
            <w:webHidden/>
          </w:rPr>
          <w:fldChar w:fldCharType="begin"/>
        </w:r>
        <w:r w:rsidR="00821AF5">
          <w:rPr>
            <w:noProof/>
            <w:webHidden/>
          </w:rPr>
          <w:instrText xml:space="preserve"> PAGEREF _Toc528670947 \h </w:instrText>
        </w:r>
        <w:r w:rsidR="00821AF5">
          <w:rPr>
            <w:noProof/>
            <w:webHidden/>
          </w:rPr>
        </w:r>
        <w:r w:rsidR="00821AF5">
          <w:rPr>
            <w:noProof/>
            <w:webHidden/>
          </w:rPr>
          <w:fldChar w:fldCharType="separate"/>
        </w:r>
        <w:r w:rsidR="00FD43C9">
          <w:rPr>
            <w:noProof/>
            <w:webHidden/>
          </w:rPr>
          <w:t>21</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8" w:history="1">
        <w:r w:rsidR="00821AF5" w:rsidRPr="00A01158">
          <w:rPr>
            <w:rStyle w:val="Hyperlink"/>
            <w:noProof/>
          </w:rPr>
          <w:t>ACT Human Rights Commission</w:t>
        </w:r>
        <w:r w:rsidR="00821AF5">
          <w:rPr>
            <w:noProof/>
            <w:webHidden/>
          </w:rPr>
          <w:tab/>
        </w:r>
        <w:r w:rsidR="00821AF5">
          <w:rPr>
            <w:noProof/>
            <w:webHidden/>
          </w:rPr>
          <w:fldChar w:fldCharType="begin"/>
        </w:r>
        <w:r w:rsidR="00821AF5">
          <w:rPr>
            <w:noProof/>
            <w:webHidden/>
          </w:rPr>
          <w:instrText xml:space="preserve"> PAGEREF _Toc528670948 \h </w:instrText>
        </w:r>
        <w:r w:rsidR="00821AF5">
          <w:rPr>
            <w:noProof/>
            <w:webHidden/>
          </w:rPr>
        </w:r>
        <w:r w:rsidR="00821AF5">
          <w:rPr>
            <w:noProof/>
            <w:webHidden/>
          </w:rPr>
          <w:fldChar w:fldCharType="separate"/>
        </w:r>
        <w:r w:rsidR="00FD43C9">
          <w:rPr>
            <w:noProof/>
            <w:webHidden/>
          </w:rPr>
          <w:t>24</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49" w:history="1">
        <w:r w:rsidR="00821AF5" w:rsidRPr="00A01158">
          <w:rPr>
            <w:rStyle w:val="Hyperlink"/>
            <w:noProof/>
          </w:rPr>
          <w:t>Legal Aid Commission (ACT)</w:t>
        </w:r>
        <w:r w:rsidR="00821AF5">
          <w:rPr>
            <w:noProof/>
            <w:webHidden/>
          </w:rPr>
          <w:tab/>
        </w:r>
        <w:r w:rsidR="00821AF5">
          <w:rPr>
            <w:noProof/>
            <w:webHidden/>
          </w:rPr>
          <w:fldChar w:fldCharType="begin"/>
        </w:r>
        <w:r w:rsidR="00821AF5">
          <w:rPr>
            <w:noProof/>
            <w:webHidden/>
          </w:rPr>
          <w:instrText xml:space="preserve"> PAGEREF _Toc528670949 \h </w:instrText>
        </w:r>
        <w:r w:rsidR="00821AF5">
          <w:rPr>
            <w:noProof/>
            <w:webHidden/>
          </w:rPr>
        </w:r>
        <w:r w:rsidR="00821AF5">
          <w:rPr>
            <w:noProof/>
            <w:webHidden/>
          </w:rPr>
          <w:fldChar w:fldCharType="separate"/>
        </w:r>
        <w:r w:rsidR="00FD43C9">
          <w:rPr>
            <w:noProof/>
            <w:webHidden/>
          </w:rPr>
          <w:t>26</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0" w:history="1">
        <w:r w:rsidR="00821AF5" w:rsidRPr="00A01158">
          <w:rPr>
            <w:rStyle w:val="Hyperlink"/>
            <w:noProof/>
          </w:rPr>
          <w:t>Views put to the Committee by community organisations</w:t>
        </w:r>
        <w:r w:rsidR="00821AF5">
          <w:rPr>
            <w:noProof/>
            <w:webHidden/>
          </w:rPr>
          <w:tab/>
        </w:r>
        <w:r w:rsidR="00821AF5">
          <w:rPr>
            <w:noProof/>
            <w:webHidden/>
          </w:rPr>
          <w:fldChar w:fldCharType="begin"/>
        </w:r>
        <w:r w:rsidR="00821AF5">
          <w:rPr>
            <w:noProof/>
            <w:webHidden/>
          </w:rPr>
          <w:instrText xml:space="preserve"> PAGEREF _Toc528670950 \h </w:instrText>
        </w:r>
        <w:r w:rsidR="00821AF5">
          <w:rPr>
            <w:noProof/>
            <w:webHidden/>
          </w:rPr>
        </w:r>
        <w:r w:rsidR="00821AF5">
          <w:rPr>
            <w:noProof/>
            <w:webHidden/>
          </w:rPr>
          <w:fldChar w:fldCharType="separate"/>
        </w:r>
        <w:r w:rsidR="00FD43C9">
          <w:rPr>
            <w:noProof/>
            <w:webHidden/>
          </w:rPr>
          <w:t>27</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1" w:history="1">
        <w:r w:rsidR="00821AF5" w:rsidRPr="00A01158">
          <w:rPr>
            <w:rStyle w:val="Hyperlink"/>
            <w:noProof/>
          </w:rPr>
          <w:t>Summary of views put to the Committee in evidence</w:t>
        </w:r>
        <w:r w:rsidR="00821AF5">
          <w:rPr>
            <w:noProof/>
            <w:webHidden/>
          </w:rPr>
          <w:tab/>
        </w:r>
        <w:r w:rsidR="00821AF5">
          <w:rPr>
            <w:noProof/>
            <w:webHidden/>
          </w:rPr>
          <w:fldChar w:fldCharType="begin"/>
        </w:r>
        <w:r w:rsidR="00821AF5">
          <w:rPr>
            <w:noProof/>
            <w:webHidden/>
          </w:rPr>
          <w:instrText xml:space="preserve"> PAGEREF _Toc528670951 \h </w:instrText>
        </w:r>
        <w:r w:rsidR="00821AF5">
          <w:rPr>
            <w:noProof/>
            <w:webHidden/>
          </w:rPr>
        </w:r>
        <w:r w:rsidR="00821AF5">
          <w:rPr>
            <w:noProof/>
            <w:webHidden/>
          </w:rPr>
          <w:fldChar w:fldCharType="separate"/>
        </w:r>
        <w:r w:rsidR="00FD43C9">
          <w:rPr>
            <w:noProof/>
            <w:webHidden/>
          </w:rPr>
          <w:t>28</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52" w:history="1">
        <w:r w:rsidR="00821AF5" w:rsidRPr="00A01158">
          <w:rPr>
            <w:rStyle w:val="Hyperlink"/>
            <w:noProof/>
          </w:rPr>
          <w:t>4</w:t>
        </w:r>
        <w:r w:rsidR="00821AF5">
          <w:rPr>
            <w:rFonts w:asciiTheme="minorHAnsi" w:eastAsiaTheme="minorEastAsia" w:hAnsiTheme="minorHAnsi" w:cstheme="minorBidi"/>
            <w:b w:val="0"/>
            <w:bCs w:val="0"/>
            <w:smallCaps w:val="0"/>
            <w:noProof/>
            <w:spacing w:val="0"/>
            <w:sz w:val="22"/>
            <w:szCs w:val="22"/>
            <w:lang w:eastAsia="en-AU"/>
          </w:rPr>
          <w:tab/>
        </w:r>
        <w:r w:rsidR="00821AF5" w:rsidRPr="00A01158">
          <w:rPr>
            <w:rStyle w:val="Hyperlink"/>
            <w:noProof/>
          </w:rPr>
          <w:t>Consent in sexual Offences - other jurisdictions</w:t>
        </w:r>
        <w:r w:rsidR="00821AF5">
          <w:rPr>
            <w:noProof/>
            <w:webHidden/>
          </w:rPr>
          <w:tab/>
        </w:r>
        <w:r w:rsidR="00821AF5">
          <w:rPr>
            <w:noProof/>
            <w:webHidden/>
          </w:rPr>
          <w:fldChar w:fldCharType="begin"/>
        </w:r>
        <w:r w:rsidR="00821AF5">
          <w:rPr>
            <w:noProof/>
            <w:webHidden/>
          </w:rPr>
          <w:instrText xml:space="preserve"> PAGEREF _Toc528670952 \h </w:instrText>
        </w:r>
        <w:r w:rsidR="00821AF5">
          <w:rPr>
            <w:noProof/>
            <w:webHidden/>
          </w:rPr>
        </w:r>
        <w:r w:rsidR="00821AF5">
          <w:rPr>
            <w:noProof/>
            <w:webHidden/>
          </w:rPr>
          <w:fldChar w:fldCharType="separate"/>
        </w:r>
        <w:r w:rsidR="00FD43C9">
          <w:rPr>
            <w:noProof/>
            <w:webHidden/>
          </w:rPr>
          <w:t>33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3" w:history="1">
        <w:r w:rsidR="00821AF5" w:rsidRPr="00A01158">
          <w:rPr>
            <w:rStyle w:val="Hyperlink"/>
            <w:noProof/>
          </w:rPr>
          <w:t>Introduction</w:t>
        </w:r>
        <w:r w:rsidR="00821AF5">
          <w:rPr>
            <w:noProof/>
            <w:webHidden/>
          </w:rPr>
          <w:tab/>
        </w:r>
        <w:r w:rsidR="00821AF5">
          <w:rPr>
            <w:noProof/>
            <w:webHidden/>
          </w:rPr>
          <w:fldChar w:fldCharType="begin"/>
        </w:r>
        <w:r w:rsidR="00821AF5">
          <w:rPr>
            <w:noProof/>
            <w:webHidden/>
          </w:rPr>
          <w:instrText xml:space="preserve"> PAGEREF _Toc528670953 \h </w:instrText>
        </w:r>
        <w:r w:rsidR="00821AF5">
          <w:rPr>
            <w:noProof/>
            <w:webHidden/>
          </w:rPr>
        </w:r>
        <w:r w:rsidR="00821AF5">
          <w:rPr>
            <w:noProof/>
            <w:webHidden/>
          </w:rPr>
          <w:fldChar w:fldCharType="separate"/>
        </w:r>
        <w:r w:rsidR="00FD43C9">
          <w:rPr>
            <w:noProof/>
            <w:webHidden/>
          </w:rPr>
          <w:t>33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4" w:history="1">
        <w:r w:rsidR="00821AF5" w:rsidRPr="00A01158">
          <w:rPr>
            <w:rStyle w:val="Hyperlink"/>
            <w:noProof/>
          </w:rPr>
          <w:t>Other Jurisdictions</w:t>
        </w:r>
        <w:r w:rsidR="00821AF5">
          <w:rPr>
            <w:noProof/>
            <w:webHidden/>
          </w:rPr>
          <w:tab/>
        </w:r>
        <w:r w:rsidR="00821AF5">
          <w:rPr>
            <w:noProof/>
            <w:webHidden/>
          </w:rPr>
          <w:fldChar w:fldCharType="begin"/>
        </w:r>
        <w:r w:rsidR="00821AF5">
          <w:rPr>
            <w:noProof/>
            <w:webHidden/>
          </w:rPr>
          <w:instrText xml:space="preserve"> PAGEREF _Toc528670954 \h </w:instrText>
        </w:r>
        <w:r w:rsidR="00821AF5">
          <w:rPr>
            <w:noProof/>
            <w:webHidden/>
          </w:rPr>
        </w:r>
        <w:r w:rsidR="00821AF5">
          <w:rPr>
            <w:noProof/>
            <w:webHidden/>
          </w:rPr>
          <w:fldChar w:fldCharType="separate"/>
        </w:r>
        <w:r w:rsidR="00FD43C9">
          <w:rPr>
            <w:noProof/>
            <w:webHidden/>
          </w:rPr>
          <w:t>33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5" w:history="1">
        <w:r w:rsidR="00821AF5" w:rsidRPr="00A01158">
          <w:rPr>
            <w:rStyle w:val="Hyperlink"/>
            <w:noProof/>
          </w:rPr>
          <w:t>New South Wales</w:t>
        </w:r>
        <w:r w:rsidR="00821AF5">
          <w:rPr>
            <w:noProof/>
            <w:webHidden/>
          </w:rPr>
          <w:tab/>
        </w:r>
        <w:r w:rsidR="00821AF5">
          <w:rPr>
            <w:noProof/>
            <w:webHidden/>
          </w:rPr>
          <w:fldChar w:fldCharType="begin"/>
        </w:r>
        <w:r w:rsidR="00821AF5">
          <w:rPr>
            <w:noProof/>
            <w:webHidden/>
          </w:rPr>
          <w:instrText xml:space="preserve"> PAGEREF _Toc528670955 \h </w:instrText>
        </w:r>
        <w:r w:rsidR="00821AF5">
          <w:rPr>
            <w:noProof/>
            <w:webHidden/>
          </w:rPr>
        </w:r>
        <w:r w:rsidR="00821AF5">
          <w:rPr>
            <w:noProof/>
            <w:webHidden/>
          </w:rPr>
          <w:fldChar w:fldCharType="separate"/>
        </w:r>
        <w:r w:rsidR="00FD43C9">
          <w:rPr>
            <w:noProof/>
            <w:webHidden/>
          </w:rPr>
          <w:t>33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6" w:history="1">
        <w:r w:rsidR="00821AF5" w:rsidRPr="00A01158">
          <w:rPr>
            <w:rStyle w:val="Hyperlink"/>
            <w:noProof/>
          </w:rPr>
          <w:t>NSW Law Reform Commission – Reference on Consent in sexual offences</w:t>
        </w:r>
        <w:r w:rsidR="00821AF5">
          <w:rPr>
            <w:noProof/>
            <w:webHidden/>
          </w:rPr>
          <w:tab/>
        </w:r>
        <w:r w:rsidR="00821AF5">
          <w:rPr>
            <w:noProof/>
            <w:webHidden/>
          </w:rPr>
          <w:fldChar w:fldCharType="begin"/>
        </w:r>
        <w:r w:rsidR="00821AF5">
          <w:rPr>
            <w:noProof/>
            <w:webHidden/>
          </w:rPr>
          <w:instrText xml:space="preserve"> PAGEREF _Toc528670956 \h </w:instrText>
        </w:r>
        <w:r w:rsidR="00821AF5">
          <w:rPr>
            <w:noProof/>
            <w:webHidden/>
          </w:rPr>
        </w:r>
        <w:r w:rsidR="00821AF5">
          <w:rPr>
            <w:noProof/>
            <w:webHidden/>
          </w:rPr>
          <w:fldChar w:fldCharType="separate"/>
        </w:r>
        <w:r w:rsidR="00FD43C9">
          <w:rPr>
            <w:noProof/>
            <w:webHidden/>
          </w:rPr>
          <w:t>35</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7" w:history="1">
        <w:r w:rsidR="00821AF5" w:rsidRPr="00A01158">
          <w:rPr>
            <w:rStyle w:val="Hyperlink"/>
            <w:noProof/>
          </w:rPr>
          <w:t>Tasmania</w:t>
        </w:r>
        <w:r w:rsidR="00821AF5">
          <w:rPr>
            <w:noProof/>
            <w:webHidden/>
          </w:rPr>
          <w:tab/>
        </w:r>
        <w:r w:rsidR="00821AF5">
          <w:rPr>
            <w:noProof/>
            <w:webHidden/>
          </w:rPr>
          <w:fldChar w:fldCharType="begin"/>
        </w:r>
        <w:r w:rsidR="00821AF5">
          <w:rPr>
            <w:noProof/>
            <w:webHidden/>
          </w:rPr>
          <w:instrText xml:space="preserve"> PAGEREF _Toc528670957 \h </w:instrText>
        </w:r>
        <w:r w:rsidR="00821AF5">
          <w:rPr>
            <w:noProof/>
            <w:webHidden/>
          </w:rPr>
        </w:r>
        <w:r w:rsidR="00821AF5">
          <w:rPr>
            <w:noProof/>
            <w:webHidden/>
          </w:rPr>
          <w:fldChar w:fldCharType="separate"/>
        </w:r>
        <w:r w:rsidR="00FD43C9">
          <w:rPr>
            <w:noProof/>
            <w:webHidden/>
          </w:rPr>
          <w:t>36</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58" w:history="1">
        <w:r w:rsidR="00821AF5" w:rsidRPr="00A01158">
          <w:rPr>
            <w:rStyle w:val="Hyperlink"/>
            <w:noProof/>
          </w:rPr>
          <w:t>Committee Comment</w:t>
        </w:r>
        <w:r w:rsidR="00821AF5">
          <w:rPr>
            <w:noProof/>
            <w:webHidden/>
          </w:rPr>
          <w:tab/>
        </w:r>
        <w:r w:rsidR="00821AF5">
          <w:rPr>
            <w:noProof/>
            <w:webHidden/>
          </w:rPr>
          <w:fldChar w:fldCharType="begin"/>
        </w:r>
        <w:r w:rsidR="00821AF5">
          <w:rPr>
            <w:noProof/>
            <w:webHidden/>
          </w:rPr>
          <w:instrText xml:space="preserve"> PAGEREF _Toc528670958 \h </w:instrText>
        </w:r>
        <w:r w:rsidR="00821AF5">
          <w:rPr>
            <w:noProof/>
            <w:webHidden/>
          </w:rPr>
        </w:r>
        <w:r w:rsidR="00821AF5">
          <w:rPr>
            <w:noProof/>
            <w:webHidden/>
          </w:rPr>
          <w:fldChar w:fldCharType="separate"/>
        </w:r>
        <w:r w:rsidR="00FD43C9">
          <w:rPr>
            <w:noProof/>
            <w:webHidden/>
          </w:rPr>
          <w:t>37</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59" w:history="1">
        <w:r w:rsidR="00821AF5" w:rsidRPr="00A01158">
          <w:rPr>
            <w:rStyle w:val="Hyperlink"/>
            <w:noProof/>
          </w:rPr>
          <w:t>5</w:t>
        </w:r>
        <w:r w:rsidR="00821AF5">
          <w:rPr>
            <w:rFonts w:asciiTheme="minorHAnsi" w:eastAsiaTheme="minorEastAsia" w:hAnsiTheme="minorHAnsi" w:cstheme="minorBidi"/>
            <w:b w:val="0"/>
            <w:bCs w:val="0"/>
            <w:smallCaps w:val="0"/>
            <w:noProof/>
            <w:spacing w:val="0"/>
            <w:sz w:val="22"/>
            <w:szCs w:val="22"/>
            <w:lang w:eastAsia="en-AU"/>
          </w:rPr>
          <w:tab/>
        </w:r>
        <w:r w:rsidR="00821AF5" w:rsidRPr="00A01158">
          <w:rPr>
            <w:rStyle w:val="Hyperlink"/>
            <w:noProof/>
          </w:rPr>
          <w:t>Summary of Issues, Committee Comment and Conclusions</w:t>
        </w:r>
        <w:r w:rsidR="00821AF5">
          <w:rPr>
            <w:noProof/>
            <w:webHidden/>
          </w:rPr>
          <w:tab/>
        </w:r>
        <w:r w:rsidR="00821AF5">
          <w:rPr>
            <w:noProof/>
            <w:webHidden/>
          </w:rPr>
          <w:fldChar w:fldCharType="begin"/>
        </w:r>
        <w:r w:rsidR="00821AF5">
          <w:rPr>
            <w:noProof/>
            <w:webHidden/>
          </w:rPr>
          <w:instrText xml:space="preserve"> PAGEREF _Toc528670959 \h </w:instrText>
        </w:r>
        <w:r w:rsidR="00821AF5">
          <w:rPr>
            <w:noProof/>
            <w:webHidden/>
          </w:rPr>
        </w:r>
        <w:r w:rsidR="00821AF5">
          <w:rPr>
            <w:noProof/>
            <w:webHidden/>
          </w:rPr>
          <w:fldChar w:fldCharType="separate"/>
        </w:r>
        <w:r w:rsidR="00FD43C9">
          <w:rPr>
            <w:noProof/>
            <w:webHidden/>
          </w:rPr>
          <w:t>39</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0" w:history="1">
        <w:r w:rsidR="00821AF5" w:rsidRPr="00A01158">
          <w:rPr>
            <w:rStyle w:val="Hyperlink"/>
            <w:noProof/>
          </w:rPr>
          <w:t>Introduction</w:t>
        </w:r>
        <w:r w:rsidR="00821AF5">
          <w:rPr>
            <w:noProof/>
            <w:webHidden/>
          </w:rPr>
          <w:tab/>
        </w:r>
        <w:r w:rsidR="00821AF5">
          <w:rPr>
            <w:noProof/>
            <w:webHidden/>
          </w:rPr>
          <w:fldChar w:fldCharType="begin"/>
        </w:r>
        <w:r w:rsidR="00821AF5">
          <w:rPr>
            <w:noProof/>
            <w:webHidden/>
          </w:rPr>
          <w:instrText xml:space="preserve"> PAGEREF _Toc528670960 \h </w:instrText>
        </w:r>
        <w:r w:rsidR="00821AF5">
          <w:rPr>
            <w:noProof/>
            <w:webHidden/>
          </w:rPr>
        </w:r>
        <w:r w:rsidR="00821AF5">
          <w:rPr>
            <w:noProof/>
            <w:webHidden/>
          </w:rPr>
          <w:fldChar w:fldCharType="separate"/>
        </w:r>
        <w:r w:rsidR="00FD43C9">
          <w:rPr>
            <w:noProof/>
            <w:webHidden/>
          </w:rPr>
          <w:t>39</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1" w:history="1">
        <w:r w:rsidR="00821AF5" w:rsidRPr="00A01158">
          <w:rPr>
            <w:rStyle w:val="Hyperlink"/>
            <w:noProof/>
          </w:rPr>
          <w:t>Summary – Issues considered in the inquiry</w:t>
        </w:r>
        <w:r w:rsidR="00821AF5">
          <w:rPr>
            <w:noProof/>
            <w:webHidden/>
          </w:rPr>
          <w:tab/>
        </w:r>
        <w:r w:rsidR="00821AF5">
          <w:rPr>
            <w:noProof/>
            <w:webHidden/>
          </w:rPr>
          <w:fldChar w:fldCharType="begin"/>
        </w:r>
        <w:r w:rsidR="00821AF5">
          <w:rPr>
            <w:noProof/>
            <w:webHidden/>
          </w:rPr>
          <w:instrText xml:space="preserve"> PAGEREF _Toc528670961 \h </w:instrText>
        </w:r>
        <w:r w:rsidR="00821AF5">
          <w:rPr>
            <w:noProof/>
            <w:webHidden/>
          </w:rPr>
        </w:r>
        <w:r w:rsidR="00821AF5">
          <w:rPr>
            <w:noProof/>
            <w:webHidden/>
          </w:rPr>
          <w:fldChar w:fldCharType="separate"/>
        </w:r>
        <w:r w:rsidR="00FD43C9">
          <w:rPr>
            <w:noProof/>
            <w:webHidden/>
          </w:rPr>
          <w:t>41</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2" w:history="1">
        <w:r w:rsidR="00821AF5" w:rsidRPr="00A01158">
          <w:rPr>
            <w:rStyle w:val="Hyperlink"/>
            <w:noProof/>
          </w:rPr>
          <w:t>Definition of consent</w:t>
        </w:r>
        <w:r w:rsidR="00821AF5">
          <w:rPr>
            <w:noProof/>
            <w:webHidden/>
          </w:rPr>
          <w:tab/>
        </w:r>
        <w:r w:rsidR="00821AF5">
          <w:rPr>
            <w:noProof/>
            <w:webHidden/>
          </w:rPr>
          <w:fldChar w:fldCharType="begin"/>
        </w:r>
        <w:r w:rsidR="00821AF5">
          <w:rPr>
            <w:noProof/>
            <w:webHidden/>
          </w:rPr>
          <w:instrText xml:space="preserve"> PAGEREF _Toc528670962 \h </w:instrText>
        </w:r>
        <w:r w:rsidR="00821AF5">
          <w:rPr>
            <w:noProof/>
            <w:webHidden/>
          </w:rPr>
        </w:r>
        <w:r w:rsidR="00821AF5">
          <w:rPr>
            <w:noProof/>
            <w:webHidden/>
          </w:rPr>
          <w:fldChar w:fldCharType="separate"/>
        </w:r>
        <w:r w:rsidR="00FD43C9">
          <w:rPr>
            <w:noProof/>
            <w:webHidden/>
          </w:rPr>
          <w:t>41</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3" w:history="1">
        <w:r w:rsidR="00821AF5" w:rsidRPr="00A01158">
          <w:rPr>
            <w:rStyle w:val="Hyperlink"/>
            <w:noProof/>
          </w:rPr>
          <w:t>Affirmative and communicative consent</w:t>
        </w:r>
        <w:r w:rsidR="00821AF5">
          <w:rPr>
            <w:noProof/>
            <w:webHidden/>
          </w:rPr>
          <w:tab/>
        </w:r>
        <w:r w:rsidR="00821AF5">
          <w:rPr>
            <w:noProof/>
            <w:webHidden/>
          </w:rPr>
          <w:fldChar w:fldCharType="begin"/>
        </w:r>
        <w:r w:rsidR="00821AF5">
          <w:rPr>
            <w:noProof/>
            <w:webHidden/>
          </w:rPr>
          <w:instrText xml:space="preserve"> PAGEREF _Toc528670963 \h </w:instrText>
        </w:r>
        <w:r w:rsidR="00821AF5">
          <w:rPr>
            <w:noProof/>
            <w:webHidden/>
          </w:rPr>
        </w:r>
        <w:r w:rsidR="00821AF5">
          <w:rPr>
            <w:noProof/>
            <w:webHidden/>
          </w:rPr>
          <w:fldChar w:fldCharType="separate"/>
        </w:r>
        <w:r w:rsidR="00FD43C9">
          <w:rPr>
            <w:noProof/>
            <w:webHidden/>
          </w:rPr>
          <w:t>42</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4" w:history="1">
        <w:r w:rsidR="00821AF5" w:rsidRPr="00A01158">
          <w:rPr>
            <w:rStyle w:val="Hyperlink"/>
            <w:noProof/>
          </w:rPr>
          <w:t>Burden of proof</w:t>
        </w:r>
        <w:r w:rsidR="00821AF5">
          <w:rPr>
            <w:noProof/>
            <w:webHidden/>
          </w:rPr>
          <w:tab/>
        </w:r>
        <w:r w:rsidR="00821AF5">
          <w:rPr>
            <w:noProof/>
            <w:webHidden/>
          </w:rPr>
          <w:fldChar w:fldCharType="begin"/>
        </w:r>
        <w:r w:rsidR="00821AF5">
          <w:rPr>
            <w:noProof/>
            <w:webHidden/>
          </w:rPr>
          <w:instrText xml:space="preserve"> PAGEREF _Toc528670964 \h </w:instrText>
        </w:r>
        <w:r w:rsidR="00821AF5">
          <w:rPr>
            <w:noProof/>
            <w:webHidden/>
          </w:rPr>
        </w:r>
        <w:r w:rsidR="00821AF5">
          <w:rPr>
            <w:noProof/>
            <w:webHidden/>
          </w:rPr>
          <w:fldChar w:fldCharType="separate"/>
        </w:r>
        <w:r w:rsidR="00FD43C9">
          <w:rPr>
            <w:noProof/>
            <w:webHidden/>
          </w:rPr>
          <w:t>42</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5" w:history="1">
        <w:r w:rsidR="00821AF5" w:rsidRPr="00A01158">
          <w:rPr>
            <w:rStyle w:val="Hyperlink"/>
            <w:noProof/>
          </w:rPr>
          <w:t>Social context implications and education</w:t>
        </w:r>
        <w:r w:rsidR="00821AF5">
          <w:rPr>
            <w:noProof/>
            <w:webHidden/>
          </w:rPr>
          <w:tab/>
        </w:r>
        <w:r w:rsidR="00821AF5">
          <w:rPr>
            <w:noProof/>
            <w:webHidden/>
          </w:rPr>
          <w:fldChar w:fldCharType="begin"/>
        </w:r>
        <w:r w:rsidR="00821AF5">
          <w:rPr>
            <w:noProof/>
            <w:webHidden/>
          </w:rPr>
          <w:instrText xml:space="preserve"> PAGEREF _Toc528670965 \h </w:instrText>
        </w:r>
        <w:r w:rsidR="00821AF5">
          <w:rPr>
            <w:noProof/>
            <w:webHidden/>
          </w:rPr>
        </w:r>
        <w:r w:rsidR="00821AF5">
          <w:rPr>
            <w:noProof/>
            <w:webHidden/>
          </w:rPr>
          <w:fldChar w:fldCharType="separate"/>
        </w:r>
        <w:r w:rsidR="00FD43C9">
          <w:rPr>
            <w:noProof/>
            <w:webHidden/>
          </w:rPr>
          <w:t>43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6" w:history="1">
        <w:r w:rsidR="00821AF5" w:rsidRPr="00A01158">
          <w:rPr>
            <w:rStyle w:val="Hyperlink"/>
            <w:noProof/>
          </w:rPr>
          <w:t>Committee Comment and Conclusions</w:t>
        </w:r>
        <w:r w:rsidR="00821AF5">
          <w:rPr>
            <w:noProof/>
            <w:webHidden/>
          </w:rPr>
          <w:tab/>
        </w:r>
        <w:r w:rsidR="00821AF5">
          <w:rPr>
            <w:noProof/>
            <w:webHidden/>
          </w:rPr>
          <w:fldChar w:fldCharType="begin"/>
        </w:r>
        <w:r w:rsidR="00821AF5">
          <w:rPr>
            <w:noProof/>
            <w:webHidden/>
          </w:rPr>
          <w:instrText xml:space="preserve"> PAGEREF _Toc528670966 \h </w:instrText>
        </w:r>
        <w:r w:rsidR="00821AF5">
          <w:rPr>
            <w:noProof/>
            <w:webHidden/>
          </w:rPr>
        </w:r>
        <w:r w:rsidR="00821AF5">
          <w:rPr>
            <w:noProof/>
            <w:webHidden/>
          </w:rPr>
          <w:fldChar w:fldCharType="separate"/>
        </w:r>
        <w:r w:rsidR="00FD43C9">
          <w:rPr>
            <w:noProof/>
            <w:webHidden/>
          </w:rPr>
          <w:t>43</w:t>
        </w:r>
        <w:r w:rsidR="00821AF5">
          <w:rPr>
            <w:noProof/>
            <w:webHidden/>
          </w:rPr>
          <w:fldChar w:fldCharType="end"/>
        </w:r>
      </w:hyperlink>
    </w:p>
    <w:p w:rsidR="00821AF5" w:rsidRDefault="00FF0666">
      <w:pPr>
        <w:pStyle w:val="TOC2"/>
        <w:rPr>
          <w:rFonts w:asciiTheme="minorHAnsi" w:eastAsiaTheme="minorEastAsia" w:hAnsiTheme="minorHAnsi" w:cstheme="minorBidi"/>
          <w:b w:val="0"/>
          <w:noProof/>
          <w:sz w:val="22"/>
          <w:szCs w:val="22"/>
          <w:lang w:eastAsia="en-AU"/>
        </w:rPr>
      </w:pPr>
      <w:hyperlink w:anchor="_Toc528670967" w:history="1">
        <w:r w:rsidR="00821AF5" w:rsidRPr="00A01158">
          <w:rPr>
            <w:rStyle w:val="Hyperlink"/>
            <w:noProof/>
          </w:rPr>
          <w:t>Recommendations</w:t>
        </w:r>
        <w:r w:rsidR="00821AF5">
          <w:rPr>
            <w:noProof/>
            <w:webHidden/>
          </w:rPr>
          <w:tab/>
        </w:r>
        <w:r w:rsidR="00821AF5">
          <w:rPr>
            <w:noProof/>
            <w:webHidden/>
          </w:rPr>
          <w:fldChar w:fldCharType="begin"/>
        </w:r>
        <w:r w:rsidR="00821AF5">
          <w:rPr>
            <w:noProof/>
            <w:webHidden/>
          </w:rPr>
          <w:instrText xml:space="preserve"> PAGEREF _Toc528670967 \h </w:instrText>
        </w:r>
        <w:r w:rsidR="00821AF5">
          <w:rPr>
            <w:noProof/>
            <w:webHidden/>
          </w:rPr>
        </w:r>
        <w:r w:rsidR="00821AF5">
          <w:rPr>
            <w:noProof/>
            <w:webHidden/>
          </w:rPr>
          <w:fldChar w:fldCharType="separate"/>
        </w:r>
        <w:r w:rsidR="00FD43C9">
          <w:rPr>
            <w:noProof/>
            <w:webHidden/>
          </w:rPr>
          <w:t>44</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68" w:history="1">
        <w:r w:rsidR="00821AF5" w:rsidRPr="00A01158">
          <w:rPr>
            <w:rStyle w:val="Hyperlink"/>
            <w:noProof/>
          </w:rPr>
          <w:t>Appendix A – Report by the Standing Committee on Justice and Community Safety (Legislative Scrutiny Role) on the Crimes (Consent) Amendment Bill 2018, May 2018</w:t>
        </w:r>
        <w:r w:rsidR="00821AF5">
          <w:rPr>
            <w:noProof/>
            <w:webHidden/>
          </w:rPr>
          <w:tab/>
        </w:r>
        <w:r w:rsidR="00821AF5">
          <w:rPr>
            <w:noProof/>
            <w:webHidden/>
          </w:rPr>
          <w:fldChar w:fldCharType="begin"/>
        </w:r>
        <w:r w:rsidR="00821AF5">
          <w:rPr>
            <w:noProof/>
            <w:webHidden/>
          </w:rPr>
          <w:instrText xml:space="preserve"> PAGEREF _Toc528670968 \h </w:instrText>
        </w:r>
        <w:r w:rsidR="00821AF5">
          <w:rPr>
            <w:noProof/>
            <w:webHidden/>
          </w:rPr>
        </w:r>
        <w:r w:rsidR="00821AF5">
          <w:rPr>
            <w:noProof/>
            <w:webHidden/>
          </w:rPr>
          <w:fldChar w:fldCharType="separate"/>
        </w:r>
        <w:r w:rsidR="00FD43C9">
          <w:rPr>
            <w:noProof/>
            <w:webHidden/>
          </w:rPr>
          <w:t>47</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69" w:history="1">
        <w:r w:rsidR="00821AF5" w:rsidRPr="00A01158">
          <w:rPr>
            <w:rStyle w:val="Hyperlink"/>
            <w:noProof/>
          </w:rPr>
          <w:t>Appendix B – Matters for Inquiry published by the Committee</w:t>
        </w:r>
        <w:r w:rsidR="00821AF5">
          <w:rPr>
            <w:noProof/>
            <w:webHidden/>
          </w:rPr>
          <w:tab/>
        </w:r>
        <w:r w:rsidR="00821AF5">
          <w:rPr>
            <w:noProof/>
            <w:webHidden/>
          </w:rPr>
          <w:fldChar w:fldCharType="begin"/>
        </w:r>
        <w:r w:rsidR="00821AF5">
          <w:rPr>
            <w:noProof/>
            <w:webHidden/>
          </w:rPr>
          <w:instrText xml:space="preserve"> PAGEREF _Toc528670969 \h </w:instrText>
        </w:r>
        <w:r w:rsidR="00821AF5">
          <w:rPr>
            <w:noProof/>
            <w:webHidden/>
          </w:rPr>
        </w:r>
        <w:r w:rsidR="00821AF5">
          <w:rPr>
            <w:noProof/>
            <w:webHidden/>
          </w:rPr>
          <w:fldChar w:fldCharType="separate"/>
        </w:r>
        <w:r w:rsidR="00FD43C9">
          <w:rPr>
            <w:noProof/>
            <w:webHidden/>
          </w:rPr>
          <w:t>53</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70" w:history="1">
        <w:r w:rsidR="00821AF5" w:rsidRPr="00A01158">
          <w:rPr>
            <w:rStyle w:val="Hyperlink"/>
            <w:noProof/>
          </w:rPr>
          <w:t>Appendix C – Submissions received by the Committee</w:t>
        </w:r>
        <w:r w:rsidR="00821AF5">
          <w:rPr>
            <w:noProof/>
            <w:webHidden/>
          </w:rPr>
          <w:tab/>
        </w:r>
        <w:r w:rsidR="00821AF5">
          <w:rPr>
            <w:noProof/>
            <w:webHidden/>
          </w:rPr>
          <w:fldChar w:fldCharType="begin"/>
        </w:r>
        <w:r w:rsidR="00821AF5">
          <w:rPr>
            <w:noProof/>
            <w:webHidden/>
          </w:rPr>
          <w:instrText xml:space="preserve"> PAGEREF _Toc528670970 \h </w:instrText>
        </w:r>
        <w:r w:rsidR="00821AF5">
          <w:rPr>
            <w:noProof/>
            <w:webHidden/>
          </w:rPr>
        </w:r>
        <w:r w:rsidR="00821AF5">
          <w:rPr>
            <w:noProof/>
            <w:webHidden/>
          </w:rPr>
          <w:fldChar w:fldCharType="separate"/>
        </w:r>
        <w:r w:rsidR="00FD43C9">
          <w:rPr>
            <w:noProof/>
            <w:webHidden/>
          </w:rPr>
          <w:t>59</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71" w:history="1">
        <w:r w:rsidR="00821AF5" w:rsidRPr="00A01158">
          <w:rPr>
            <w:rStyle w:val="Hyperlink"/>
            <w:noProof/>
          </w:rPr>
          <w:t>Appendix D – Hearings and Witnesses</w:t>
        </w:r>
        <w:r w:rsidR="00821AF5">
          <w:rPr>
            <w:noProof/>
            <w:webHidden/>
          </w:rPr>
          <w:tab/>
        </w:r>
        <w:r w:rsidR="00821AF5">
          <w:rPr>
            <w:noProof/>
            <w:webHidden/>
          </w:rPr>
          <w:fldChar w:fldCharType="begin"/>
        </w:r>
        <w:r w:rsidR="00821AF5">
          <w:rPr>
            <w:noProof/>
            <w:webHidden/>
          </w:rPr>
          <w:instrText xml:space="preserve"> PAGEREF _Toc528670971 \h </w:instrText>
        </w:r>
        <w:r w:rsidR="00821AF5">
          <w:rPr>
            <w:noProof/>
            <w:webHidden/>
          </w:rPr>
        </w:r>
        <w:r w:rsidR="00821AF5">
          <w:rPr>
            <w:noProof/>
            <w:webHidden/>
          </w:rPr>
          <w:fldChar w:fldCharType="separate"/>
        </w:r>
        <w:r w:rsidR="00FD43C9">
          <w:rPr>
            <w:noProof/>
            <w:webHidden/>
          </w:rPr>
          <w:t>61</w:t>
        </w:r>
        <w:r w:rsidR="00821AF5">
          <w:rPr>
            <w:noProof/>
            <w:webHidden/>
          </w:rPr>
          <w:fldChar w:fldCharType="end"/>
        </w:r>
      </w:hyperlink>
    </w:p>
    <w:p w:rsidR="00821AF5" w:rsidRDefault="00FF0666">
      <w:pPr>
        <w:pStyle w:val="TOC1"/>
        <w:rPr>
          <w:rFonts w:asciiTheme="minorHAnsi" w:eastAsiaTheme="minorEastAsia" w:hAnsiTheme="minorHAnsi" w:cstheme="minorBidi"/>
          <w:b w:val="0"/>
          <w:bCs w:val="0"/>
          <w:smallCaps w:val="0"/>
          <w:noProof/>
          <w:spacing w:val="0"/>
          <w:sz w:val="22"/>
          <w:szCs w:val="22"/>
          <w:lang w:eastAsia="en-AU"/>
        </w:rPr>
      </w:pPr>
      <w:hyperlink w:anchor="_Toc528670972" w:history="1">
        <w:r w:rsidR="00821AF5" w:rsidRPr="00A01158">
          <w:rPr>
            <w:rStyle w:val="Hyperlink"/>
            <w:noProof/>
          </w:rPr>
          <w:t>Appendix E – Crimes (Consent) Amendment Bill and Explanatory Statement</w:t>
        </w:r>
        <w:r w:rsidR="00821AF5">
          <w:rPr>
            <w:noProof/>
            <w:webHidden/>
          </w:rPr>
          <w:tab/>
        </w:r>
        <w:r w:rsidR="00821AF5">
          <w:rPr>
            <w:noProof/>
            <w:webHidden/>
          </w:rPr>
          <w:fldChar w:fldCharType="begin"/>
        </w:r>
        <w:r w:rsidR="00821AF5">
          <w:rPr>
            <w:noProof/>
            <w:webHidden/>
          </w:rPr>
          <w:instrText xml:space="preserve"> PAGEREF _Toc528670972 \h </w:instrText>
        </w:r>
        <w:r w:rsidR="00821AF5">
          <w:rPr>
            <w:noProof/>
            <w:webHidden/>
          </w:rPr>
        </w:r>
        <w:r w:rsidR="00821AF5">
          <w:rPr>
            <w:noProof/>
            <w:webHidden/>
          </w:rPr>
          <w:fldChar w:fldCharType="separate"/>
        </w:r>
        <w:r w:rsidR="00FD43C9">
          <w:rPr>
            <w:noProof/>
            <w:webHidden/>
          </w:rPr>
          <w:t>63</w:t>
        </w:r>
        <w:r w:rsidR="00821AF5">
          <w:rPr>
            <w:noProof/>
            <w:webHidden/>
          </w:rPr>
          <w:fldChar w:fldCharType="end"/>
        </w:r>
      </w:hyperlink>
    </w:p>
    <w:p w:rsidR="005973EA" w:rsidRPr="008727FB" w:rsidRDefault="00171CA7">
      <w:r w:rsidRPr="008727FB">
        <w:fldChar w:fldCharType="end"/>
      </w:r>
    </w:p>
    <w:p w:rsidR="006F1579" w:rsidRPr="008727FB" w:rsidRDefault="006F1579" w:rsidP="005973EA">
      <w:pPr>
        <w:sectPr w:rsidR="006F1579" w:rsidRPr="008727FB" w:rsidSect="008A0235">
          <w:type w:val="oddPage"/>
          <w:pgSz w:w="11907" w:h="16840" w:code="9"/>
          <w:pgMar w:top="1588" w:right="1418" w:bottom="1418" w:left="1418" w:header="720" w:footer="851" w:gutter="0"/>
          <w:pgNumType w:fmt="lowerRoman"/>
          <w:cols w:space="720"/>
          <w:docGrid w:linePitch="360"/>
        </w:sectPr>
      </w:pPr>
    </w:p>
    <w:p w:rsidR="00843F6D" w:rsidRPr="008727FB" w:rsidRDefault="00843F6D" w:rsidP="00843F6D">
      <w:pPr>
        <w:pStyle w:val="Heading3"/>
        <w:ind w:hanging="567"/>
        <w:rPr>
          <w:b/>
          <w:iCs w:val="0"/>
        </w:rPr>
      </w:pPr>
      <w:bookmarkStart w:id="38" w:name="_Toc528670927"/>
      <w:r w:rsidRPr="008727FB">
        <w:rPr>
          <w:b/>
          <w:iCs w:val="0"/>
        </w:rPr>
        <w:lastRenderedPageBreak/>
        <w:t>Recommendation</w:t>
      </w:r>
      <w:r w:rsidR="00740688" w:rsidRPr="008727FB">
        <w:rPr>
          <w:b/>
          <w:iCs w:val="0"/>
        </w:rPr>
        <w:t>s</w:t>
      </w:r>
      <w:bookmarkEnd w:id="38"/>
    </w:p>
    <w:p w:rsidR="00BF526E" w:rsidRPr="008727FB" w:rsidRDefault="00BF526E" w:rsidP="00B464F0">
      <w:pPr>
        <w:pStyle w:val="Bodytextnonumbering"/>
        <w:spacing w:before="0" w:after="0" w:line="240" w:lineRule="auto"/>
        <w:rPr>
          <w:b/>
        </w:rPr>
      </w:pPr>
      <w:r w:rsidRPr="008727FB">
        <w:rPr>
          <w:b/>
        </w:rPr>
        <w:t>Recommendation 1</w:t>
      </w:r>
    </w:p>
    <w:p w:rsidR="00BF526E" w:rsidRPr="008727FB" w:rsidRDefault="00BF526E" w:rsidP="00BB4DEA">
      <w:pPr>
        <w:spacing w:before="120" w:after="120" w:line="240" w:lineRule="auto"/>
        <w:rPr>
          <w:rFonts w:asciiTheme="minorHAnsi" w:hAnsiTheme="minorHAnsi"/>
          <w:szCs w:val="22"/>
        </w:rPr>
      </w:pPr>
      <w:r w:rsidRPr="008727FB">
        <w:rPr>
          <w:rFonts w:asciiTheme="minorHAnsi" w:hAnsiTheme="minorHAnsi"/>
          <w:szCs w:val="22"/>
        </w:rPr>
        <w:t xml:space="preserve">That the </w:t>
      </w:r>
      <w:r w:rsidRPr="008727FB">
        <w:rPr>
          <w:rFonts w:asciiTheme="minorHAnsi" w:hAnsiTheme="minorHAnsi"/>
          <w:i/>
          <w:szCs w:val="22"/>
        </w:rPr>
        <w:t>Crimes</w:t>
      </w:r>
      <w:r w:rsidR="0023663C" w:rsidRPr="008727FB">
        <w:rPr>
          <w:rFonts w:asciiTheme="minorHAnsi" w:hAnsiTheme="minorHAnsi"/>
          <w:i/>
          <w:szCs w:val="22"/>
        </w:rPr>
        <w:t xml:space="preserve"> </w:t>
      </w:r>
      <w:r w:rsidRPr="008727FB">
        <w:rPr>
          <w:rFonts w:asciiTheme="minorHAnsi" w:hAnsiTheme="minorHAnsi"/>
          <w:i/>
          <w:szCs w:val="22"/>
        </w:rPr>
        <w:t>(Consent) Amendment Bill 2018</w:t>
      </w:r>
      <w:r w:rsidRPr="008727FB">
        <w:rPr>
          <w:rFonts w:asciiTheme="minorHAnsi" w:hAnsiTheme="minorHAnsi"/>
          <w:szCs w:val="22"/>
        </w:rPr>
        <w:t xml:space="preserve"> as introduced into the Legislative Assembly on </w:t>
      </w:r>
      <w:r w:rsidR="0023663C" w:rsidRPr="008727FB">
        <w:rPr>
          <w:rFonts w:asciiTheme="minorHAnsi" w:hAnsiTheme="minorHAnsi"/>
          <w:szCs w:val="22"/>
        </w:rPr>
        <w:br/>
      </w:r>
      <w:r w:rsidRPr="008727FB">
        <w:rPr>
          <w:rFonts w:asciiTheme="minorHAnsi" w:hAnsiTheme="minorHAnsi"/>
          <w:szCs w:val="22"/>
        </w:rPr>
        <w:t xml:space="preserve">11 April 2018 not </w:t>
      </w:r>
      <w:r w:rsidR="00092955" w:rsidRPr="008727FB">
        <w:rPr>
          <w:rFonts w:asciiTheme="minorHAnsi" w:hAnsiTheme="minorHAnsi"/>
          <w:szCs w:val="22"/>
        </w:rPr>
        <w:t xml:space="preserve">be </w:t>
      </w:r>
      <w:r w:rsidRPr="008727FB">
        <w:rPr>
          <w:rFonts w:asciiTheme="minorHAnsi" w:hAnsiTheme="minorHAnsi"/>
          <w:szCs w:val="22"/>
        </w:rPr>
        <w:t>p</w:t>
      </w:r>
      <w:r w:rsidR="00092955" w:rsidRPr="008727FB">
        <w:rPr>
          <w:rFonts w:asciiTheme="minorHAnsi" w:hAnsiTheme="minorHAnsi"/>
          <w:szCs w:val="22"/>
        </w:rPr>
        <w:t>roceeded with</w:t>
      </w:r>
      <w:r w:rsidR="006923AA" w:rsidRPr="008727FB">
        <w:rPr>
          <w:rFonts w:asciiTheme="minorHAnsi" w:hAnsiTheme="minorHAnsi"/>
          <w:szCs w:val="22"/>
        </w:rPr>
        <w:t xml:space="preserve"> in its </w:t>
      </w:r>
      <w:r w:rsidR="00535F36" w:rsidRPr="008727FB">
        <w:rPr>
          <w:rFonts w:asciiTheme="minorHAnsi" w:hAnsiTheme="minorHAnsi"/>
          <w:szCs w:val="22"/>
        </w:rPr>
        <w:t xml:space="preserve">current </w:t>
      </w:r>
      <w:r w:rsidR="006923AA" w:rsidRPr="008727FB">
        <w:rPr>
          <w:rFonts w:asciiTheme="minorHAnsi" w:hAnsiTheme="minorHAnsi"/>
          <w:szCs w:val="22"/>
        </w:rPr>
        <w:t>for</w:t>
      </w:r>
      <w:r w:rsidRPr="008727FB">
        <w:rPr>
          <w:rFonts w:asciiTheme="minorHAnsi" w:hAnsiTheme="minorHAnsi"/>
          <w:szCs w:val="22"/>
        </w:rPr>
        <w:t>m</w:t>
      </w:r>
      <w:r w:rsidR="00535F36" w:rsidRPr="008727FB">
        <w:rPr>
          <w:rFonts w:asciiTheme="minorHAnsi" w:hAnsiTheme="minorHAnsi"/>
          <w:szCs w:val="22"/>
        </w:rPr>
        <w:t>.</w:t>
      </w:r>
    </w:p>
    <w:p w:rsidR="00092955" w:rsidRPr="008727FB" w:rsidRDefault="00092955" w:rsidP="00B464F0">
      <w:pPr>
        <w:pStyle w:val="Bodytextnonumbering"/>
        <w:spacing w:before="0" w:after="0" w:line="240" w:lineRule="auto"/>
        <w:rPr>
          <w:b/>
        </w:rPr>
      </w:pPr>
      <w:r w:rsidRPr="008727FB">
        <w:rPr>
          <w:b/>
        </w:rPr>
        <w:t>Recommendation 2</w:t>
      </w:r>
    </w:p>
    <w:p w:rsidR="00092955" w:rsidRPr="008727FB" w:rsidRDefault="00092955" w:rsidP="00BB4DEA">
      <w:pPr>
        <w:spacing w:before="120" w:after="120" w:line="240" w:lineRule="auto"/>
        <w:rPr>
          <w:rFonts w:asciiTheme="minorHAnsi" w:hAnsiTheme="minorHAnsi"/>
          <w:szCs w:val="22"/>
        </w:rPr>
      </w:pPr>
      <w:r w:rsidRPr="008727FB">
        <w:rPr>
          <w:rFonts w:asciiTheme="minorHAnsi" w:hAnsiTheme="minorHAnsi"/>
          <w:szCs w:val="22"/>
        </w:rPr>
        <w:t xml:space="preserve">The Committee recommends that the ACT not </w:t>
      </w:r>
      <w:r w:rsidR="00535F36" w:rsidRPr="008727FB">
        <w:rPr>
          <w:rFonts w:asciiTheme="minorHAnsi" w:hAnsiTheme="minorHAnsi"/>
          <w:szCs w:val="22"/>
        </w:rPr>
        <w:t xml:space="preserve">consider or enact </w:t>
      </w:r>
      <w:r w:rsidRPr="008727FB">
        <w:rPr>
          <w:rFonts w:asciiTheme="minorHAnsi" w:hAnsiTheme="minorHAnsi"/>
          <w:szCs w:val="22"/>
        </w:rPr>
        <w:t>legislative chang</w:t>
      </w:r>
      <w:r w:rsidR="00535F36" w:rsidRPr="008727FB">
        <w:rPr>
          <w:rFonts w:asciiTheme="minorHAnsi" w:hAnsiTheme="minorHAnsi"/>
          <w:szCs w:val="22"/>
        </w:rPr>
        <w:t>e</w:t>
      </w:r>
      <w:r w:rsidRPr="008727FB">
        <w:rPr>
          <w:rFonts w:asciiTheme="minorHAnsi" w:hAnsiTheme="minorHAnsi"/>
          <w:szCs w:val="22"/>
        </w:rPr>
        <w:t xml:space="preserve"> to introduce a definition of </w:t>
      </w:r>
      <w:r w:rsidR="00535F36" w:rsidRPr="008727FB">
        <w:rPr>
          <w:rFonts w:asciiTheme="minorHAnsi" w:hAnsiTheme="minorHAnsi"/>
          <w:szCs w:val="22"/>
        </w:rPr>
        <w:t xml:space="preserve">affirmative </w:t>
      </w:r>
      <w:r w:rsidRPr="008727FB">
        <w:rPr>
          <w:rFonts w:asciiTheme="minorHAnsi" w:hAnsiTheme="minorHAnsi"/>
          <w:szCs w:val="22"/>
        </w:rPr>
        <w:t xml:space="preserve">consent until the </w:t>
      </w:r>
      <w:r w:rsidR="00535F36" w:rsidRPr="008727FB">
        <w:rPr>
          <w:rFonts w:asciiTheme="minorHAnsi" w:hAnsiTheme="minorHAnsi"/>
          <w:szCs w:val="22"/>
        </w:rPr>
        <w:t xml:space="preserve">report from the </w:t>
      </w:r>
      <w:r w:rsidRPr="008727FB">
        <w:rPr>
          <w:rFonts w:asciiTheme="minorHAnsi" w:hAnsiTheme="minorHAnsi"/>
          <w:szCs w:val="22"/>
        </w:rPr>
        <w:t xml:space="preserve">current NSW Law Reform Commission </w:t>
      </w:r>
      <w:r w:rsidR="00535F36" w:rsidRPr="008727FB">
        <w:rPr>
          <w:rFonts w:asciiTheme="minorHAnsi" w:hAnsiTheme="minorHAnsi"/>
          <w:szCs w:val="22"/>
        </w:rPr>
        <w:t>inquiry in relation to sexual offences is presented.</w:t>
      </w:r>
    </w:p>
    <w:p w:rsidR="00092955" w:rsidRPr="008727FB" w:rsidRDefault="00092955" w:rsidP="00B464F0">
      <w:pPr>
        <w:pStyle w:val="Bodytextnonumbering"/>
        <w:spacing w:before="0" w:after="0" w:line="240" w:lineRule="auto"/>
        <w:rPr>
          <w:b/>
        </w:rPr>
      </w:pPr>
      <w:r w:rsidRPr="008727FB">
        <w:rPr>
          <w:b/>
        </w:rPr>
        <w:t>Recommendation 3</w:t>
      </w:r>
    </w:p>
    <w:p w:rsidR="00092955" w:rsidRPr="008727FB" w:rsidRDefault="00092955" w:rsidP="00B464F0">
      <w:pPr>
        <w:pStyle w:val="NormalWeb"/>
        <w:spacing w:before="120" w:beforeAutospacing="0" w:after="120" w:afterAutospacing="0"/>
        <w:rPr>
          <w:rFonts w:asciiTheme="minorHAnsi" w:hAnsiTheme="minorHAnsi"/>
          <w:sz w:val="22"/>
          <w:szCs w:val="22"/>
        </w:rPr>
      </w:pPr>
      <w:r w:rsidRPr="008727FB">
        <w:rPr>
          <w:rFonts w:asciiTheme="minorHAnsi" w:hAnsiTheme="minorHAnsi"/>
          <w:sz w:val="22"/>
          <w:szCs w:val="22"/>
        </w:rPr>
        <w:t>The Committee recomme</w:t>
      </w:r>
      <w:r w:rsidR="00535F36" w:rsidRPr="008727FB">
        <w:rPr>
          <w:rFonts w:asciiTheme="minorHAnsi" w:hAnsiTheme="minorHAnsi"/>
          <w:sz w:val="22"/>
          <w:szCs w:val="22"/>
        </w:rPr>
        <w:t xml:space="preserve">nds that, any legislative changes under ACT law proposing a </w:t>
      </w:r>
      <w:r w:rsidRPr="008727FB">
        <w:rPr>
          <w:rFonts w:asciiTheme="minorHAnsi" w:hAnsiTheme="minorHAnsi"/>
          <w:sz w:val="22"/>
          <w:szCs w:val="22"/>
        </w:rPr>
        <w:t>definition of consent</w:t>
      </w:r>
      <w:r w:rsidR="00535F36" w:rsidRPr="008727FB">
        <w:rPr>
          <w:rFonts w:asciiTheme="minorHAnsi" w:hAnsiTheme="minorHAnsi"/>
          <w:sz w:val="22"/>
          <w:szCs w:val="22"/>
        </w:rPr>
        <w:t xml:space="preserve"> in relation to sexual offences, not include any element that </w:t>
      </w:r>
      <w:r w:rsidR="00E177AE" w:rsidRPr="008727FB">
        <w:rPr>
          <w:rFonts w:asciiTheme="minorHAnsi" w:hAnsiTheme="minorHAnsi"/>
          <w:sz w:val="22"/>
          <w:szCs w:val="22"/>
        </w:rPr>
        <w:t xml:space="preserve">requires proof that a </w:t>
      </w:r>
      <w:r w:rsidR="00CB7851" w:rsidRPr="008727FB">
        <w:rPr>
          <w:rFonts w:asciiTheme="minorHAnsi" w:hAnsiTheme="minorHAnsi"/>
          <w:sz w:val="22"/>
          <w:szCs w:val="22"/>
        </w:rPr>
        <w:t>perpetrator knew or should have known consent was given</w:t>
      </w:r>
      <w:r w:rsidR="00E177AE" w:rsidRPr="008727FB">
        <w:rPr>
          <w:rFonts w:asciiTheme="minorHAnsi" w:hAnsiTheme="minorHAnsi"/>
          <w:sz w:val="22"/>
          <w:szCs w:val="22"/>
        </w:rPr>
        <w:t>.</w:t>
      </w:r>
    </w:p>
    <w:p w:rsidR="00092955" w:rsidRPr="008727FB" w:rsidRDefault="00092955" w:rsidP="00B464F0">
      <w:pPr>
        <w:spacing w:before="0" w:after="0" w:line="240" w:lineRule="auto"/>
        <w:rPr>
          <w:rFonts w:asciiTheme="minorHAnsi" w:hAnsiTheme="minorHAnsi"/>
          <w:b/>
          <w:szCs w:val="22"/>
        </w:rPr>
      </w:pPr>
      <w:r w:rsidRPr="008727FB">
        <w:rPr>
          <w:rFonts w:asciiTheme="minorHAnsi" w:hAnsiTheme="minorHAnsi"/>
          <w:b/>
          <w:szCs w:val="22"/>
        </w:rPr>
        <w:t>Recommendation 4</w:t>
      </w:r>
    </w:p>
    <w:p w:rsidR="00CB7851" w:rsidRPr="008727FB" w:rsidRDefault="00942670" w:rsidP="00BB4DEA">
      <w:pPr>
        <w:pStyle w:val="BodyText"/>
        <w:numPr>
          <w:ilvl w:val="0"/>
          <w:numId w:val="0"/>
        </w:numPr>
        <w:spacing w:before="120" w:after="120" w:line="240" w:lineRule="auto"/>
      </w:pPr>
      <w:r w:rsidRPr="008727FB">
        <w:t>The Committee recommends that a</w:t>
      </w:r>
      <w:r w:rsidR="00CB7851" w:rsidRPr="008727FB">
        <w:t xml:space="preserve"> definition of consent based on a concept of free and voluntary agreement, and affirmative and communicative consent be considered for enactment into ACT law.</w:t>
      </w:r>
    </w:p>
    <w:p w:rsidR="005A5A90" w:rsidRPr="008727FB" w:rsidRDefault="00E132CC" w:rsidP="00B464F0">
      <w:pPr>
        <w:spacing w:before="0" w:after="0" w:line="240" w:lineRule="auto"/>
        <w:rPr>
          <w:rFonts w:asciiTheme="minorHAnsi" w:hAnsiTheme="minorHAnsi"/>
          <w:b/>
          <w:szCs w:val="22"/>
        </w:rPr>
      </w:pPr>
      <w:r>
        <w:rPr>
          <w:rFonts w:asciiTheme="minorHAnsi" w:hAnsiTheme="minorHAnsi"/>
          <w:b/>
          <w:szCs w:val="22"/>
        </w:rPr>
        <w:t>*</w:t>
      </w:r>
      <w:r w:rsidR="00CD1D61" w:rsidRPr="008727FB">
        <w:rPr>
          <w:rFonts w:asciiTheme="minorHAnsi" w:hAnsiTheme="minorHAnsi"/>
          <w:b/>
          <w:szCs w:val="22"/>
        </w:rPr>
        <w:t>Recommendation</w:t>
      </w:r>
      <w:r w:rsidR="007236BF" w:rsidRPr="008727FB">
        <w:rPr>
          <w:rFonts w:asciiTheme="minorHAnsi" w:hAnsiTheme="minorHAnsi"/>
          <w:b/>
          <w:szCs w:val="22"/>
        </w:rPr>
        <w:t xml:space="preserve"> 5</w:t>
      </w:r>
    </w:p>
    <w:p w:rsidR="004D30E2" w:rsidRDefault="004D30E2" w:rsidP="00E132CC">
      <w:pPr>
        <w:spacing w:before="120" w:after="120" w:line="240" w:lineRule="auto"/>
      </w:pPr>
      <w:r>
        <w:t xml:space="preserve">The Committee recommends that Section 67 of the </w:t>
      </w:r>
      <w:r w:rsidRPr="00E132CC">
        <w:t>Crimes Act 1900</w:t>
      </w:r>
      <w:r>
        <w:t xml:space="preserve"> be amended to include a provision which states that the fact a person does not say or communicate consent is not, of itself, regarded as consent.</w:t>
      </w:r>
    </w:p>
    <w:p w:rsidR="005A5A90" w:rsidRPr="008727FB" w:rsidRDefault="007236BF" w:rsidP="00B464F0">
      <w:pPr>
        <w:spacing w:before="0" w:after="0" w:line="240" w:lineRule="auto"/>
        <w:rPr>
          <w:rFonts w:asciiTheme="minorHAnsi" w:hAnsiTheme="minorHAnsi"/>
          <w:b/>
          <w:szCs w:val="22"/>
        </w:rPr>
      </w:pPr>
      <w:r w:rsidRPr="008727FB">
        <w:rPr>
          <w:rFonts w:asciiTheme="minorHAnsi" w:hAnsiTheme="minorHAnsi"/>
          <w:b/>
          <w:szCs w:val="22"/>
        </w:rPr>
        <w:t>Recommendation 6</w:t>
      </w:r>
    </w:p>
    <w:p w:rsidR="007236BF" w:rsidRPr="008727FB" w:rsidRDefault="007236BF" w:rsidP="00B464F0">
      <w:pPr>
        <w:spacing w:before="120" w:after="120" w:line="240" w:lineRule="auto"/>
        <w:rPr>
          <w:szCs w:val="22"/>
        </w:rPr>
      </w:pPr>
      <w:r w:rsidRPr="008727FB">
        <w:t>The Committee recommends that any legislative changes retain the fundamental presumption of innocence until proven guilty in that the burden of proof beyond reasonable doubt must remain with the prosecution.</w:t>
      </w:r>
    </w:p>
    <w:p w:rsidR="00BF526E" w:rsidRPr="00E132CC" w:rsidRDefault="007236BF" w:rsidP="00E132CC">
      <w:pPr>
        <w:spacing w:before="0" w:after="0" w:line="240" w:lineRule="auto"/>
        <w:rPr>
          <w:rFonts w:asciiTheme="minorHAnsi" w:hAnsiTheme="minorHAnsi"/>
          <w:b/>
          <w:szCs w:val="22"/>
        </w:rPr>
      </w:pPr>
      <w:r w:rsidRPr="00E132CC">
        <w:rPr>
          <w:rFonts w:asciiTheme="minorHAnsi" w:hAnsiTheme="minorHAnsi"/>
          <w:b/>
          <w:szCs w:val="22"/>
        </w:rPr>
        <w:t>Recommendation 7</w:t>
      </w:r>
    </w:p>
    <w:p w:rsidR="00BF526E" w:rsidRPr="008727FB" w:rsidRDefault="00BF526E" w:rsidP="00B464F0">
      <w:pPr>
        <w:pStyle w:val="NormalWeb"/>
        <w:spacing w:before="120" w:beforeAutospacing="0" w:after="120" w:afterAutospacing="0"/>
        <w:rPr>
          <w:rFonts w:asciiTheme="minorHAnsi" w:hAnsiTheme="minorHAnsi"/>
          <w:sz w:val="22"/>
          <w:szCs w:val="22"/>
        </w:rPr>
      </w:pPr>
      <w:r w:rsidRPr="008727FB">
        <w:rPr>
          <w:rFonts w:asciiTheme="minorHAnsi" w:hAnsiTheme="minorHAnsi"/>
          <w:sz w:val="22"/>
          <w:szCs w:val="22"/>
        </w:rPr>
        <w:t>The Committee recommends that legal advice be sought on the potential impacts of legislatively removing the current common law defence of ‘honest mistake’ (‘the Morgan defence’)</w:t>
      </w:r>
      <w:r w:rsidR="00843F6D" w:rsidRPr="008727FB">
        <w:rPr>
          <w:rFonts w:asciiTheme="minorHAnsi" w:hAnsiTheme="minorHAnsi"/>
          <w:sz w:val="22"/>
          <w:szCs w:val="22"/>
        </w:rPr>
        <w:t>.</w:t>
      </w:r>
    </w:p>
    <w:p w:rsidR="002404A2" w:rsidRPr="00E132CC" w:rsidRDefault="007236BF" w:rsidP="00E132CC">
      <w:pPr>
        <w:spacing w:before="0" w:after="0" w:line="240" w:lineRule="auto"/>
        <w:rPr>
          <w:rFonts w:asciiTheme="minorHAnsi" w:hAnsiTheme="minorHAnsi"/>
          <w:b/>
          <w:szCs w:val="22"/>
        </w:rPr>
      </w:pPr>
      <w:r w:rsidRPr="00E132CC">
        <w:rPr>
          <w:rFonts w:asciiTheme="minorHAnsi" w:hAnsiTheme="minorHAnsi"/>
          <w:b/>
          <w:szCs w:val="22"/>
        </w:rPr>
        <w:t>Recommendation 8</w:t>
      </w:r>
    </w:p>
    <w:p w:rsidR="002404A2" w:rsidRPr="00E132CC" w:rsidRDefault="002404A2" w:rsidP="00E132CC">
      <w:pPr>
        <w:spacing w:before="120" w:after="120" w:line="240" w:lineRule="auto"/>
        <w:rPr>
          <w:rFonts w:asciiTheme="minorHAnsi" w:hAnsiTheme="minorHAnsi"/>
          <w:szCs w:val="22"/>
        </w:rPr>
      </w:pPr>
      <w:r w:rsidRPr="00E132CC">
        <w:rPr>
          <w:rFonts w:asciiTheme="minorHAnsi" w:hAnsiTheme="minorHAnsi"/>
          <w:szCs w:val="22"/>
        </w:rPr>
        <w:t xml:space="preserve">The Committee recommends that, in conjunction </w:t>
      </w:r>
      <w:r w:rsidR="00CD1D61" w:rsidRPr="00E132CC">
        <w:rPr>
          <w:rFonts w:asciiTheme="minorHAnsi" w:hAnsiTheme="minorHAnsi"/>
          <w:szCs w:val="22"/>
        </w:rPr>
        <w:t>with</w:t>
      </w:r>
      <w:r w:rsidRPr="00E132CC">
        <w:rPr>
          <w:rFonts w:asciiTheme="minorHAnsi" w:hAnsiTheme="minorHAnsi"/>
          <w:szCs w:val="22"/>
        </w:rPr>
        <w:t xml:space="preserve"> legislative change and </w:t>
      </w:r>
      <w:r w:rsidR="00CD1D61" w:rsidRPr="00E132CC">
        <w:rPr>
          <w:rFonts w:asciiTheme="minorHAnsi" w:hAnsiTheme="minorHAnsi"/>
          <w:szCs w:val="22"/>
        </w:rPr>
        <w:t>amendment</w:t>
      </w:r>
      <w:r w:rsidRPr="00E132CC">
        <w:rPr>
          <w:rFonts w:asciiTheme="minorHAnsi" w:hAnsiTheme="minorHAnsi"/>
          <w:szCs w:val="22"/>
        </w:rPr>
        <w:t xml:space="preserve">, </w:t>
      </w:r>
      <w:r w:rsidR="00CD1D61" w:rsidRPr="00E132CC">
        <w:rPr>
          <w:rFonts w:asciiTheme="minorHAnsi" w:hAnsiTheme="minorHAnsi"/>
          <w:szCs w:val="22"/>
        </w:rPr>
        <w:t>that</w:t>
      </w:r>
      <w:r w:rsidRPr="00E132CC">
        <w:rPr>
          <w:rFonts w:asciiTheme="minorHAnsi" w:hAnsiTheme="minorHAnsi"/>
          <w:szCs w:val="22"/>
        </w:rPr>
        <w:t xml:space="preserve"> a </w:t>
      </w:r>
      <w:r w:rsidR="00CD1D61" w:rsidRPr="00E132CC">
        <w:rPr>
          <w:rFonts w:asciiTheme="minorHAnsi" w:hAnsiTheme="minorHAnsi"/>
          <w:szCs w:val="22"/>
        </w:rPr>
        <w:t>complementary</w:t>
      </w:r>
      <w:r w:rsidRPr="00E132CC">
        <w:rPr>
          <w:rFonts w:asciiTheme="minorHAnsi" w:hAnsiTheme="minorHAnsi"/>
          <w:szCs w:val="22"/>
        </w:rPr>
        <w:t xml:space="preserve"> education program on </w:t>
      </w:r>
      <w:r w:rsidR="00CD1D61" w:rsidRPr="00E132CC">
        <w:rPr>
          <w:rFonts w:asciiTheme="minorHAnsi" w:hAnsiTheme="minorHAnsi"/>
          <w:szCs w:val="22"/>
        </w:rPr>
        <w:t>consent</w:t>
      </w:r>
      <w:r w:rsidRPr="00E132CC">
        <w:rPr>
          <w:rFonts w:asciiTheme="minorHAnsi" w:hAnsiTheme="minorHAnsi"/>
          <w:szCs w:val="22"/>
        </w:rPr>
        <w:t xml:space="preserve"> be put in place.  The </w:t>
      </w:r>
      <w:r w:rsidR="00CD1D61" w:rsidRPr="00E132CC">
        <w:rPr>
          <w:rFonts w:asciiTheme="minorHAnsi" w:hAnsiTheme="minorHAnsi"/>
          <w:szCs w:val="22"/>
        </w:rPr>
        <w:t>Committee</w:t>
      </w:r>
      <w:r w:rsidRPr="00E132CC">
        <w:rPr>
          <w:rFonts w:asciiTheme="minorHAnsi" w:hAnsiTheme="minorHAnsi"/>
          <w:szCs w:val="22"/>
        </w:rPr>
        <w:t xml:space="preserve"> also recommends </w:t>
      </w:r>
      <w:r w:rsidR="00CD1D61" w:rsidRPr="00E132CC">
        <w:rPr>
          <w:rFonts w:asciiTheme="minorHAnsi" w:hAnsiTheme="minorHAnsi"/>
          <w:szCs w:val="22"/>
        </w:rPr>
        <w:t>that</w:t>
      </w:r>
      <w:r w:rsidRPr="00E132CC">
        <w:rPr>
          <w:rFonts w:asciiTheme="minorHAnsi" w:hAnsiTheme="minorHAnsi"/>
          <w:szCs w:val="22"/>
        </w:rPr>
        <w:t xml:space="preserve"> such a campaign e</w:t>
      </w:r>
      <w:r w:rsidR="00092955" w:rsidRPr="00E132CC">
        <w:rPr>
          <w:rFonts w:asciiTheme="minorHAnsi" w:hAnsiTheme="minorHAnsi"/>
          <w:szCs w:val="22"/>
        </w:rPr>
        <w:t>specially focus on young people</w:t>
      </w:r>
      <w:r w:rsidR="00027148" w:rsidRPr="00E132CC">
        <w:rPr>
          <w:rFonts w:asciiTheme="minorHAnsi" w:hAnsiTheme="minorHAnsi"/>
          <w:szCs w:val="22"/>
        </w:rPr>
        <w:t>.</w:t>
      </w:r>
    </w:p>
    <w:p w:rsidR="00BF526E" w:rsidRPr="00E132CC" w:rsidRDefault="007236BF" w:rsidP="00E132CC">
      <w:pPr>
        <w:spacing w:before="0" w:after="0" w:line="240" w:lineRule="auto"/>
        <w:rPr>
          <w:rFonts w:asciiTheme="minorHAnsi" w:hAnsiTheme="minorHAnsi"/>
          <w:b/>
          <w:szCs w:val="22"/>
        </w:rPr>
      </w:pPr>
      <w:r w:rsidRPr="00E132CC">
        <w:rPr>
          <w:rFonts w:asciiTheme="minorHAnsi" w:hAnsiTheme="minorHAnsi"/>
          <w:b/>
          <w:szCs w:val="22"/>
        </w:rPr>
        <w:t>Recommendation 9</w:t>
      </w:r>
    </w:p>
    <w:p w:rsidR="00CB7851" w:rsidRDefault="00BF526E" w:rsidP="00B464F0">
      <w:pPr>
        <w:spacing w:before="120" w:after="120" w:line="240" w:lineRule="auto"/>
        <w:rPr>
          <w:rFonts w:asciiTheme="minorHAnsi" w:hAnsiTheme="minorHAnsi"/>
          <w:szCs w:val="22"/>
        </w:rPr>
      </w:pPr>
      <w:r w:rsidRPr="008727FB">
        <w:rPr>
          <w:rFonts w:asciiTheme="minorHAnsi" w:hAnsiTheme="minorHAnsi"/>
          <w:szCs w:val="22"/>
        </w:rPr>
        <w:t xml:space="preserve">The Committee recommends that </w:t>
      </w:r>
      <w:r w:rsidR="00CB7851" w:rsidRPr="008727FB">
        <w:rPr>
          <w:rFonts w:asciiTheme="minorHAnsi" w:hAnsiTheme="minorHAnsi"/>
          <w:szCs w:val="22"/>
        </w:rPr>
        <w:t xml:space="preserve">the ACT Government establish a cross-government, </w:t>
      </w:r>
      <w:r w:rsidR="00A24687" w:rsidRPr="008727FB">
        <w:rPr>
          <w:rFonts w:asciiTheme="minorHAnsi" w:hAnsiTheme="minorHAnsi"/>
          <w:szCs w:val="22"/>
        </w:rPr>
        <w:t>c</w:t>
      </w:r>
      <w:r w:rsidR="00CB7851" w:rsidRPr="008727FB">
        <w:rPr>
          <w:rFonts w:asciiTheme="minorHAnsi" w:hAnsiTheme="minorHAnsi"/>
          <w:szCs w:val="22"/>
        </w:rPr>
        <w:t>ross-sector working group, w</w:t>
      </w:r>
      <w:r w:rsidR="00A24687" w:rsidRPr="008727FB">
        <w:rPr>
          <w:rFonts w:asciiTheme="minorHAnsi" w:hAnsiTheme="minorHAnsi"/>
          <w:szCs w:val="22"/>
        </w:rPr>
        <w:t>hich includes representations f</w:t>
      </w:r>
      <w:r w:rsidR="00CB7851" w:rsidRPr="008727FB">
        <w:rPr>
          <w:rFonts w:asciiTheme="minorHAnsi" w:hAnsiTheme="minorHAnsi"/>
          <w:szCs w:val="22"/>
        </w:rPr>
        <w:t>r</w:t>
      </w:r>
      <w:r w:rsidR="00A24687" w:rsidRPr="008727FB">
        <w:rPr>
          <w:rFonts w:asciiTheme="minorHAnsi" w:hAnsiTheme="minorHAnsi"/>
          <w:szCs w:val="22"/>
        </w:rPr>
        <w:t>o</w:t>
      </w:r>
      <w:r w:rsidR="00CB7851" w:rsidRPr="008727FB">
        <w:rPr>
          <w:rFonts w:asciiTheme="minorHAnsi" w:hAnsiTheme="minorHAnsi"/>
          <w:szCs w:val="22"/>
        </w:rPr>
        <w:t>m women’s org</w:t>
      </w:r>
      <w:r w:rsidR="00035401" w:rsidRPr="008727FB">
        <w:rPr>
          <w:rFonts w:asciiTheme="minorHAnsi" w:hAnsiTheme="minorHAnsi"/>
          <w:szCs w:val="22"/>
        </w:rPr>
        <w:t>anisations, sexual assault and d</w:t>
      </w:r>
      <w:r w:rsidR="00CB7851" w:rsidRPr="008727FB">
        <w:rPr>
          <w:rFonts w:asciiTheme="minorHAnsi" w:hAnsiTheme="minorHAnsi"/>
          <w:szCs w:val="22"/>
        </w:rPr>
        <w:t>omestic violence services and the legal fraternity</w:t>
      </w:r>
      <w:r w:rsidR="00942670" w:rsidRPr="008727FB">
        <w:rPr>
          <w:rFonts w:asciiTheme="minorHAnsi" w:hAnsiTheme="minorHAnsi"/>
          <w:szCs w:val="22"/>
        </w:rPr>
        <w:t>, or a</w:t>
      </w:r>
      <w:r w:rsidR="00CB7851" w:rsidRPr="008727FB">
        <w:rPr>
          <w:rFonts w:asciiTheme="minorHAnsi" w:hAnsiTheme="minorHAnsi"/>
          <w:szCs w:val="22"/>
        </w:rPr>
        <w:t>lternatively, that the ACT Gov</w:t>
      </w:r>
      <w:r w:rsidR="00035401" w:rsidRPr="008727FB">
        <w:rPr>
          <w:rFonts w:asciiTheme="minorHAnsi" w:hAnsiTheme="minorHAnsi"/>
          <w:szCs w:val="22"/>
        </w:rPr>
        <w:t xml:space="preserve">ernment utilise </w:t>
      </w:r>
      <w:r w:rsidR="00A24687" w:rsidRPr="008727FB">
        <w:rPr>
          <w:rFonts w:asciiTheme="minorHAnsi" w:hAnsiTheme="minorHAnsi"/>
          <w:szCs w:val="22"/>
        </w:rPr>
        <w:t>an</w:t>
      </w:r>
      <w:r w:rsidR="00035401" w:rsidRPr="008727FB">
        <w:rPr>
          <w:rFonts w:asciiTheme="minorHAnsi" w:hAnsiTheme="minorHAnsi"/>
          <w:szCs w:val="22"/>
        </w:rPr>
        <w:t xml:space="preserve"> already exis</w:t>
      </w:r>
      <w:r w:rsidR="00CB7851" w:rsidRPr="008727FB">
        <w:rPr>
          <w:rFonts w:asciiTheme="minorHAnsi" w:hAnsiTheme="minorHAnsi"/>
          <w:szCs w:val="22"/>
        </w:rPr>
        <w:t xml:space="preserve">ting </w:t>
      </w:r>
      <w:r w:rsidR="00035401" w:rsidRPr="008727FB">
        <w:rPr>
          <w:rFonts w:asciiTheme="minorHAnsi" w:hAnsiTheme="minorHAnsi"/>
          <w:szCs w:val="22"/>
        </w:rPr>
        <w:t>grou</w:t>
      </w:r>
      <w:r w:rsidR="00A24687" w:rsidRPr="008727FB">
        <w:rPr>
          <w:rFonts w:asciiTheme="minorHAnsi" w:hAnsiTheme="minorHAnsi"/>
          <w:szCs w:val="22"/>
        </w:rPr>
        <w:t>p to provide advice on how the g</w:t>
      </w:r>
      <w:r w:rsidR="00035401" w:rsidRPr="008727FB">
        <w:rPr>
          <w:rFonts w:asciiTheme="minorHAnsi" w:hAnsiTheme="minorHAnsi"/>
          <w:szCs w:val="22"/>
        </w:rPr>
        <w:t>overnment can improve prosecution outcomes for victims of sexual as</w:t>
      </w:r>
      <w:r w:rsidR="00A24687" w:rsidRPr="008727FB">
        <w:rPr>
          <w:rFonts w:asciiTheme="minorHAnsi" w:hAnsiTheme="minorHAnsi"/>
          <w:szCs w:val="22"/>
        </w:rPr>
        <w:t>sault, specifically with regards</w:t>
      </w:r>
      <w:r w:rsidR="00035401" w:rsidRPr="008727FB">
        <w:rPr>
          <w:rFonts w:asciiTheme="minorHAnsi" w:hAnsiTheme="minorHAnsi"/>
          <w:szCs w:val="22"/>
        </w:rPr>
        <w:t xml:space="preserve"> to consent.</w:t>
      </w:r>
    </w:p>
    <w:p w:rsidR="00E132CC" w:rsidRDefault="00E132CC" w:rsidP="00B464F0">
      <w:pPr>
        <w:spacing w:before="120" w:after="120" w:line="240" w:lineRule="auto"/>
        <w:rPr>
          <w:rFonts w:asciiTheme="minorHAnsi" w:hAnsiTheme="minorHAnsi"/>
          <w:szCs w:val="22"/>
        </w:rPr>
      </w:pPr>
    </w:p>
    <w:p w:rsidR="00E132CC" w:rsidRPr="00E132CC" w:rsidRDefault="004D30E2" w:rsidP="00B464F0">
      <w:pPr>
        <w:spacing w:before="120" w:after="120" w:line="240" w:lineRule="auto"/>
        <w:rPr>
          <w:rFonts w:asciiTheme="minorHAnsi" w:hAnsiTheme="minorHAnsi"/>
          <w:sz w:val="18"/>
          <w:szCs w:val="18"/>
        </w:rPr>
      </w:pPr>
      <w:r w:rsidRPr="00E132CC">
        <w:rPr>
          <w:rFonts w:asciiTheme="minorHAnsi" w:hAnsiTheme="minorHAnsi"/>
          <w:sz w:val="18"/>
          <w:szCs w:val="18"/>
        </w:rPr>
        <w:t>*</w:t>
      </w:r>
      <w:r w:rsidR="00E132CC" w:rsidRPr="00E132CC">
        <w:rPr>
          <w:rFonts w:asciiTheme="minorHAnsi" w:hAnsiTheme="minorHAnsi"/>
          <w:sz w:val="18"/>
          <w:szCs w:val="18"/>
        </w:rPr>
        <w:t>Recommendation replaced by Corrigendum tabled 31 October 2018</w:t>
      </w:r>
      <w:r w:rsidR="00102753">
        <w:rPr>
          <w:rFonts w:asciiTheme="minorHAnsi" w:hAnsiTheme="minorHAnsi"/>
          <w:sz w:val="18"/>
          <w:szCs w:val="18"/>
        </w:rPr>
        <w:t>.</w:t>
      </w:r>
      <w:bookmarkStart w:id="39" w:name="_GoBack"/>
      <w:bookmarkEnd w:id="39"/>
    </w:p>
    <w:p w:rsidR="00BF526E" w:rsidRPr="008727FB" w:rsidRDefault="00E132CC" w:rsidP="00E132CC">
      <w:pPr>
        <w:rPr>
          <w:b/>
        </w:rPr>
      </w:pPr>
      <w:r>
        <w:br w:type="page"/>
      </w:r>
      <w:r w:rsidR="007242F0" w:rsidRPr="008727FB">
        <w:rPr>
          <w:b/>
        </w:rPr>
        <w:lastRenderedPageBreak/>
        <w:t>Recommendation 10</w:t>
      </w:r>
    </w:p>
    <w:p w:rsidR="00BF526E" w:rsidRPr="008727FB" w:rsidRDefault="00BF526E" w:rsidP="00B464F0">
      <w:pPr>
        <w:spacing w:before="120" w:after="120" w:line="240" w:lineRule="auto"/>
        <w:rPr>
          <w:rFonts w:asciiTheme="minorHAnsi" w:hAnsiTheme="minorHAnsi"/>
          <w:szCs w:val="22"/>
        </w:rPr>
      </w:pPr>
      <w:r w:rsidRPr="008727FB">
        <w:rPr>
          <w:rFonts w:asciiTheme="minorHAnsi" w:hAnsiTheme="minorHAnsi"/>
          <w:szCs w:val="22"/>
        </w:rPr>
        <w:t>The Committee recommends that all law reform must provide scope to deliver the best possible outcome for victims of sexual assault as well as the community.</w:t>
      </w:r>
    </w:p>
    <w:p w:rsidR="00BF526E" w:rsidRPr="008727FB" w:rsidRDefault="00BF526E" w:rsidP="00035401">
      <w:pPr>
        <w:spacing w:before="0" w:after="0" w:line="240" w:lineRule="auto"/>
      </w:pPr>
    </w:p>
    <w:p w:rsidR="00930625" w:rsidRPr="008727FB" w:rsidRDefault="00930625" w:rsidP="004001FB">
      <w:pPr>
        <w:sectPr w:rsidR="00930625" w:rsidRPr="008727FB" w:rsidSect="00AC0996">
          <w:footerReference w:type="default" r:id="rId20"/>
          <w:headerReference w:type="first" r:id="rId21"/>
          <w:type w:val="oddPage"/>
          <w:pgSz w:w="11907" w:h="16840" w:code="9"/>
          <w:pgMar w:top="1588" w:right="1418" w:bottom="1418" w:left="1418" w:header="720" w:footer="851" w:gutter="0"/>
          <w:pgNumType w:fmt="lowerRoman"/>
          <w:cols w:space="720"/>
          <w:docGrid w:linePitch="360"/>
        </w:sectPr>
      </w:pPr>
    </w:p>
    <w:p w:rsidR="00111850" w:rsidRPr="008727FB" w:rsidRDefault="004001FB" w:rsidP="00687244">
      <w:pPr>
        <w:pStyle w:val="Heading2"/>
      </w:pPr>
      <w:bookmarkStart w:id="40" w:name="_Toc502671587"/>
      <w:bookmarkStart w:id="41" w:name="_Toc502671765"/>
      <w:bookmarkStart w:id="42" w:name="_Toc502671871"/>
      <w:bookmarkStart w:id="43" w:name="_Toc502672803"/>
      <w:bookmarkStart w:id="44" w:name="_Toc528670928"/>
      <w:r w:rsidRPr="008727FB">
        <w:lastRenderedPageBreak/>
        <w:t>C</w:t>
      </w:r>
      <w:r w:rsidR="00F712A2" w:rsidRPr="008727FB">
        <w:t>onduct of the Inquiry</w:t>
      </w:r>
      <w:bookmarkEnd w:id="40"/>
      <w:bookmarkEnd w:id="41"/>
      <w:bookmarkEnd w:id="42"/>
      <w:bookmarkEnd w:id="43"/>
      <w:bookmarkEnd w:id="44"/>
    </w:p>
    <w:p w:rsidR="00723F7F" w:rsidRPr="008727FB" w:rsidRDefault="00F712A2" w:rsidP="00723F7F">
      <w:pPr>
        <w:pStyle w:val="Heading3"/>
      </w:pPr>
      <w:bookmarkStart w:id="45" w:name="_Toc528670929"/>
      <w:bookmarkStart w:id="46" w:name="_Toc502671588"/>
      <w:bookmarkStart w:id="47" w:name="_Toc502671766"/>
      <w:bookmarkStart w:id="48" w:name="_Toc502671872"/>
      <w:bookmarkStart w:id="49" w:name="_Toc502672804"/>
      <w:r w:rsidRPr="008727FB">
        <w:t>Referral of the Bill</w:t>
      </w:r>
      <w:bookmarkEnd w:id="45"/>
    </w:p>
    <w:p w:rsidR="00F712A2" w:rsidRPr="008727FB" w:rsidRDefault="00F712A2" w:rsidP="00F712A2">
      <w:pPr>
        <w:pStyle w:val="BodyText"/>
      </w:pPr>
      <w:r w:rsidRPr="008727FB">
        <w:t xml:space="preserve">On 8 May 2018 the Assembly referred the </w:t>
      </w:r>
      <w:r w:rsidRPr="008727FB">
        <w:rPr>
          <w:i/>
        </w:rPr>
        <w:t>Crimes (Consent) Amendment Bill</w:t>
      </w:r>
      <w:r w:rsidRPr="008727FB">
        <w:t xml:space="preserve"> </w:t>
      </w:r>
      <w:r w:rsidRPr="008727FB">
        <w:rPr>
          <w:i/>
        </w:rPr>
        <w:t>2018</w:t>
      </w:r>
      <w:r w:rsidRPr="008727FB">
        <w:t xml:space="preserve"> (the Bill) to the Standing Com</w:t>
      </w:r>
      <w:r w:rsidR="0023663C" w:rsidRPr="008727FB">
        <w:t xml:space="preserve">mittee for inquiry and report. </w:t>
      </w:r>
      <w:r w:rsidR="00B5198C" w:rsidRPr="008727FB">
        <w:t xml:space="preserve"> </w:t>
      </w:r>
      <w:r w:rsidRPr="008727FB">
        <w:t>The referral motion, passed by the Assembly, reads:</w:t>
      </w:r>
    </w:p>
    <w:p w:rsidR="00F712A2" w:rsidRPr="008727FB" w:rsidRDefault="009F3646" w:rsidP="0023663C">
      <w:pPr>
        <w:pStyle w:val="Quote"/>
      </w:pPr>
      <w:r w:rsidRPr="008727FB">
        <w:t>Pursuant</w:t>
      </w:r>
      <w:r w:rsidR="00F712A2" w:rsidRPr="008727FB">
        <w:t xml:space="preserve"> to standing order 174, it was moved—That the </w:t>
      </w:r>
      <w:r w:rsidR="00F712A2" w:rsidRPr="008727FB">
        <w:rPr>
          <w:i/>
        </w:rPr>
        <w:t>Crimes (Consent) Amendment Bill 2018</w:t>
      </w:r>
      <w:r w:rsidR="00F712A2" w:rsidRPr="008727FB">
        <w:t xml:space="preserve"> be referred to the Standing Committee on Justice and Community Safety for inquiry and report by the last sitting day in October 2018.</w:t>
      </w:r>
      <w:r w:rsidR="00E1181E" w:rsidRPr="008727FB">
        <w:rPr>
          <w:rStyle w:val="FootnoteReference"/>
        </w:rPr>
        <w:footnoteReference w:id="5"/>
      </w:r>
    </w:p>
    <w:p w:rsidR="00587509" w:rsidRPr="008727FB" w:rsidRDefault="00587509" w:rsidP="00587509">
      <w:pPr>
        <w:pStyle w:val="BodyText"/>
      </w:pPr>
      <w:r w:rsidRPr="008727FB">
        <w:t xml:space="preserve">The Bill is a Private Member’s Bill, introduced into the Assembly </w:t>
      </w:r>
      <w:r w:rsidR="00A10992" w:rsidRPr="008727FB">
        <w:t xml:space="preserve">on 11 August 2018 </w:t>
      </w:r>
      <w:r w:rsidRPr="008727FB">
        <w:t xml:space="preserve">by </w:t>
      </w:r>
      <w:r w:rsidR="0023663C" w:rsidRPr="008727FB">
        <w:br/>
      </w:r>
      <w:r w:rsidRPr="008727FB">
        <w:t>Ms Caroline Le Couteur MLA</w:t>
      </w:r>
      <w:r w:rsidR="00A10992" w:rsidRPr="008727FB">
        <w:rPr>
          <w:rStyle w:val="FootnoteReference"/>
        </w:rPr>
        <w:footnoteReference w:id="6"/>
      </w:r>
      <w:r w:rsidRPr="008727FB">
        <w:t>.</w:t>
      </w:r>
    </w:p>
    <w:p w:rsidR="00F712A2" w:rsidRPr="008727FB" w:rsidRDefault="00F712A2" w:rsidP="00F712A2">
      <w:pPr>
        <w:pStyle w:val="BodyText"/>
      </w:pPr>
      <w:r w:rsidRPr="008727FB">
        <w:t>The Bill was referred to the Committee on the recommendation of the Justice and Community Safety Scrutiny Committee (Legislative Scrutiny Role) (the Scrutiny Committee) in its report No. 17 dated 4 May 2018.</w:t>
      </w:r>
      <w:r w:rsidR="00E1181E" w:rsidRPr="008727FB">
        <w:rPr>
          <w:rStyle w:val="FootnoteReference"/>
        </w:rPr>
        <w:footnoteReference w:id="7"/>
      </w:r>
      <w:r w:rsidRPr="008727FB">
        <w:t xml:space="preserve">  The parts of the Scrutiny Committee report dealing with the referral of the Bill to the Standing Committee are at App</w:t>
      </w:r>
      <w:r w:rsidR="00587509" w:rsidRPr="008727FB">
        <w:t xml:space="preserve">endix </w:t>
      </w:r>
      <w:r w:rsidR="003948CE" w:rsidRPr="008727FB">
        <w:t>A</w:t>
      </w:r>
      <w:r w:rsidRPr="008727FB">
        <w:t>.</w:t>
      </w:r>
    </w:p>
    <w:p w:rsidR="00F712A2" w:rsidRPr="008727FB" w:rsidRDefault="00F712A2" w:rsidP="00723F7F">
      <w:pPr>
        <w:pStyle w:val="Heading3"/>
      </w:pPr>
      <w:bookmarkStart w:id="50" w:name="_Toc528670930"/>
      <w:r w:rsidRPr="008727FB">
        <w:t>Committee inquiry – Issues</w:t>
      </w:r>
      <w:r w:rsidR="009F3646" w:rsidRPr="008727FB">
        <w:t xml:space="preserve"> for examination and report</w:t>
      </w:r>
      <w:bookmarkEnd w:id="50"/>
    </w:p>
    <w:p w:rsidR="00F712A2" w:rsidRPr="008727FB" w:rsidRDefault="00F712A2" w:rsidP="00F712A2">
      <w:pPr>
        <w:pStyle w:val="BodyText"/>
      </w:pPr>
      <w:r w:rsidRPr="008727FB">
        <w:t>The Committee considered the Bill in detail, along with the matters raised with respect to the Bill by the Scrutiny Committee.  The Committee decided to prepare a guide to the issues the Committee considered were requi</w:t>
      </w:r>
      <w:r w:rsidR="00587509" w:rsidRPr="008727FB">
        <w:t>red of it in the inquiry.  The C</w:t>
      </w:r>
      <w:r w:rsidRPr="008727FB">
        <w:t>ommittee held discussions with Ms Le Coute</w:t>
      </w:r>
      <w:r w:rsidR="00B5198C" w:rsidRPr="008727FB">
        <w:t>u</w:t>
      </w:r>
      <w:r w:rsidRPr="008727FB">
        <w:t xml:space="preserve">r MLA and the ACT Bar Association to allow the development of discussion and points of inquiry the Committee decided should be examined.  This document, which </w:t>
      </w:r>
      <w:r w:rsidR="00587509" w:rsidRPr="008727FB">
        <w:t>is a Terms of Inquiry (rather than Terms of Reference)</w:t>
      </w:r>
      <w:r w:rsidR="00522A5C" w:rsidRPr="008727FB">
        <w:t xml:space="preserve"> </w:t>
      </w:r>
      <w:r w:rsidRPr="008727FB">
        <w:t>was placed on the Committee we</w:t>
      </w:r>
      <w:r w:rsidR="00587509" w:rsidRPr="008727FB">
        <w:t xml:space="preserve">bsite and is attached as Appendix </w:t>
      </w:r>
      <w:r w:rsidR="003107C6" w:rsidRPr="008727FB">
        <w:t>B</w:t>
      </w:r>
      <w:r w:rsidRPr="008727FB">
        <w:t>.</w:t>
      </w:r>
    </w:p>
    <w:p w:rsidR="00F712A2" w:rsidRPr="008727FB" w:rsidRDefault="00F712A2" w:rsidP="00F712A2">
      <w:pPr>
        <w:pStyle w:val="BodyText"/>
      </w:pPr>
      <w:r w:rsidRPr="008727FB">
        <w:t>The Committee called for submissions by advertising the inquiry in The Canberra Times in early August 2018, by placing an invitation for submissions on the Assembly Committees website and by inviting interested stakeholders, including the Attorney-General, to participate in the inquiry.</w:t>
      </w:r>
    </w:p>
    <w:p w:rsidR="00F712A2" w:rsidRPr="008727FB" w:rsidRDefault="00F712A2" w:rsidP="00723F7F">
      <w:pPr>
        <w:pStyle w:val="Heading3"/>
      </w:pPr>
      <w:bookmarkStart w:id="51" w:name="_Toc528670931"/>
      <w:r w:rsidRPr="008727FB">
        <w:lastRenderedPageBreak/>
        <w:t>Submissions</w:t>
      </w:r>
      <w:bookmarkEnd w:id="51"/>
    </w:p>
    <w:p w:rsidR="00F712A2" w:rsidRPr="008727FB" w:rsidRDefault="00F712A2" w:rsidP="00F712A2">
      <w:pPr>
        <w:pStyle w:val="BodyText"/>
      </w:pPr>
      <w:r w:rsidRPr="008727FB">
        <w:t>The Committee received 28 submissions.  The individuals and organisations who lodged subm</w:t>
      </w:r>
      <w:r w:rsidR="00A713ED" w:rsidRPr="008727FB">
        <w:t xml:space="preserve">issions are listed in Appendix </w:t>
      </w:r>
      <w:r w:rsidR="00B464F0" w:rsidRPr="008727FB">
        <w:t>C</w:t>
      </w:r>
      <w:r w:rsidRPr="008727FB">
        <w:t>.  Copies of submissions area available on the Committee’s website.</w:t>
      </w:r>
    </w:p>
    <w:p w:rsidR="00F712A2" w:rsidRPr="008727FB" w:rsidRDefault="00F712A2" w:rsidP="00F712A2">
      <w:pPr>
        <w:pStyle w:val="BodyText"/>
      </w:pPr>
      <w:r w:rsidRPr="008727FB">
        <w:t>As noted, the committee wrote to the Attorney-General inviting a written submission.  The Attorney-General advised the committee :</w:t>
      </w:r>
    </w:p>
    <w:p w:rsidR="00F712A2" w:rsidRPr="008727FB" w:rsidRDefault="00F712A2" w:rsidP="00027612">
      <w:pPr>
        <w:pStyle w:val="Quote"/>
      </w:pPr>
      <w:r w:rsidRPr="008727FB">
        <w:t>At this time, the Government will not make a written submission on the Bill.  The government will provide a response to the committee’s report, taking into ac</w:t>
      </w:r>
      <w:r w:rsidR="003A4713" w:rsidRPr="008727FB">
        <w:t>count any available findings fro</w:t>
      </w:r>
      <w:r w:rsidRPr="008727FB">
        <w:t>m the New South Wales Law Reform Commission’ review of NSW sexual consent provisions, which commenced in early May 2018.</w:t>
      </w:r>
      <w:r w:rsidR="00E1181E" w:rsidRPr="008727FB">
        <w:rPr>
          <w:rStyle w:val="FootnoteReference"/>
        </w:rPr>
        <w:footnoteReference w:id="8"/>
      </w:r>
    </w:p>
    <w:p w:rsidR="00027612" w:rsidRPr="008727FB" w:rsidRDefault="00027612" w:rsidP="00F712A2">
      <w:pPr>
        <w:pStyle w:val="BodyText"/>
      </w:pPr>
      <w:r w:rsidRPr="008727FB">
        <w:t>During the Committee’s inquiry, the NSW Law Reform Commission published a Consultation Paper on its reference on sexual cons</w:t>
      </w:r>
      <w:r w:rsidR="007F218C" w:rsidRPr="008727FB">
        <w:t>e</w:t>
      </w:r>
      <w:r w:rsidRPr="008727FB">
        <w:t xml:space="preserve">nt in relation to sexual offences.  The Committee discusses the Consultation Paper later in the report (at paragraph </w:t>
      </w:r>
      <w:r w:rsidR="00C13DB5" w:rsidRPr="008727FB">
        <w:t>4.13</w:t>
      </w:r>
      <w:r w:rsidRPr="008727FB">
        <w:t xml:space="preserve">).  The Committee notes that </w:t>
      </w:r>
      <w:r w:rsidR="007F218C" w:rsidRPr="008727FB">
        <w:t xml:space="preserve">the </w:t>
      </w:r>
      <w:r w:rsidR="00B26098" w:rsidRPr="008727FB">
        <w:t xml:space="preserve">NSW Law Reform Commission </w:t>
      </w:r>
      <w:r w:rsidR="007F218C" w:rsidRPr="008727FB">
        <w:t xml:space="preserve">is </w:t>
      </w:r>
      <w:r w:rsidR="00B26098" w:rsidRPr="008727FB">
        <w:t xml:space="preserve">now inviting </w:t>
      </w:r>
      <w:r w:rsidR="007F218C" w:rsidRPr="008727FB">
        <w:t>submissions on the matters raised by the Paper</w:t>
      </w:r>
      <w:r w:rsidR="00D628ED" w:rsidRPr="008727FB">
        <w:t>.</w:t>
      </w:r>
    </w:p>
    <w:p w:rsidR="00F712A2" w:rsidRPr="008727FB" w:rsidRDefault="00F712A2" w:rsidP="00723F7F">
      <w:pPr>
        <w:pStyle w:val="Heading3"/>
      </w:pPr>
      <w:bookmarkStart w:id="52" w:name="_Toc528670932"/>
      <w:r w:rsidRPr="008727FB">
        <w:t>Public hearings</w:t>
      </w:r>
      <w:bookmarkEnd w:id="52"/>
    </w:p>
    <w:p w:rsidR="00F712A2" w:rsidRPr="008727FB" w:rsidRDefault="00F712A2" w:rsidP="00F712A2">
      <w:pPr>
        <w:pStyle w:val="BodyText"/>
      </w:pPr>
      <w:r w:rsidRPr="008727FB">
        <w:t>Public hearings were held on 28 September, 2 October and 9 October 2018.  Witnesses who appeared before the Co</w:t>
      </w:r>
      <w:r w:rsidR="00A713ED" w:rsidRPr="008727FB">
        <w:t xml:space="preserve">mmittee are listed in Appendix </w:t>
      </w:r>
      <w:r w:rsidR="003948CE" w:rsidRPr="008727FB">
        <w:t>D</w:t>
      </w:r>
      <w:r w:rsidRPr="008727FB">
        <w:t>.  The Committee’s website contains the transcripts of these hearings.</w:t>
      </w:r>
    </w:p>
    <w:p w:rsidR="00F712A2" w:rsidRPr="008727FB" w:rsidRDefault="00A713ED" w:rsidP="00F712A2">
      <w:pPr>
        <w:pStyle w:val="BodyText"/>
      </w:pPr>
      <w:r w:rsidRPr="008727FB">
        <w:t>The C</w:t>
      </w:r>
      <w:r w:rsidR="00F712A2" w:rsidRPr="008727FB">
        <w:t xml:space="preserve">ommittee met on (i) 26 October 2018 to discuss the Chair’s Draft report; and (ii) 29 October 2018 to discuss the committee’s draft which was adopted on </w:t>
      </w:r>
      <w:r w:rsidR="00110499" w:rsidRPr="008727FB">
        <w:t>29</w:t>
      </w:r>
      <w:r w:rsidR="00F712A2" w:rsidRPr="008727FB">
        <w:t xml:space="preserve"> October 2018.</w:t>
      </w:r>
    </w:p>
    <w:p w:rsidR="00F712A2" w:rsidRPr="008727FB" w:rsidRDefault="00F712A2" w:rsidP="00723F7F">
      <w:pPr>
        <w:pStyle w:val="Heading3"/>
      </w:pPr>
      <w:bookmarkStart w:id="53" w:name="_Toc528670933"/>
      <w:r w:rsidRPr="008727FB">
        <w:t>Structure of the report</w:t>
      </w:r>
      <w:bookmarkEnd w:id="53"/>
    </w:p>
    <w:p w:rsidR="00F712A2" w:rsidRPr="008727FB" w:rsidRDefault="00B5198C" w:rsidP="00F712A2">
      <w:pPr>
        <w:pStyle w:val="BodyText"/>
      </w:pPr>
      <w:r w:rsidRPr="008727FB">
        <w:t>The C</w:t>
      </w:r>
      <w:r w:rsidR="00F712A2" w:rsidRPr="008727FB">
        <w:t xml:space="preserve">ommittee has complied a report which examines and reflects on the principal matters that were identified </w:t>
      </w:r>
      <w:r w:rsidR="007F218C" w:rsidRPr="008727FB">
        <w:t xml:space="preserve">in submissions and </w:t>
      </w:r>
      <w:r w:rsidR="00F712A2" w:rsidRPr="008727FB">
        <w:t xml:space="preserve">arose during the course of the inquiry, based on the evidence it received and on other </w:t>
      </w:r>
      <w:r w:rsidR="007F218C" w:rsidRPr="008727FB">
        <w:t xml:space="preserve">source </w:t>
      </w:r>
      <w:r w:rsidR="00F712A2" w:rsidRPr="008727FB">
        <w:t>material of direct relevance published during the inquiry period.</w:t>
      </w:r>
    </w:p>
    <w:p w:rsidR="00F712A2" w:rsidRPr="008727FB" w:rsidRDefault="00F712A2" w:rsidP="00F712A2">
      <w:pPr>
        <w:pStyle w:val="BodyText"/>
      </w:pPr>
      <w:r w:rsidRPr="008727FB">
        <w:t>The central focus of the Committee’s inquiry was directed to the current law, both statutory law and rules</w:t>
      </w:r>
      <w:r w:rsidR="00B5198C" w:rsidRPr="008727FB">
        <w:t xml:space="preserve"> and the common law</w:t>
      </w:r>
      <w:r w:rsidRPr="008727FB">
        <w:t xml:space="preserve">, relating to the defence of consent in sexual assault prosecutions in the ACT.  In particular, matters raised by the Scrutiny Committee report, and </w:t>
      </w:r>
      <w:r w:rsidRPr="008727FB">
        <w:lastRenderedPageBreak/>
        <w:t>by s</w:t>
      </w:r>
      <w:r w:rsidR="00B5198C" w:rsidRPr="008727FB">
        <w:t xml:space="preserve">ubmissions on the proposal for </w:t>
      </w:r>
      <w:r w:rsidRPr="008727FB">
        <w:t>a proposal to change to the burden and onus of proof in sexual assault cases raised the issue of a fundamental element of the criminal law</w:t>
      </w:r>
      <w:r w:rsidR="00B5198C" w:rsidRPr="008727FB">
        <w:t>.</w:t>
      </w:r>
      <w:r w:rsidRPr="008727FB">
        <w:t xml:space="preserve">  This is a principal matter which the bill seeks to affect and to change thorough amendment.</w:t>
      </w:r>
    </w:p>
    <w:p w:rsidR="007236BF" w:rsidRPr="008727FB" w:rsidRDefault="00C652FF" w:rsidP="007236BF">
      <w:pPr>
        <w:pStyle w:val="BodyText"/>
        <w:rPr>
          <w:szCs w:val="22"/>
        </w:rPr>
      </w:pPr>
      <w:r w:rsidRPr="008727FB">
        <w:t xml:space="preserve">The </w:t>
      </w:r>
      <w:r w:rsidR="007236BF" w:rsidRPr="008727FB">
        <w:t xml:space="preserve">potential impact an affirmative consent model would have on sexual relationships. The Committee regarded it </w:t>
      </w:r>
      <w:r w:rsidRPr="008727FB">
        <w:t xml:space="preserve">as </w:t>
      </w:r>
      <w:r w:rsidR="007236BF" w:rsidRPr="008727FB">
        <w:t xml:space="preserve">important that the potential impacts on all stakeholders including victims, perpetrators, law makers, community organisations and the broader community be considered before recommending </w:t>
      </w:r>
      <w:r w:rsidRPr="008727FB">
        <w:t xml:space="preserve">The Committee was also mindful of the extent of public debate on the issue of consent and the </w:t>
      </w:r>
      <w:r w:rsidR="007236BF" w:rsidRPr="008727FB">
        <w:t>changes to the law.</w:t>
      </w:r>
    </w:p>
    <w:p w:rsidR="00F712A2" w:rsidRPr="008727FB" w:rsidRDefault="007236BF" w:rsidP="007236BF">
      <w:pPr>
        <w:pStyle w:val="BodyText"/>
      </w:pPr>
      <w:r w:rsidRPr="008727FB">
        <w:t xml:space="preserve"> </w:t>
      </w:r>
      <w:r w:rsidR="00D628ED" w:rsidRPr="008727FB">
        <w:t>The C</w:t>
      </w:r>
      <w:r w:rsidR="007F218C" w:rsidRPr="008727FB">
        <w:t>ommittee’s report is in six c</w:t>
      </w:r>
      <w:r w:rsidR="00F712A2" w:rsidRPr="008727FB">
        <w:t>hapters and covers the following issues:</w:t>
      </w:r>
    </w:p>
    <w:p w:rsidR="00F712A2" w:rsidRPr="008727FB" w:rsidRDefault="00F360BB" w:rsidP="00297AA8">
      <w:pPr>
        <w:pStyle w:val="ListBullet"/>
      </w:pPr>
      <w:r w:rsidRPr="008727FB">
        <w:t>Chapter 1 – Introduction and C</w:t>
      </w:r>
      <w:r w:rsidR="00F712A2" w:rsidRPr="008727FB">
        <w:t>onduct of the Inquiry</w:t>
      </w:r>
    </w:p>
    <w:p w:rsidR="00F712A2" w:rsidRPr="008727FB" w:rsidRDefault="007F218C" w:rsidP="00297AA8">
      <w:pPr>
        <w:pStyle w:val="ListBullet"/>
      </w:pPr>
      <w:r w:rsidRPr="008727FB">
        <w:t>Chapter 2 – The Bill and its P</w:t>
      </w:r>
      <w:r w:rsidR="00F712A2" w:rsidRPr="008727FB">
        <w:t>rovisions</w:t>
      </w:r>
    </w:p>
    <w:p w:rsidR="00F712A2" w:rsidRPr="008727FB" w:rsidRDefault="00F712A2" w:rsidP="00297AA8">
      <w:pPr>
        <w:pStyle w:val="ListBullet"/>
      </w:pPr>
      <w:r w:rsidRPr="008727FB">
        <w:t>Chapter 3 –</w:t>
      </w:r>
      <w:r w:rsidR="002F515C" w:rsidRPr="008727FB">
        <w:t xml:space="preserve"> </w:t>
      </w:r>
      <w:r w:rsidRPr="008727FB">
        <w:t>Views put to the Committee on the Bill</w:t>
      </w:r>
    </w:p>
    <w:p w:rsidR="00F712A2" w:rsidRPr="008727FB" w:rsidRDefault="00F712A2" w:rsidP="00297AA8">
      <w:pPr>
        <w:pStyle w:val="ListBullet"/>
      </w:pPr>
      <w:r w:rsidRPr="008727FB">
        <w:t xml:space="preserve">Chapter </w:t>
      </w:r>
      <w:r w:rsidR="00DE2F43" w:rsidRPr="008727FB">
        <w:t>4</w:t>
      </w:r>
      <w:r w:rsidR="00391CF6" w:rsidRPr="008727FB">
        <w:t xml:space="preserve"> – </w:t>
      </w:r>
      <w:r w:rsidRPr="008727FB">
        <w:t>Consent</w:t>
      </w:r>
      <w:r w:rsidR="005249A8" w:rsidRPr="008727FB">
        <w:t xml:space="preserve"> in sexual offences </w:t>
      </w:r>
      <w:r w:rsidR="00391CF6" w:rsidRPr="008727FB">
        <w:t xml:space="preserve">- </w:t>
      </w:r>
      <w:r w:rsidR="00B5198C" w:rsidRPr="008727FB">
        <w:t>other Jurisdictions</w:t>
      </w:r>
    </w:p>
    <w:p w:rsidR="00F712A2" w:rsidRPr="008727FB" w:rsidRDefault="00F712A2" w:rsidP="00297AA8">
      <w:pPr>
        <w:pStyle w:val="ListBullet"/>
      </w:pPr>
      <w:r w:rsidRPr="008727FB">
        <w:t xml:space="preserve">Chapter </w:t>
      </w:r>
      <w:r w:rsidR="00DE2F43" w:rsidRPr="008727FB">
        <w:t>5</w:t>
      </w:r>
      <w:r w:rsidRPr="008727FB">
        <w:t xml:space="preserve"> </w:t>
      </w:r>
      <w:r w:rsidR="002F515C" w:rsidRPr="008727FB">
        <w:t>–</w:t>
      </w:r>
      <w:r w:rsidRPr="008727FB">
        <w:t xml:space="preserve"> Summary</w:t>
      </w:r>
      <w:r w:rsidR="002F515C" w:rsidRPr="008727FB">
        <w:t xml:space="preserve"> of Issues</w:t>
      </w:r>
      <w:r w:rsidRPr="008727FB">
        <w:t>, Committee Comment and Conclusions</w:t>
      </w:r>
    </w:p>
    <w:p w:rsidR="00F712A2" w:rsidRPr="008727FB" w:rsidRDefault="00F712A2" w:rsidP="00723F7F">
      <w:pPr>
        <w:pStyle w:val="Heading3"/>
      </w:pPr>
      <w:bookmarkStart w:id="54" w:name="_Toc528670934"/>
      <w:r w:rsidRPr="008727FB">
        <w:t>Acknowledgments</w:t>
      </w:r>
      <w:bookmarkEnd w:id="54"/>
    </w:p>
    <w:p w:rsidR="00F712A2" w:rsidRPr="008727FB" w:rsidRDefault="00F712A2" w:rsidP="00297AA8">
      <w:pPr>
        <w:pStyle w:val="BodyText"/>
      </w:pPr>
      <w:r w:rsidRPr="008727FB">
        <w:t xml:space="preserve">The </w:t>
      </w:r>
      <w:r w:rsidR="00515229" w:rsidRPr="008727FB">
        <w:t>C</w:t>
      </w:r>
      <w:r w:rsidRPr="008727FB">
        <w:t>ommittee thanks Ms Le Couteur</w:t>
      </w:r>
      <w:r w:rsidR="00515229" w:rsidRPr="008727FB">
        <w:t xml:space="preserve"> MLA</w:t>
      </w:r>
      <w:r w:rsidRPr="008727FB">
        <w:t xml:space="preserve"> for her ass</w:t>
      </w:r>
      <w:r w:rsidR="00554C7C" w:rsidRPr="008727FB">
        <w:t>istance and submissions on the B</w:t>
      </w:r>
      <w:r w:rsidRPr="008727FB">
        <w:t>ill during the course of the inquiry.</w:t>
      </w:r>
      <w:r w:rsidR="005C5E86" w:rsidRPr="008727FB">
        <w:t xml:space="preserve"> The Committee notes that </w:t>
      </w:r>
      <w:r w:rsidR="008273AC" w:rsidRPr="008727FB">
        <w:t>Ms Le Couteur MLA</w:t>
      </w:r>
      <w:r w:rsidR="005C5E86" w:rsidRPr="008727FB">
        <w:t xml:space="preserve"> conducted considerable consultation </w:t>
      </w:r>
      <w:r w:rsidR="009A0D34" w:rsidRPr="008727FB">
        <w:t>with interested groups during the Bill’s</w:t>
      </w:r>
      <w:r w:rsidR="005C5E86" w:rsidRPr="008727FB">
        <w:t xml:space="preserve"> preparation.  The submissions that were provided to </w:t>
      </w:r>
      <w:r w:rsidR="008273AC" w:rsidRPr="008727FB">
        <w:t>Ms Le Couteur MLA</w:t>
      </w:r>
      <w:r w:rsidR="005C5E86" w:rsidRPr="008727FB">
        <w:t xml:space="preserve"> during that process were </w:t>
      </w:r>
      <w:r w:rsidR="00554C7C" w:rsidRPr="008727FB">
        <w:t xml:space="preserve">available to the Committee and proved </w:t>
      </w:r>
      <w:r w:rsidR="005C5E86" w:rsidRPr="008727FB">
        <w:t>valuable to the Committee in the course of its inquiry.</w:t>
      </w:r>
    </w:p>
    <w:p w:rsidR="00B5198C" w:rsidRPr="008727FB" w:rsidRDefault="00B5198C" w:rsidP="00297AA8">
      <w:pPr>
        <w:pStyle w:val="BodyText"/>
      </w:pPr>
      <w:r w:rsidRPr="008727FB">
        <w:t>The Committee also thanks Mr Ken Archer of the ACT Bar Association for speaking with the Committee in its preparation of the Terms of Inquiry which proved valuable to the Committee in forming the basis of its inquiry.</w:t>
      </w:r>
    </w:p>
    <w:p w:rsidR="00F712A2" w:rsidRPr="008727FB" w:rsidRDefault="00F712A2" w:rsidP="00297AA8">
      <w:pPr>
        <w:pStyle w:val="BodyText"/>
      </w:pPr>
      <w:r w:rsidRPr="008727FB">
        <w:t xml:space="preserve">The Committee also acknowledges and thanks all those individuals and stakeholder groups and organisations who contributed to the inquiry by making submissions and appearing before the Committee to give evidence. </w:t>
      </w:r>
    </w:p>
    <w:p w:rsidR="0022524E" w:rsidRPr="008727FB" w:rsidRDefault="0022524E" w:rsidP="00CD7F25">
      <w:pPr>
        <w:pStyle w:val="Heading2"/>
        <w:sectPr w:rsidR="0022524E" w:rsidRPr="008727FB" w:rsidSect="0064133C">
          <w:footerReference w:type="default" r:id="rId22"/>
          <w:headerReference w:type="first" r:id="rId23"/>
          <w:type w:val="oddPage"/>
          <w:pgSz w:w="11907" w:h="16840" w:code="9"/>
          <w:pgMar w:top="1588" w:right="1418" w:bottom="1418" w:left="1418" w:header="720" w:footer="851" w:gutter="0"/>
          <w:pgNumType w:start="1"/>
          <w:cols w:space="720"/>
          <w:docGrid w:linePitch="360"/>
        </w:sectPr>
      </w:pPr>
    </w:p>
    <w:p w:rsidR="006F1579" w:rsidRPr="008727FB" w:rsidRDefault="00F360BB" w:rsidP="00CD7F25">
      <w:pPr>
        <w:pStyle w:val="Heading2"/>
      </w:pPr>
      <w:bookmarkStart w:id="55" w:name="_Toc528670935"/>
      <w:r w:rsidRPr="008727FB">
        <w:lastRenderedPageBreak/>
        <w:t>The Bill and its provisions</w:t>
      </w:r>
      <w:bookmarkEnd w:id="55"/>
      <w:r w:rsidRPr="008727FB">
        <w:t xml:space="preserve"> </w:t>
      </w:r>
      <w:bookmarkEnd w:id="46"/>
      <w:bookmarkEnd w:id="47"/>
      <w:bookmarkEnd w:id="48"/>
      <w:bookmarkEnd w:id="49"/>
    </w:p>
    <w:p w:rsidR="00F360BB" w:rsidRPr="008727FB" w:rsidRDefault="00F360BB" w:rsidP="00F360BB">
      <w:pPr>
        <w:pStyle w:val="Heading3"/>
      </w:pPr>
      <w:bookmarkStart w:id="56" w:name="_Toc528670936"/>
      <w:r w:rsidRPr="008727FB">
        <w:t>Introduction</w:t>
      </w:r>
      <w:bookmarkEnd w:id="56"/>
    </w:p>
    <w:p w:rsidR="006A1774" w:rsidRPr="008727FB" w:rsidRDefault="006A1774" w:rsidP="00E061AE">
      <w:pPr>
        <w:pStyle w:val="BodyText"/>
      </w:pPr>
      <w:r w:rsidRPr="008727FB">
        <w:t xml:space="preserve">In this chapter, the Committee discusses the background to the provisions in the Bill, as set out in the Explanatory </w:t>
      </w:r>
      <w:r w:rsidR="00B5198C" w:rsidRPr="008727FB">
        <w:t>Statement</w:t>
      </w:r>
      <w:r w:rsidR="009316F7" w:rsidRPr="008727FB">
        <w:t>, and</w:t>
      </w:r>
      <w:r w:rsidR="00763611" w:rsidRPr="008727FB">
        <w:t xml:space="preserve"> exami</w:t>
      </w:r>
      <w:r w:rsidRPr="008727FB">
        <w:t>nes the report from the</w:t>
      </w:r>
      <w:r w:rsidR="009316F7" w:rsidRPr="008727FB">
        <w:t xml:space="preserve"> Scrutiny Committee on the Bill which led to the referral of the Bill to the Committee.</w:t>
      </w:r>
    </w:p>
    <w:p w:rsidR="00BA1A8C" w:rsidRPr="008727FB" w:rsidRDefault="00BA1A8C" w:rsidP="00DF7253">
      <w:pPr>
        <w:pStyle w:val="Heading3"/>
      </w:pPr>
      <w:bookmarkStart w:id="57" w:name="_Toc528670937"/>
      <w:r w:rsidRPr="008727FB">
        <w:t>Provisions in the Bill</w:t>
      </w:r>
      <w:bookmarkEnd w:id="57"/>
      <w:r w:rsidRPr="008727FB">
        <w:t xml:space="preserve"> </w:t>
      </w:r>
    </w:p>
    <w:p w:rsidR="00F360BB" w:rsidRPr="008727FB" w:rsidRDefault="004B5708" w:rsidP="00E061AE">
      <w:pPr>
        <w:pStyle w:val="BodyText"/>
      </w:pPr>
      <w:r w:rsidRPr="008727FB">
        <w:t>The Exp</w:t>
      </w:r>
      <w:r w:rsidR="00F360BB" w:rsidRPr="008727FB">
        <w:t xml:space="preserve">lanatory </w:t>
      </w:r>
      <w:r w:rsidR="00B5198C" w:rsidRPr="008727FB">
        <w:t>Statement</w:t>
      </w:r>
      <w:r w:rsidR="00F360BB" w:rsidRPr="008727FB">
        <w:t xml:space="preserve"> accompanying th</w:t>
      </w:r>
      <w:r w:rsidR="00272906" w:rsidRPr="008727FB">
        <w:t>e</w:t>
      </w:r>
      <w:r w:rsidR="00F360BB" w:rsidRPr="008727FB">
        <w:t xml:space="preserve"> Bill sets out the following</w:t>
      </w:r>
      <w:r w:rsidR="006A1774" w:rsidRPr="008727FB">
        <w:t xml:space="preserve"> basis for the consent provisions in the Bill</w:t>
      </w:r>
      <w:r w:rsidR="00F360BB" w:rsidRPr="008727FB">
        <w:t>:</w:t>
      </w:r>
    </w:p>
    <w:p w:rsidR="00F360BB" w:rsidRPr="008727FB" w:rsidRDefault="00F360BB" w:rsidP="003373BB">
      <w:pPr>
        <w:pStyle w:val="Quote"/>
      </w:pPr>
      <w:r w:rsidRPr="008727FB">
        <w:t>The Bill will amend criminal laws to make key improvements to the criminal justice system to clarify the law of consent and provide better outcomes for victims and the community. These changes will define consent in the Crimes Act 1900 (giving effect to an outstanding recommendation from the Australian Law Reform Commission’s 2010 Report, “Family Violence - A National Legal Response”), and incorporate a further affirmative definition of consent - more in line with modern community standards and reflective of innovations in the law.</w:t>
      </w:r>
      <w:r w:rsidRPr="008727FB">
        <w:rPr>
          <w:rStyle w:val="FootnoteReference"/>
        </w:rPr>
        <w:footnoteReference w:id="9"/>
      </w:r>
    </w:p>
    <w:p w:rsidR="00B5198C" w:rsidRPr="008727FB" w:rsidRDefault="00B464F0" w:rsidP="009A4BCD">
      <w:pPr>
        <w:pStyle w:val="BodyText"/>
        <w:numPr>
          <w:ilvl w:val="0"/>
          <w:numId w:val="0"/>
        </w:numPr>
        <w:ind w:left="567"/>
      </w:pPr>
      <w:r w:rsidRPr="008727FB">
        <w:t>a</w:t>
      </w:r>
      <w:r w:rsidR="00B5198C" w:rsidRPr="008727FB">
        <w:t>nd:</w:t>
      </w:r>
    </w:p>
    <w:p w:rsidR="003373BB" w:rsidRPr="008727FB" w:rsidRDefault="006F1579" w:rsidP="00B5198C">
      <w:pPr>
        <w:pStyle w:val="Quote"/>
      </w:pPr>
      <w:r w:rsidRPr="008727FB">
        <w:t>T</w:t>
      </w:r>
      <w:r w:rsidR="003373BB" w:rsidRPr="008727FB">
        <w:t>he basis for this pro</w:t>
      </w:r>
      <w:r w:rsidR="007D663F" w:rsidRPr="008727FB">
        <w:t>po</w:t>
      </w:r>
      <w:r w:rsidR="003373BB" w:rsidRPr="008727FB">
        <w:t>sed am</w:t>
      </w:r>
      <w:r w:rsidR="00763611" w:rsidRPr="008727FB">
        <w:t>e</w:t>
      </w:r>
      <w:r w:rsidR="003373BB" w:rsidRPr="008727FB">
        <w:t>ndm</w:t>
      </w:r>
      <w:r w:rsidR="00763611" w:rsidRPr="008727FB">
        <w:t>ent</w:t>
      </w:r>
      <w:r w:rsidR="003373BB" w:rsidRPr="008727FB">
        <w:t xml:space="preserve"> is explained in the Expl</w:t>
      </w:r>
      <w:r w:rsidR="00763611" w:rsidRPr="008727FB">
        <w:t>a</w:t>
      </w:r>
      <w:r w:rsidR="003373BB" w:rsidRPr="008727FB">
        <w:t xml:space="preserve">natory </w:t>
      </w:r>
      <w:r w:rsidR="001F2C9B" w:rsidRPr="008727FB">
        <w:t>Statement</w:t>
      </w:r>
      <w:r w:rsidR="003373BB" w:rsidRPr="008727FB">
        <w:t xml:space="preserve"> as implementing a recomme</w:t>
      </w:r>
      <w:r w:rsidR="00763611" w:rsidRPr="008727FB">
        <w:t xml:space="preserve">ndation </w:t>
      </w:r>
      <w:r w:rsidR="003373BB" w:rsidRPr="008727FB">
        <w:t>for a Model Criminal Code which was to create a clear definition of c</w:t>
      </w:r>
      <w:r w:rsidR="00F3021D" w:rsidRPr="008727FB">
        <w:t xml:space="preserve">onsent </w:t>
      </w:r>
      <w:r w:rsidR="003373BB" w:rsidRPr="008727FB">
        <w:t>for inclusion in all Australian criminal legi</w:t>
      </w:r>
      <w:r w:rsidR="00763611" w:rsidRPr="008727FB">
        <w:t>sla</w:t>
      </w:r>
      <w:r w:rsidR="003373BB" w:rsidRPr="008727FB">
        <w:t>tion.</w:t>
      </w:r>
      <w:r w:rsidR="003373BB" w:rsidRPr="008727FB">
        <w:rPr>
          <w:rStyle w:val="FootnoteReference"/>
        </w:rPr>
        <w:footnoteReference w:id="10"/>
      </w:r>
    </w:p>
    <w:p w:rsidR="003373BB" w:rsidRPr="008727FB" w:rsidRDefault="006A1774" w:rsidP="00522A5C">
      <w:pPr>
        <w:pStyle w:val="Heading3"/>
      </w:pPr>
      <w:bookmarkStart w:id="58" w:name="_Toc528670938"/>
      <w:r w:rsidRPr="008727FB">
        <w:t>Provisions of the Bill – consent in sexual offences.</w:t>
      </w:r>
      <w:bookmarkEnd w:id="58"/>
    </w:p>
    <w:p w:rsidR="006A1774" w:rsidRPr="008727FB" w:rsidRDefault="00763611" w:rsidP="00E061AE">
      <w:pPr>
        <w:pStyle w:val="BodyText"/>
      </w:pPr>
      <w:r w:rsidRPr="008727FB">
        <w:t>The relevant sections of the Bill</w:t>
      </w:r>
      <w:r w:rsidR="006A1774" w:rsidRPr="008727FB">
        <w:t xml:space="preserve"> </w:t>
      </w:r>
      <w:r w:rsidR="009316F7" w:rsidRPr="008727FB">
        <w:t>a</w:t>
      </w:r>
      <w:r w:rsidR="006A1774" w:rsidRPr="008727FB">
        <w:t xml:space="preserve">re </w:t>
      </w:r>
      <w:r w:rsidR="009316F7" w:rsidRPr="008727FB">
        <w:t>reproduced below to allow a</w:t>
      </w:r>
      <w:r w:rsidR="00B5198C" w:rsidRPr="008727FB">
        <w:t xml:space="preserve">ppreciation of their provisions </w:t>
      </w:r>
      <w:r w:rsidR="006A1774" w:rsidRPr="008727FB">
        <w:t>as follows:</w:t>
      </w:r>
    </w:p>
    <w:p w:rsidR="008A302B" w:rsidRPr="008727FB" w:rsidRDefault="008A302B" w:rsidP="000F7D8A">
      <w:pPr>
        <w:pStyle w:val="BodyText"/>
        <w:numPr>
          <w:ilvl w:val="0"/>
          <w:numId w:val="0"/>
        </w:numPr>
        <w:ind w:left="1134"/>
        <w:rPr>
          <w:b/>
          <w:i/>
        </w:rPr>
      </w:pPr>
      <w:r w:rsidRPr="008727FB">
        <w:rPr>
          <w:b/>
          <w:i/>
        </w:rPr>
        <w:t xml:space="preserve">Subsection 67(1) - Definition of Consent </w:t>
      </w:r>
    </w:p>
    <w:p w:rsidR="008A302B" w:rsidRPr="008727FB" w:rsidRDefault="008A302B" w:rsidP="000F7D8A">
      <w:pPr>
        <w:pStyle w:val="BodyText"/>
        <w:numPr>
          <w:ilvl w:val="0"/>
          <w:numId w:val="0"/>
        </w:numPr>
        <w:ind w:left="1134"/>
      </w:pPr>
      <w:r w:rsidRPr="008727FB">
        <w:t xml:space="preserve">This clause would define consent by these elements: </w:t>
      </w:r>
    </w:p>
    <w:p w:rsidR="008A302B" w:rsidRPr="008727FB" w:rsidRDefault="008A302B" w:rsidP="000F7D8A">
      <w:pPr>
        <w:pStyle w:val="Quote"/>
        <w:ind w:left="1814"/>
        <w:rPr>
          <w:i/>
        </w:rPr>
      </w:pPr>
      <w:r w:rsidRPr="008727FB">
        <w:rPr>
          <w:i/>
        </w:rPr>
        <w:lastRenderedPageBreak/>
        <w:t>For a sexual offence consent provision, consent of a person to an act mentioned in the provisions by another person is—</w:t>
      </w:r>
    </w:p>
    <w:p w:rsidR="008A302B" w:rsidRPr="008727FB" w:rsidRDefault="008A302B" w:rsidP="000F7D8A">
      <w:pPr>
        <w:pStyle w:val="Quote"/>
        <w:ind w:left="1814"/>
        <w:rPr>
          <w:i/>
        </w:rPr>
      </w:pPr>
      <w:r w:rsidRPr="008727FB">
        <w:rPr>
          <w:i/>
        </w:rPr>
        <w:t xml:space="preserve"> (a) the person gives free and voluntary agreement; and </w:t>
      </w:r>
    </w:p>
    <w:p w:rsidR="008A302B" w:rsidRPr="008727FB" w:rsidRDefault="008A302B" w:rsidP="000F7D8A">
      <w:pPr>
        <w:pStyle w:val="Quote"/>
        <w:ind w:left="1814"/>
        <w:rPr>
          <w:i/>
        </w:rPr>
      </w:pPr>
      <w:r w:rsidRPr="008727FB">
        <w:rPr>
          <w:i/>
        </w:rPr>
        <w:t xml:space="preserve">(b) the other person— </w:t>
      </w:r>
    </w:p>
    <w:p w:rsidR="008A302B" w:rsidRPr="008727FB" w:rsidRDefault="008A302B" w:rsidP="000F7D8A">
      <w:pPr>
        <w:pStyle w:val="Quote"/>
        <w:ind w:left="1814"/>
        <w:rPr>
          <w:i/>
        </w:rPr>
      </w:pPr>
      <w:r w:rsidRPr="008727FB">
        <w:rPr>
          <w:i/>
        </w:rPr>
        <w:t xml:space="preserve">(i) knows the agreement was freely and voluntary; or </w:t>
      </w:r>
    </w:p>
    <w:p w:rsidR="008A302B" w:rsidRPr="008727FB" w:rsidRDefault="008A302B" w:rsidP="000F7D8A">
      <w:pPr>
        <w:pStyle w:val="Quote"/>
        <w:ind w:left="1814"/>
        <w:rPr>
          <w:i/>
        </w:rPr>
      </w:pPr>
      <w:r w:rsidRPr="008727FB">
        <w:rPr>
          <w:i/>
        </w:rPr>
        <w:t>(ii) is satisfied on reasonable grounds that the agreement was freely and voluntarily given.</w:t>
      </w:r>
    </w:p>
    <w:p w:rsidR="008A302B" w:rsidRPr="008727FB" w:rsidRDefault="008A302B" w:rsidP="000F7D8A">
      <w:pPr>
        <w:pStyle w:val="BodyText"/>
        <w:numPr>
          <w:ilvl w:val="0"/>
          <w:numId w:val="0"/>
        </w:numPr>
        <w:ind w:left="964"/>
      </w:pPr>
      <w:r w:rsidRPr="008727FB">
        <w:t xml:space="preserve">This definition would help protect victims of sexual offences by ensuring that the communicative aspect of consent is relevant to a prosecution, and removing the possibility that consent can be “assumed”. </w:t>
      </w:r>
    </w:p>
    <w:p w:rsidR="008A302B" w:rsidRPr="008727FB" w:rsidRDefault="008A302B" w:rsidP="000F7D8A">
      <w:pPr>
        <w:pStyle w:val="BodyText"/>
        <w:numPr>
          <w:ilvl w:val="0"/>
          <w:numId w:val="0"/>
        </w:numPr>
        <w:ind w:left="964"/>
        <w:rPr>
          <w:b/>
          <w:i/>
        </w:rPr>
      </w:pPr>
      <w:r w:rsidRPr="008727FB">
        <w:rPr>
          <w:b/>
          <w:i/>
        </w:rPr>
        <w:t xml:space="preserve">Subsection 67(1A) - Factors that Negate Consent </w:t>
      </w:r>
    </w:p>
    <w:p w:rsidR="008A302B" w:rsidRPr="008727FB" w:rsidRDefault="008A302B" w:rsidP="000F7D8A">
      <w:pPr>
        <w:pStyle w:val="BodyText"/>
        <w:numPr>
          <w:ilvl w:val="0"/>
          <w:numId w:val="0"/>
        </w:numPr>
        <w:ind w:left="964"/>
      </w:pPr>
      <w:r w:rsidRPr="008727FB">
        <w:t xml:space="preserve">This clause is a consequential amendment to rectify numbering due to these new provisions. </w:t>
      </w:r>
    </w:p>
    <w:p w:rsidR="000F7D8A" w:rsidRPr="008727FB" w:rsidRDefault="008A302B" w:rsidP="000F7D8A">
      <w:pPr>
        <w:pStyle w:val="BodyText"/>
        <w:numPr>
          <w:ilvl w:val="0"/>
          <w:numId w:val="0"/>
        </w:numPr>
        <w:ind w:left="964"/>
        <w:rPr>
          <w:b/>
          <w:i/>
        </w:rPr>
      </w:pPr>
      <w:r w:rsidRPr="008727FB">
        <w:rPr>
          <w:b/>
          <w:i/>
        </w:rPr>
        <w:t>Clause 8 –</w:t>
      </w:r>
      <w:r w:rsidR="000F7D8A" w:rsidRPr="008727FB">
        <w:rPr>
          <w:b/>
          <w:i/>
        </w:rPr>
        <w:t xml:space="preserve"> Section 67 (2) and (3)</w:t>
      </w:r>
    </w:p>
    <w:p w:rsidR="008A302B" w:rsidRPr="008727FB" w:rsidRDefault="008A302B" w:rsidP="000F7D8A">
      <w:pPr>
        <w:pStyle w:val="BodyText"/>
        <w:numPr>
          <w:ilvl w:val="0"/>
          <w:numId w:val="0"/>
        </w:numPr>
        <w:ind w:left="964"/>
      </w:pPr>
      <w:r w:rsidRPr="008727FB">
        <w:t>This clause is a consequential amendment to rectify numbering due to these new provisions.</w:t>
      </w:r>
    </w:p>
    <w:p w:rsidR="0037690F" w:rsidRPr="008727FB" w:rsidRDefault="00E63D31" w:rsidP="00E061AE">
      <w:pPr>
        <w:pStyle w:val="BodyText"/>
      </w:pPr>
      <w:r w:rsidRPr="008727FB">
        <w:t xml:space="preserve">The Explanatory </w:t>
      </w:r>
      <w:r w:rsidR="001F2C9B" w:rsidRPr="008727FB">
        <w:t>Statement</w:t>
      </w:r>
      <w:r w:rsidR="00337FA5" w:rsidRPr="008727FB">
        <w:t>,</w:t>
      </w:r>
      <w:r w:rsidRPr="008727FB">
        <w:t xml:space="preserve"> </w:t>
      </w:r>
      <w:r w:rsidR="009316F7" w:rsidRPr="008727FB">
        <w:t>apart from p</w:t>
      </w:r>
      <w:r w:rsidRPr="008727FB">
        <w:t>roviding a description of the</w:t>
      </w:r>
      <w:r w:rsidR="001C239F" w:rsidRPr="008727FB">
        <w:t xml:space="preserve"> effect of the specific clau</w:t>
      </w:r>
      <w:r w:rsidR="009316F7" w:rsidRPr="008727FB">
        <w:t>ses of the Bill, pr</w:t>
      </w:r>
      <w:r w:rsidR="001C239F" w:rsidRPr="008727FB">
        <w:t xml:space="preserve">ovides the following </w:t>
      </w:r>
      <w:r w:rsidR="009316F7" w:rsidRPr="008727FB">
        <w:t>explanation</w:t>
      </w:r>
      <w:r w:rsidR="0037690F" w:rsidRPr="008727FB">
        <w:t>:</w:t>
      </w:r>
    </w:p>
    <w:p w:rsidR="0037690F" w:rsidRPr="008727FB" w:rsidRDefault="0037690F" w:rsidP="0063785D">
      <w:pPr>
        <w:pStyle w:val="Quote"/>
      </w:pPr>
      <w:r w:rsidRPr="008727FB">
        <w:t xml:space="preserve">In 2008, the Federal Government commissioned the National Council to Reduce Violence Against Women and their Children to draft a national plan to reduce violence against women. This plan of action was released as the 2009 report “Time for Action” which included a number of legal reform pathways, and highlighted serious concern over the lack of uniformity or progress across Australian jurisdictions in relation to consent in sexual offences. </w:t>
      </w:r>
    </w:p>
    <w:p w:rsidR="0037690F" w:rsidRPr="008727FB" w:rsidRDefault="0037690F" w:rsidP="0063785D">
      <w:pPr>
        <w:pStyle w:val="Quote"/>
      </w:pPr>
      <w:r w:rsidRPr="008727FB">
        <w:t xml:space="preserve">The Australian Law Reform Commission (ALRC) reviewed the 2009 report and reported back on the status of the law in each state and territory and at a federal level, and on what reforms should be undertaken to implement the action plan. In 2010, ALRC returned their final report into family violence. In chapter 25, the ALRC report explored consent reform in detail, and made recommendations to harmonise laws in each jurisdiction. The ACT has thus far failed to fully implement the recommendations in chapter 25. </w:t>
      </w:r>
    </w:p>
    <w:p w:rsidR="0037690F" w:rsidRPr="008727FB" w:rsidRDefault="0037690F" w:rsidP="0063785D">
      <w:pPr>
        <w:pStyle w:val="Quote"/>
      </w:pPr>
      <w:r w:rsidRPr="008727FB">
        <w:lastRenderedPageBreak/>
        <w:t>This Bill gives effect to recommendation 25-4 of the ALRC report, and to the “similarity of age” recommendation outstanding from the 1999 Model Criminal Code implementation.</w:t>
      </w:r>
      <w:r w:rsidR="0063785D" w:rsidRPr="008727FB">
        <w:rPr>
          <w:rStyle w:val="FootnoteReference"/>
        </w:rPr>
        <w:footnoteReference w:id="11"/>
      </w:r>
      <w:r w:rsidR="00BE6BCA" w:rsidRPr="008727FB">
        <w:rPr>
          <w:rStyle w:val="FootnoteReference"/>
        </w:rPr>
        <w:footnoteReference w:id="12"/>
      </w:r>
    </w:p>
    <w:p w:rsidR="0063785D" w:rsidRPr="008727FB" w:rsidRDefault="0063785D" w:rsidP="00B5198C">
      <w:pPr>
        <w:pStyle w:val="BodyText"/>
      </w:pPr>
      <w:r w:rsidRPr="008727FB">
        <w:t xml:space="preserve">A significant element in the drafting of the Bill is raised in the Explanatory </w:t>
      </w:r>
      <w:r w:rsidR="00B5198C" w:rsidRPr="008727FB">
        <w:t>Statement</w:t>
      </w:r>
      <w:r w:rsidRPr="008727FB">
        <w:t>, a matter which is the subject of discussion on the Bill by the Scrutiny Committee and which is set out in a later part of this chapter.</w:t>
      </w:r>
    </w:p>
    <w:p w:rsidR="006923AA" w:rsidRPr="008727FB" w:rsidRDefault="0063785D" w:rsidP="00E061AE">
      <w:pPr>
        <w:pStyle w:val="BodyText"/>
      </w:pPr>
      <w:r w:rsidRPr="008727FB">
        <w:t xml:space="preserve">The Explanatory </w:t>
      </w:r>
      <w:r w:rsidR="00B5198C" w:rsidRPr="008727FB">
        <w:t>Statement</w:t>
      </w:r>
      <w:r w:rsidRPr="008727FB">
        <w:t xml:space="preserve"> notes</w:t>
      </w:r>
      <w:r w:rsidR="00B970A8" w:rsidRPr="008727FB">
        <w:t xml:space="preserve"> that the relevant provisions of the Bill do raise questions under provisions of </w:t>
      </w:r>
      <w:r w:rsidR="006923AA" w:rsidRPr="008727FB">
        <w:t xml:space="preserve">Section 28 of the </w:t>
      </w:r>
      <w:r w:rsidR="00B970A8" w:rsidRPr="008727FB">
        <w:rPr>
          <w:i/>
        </w:rPr>
        <w:t>Human Rights Act 2004</w:t>
      </w:r>
      <w:r w:rsidR="006923AA" w:rsidRPr="008727FB">
        <w:t>, which provides that human rights may be subject only to reasonable limits set by laws that can be demonstrably justified in a free and democratic society, and in deciding whether a limit is reasonable, all relevant factors must be considered</w:t>
      </w:r>
      <w:r w:rsidR="00B970A8" w:rsidRPr="008727FB">
        <w:t xml:space="preserve">.  </w:t>
      </w:r>
    </w:p>
    <w:p w:rsidR="0063785D" w:rsidRPr="008727FB" w:rsidRDefault="00B970A8" w:rsidP="00E061AE">
      <w:pPr>
        <w:pStyle w:val="BodyText"/>
      </w:pPr>
      <w:r w:rsidRPr="008727FB">
        <w:t>The Exp</w:t>
      </w:r>
      <w:r w:rsidR="0077668C" w:rsidRPr="008727FB">
        <w:t>l</w:t>
      </w:r>
      <w:r w:rsidRPr="008727FB">
        <w:t xml:space="preserve">anatory </w:t>
      </w:r>
      <w:r w:rsidR="00B5198C" w:rsidRPr="008727FB">
        <w:t>Statement</w:t>
      </w:r>
      <w:r w:rsidRPr="008727FB">
        <w:t xml:space="preserve"> also </w:t>
      </w:r>
      <w:r w:rsidR="006923AA" w:rsidRPr="008727FB">
        <w:t>notes t</w:t>
      </w:r>
      <w:r w:rsidRPr="008727FB">
        <w:t>hat, in drafting the Bill, regard consultations conducted</w:t>
      </w:r>
      <w:r w:rsidR="006923AA" w:rsidRPr="008727FB">
        <w:t xml:space="preserve"> during </w:t>
      </w:r>
      <w:r w:rsidR="008E25DC" w:rsidRPr="008727FB">
        <w:t xml:space="preserve">the </w:t>
      </w:r>
      <w:r w:rsidR="006923AA" w:rsidRPr="008727FB">
        <w:t>drafting</w:t>
      </w:r>
      <w:r w:rsidR="00B5198C" w:rsidRPr="008727FB">
        <w:t xml:space="preserve"> of the Bill</w:t>
      </w:r>
      <w:r w:rsidR="006923AA" w:rsidRPr="008727FB">
        <w:t xml:space="preserve"> to </w:t>
      </w:r>
      <w:r w:rsidR="00B5198C" w:rsidRPr="008727FB">
        <w:t xml:space="preserve">address </w:t>
      </w:r>
      <w:r w:rsidR="00B5198C" w:rsidRPr="008727FB">
        <w:rPr>
          <w:i/>
        </w:rPr>
        <w:t>Human Rights Act</w:t>
      </w:r>
      <w:r w:rsidR="00B5198C" w:rsidRPr="008727FB">
        <w:t xml:space="preserve"> issues</w:t>
      </w:r>
      <w:r w:rsidR="006923AA" w:rsidRPr="008727FB">
        <w:t>.</w:t>
      </w:r>
      <w:r w:rsidR="00B21589" w:rsidRPr="008727FB">
        <w:t xml:space="preserve">  The issues are</w:t>
      </w:r>
      <w:r w:rsidRPr="008727FB">
        <w:t>:</w:t>
      </w:r>
    </w:p>
    <w:p w:rsidR="0063785D" w:rsidRPr="008727FB" w:rsidRDefault="0063785D" w:rsidP="006923AA">
      <w:pPr>
        <w:pStyle w:val="Quote"/>
      </w:pPr>
      <w:r w:rsidRPr="008727FB">
        <w:t xml:space="preserve">Pursuant to section 28 of the </w:t>
      </w:r>
      <w:r w:rsidRPr="008727FB">
        <w:rPr>
          <w:i/>
        </w:rPr>
        <w:t>Human Rights Act 2004</w:t>
      </w:r>
      <w:r w:rsidRPr="008727FB">
        <w:t xml:space="preserve">, this Bill engages and places limitations on the following rights: </w:t>
      </w:r>
    </w:p>
    <w:p w:rsidR="00B970A8" w:rsidRPr="008727FB" w:rsidRDefault="0063785D" w:rsidP="006923AA">
      <w:pPr>
        <w:pStyle w:val="Quote"/>
        <w:rPr>
          <w:i/>
        </w:rPr>
      </w:pPr>
      <w:r w:rsidRPr="008727FB">
        <w:rPr>
          <w:i/>
        </w:rPr>
        <w:t>Rights in Criminal Proceedi</w:t>
      </w:r>
      <w:r w:rsidR="00B970A8" w:rsidRPr="008727FB">
        <w:rPr>
          <w:i/>
        </w:rPr>
        <w:t>ngs (section 22).</w:t>
      </w:r>
    </w:p>
    <w:p w:rsidR="00B970A8" w:rsidRPr="008727FB" w:rsidRDefault="0063785D" w:rsidP="006923AA">
      <w:pPr>
        <w:pStyle w:val="Quote"/>
        <w:ind w:left="1440"/>
      </w:pPr>
      <w:r w:rsidRPr="008727FB">
        <w:t xml:space="preserve">There was concern raised by the Human Rights Commission in a previous consultation that the particular construction of the new definition of “consent” would have placed the burden of proof on the defendant to prove they received consent from the other party and would thus be incompatible with the right to be presumed innocent. A number of submissions [on the Bill’s drafting] wrote in support of placing the burden of proof on the defendant, but it was recognised there was a construction that could be adopted that would, on balance, satisfy this right while also bringing about the policy intent of this Bill. </w:t>
      </w:r>
      <w:r w:rsidR="00B970A8" w:rsidRPr="008727FB">
        <w:t xml:space="preserve"> </w:t>
      </w:r>
      <w:r w:rsidRPr="008727FB">
        <w:t>The definition of consent was revised accordingly and this Bill reflects the amended definition.</w:t>
      </w:r>
    </w:p>
    <w:p w:rsidR="00FA18F8" w:rsidRPr="008727FB" w:rsidRDefault="00FA18F8" w:rsidP="00B970A8">
      <w:pPr>
        <w:pStyle w:val="BodyText"/>
      </w:pPr>
      <w:r w:rsidRPr="008727FB">
        <w:t xml:space="preserve">Engaging with the limitations framework at section 28(2) of the </w:t>
      </w:r>
      <w:r w:rsidRPr="008727FB">
        <w:rPr>
          <w:i/>
        </w:rPr>
        <w:t>Human Rights Act 2004</w:t>
      </w:r>
      <w:r w:rsidRPr="008727FB">
        <w:t xml:space="preserve">, human rights are impacted in these ways: </w:t>
      </w:r>
    </w:p>
    <w:p w:rsidR="00FA18F8" w:rsidRPr="008727FB" w:rsidRDefault="00FA18F8" w:rsidP="004B11C8">
      <w:pPr>
        <w:pStyle w:val="Quote"/>
        <w:rPr>
          <w:i/>
        </w:rPr>
      </w:pPr>
      <w:r w:rsidRPr="008727FB">
        <w:rPr>
          <w:i/>
        </w:rPr>
        <w:t xml:space="preserve">a) the nature of the right affected </w:t>
      </w:r>
    </w:p>
    <w:p w:rsidR="00FA18F8" w:rsidRPr="008727FB" w:rsidRDefault="00FA18F8" w:rsidP="007E12EF">
      <w:pPr>
        <w:pStyle w:val="Quote"/>
        <w:ind w:left="2160"/>
      </w:pPr>
      <w:r w:rsidRPr="008727FB">
        <w:t xml:space="preserve">Section 22(1) of the Human Rights Act 2004 reads “everyone charged with a criminal offence has the right to be presumed innocent until proven guilty according to the law”. Further, section 22(2)(a) reads “anyone charged with a criminal offence is entitled to the following minimum guarantees, equally with everyone else - to be told promptly and in detail, in a language that he or she understands, about the nature and reason for the change”. Rights in </w:t>
      </w:r>
      <w:r w:rsidRPr="008727FB">
        <w:lastRenderedPageBreak/>
        <w:t xml:space="preserve">criminal proceedings are not considered non-derogable and are capable of being subject to reasonable limitations, demonstrably justified in a free and democratic society, pursuant to section 28 of the Human Rights Act 2004. </w:t>
      </w:r>
    </w:p>
    <w:p w:rsidR="00FA18F8" w:rsidRPr="008727FB" w:rsidRDefault="00FA18F8" w:rsidP="004B11C8">
      <w:pPr>
        <w:pStyle w:val="Quote"/>
        <w:rPr>
          <w:i/>
        </w:rPr>
      </w:pPr>
      <w:r w:rsidRPr="008727FB">
        <w:rPr>
          <w:i/>
        </w:rPr>
        <w:t xml:space="preserve">b) the importance of the purpose of the limitation </w:t>
      </w:r>
    </w:p>
    <w:p w:rsidR="004B11C8" w:rsidRPr="008727FB" w:rsidRDefault="00FA18F8" w:rsidP="007E12EF">
      <w:pPr>
        <w:pStyle w:val="Quote"/>
        <w:ind w:left="2160"/>
      </w:pPr>
      <w:r w:rsidRPr="008727FB">
        <w:t>Section 67(1</w:t>
      </w:r>
      <w:r w:rsidR="00677813" w:rsidRPr="008727FB">
        <w:t>) (</w:t>
      </w:r>
      <w:r w:rsidRPr="008727FB">
        <w:t>b) of the Bill engages with the right to be presumed innocent. The new definition of consent varies the fault element of the offences it engages with, to the extent that it may impact or change the evidential burden upon the accused. This limitation upon this right is to prevent a greater injustice of allowing the continuation of “implied consent” in sexual offences - where, merely because one of the negating factors was not engaged or that the accused was in effect reckless about seeking it. In fact, in the ACT, the common law defence to “honest belief” in receiving consent does not need to be reasonable.</w:t>
      </w:r>
    </w:p>
    <w:p w:rsidR="004B11C8" w:rsidRPr="008727FB" w:rsidRDefault="004B11C8" w:rsidP="004B11C8">
      <w:pPr>
        <w:pStyle w:val="Quote"/>
        <w:rPr>
          <w:i/>
        </w:rPr>
      </w:pPr>
      <w:r w:rsidRPr="008727FB">
        <w:rPr>
          <w:i/>
        </w:rPr>
        <w:t xml:space="preserve">c) the nature and extent of the limitation </w:t>
      </w:r>
    </w:p>
    <w:p w:rsidR="004B11C8" w:rsidRPr="008727FB" w:rsidRDefault="004B11C8" w:rsidP="004B11C8">
      <w:pPr>
        <w:pStyle w:val="Quote"/>
        <w:ind w:left="2160"/>
      </w:pPr>
      <w:r w:rsidRPr="008727FB">
        <w:t xml:space="preserve">By adopting an affirmative, communicative model for consent, and, in establishing consent, needing to prove that the accused either knows or reasonably believes that the consent was given, the nature of the burden of proof may change. In practical terms, knowledge of or reasonable belief of consent is not a provable fact, and its existence is ensconced entirely in the mind of the accused. How a prosecution might prove this is difficult to determine without close interrogation of evidence law in the ACT, and therefore, the extent of limitation is difficult to ascertain at this stage. </w:t>
      </w:r>
    </w:p>
    <w:p w:rsidR="004B11C8" w:rsidRPr="008727FB" w:rsidRDefault="004B11C8" w:rsidP="004B11C8">
      <w:pPr>
        <w:pStyle w:val="Quote"/>
        <w:rPr>
          <w:i/>
        </w:rPr>
      </w:pPr>
      <w:r w:rsidRPr="008727FB">
        <w:rPr>
          <w:i/>
        </w:rPr>
        <w:t xml:space="preserve">d) the relationship between the limitation and its purpose </w:t>
      </w:r>
    </w:p>
    <w:p w:rsidR="004B11C8" w:rsidRPr="008727FB" w:rsidRDefault="004B11C8" w:rsidP="004B11C8">
      <w:pPr>
        <w:pStyle w:val="Quote"/>
        <w:ind w:left="2160"/>
      </w:pPr>
      <w:r w:rsidRPr="008727FB">
        <w:t xml:space="preserve">The objective of the legislation is to institute an affirmative, communicative model of consent, and the construction adopted by this Bill is the least restrictive upon the rights of the accused while achieving that purpose. </w:t>
      </w:r>
    </w:p>
    <w:p w:rsidR="004B11C8" w:rsidRPr="008727FB" w:rsidRDefault="004B11C8" w:rsidP="004B11C8">
      <w:pPr>
        <w:pStyle w:val="Quote"/>
        <w:rPr>
          <w:i/>
        </w:rPr>
      </w:pPr>
      <w:r w:rsidRPr="008727FB">
        <w:rPr>
          <w:i/>
        </w:rPr>
        <w:t xml:space="preserve">e) any less restrictive means reasonably available to achieve the purpose the limitation seeks to achieve </w:t>
      </w:r>
    </w:p>
    <w:p w:rsidR="004B11C8" w:rsidRPr="008727FB" w:rsidRDefault="004B11C8" w:rsidP="004B11C8">
      <w:pPr>
        <w:pStyle w:val="Quote"/>
        <w:ind w:left="2160"/>
      </w:pPr>
      <w:r w:rsidRPr="008727FB">
        <w:t xml:space="preserve">The overriding objective of this Bill is to introduce a stronger, affirmative, conversational model of consent in the ACT. </w:t>
      </w:r>
    </w:p>
    <w:p w:rsidR="004B11C8" w:rsidRPr="008727FB" w:rsidRDefault="004B11C8" w:rsidP="004B11C8">
      <w:pPr>
        <w:pStyle w:val="Quote"/>
        <w:ind w:left="2160"/>
      </w:pPr>
      <w:r w:rsidRPr="008727FB">
        <w:t xml:space="preserve">This change is in line with community expectations and follows considerable public discussion on the nature of sex, consent and criminality in our community after the #MeToo Movement rose to prominence over the past two years. Other jurisdictions approach fault in consent either through recklessness provisions or common law defences to belief (as is the status quo in the ACT). </w:t>
      </w:r>
    </w:p>
    <w:p w:rsidR="004B11C8" w:rsidRPr="008727FB" w:rsidRDefault="004B11C8" w:rsidP="004B11C8">
      <w:pPr>
        <w:pStyle w:val="Quote"/>
        <w:ind w:left="2160"/>
      </w:pPr>
      <w:r w:rsidRPr="008727FB">
        <w:t xml:space="preserve">This model perpetuates the idea that non-consent needs to be expressed - either through physical resistance or verbal instruction -, and ignores the reality that many victims of sexual violence feel unsafe or unable to resist in </w:t>
      </w:r>
      <w:r w:rsidRPr="008727FB">
        <w:lastRenderedPageBreak/>
        <w:t>such ways. As a result, there is no less restrictive means to effectively achieve this Bill’s overriding objective than the model proposed therein.</w:t>
      </w:r>
      <w:r w:rsidRPr="008727FB">
        <w:rPr>
          <w:rStyle w:val="FootnoteReference"/>
        </w:rPr>
        <w:footnoteReference w:id="13"/>
      </w:r>
    </w:p>
    <w:p w:rsidR="00CF07EB" w:rsidRPr="008727FB" w:rsidRDefault="00CF07EB" w:rsidP="00B970A8">
      <w:pPr>
        <w:pStyle w:val="BodyText"/>
      </w:pPr>
      <w:r w:rsidRPr="008727FB">
        <w:t>The Committee finally not</w:t>
      </w:r>
      <w:r w:rsidR="00C9409C" w:rsidRPr="008727FB">
        <w:t>es</w:t>
      </w:r>
      <w:r w:rsidRPr="008727FB">
        <w:t xml:space="preserve"> that the Explanatory </w:t>
      </w:r>
      <w:r w:rsidR="00B5198C" w:rsidRPr="008727FB">
        <w:t>Statement</w:t>
      </w:r>
      <w:r w:rsidRPr="008727FB">
        <w:t xml:space="preserve"> </w:t>
      </w:r>
      <w:r w:rsidR="00C9409C" w:rsidRPr="008727FB">
        <w:t>stated</w:t>
      </w:r>
      <w:r w:rsidRPr="008727FB">
        <w:t>:</w:t>
      </w:r>
    </w:p>
    <w:p w:rsidR="00CF07EB" w:rsidRPr="008727FB" w:rsidRDefault="00CF07EB" w:rsidP="00CF07EB">
      <w:pPr>
        <w:pStyle w:val="Quote"/>
      </w:pPr>
      <w:r w:rsidRPr="008727FB">
        <w:t xml:space="preserve">The substantive improvements to human rights this Bill affords, combined with the mitigation of the limitations on sections 22 detailed above, should ensure that this Bill is compliant with section 28 of the </w:t>
      </w:r>
      <w:r w:rsidRPr="008727FB">
        <w:rPr>
          <w:i/>
        </w:rPr>
        <w:t>Human Rights Act 2004</w:t>
      </w:r>
      <w:r w:rsidRPr="008727FB">
        <w:t>.</w:t>
      </w:r>
      <w:r w:rsidRPr="008727FB">
        <w:rPr>
          <w:rStyle w:val="FootnoteReference"/>
        </w:rPr>
        <w:footnoteReference w:id="14"/>
      </w:r>
    </w:p>
    <w:p w:rsidR="00DF7253" w:rsidRPr="008727FB" w:rsidRDefault="00DF7253" w:rsidP="00DF7253">
      <w:pPr>
        <w:pStyle w:val="BodyText"/>
      </w:pPr>
      <w:r w:rsidRPr="008727FB">
        <w:t>In presenting the Bill in the Legislative Assembly, Ms Le Cou</w:t>
      </w:r>
      <w:r w:rsidR="00D842B2" w:rsidRPr="008727FB">
        <w:t>t</w:t>
      </w:r>
      <w:r w:rsidRPr="008727FB">
        <w:t>eur MLA, said:</w:t>
      </w:r>
    </w:p>
    <w:p w:rsidR="00DF7253" w:rsidRPr="008727FB" w:rsidRDefault="00DF7253" w:rsidP="00DF7253">
      <w:pPr>
        <w:pStyle w:val="Quote"/>
      </w:pPr>
      <w:r w:rsidRPr="008727FB">
        <w:t>In deve</w:t>
      </w:r>
      <w:r w:rsidR="00B5198C" w:rsidRPr="008727FB">
        <w:t>loping this B</w:t>
      </w:r>
      <w:r w:rsidRPr="008727FB">
        <w:t xml:space="preserve">ill, I have considered section 22 of the ACT </w:t>
      </w:r>
      <w:r w:rsidRPr="008727FB">
        <w:rPr>
          <w:i/>
        </w:rPr>
        <w:t>Human Rights Act 2004</w:t>
      </w:r>
      <w:r w:rsidRPr="008727FB">
        <w:t>, which states that everybody charged with a criminal offence has the right to be presumed in</w:t>
      </w:r>
      <w:r w:rsidR="00B5198C" w:rsidRPr="008727FB">
        <w:t>nocent until proven guilty. My B</w:t>
      </w:r>
      <w:r w:rsidRPr="008727FB">
        <w:t>ill is based on feedback from the Human Rights Commission, and we have worked with them to ensure that our legislation both improves the definition of consent and meets our human rights obligations. On balance, I believe that the proposed legislation does not unduly burden the right to be presumed innocent and provides appropriate safeguards to ensure that people are not convicted merely because they are unable to overcome an unreasonable burden of proof.</w:t>
      </w:r>
      <w:r w:rsidRPr="008727FB">
        <w:rPr>
          <w:rStyle w:val="FootnoteReference"/>
        </w:rPr>
        <w:footnoteReference w:id="15"/>
      </w:r>
    </w:p>
    <w:p w:rsidR="00C9409C" w:rsidRPr="008727FB" w:rsidRDefault="00C9409C" w:rsidP="00C9409C">
      <w:pPr>
        <w:pStyle w:val="Heading3"/>
      </w:pPr>
      <w:bookmarkStart w:id="59" w:name="_Toc528670939"/>
      <w:r w:rsidRPr="008727FB">
        <w:t>The Bill – Scrutiny Committee comments</w:t>
      </w:r>
      <w:bookmarkEnd w:id="59"/>
    </w:p>
    <w:p w:rsidR="00337FA5" w:rsidRPr="008727FB" w:rsidRDefault="00DF7253" w:rsidP="00B970A8">
      <w:pPr>
        <w:pStyle w:val="BodyText"/>
      </w:pPr>
      <w:r w:rsidRPr="008727FB">
        <w:t>The Scrutiny Committee reported on its examination of the Bill in Report 17 (4 May 2018).  The Committee analysis and recommendations on the Bil</w:t>
      </w:r>
      <w:r w:rsidR="00337FA5" w:rsidRPr="008727FB">
        <w:t>l are in Appendix</w:t>
      </w:r>
      <w:r w:rsidR="003948CE" w:rsidRPr="008727FB">
        <w:t xml:space="preserve"> A</w:t>
      </w:r>
      <w:r w:rsidR="001A04A6" w:rsidRPr="008727FB">
        <w:t>.</w:t>
      </w:r>
    </w:p>
    <w:p w:rsidR="00337FA5" w:rsidRPr="008727FB" w:rsidRDefault="00337FA5" w:rsidP="00B970A8">
      <w:pPr>
        <w:pStyle w:val="BodyText"/>
      </w:pPr>
      <w:r w:rsidRPr="008727FB">
        <w:t xml:space="preserve">The Scrutiny Committee noted that, in considering the Bill to ascertain whether any provisions of the Bill amounted to an undue trespass on personal rights and liberties, the Committee drew attention to the effect of the Bill: </w:t>
      </w:r>
    </w:p>
    <w:p w:rsidR="00337FA5" w:rsidRPr="008727FB" w:rsidRDefault="00337FA5" w:rsidP="00337FA5">
      <w:pPr>
        <w:pStyle w:val="Quote"/>
      </w:pPr>
      <w:r w:rsidRPr="008727FB">
        <w:t xml:space="preserve">The Bill will amend the current approach in the ACT by defining consent of a person </w:t>
      </w:r>
      <w:r w:rsidR="00677813" w:rsidRPr="008727FB">
        <w:t>for various</w:t>
      </w:r>
      <w:r w:rsidRPr="008727FB">
        <w:t xml:space="preserve"> sexual offences (as well as the proposed new defence in section 66A applying to young persons of a similar age). A person will consent when they give free and voluntary agreement; and the other person knows the agreement was freely and voluntarily given, or is satisfied on reasonable grounds that the agreement was freely and voluntarily given. The effect of this provision will be that the prosecution can establish the mental element of lack of consent through showing that there were no reasonable grounds open to the defendant to believe that the agreement was freely and voluntarily given. It is intended that the Bill will remove the ability of the </w:t>
      </w:r>
      <w:r w:rsidRPr="008727FB">
        <w:lastRenderedPageBreak/>
        <w:t xml:space="preserve">defendant to show that they had an honest belief that the other person had consented where that belief was not reasonable in the circumstances. </w:t>
      </w:r>
    </w:p>
    <w:p w:rsidR="00337FA5" w:rsidRPr="008727FB" w:rsidRDefault="00337FA5" w:rsidP="00337FA5">
      <w:pPr>
        <w:pStyle w:val="Quote"/>
      </w:pPr>
      <w:r w:rsidRPr="008727FB">
        <w:t xml:space="preserve">As the Bill increases the evidential burden on the defendant to establish the reasonableness of their belief that the other person was consenting, the Bill will extend the circumstances in which an innocent person may be found guilty because they are unable to meet their evidential burden. The Bill therefore engages the right to the presumption of innocence protected by section 22 of the </w:t>
      </w:r>
      <w:r w:rsidRPr="008727FB">
        <w:rPr>
          <w:i/>
        </w:rPr>
        <w:t>Human Rights Act</w:t>
      </w:r>
      <w:r w:rsidRPr="008727FB">
        <w:t xml:space="preserve"> (HRA).</w:t>
      </w:r>
      <w:r w:rsidR="00AE284F" w:rsidRPr="008727FB">
        <w:rPr>
          <w:rStyle w:val="FootnoteReference"/>
        </w:rPr>
        <w:footnoteReference w:id="16"/>
      </w:r>
    </w:p>
    <w:p w:rsidR="00FF4CC3" w:rsidRPr="008727FB" w:rsidRDefault="00FF4CC3" w:rsidP="00B970A8">
      <w:pPr>
        <w:pStyle w:val="BodyText"/>
      </w:pPr>
      <w:r w:rsidRPr="008727FB">
        <w:t>In a submission to the Scrutiny Committee, the Human Rights Commission highlighted a central concern with the Bill, firstly:</w:t>
      </w:r>
    </w:p>
    <w:p w:rsidR="00FF4CC3" w:rsidRPr="008727FB" w:rsidRDefault="00B5198C" w:rsidP="00FF4CC3">
      <w:pPr>
        <w:pStyle w:val="Quote"/>
      </w:pPr>
      <w:r w:rsidRPr="008727FB">
        <w:t>…it is not apparent why the B</w:t>
      </w:r>
      <w:r w:rsidR="00FF4CC3" w:rsidRPr="008727FB">
        <w:t xml:space="preserve">ill omits to expressly extend this clarification to the offences in s 66 of the </w:t>
      </w:r>
      <w:r w:rsidR="00FF4CC3" w:rsidRPr="008727FB">
        <w:rPr>
          <w:i/>
        </w:rPr>
        <w:t>Crimes Act</w:t>
      </w:r>
      <w:r w:rsidR="00FF4CC3" w:rsidRPr="008727FB">
        <w:t xml:space="preserve">, and it is not clear if the intention is to apply a legal burden instead. Placing a legal burden on the defendant in these circumstances </w:t>
      </w:r>
      <w:r w:rsidR="00FF4CC3" w:rsidRPr="008727FB">
        <w:rPr>
          <w:b/>
        </w:rPr>
        <w:t xml:space="preserve">gives rise to a serious risk that a person may be convicted, not because he/she committed the criminal act, but because they were unable to overcome the burden </w:t>
      </w:r>
      <w:r w:rsidR="00FF4CC3" w:rsidRPr="008727FB">
        <w:t>(emphasis added) placed upon them to show they did not.</w:t>
      </w:r>
      <w:r w:rsidR="00FF4CC3" w:rsidRPr="008727FB">
        <w:rPr>
          <w:rStyle w:val="FootnoteReference"/>
        </w:rPr>
        <w:footnoteReference w:id="17"/>
      </w:r>
    </w:p>
    <w:p w:rsidR="00FF4CC3" w:rsidRPr="008727FB" w:rsidRDefault="009A4BCD" w:rsidP="009A4BCD">
      <w:pPr>
        <w:pStyle w:val="BodyText"/>
        <w:numPr>
          <w:ilvl w:val="0"/>
          <w:numId w:val="0"/>
        </w:numPr>
        <w:ind w:left="567"/>
      </w:pPr>
      <w:r w:rsidRPr="008727FB">
        <w:t>a</w:t>
      </w:r>
      <w:r w:rsidR="00FF4CC3" w:rsidRPr="008727FB">
        <w:t>nd</w:t>
      </w:r>
      <w:r w:rsidR="00B5198C" w:rsidRPr="008727FB">
        <w:t>:</w:t>
      </w:r>
    </w:p>
    <w:p w:rsidR="00FF4CC3" w:rsidRPr="008727FB" w:rsidRDefault="00FF4CC3" w:rsidP="00FF4CC3">
      <w:pPr>
        <w:pStyle w:val="Quote"/>
      </w:pPr>
      <w:r w:rsidRPr="008727FB">
        <w:t xml:space="preserve">We are concerned that the provisions as currently drafted as </w:t>
      </w:r>
      <w:r w:rsidRPr="008727FB">
        <w:rPr>
          <w:b/>
        </w:rPr>
        <w:t xml:space="preserve">likely to result in ambiguity and uncertainty </w:t>
      </w:r>
      <w:r w:rsidRPr="008727FB">
        <w:t xml:space="preserve">(emphasis added), as they appear to conflate two discrete issues: (i) consent by one person and (ii) the responsibility of the other person to take steps to ascertain consent exists. In our view, it would be preferable to adopt an approach consistent with other jurisdictions, by setting out the meaning of consent (‘free and voluntary agreement’) separately to the objective fault test for belief about consent. </w:t>
      </w:r>
    </w:p>
    <w:p w:rsidR="00FF4CC3" w:rsidRPr="008727FB" w:rsidRDefault="00FF4CC3" w:rsidP="00FF4CC3">
      <w:pPr>
        <w:pStyle w:val="Quote"/>
      </w:pPr>
      <w:r w:rsidRPr="008727FB">
        <w:t xml:space="preserve">The purpose of adopting an objective fault test is to ensure that the person has reasonable grounds for their belief about consent, and that the person seeking consent has the responsibility to take steps to ascertain consent exists. While an objective fault test is central to assessing whether consent was freely and voluntarily given, it is not clear how the relevant offences in the Crimes Act would operate if it were included within the definition of consent itself. Dealing with the definition of consent and knowledge about consent separately does not detract from the objective of promoting a communicative model of consent. The requirement that a person must have reasonable grounds for believing that the agreement was freely and voluntarily given </w:t>
      </w:r>
      <w:r w:rsidRPr="008727FB">
        <w:lastRenderedPageBreak/>
        <w:t>sends a clear message that a person must be certain of consent. This is a step that necessarily involves communication with the other person.</w:t>
      </w:r>
      <w:r w:rsidRPr="008727FB">
        <w:rPr>
          <w:rStyle w:val="FootnoteReference"/>
        </w:rPr>
        <w:footnoteReference w:id="18"/>
      </w:r>
      <w:r w:rsidRPr="008727FB">
        <w:t>.</w:t>
      </w:r>
    </w:p>
    <w:p w:rsidR="00D842B2" w:rsidRPr="008727FB" w:rsidRDefault="00D842B2" w:rsidP="00B970A8">
      <w:pPr>
        <w:pStyle w:val="BodyText"/>
      </w:pPr>
      <w:r w:rsidRPr="008727FB">
        <w:t xml:space="preserve">The Scrutiny Committee’s view on those provisions in the Bill affecting </w:t>
      </w:r>
      <w:r w:rsidR="00677813" w:rsidRPr="008727FB">
        <w:t>consent</w:t>
      </w:r>
      <w:r w:rsidRPr="008727FB">
        <w:t xml:space="preserve"> in sexual offences, particularly in light of the HRC comments on the Bill was:</w:t>
      </w:r>
    </w:p>
    <w:p w:rsidR="00D842B2" w:rsidRPr="008727FB" w:rsidRDefault="00D842B2" w:rsidP="00D842B2">
      <w:pPr>
        <w:pStyle w:val="Quote"/>
      </w:pPr>
      <w:r w:rsidRPr="008727FB">
        <w:t xml:space="preserve">Under the current offences, the unreasonableness of the belief of consent may be an element in establishing the defendant’s lack of belief that the other person had consented. The need for consent to depend on the reasonableness of the grounds on which the defendant believes free and voluntary agreement was given may, therefore, have only a minor impact on how the knowledge of lack of consent is established. It is on this basis that the explanatory statement concludes that any limitation on the innocence is reasonable, considering the objective of the Bill to establish a clearer, affirmative definition of consent. As the explanatory statement suggests, the extent of any limitation of this right is ‘difficult to ascertain at this stage’. </w:t>
      </w:r>
    </w:p>
    <w:p w:rsidR="00D842B2" w:rsidRPr="008727FB" w:rsidRDefault="00D842B2" w:rsidP="00D842B2">
      <w:pPr>
        <w:pStyle w:val="Quote"/>
      </w:pPr>
      <w:r w:rsidRPr="008727FB">
        <w:t xml:space="preserve">The Committee is concerned that the new definition of consent may result in substantial changes to how knowledge or recklessness of the lack of consent is established. In particular, by including the need for an defendant to be satisfied on reasonable grounds within the definition of consent, and applying that definition to a number of offences, it is difficult to determine the extent of the evidential or legal burdens that may be faced by the defendant, such as whether they will need have evidence going both to their state of mind and the reasonableness of that state of mind. </w:t>
      </w:r>
    </w:p>
    <w:p w:rsidR="00D842B2" w:rsidRPr="008727FB" w:rsidRDefault="00D842B2" w:rsidP="00D842B2">
      <w:pPr>
        <w:pStyle w:val="Quote"/>
      </w:pPr>
      <w:r w:rsidRPr="008727FB">
        <w:t>Therefore, the Committee is not satisfied, on the information available to it, that the amendments to the definition of consent will have only a reasonable limitation on the right to the presumption of innocence.</w:t>
      </w:r>
      <w:r w:rsidRPr="008727FB">
        <w:rPr>
          <w:rStyle w:val="FootnoteReference"/>
        </w:rPr>
        <w:footnoteReference w:id="19"/>
      </w:r>
    </w:p>
    <w:p w:rsidR="00D842B2" w:rsidRPr="008727FB" w:rsidRDefault="00D842B2" w:rsidP="00D842B2">
      <w:pPr>
        <w:pStyle w:val="Heading3"/>
      </w:pPr>
      <w:bookmarkStart w:id="60" w:name="_Toc528670940"/>
      <w:r w:rsidRPr="008727FB">
        <w:t>Committee Comment</w:t>
      </w:r>
      <w:bookmarkEnd w:id="60"/>
    </w:p>
    <w:p w:rsidR="00D842B2" w:rsidRPr="008727FB" w:rsidRDefault="00D842B2" w:rsidP="00B970A8">
      <w:pPr>
        <w:pStyle w:val="BodyText"/>
      </w:pPr>
      <w:r w:rsidRPr="008727FB">
        <w:t xml:space="preserve">The Committee </w:t>
      </w:r>
      <w:r w:rsidR="009A4BCD" w:rsidRPr="008727FB">
        <w:t xml:space="preserve">made </w:t>
      </w:r>
      <w:r w:rsidRPr="008727FB">
        <w:t>its detailed examination of the Bill based on the comments made to the Scrutiny Committee by the HR</w:t>
      </w:r>
      <w:r w:rsidR="005249A8" w:rsidRPr="008727FB">
        <w:t>C on the Bill, and the assess</w:t>
      </w:r>
      <w:r w:rsidR="00587509" w:rsidRPr="008727FB">
        <w:t>me</w:t>
      </w:r>
      <w:r w:rsidRPr="008727FB">
        <w:t xml:space="preserve">nt </w:t>
      </w:r>
      <w:r w:rsidR="005249A8" w:rsidRPr="008727FB">
        <w:t>a</w:t>
      </w:r>
      <w:r w:rsidRPr="008727FB">
        <w:t xml:space="preserve">nd analysis on the Bill made by the Scrutiny Committee in its report. The </w:t>
      </w:r>
      <w:r w:rsidR="00587509" w:rsidRPr="008727FB">
        <w:t xml:space="preserve">Committee sought – in </w:t>
      </w:r>
      <w:r w:rsidR="00B5198C" w:rsidRPr="008727FB">
        <w:t>the T</w:t>
      </w:r>
      <w:r w:rsidR="005249A8" w:rsidRPr="008727FB">
        <w:t xml:space="preserve">erms of Inquiry paper </w:t>
      </w:r>
      <w:r w:rsidR="00587509" w:rsidRPr="008727FB">
        <w:t xml:space="preserve">discussed in </w:t>
      </w:r>
      <w:r w:rsidR="008273AC" w:rsidRPr="008727FB">
        <w:t>chapter</w:t>
      </w:r>
      <w:r w:rsidR="00587509" w:rsidRPr="008727FB">
        <w:t xml:space="preserve"> 1</w:t>
      </w:r>
      <w:r w:rsidR="00522A5C" w:rsidRPr="008727FB">
        <w:t xml:space="preserve"> and which is Appendix </w:t>
      </w:r>
      <w:r w:rsidR="009A4BCD" w:rsidRPr="008727FB">
        <w:t>B</w:t>
      </w:r>
      <w:r w:rsidR="00522A5C" w:rsidRPr="008727FB">
        <w:t xml:space="preserve"> </w:t>
      </w:r>
      <w:r w:rsidR="00B5198C" w:rsidRPr="008727FB">
        <w:t>–</w:t>
      </w:r>
      <w:r w:rsidR="00587509" w:rsidRPr="008727FB">
        <w:t xml:space="preserve"> to</w:t>
      </w:r>
      <w:r w:rsidR="00B5198C" w:rsidRPr="008727FB">
        <w:t xml:space="preserve"> </w:t>
      </w:r>
      <w:r w:rsidR="00587509" w:rsidRPr="008727FB">
        <w:t xml:space="preserve">focus </w:t>
      </w:r>
      <w:r w:rsidR="00522A5C" w:rsidRPr="008727FB">
        <w:t xml:space="preserve">its detailed examination on the terms of the Bill </w:t>
      </w:r>
      <w:r w:rsidR="00C652FF" w:rsidRPr="008727FB">
        <w:t xml:space="preserve">(in particular, the consent provisions) </w:t>
      </w:r>
      <w:r w:rsidR="00522A5C" w:rsidRPr="008727FB">
        <w:t xml:space="preserve">and the changes it proposes to </w:t>
      </w:r>
      <w:r w:rsidR="00B5198C" w:rsidRPr="008727FB">
        <w:t>ACT criminal l</w:t>
      </w:r>
      <w:r w:rsidR="00587509" w:rsidRPr="008727FB">
        <w:t>aw.</w:t>
      </w:r>
    </w:p>
    <w:p w:rsidR="005249A8" w:rsidRPr="008727FB" w:rsidRDefault="005249A8">
      <w:pPr>
        <w:spacing w:before="0" w:after="0" w:line="240" w:lineRule="auto"/>
      </w:pPr>
    </w:p>
    <w:p w:rsidR="005C6E29" w:rsidRPr="008727FB" w:rsidRDefault="005C6E29" w:rsidP="005249A8">
      <w:pPr>
        <w:pStyle w:val="Heading2"/>
        <w:sectPr w:rsidR="005C6E29" w:rsidRPr="008727FB" w:rsidSect="004207A6">
          <w:type w:val="oddPage"/>
          <w:pgSz w:w="11907" w:h="16840" w:code="9"/>
          <w:pgMar w:top="1588" w:right="1418" w:bottom="1418" w:left="1418" w:header="720" w:footer="851" w:gutter="0"/>
          <w:cols w:space="720"/>
          <w:docGrid w:linePitch="360"/>
        </w:sectPr>
      </w:pPr>
    </w:p>
    <w:p w:rsidR="00587509" w:rsidRPr="008727FB" w:rsidRDefault="005249A8" w:rsidP="005249A8">
      <w:pPr>
        <w:pStyle w:val="Heading2"/>
      </w:pPr>
      <w:r w:rsidRPr="008727FB">
        <w:lastRenderedPageBreak/>
        <w:t xml:space="preserve"> </w:t>
      </w:r>
      <w:bookmarkStart w:id="61" w:name="_Toc528670941"/>
      <w:r w:rsidRPr="008727FB">
        <w:t>Views Put to the Committee on the Bill</w:t>
      </w:r>
      <w:bookmarkEnd w:id="61"/>
    </w:p>
    <w:p w:rsidR="004271FC" w:rsidRPr="008727FB" w:rsidRDefault="004271FC" w:rsidP="004271FC">
      <w:pPr>
        <w:pStyle w:val="Heading3"/>
      </w:pPr>
      <w:bookmarkStart w:id="62" w:name="_Toc528670942"/>
      <w:r w:rsidRPr="008727FB">
        <w:t>Introduction</w:t>
      </w:r>
      <w:bookmarkEnd w:id="62"/>
    </w:p>
    <w:p w:rsidR="002A3B3E" w:rsidRPr="008727FB" w:rsidRDefault="002A3B3E" w:rsidP="00B970A8">
      <w:pPr>
        <w:pStyle w:val="BodyText"/>
      </w:pPr>
      <w:r w:rsidRPr="008727FB">
        <w:t xml:space="preserve">The Committee received 28 written submissions on </w:t>
      </w:r>
      <w:r w:rsidR="00522A5C" w:rsidRPr="008727FB">
        <w:t>the</w:t>
      </w:r>
      <w:r w:rsidRPr="008727FB">
        <w:t xml:space="preserve"> inquiry which </w:t>
      </w:r>
      <w:r w:rsidR="00522A5C" w:rsidRPr="008727FB">
        <w:t>canvassed</w:t>
      </w:r>
      <w:r w:rsidRPr="008727FB">
        <w:t xml:space="preserve"> view</w:t>
      </w:r>
      <w:r w:rsidR="00522A5C" w:rsidRPr="008727FB">
        <w:t>s</w:t>
      </w:r>
      <w:r w:rsidR="003A4713" w:rsidRPr="008727FB">
        <w:t xml:space="preserve"> fro</w:t>
      </w:r>
      <w:r w:rsidRPr="008727FB">
        <w:t>m indi</w:t>
      </w:r>
      <w:r w:rsidR="00D805A7" w:rsidRPr="008727FB">
        <w:t>viduals and organisations which</w:t>
      </w:r>
      <w:r w:rsidR="00B5198C" w:rsidRPr="008727FB">
        <w:t>,</w:t>
      </w:r>
      <w:r w:rsidRPr="008727FB">
        <w:t xml:space="preserve"> in a number of </w:t>
      </w:r>
      <w:r w:rsidR="00522A5C" w:rsidRPr="008727FB">
        <w:t>cases</w:t>
      </w:r>
      <w:r w:rsidRPr="008727FB">
        <w:t>-</w:t>
      </w:r>
      <w:r w:rsidR="00D805A7" w:rsidRPr="008727FB">
        <w:t>p</w:t>
      </w:r>
      <w:r w:rsidRPr="008727FB">
        <w:t xml:space="preserve">rovided </w:t>
      </w:r>
      <w:r w:rsidR="00522A5C" w:rsidRPr="008727FB">
        <w:t>input</w:t>
      </w:r>
      <w:r w:rsidRPr="008727FB">
        <w:t xml:space="preserve"> </w:t>
      </w:r>
      <w:r w:rsidR="00D805A7" w:rsidRPr="008727FB">
        <w:t xml:space="preserve">as a consultative process in the course of drafting </w:t>
      </w:r>
      <w:r w:rsidRPr="008727FB">
        <w:t>the Bill</w:t>
      </w:r>
      <w:r w:rsidR="00D805A7" w:rsidRPr="008727FB">
        <w:t xml:space="preserve">.  As noted, these are at Appendix </w:t>
      </w:r>
      <w:r w:rsidR="003948CE" w:rsidRPr="008727FB">
        <w:t>C</w:t>
      </w:r>
      <w:r w:rsidR="00D805A7" w:rsidRPr="008727FB">
        <w:t>.</w:t>
      </w:r>
    </w:p>
    <w:p w:rsidR="00D805A7" w:rsidRPr="008727FB" w:rsidRDefault="00196F0A" w:rsidP="00B970A8">
      <w:pPr>
        <w:pStyle w:val="BodyText"/>
      </w:pPr>
      <w:r w:rsidRPr="008727FB">
        <w:t>In this chapter, the Committee initially considers the views of</w:t>
      </w:r>
      <w:r w:rsidR="00B5198C" w:rsidRPr="008727FB">
        <w:t xml:space="preserve"> the Bill’s sponsor, Ms</w:t>
      </w:r>
      <w:r w:rsidRPr="008727FB">
        <w:t xml:space="preserve"> Le Couteur MLA.  </w:t>
      </w:r>
      <w:r w:rsidR="008273AC" w:rsidRPr="008727FB">
        <w:t>Ms Le Couteur MLA</w:t>
      </w:r>
      <w:r w:rsidRPr="008727FB">
        <w:t>’s two submissions to the Committee address the basi</w:t>
      </w:r>
      <w:r w:rsidR="00D805A7" w:rsidRPr="008727FB">
        <w:t>s</w:t>
      </w:r>
      <w:r w:rsidRPr="008727FB">
        <w:t xml:space="preserve"> and underlying direction of the Bill’s prop</w:t>
      </w:r>
      <w:r w:rsidR="00D805A7" w:rsidRPr="008727FB">
        <w:t>o</w:t>
      </w:r>
      <w:r w:rsidRPr="008727FB">
        <w:t xml:space="preserve">sals and provides a discussion on the Bill’s ‘balancing’ of </w:t>
      </w:r>
      <w:r w:rsidR="00D805A7" w:rsidRPr="008727FB">
        <w:t xml:space="preserve">providing an affirmative definition of consent in sexual offences that aligns with modern community standards. </w:t>
      </w:r>
      <w:r w:rsidR="009C77AA" w:rsidRPr="008727FB">
        <w:rPr>
          <w:rStyle w:val="FootnoteReference"/>
        </w:rPr>
        <w:footnoteReference w:id="20"/>
      </w:r>
    </w:p>
    <w:p w:rsidR="000D2651" w:rsidRPr="008727FB" w:rsidRDefault="002A3B3E" w:rsidP="00B970A8">
      <w:pPr>
        <w:pStyle w:val="BodyText"/>
      </w:pPr>
      <w:r w:rsidRPr="008727FB">
        <w:t xml:space="preserve">The Committee </w:t>
      </w:r>
      <w:r w:rsidR="000D2651" w:rsidRPr="008727FB">
        <w:t xml:space="preserve">has </w:t>
      </w:r>
      <w:r w:rsidR="00196F0A" w:rsidRPr="008727FB">
        <w:t xml:space="preserve">also </w:t>
      </w:r>
      <w:r w:rsidR="00522A5C" w:rsidRPr="008727FB">
        <w:t>considered</w:t>
      </w:r>
      <w:r w:rsidR="000D2651" w:rsidRPr="008727FB">
        <w:t xml:space="preserve"> submissions </w:t>
      </w:r>
      <w:r w:rsidR="00522A5C" w:rsidRPr="008727FB">
        <w:t xml:space="preserve">and evidence </w:t>
      </w:r>
      <w:r w:rsidR="000D2651" w:rsidRPr="008727FB">
        <w:t>fro</w:t>
      </w:r>
      <w:r w:rsidRPr="008727FB">
        <w:t xml:space="preserve">m two </w:t>
      </w:r>
      <w:r w:rsidR="00B5198C" w:rsidRPr="008727FB">
        <w:t>broad categories</w:t>
      </w:r>
      <w:r w:rsidRPr="008727FB">
        <w:t xml:space="preserve"> </w:t>
      </w:r>
      <w:r w:rsidR="00522A5C" w:rsidRPr="008727FB">
        <w:t xml:space="preserve">of organisations.  The first </w:t>
      </w:r>
      <w:r w:rsidR="003A4713" w:rsidRPr="008727FB">
        <w:t>is fro</w:t>
      </w:r>
      <w:r w:rsidR="00522A5C" w:rsidRPr="008727FB">
        <w:t>m</w:t>
      </w:r>
      <w:r w:rsidRPr="008727FB">
        <w:t xml:space="preserve"> those </w:t>
      </w:r>
      <w:r w:rsidR="00522A5C" w:rsidRPr="008727FB">
        <w:t>engaged</w:t>
      </w:r>
      <w:r w:rsidRPr="008727FB">
        <w:t xml:space="preserve"> in the</w:t>
      </w:r>
      <w:r w:rsidR="00522A5C" w:rsidRPr="008727FB">
        <w:t xml:space="preserve"> </w:t>
      </w:r>
      <w:r w:rsidR="000D2651" w:rsidRPr="008727FB">
        <w:t>a</w:t>
      </w:r>
      <w:r w:rsidR="00522A5C" w:rsidRPr="008727FB">
        <w:t>pplication and a</w:t>
      </w:r>
      <w:r w:rsidR="000D2651" w:rsidRPr="008727FB">
        <w:t>dmin</w:t>
      </w:r>
      <w:r w:rsidR="00522A5C" w:rsidRPr="008727FB">
        <w:t>istration</w:t>
      </w:r>
      <w:r w:rsidR="000D2651" w:rsidRPr="008727FB">
        <w:t xml:space="preserve"> of the</w:t>
      </w:r>
      <w:r w:rsidRPr="008727FB">
        <w:t xml:space="preserve"> law</w:t>
      </w:r>
      <w:r w:rsidR="00522A5C" w:rsidRPr="008727FB">
        <w:t>s relating to consent in sexual of</w:t>
      </w:r>
      <w:r w:rsidR="00801F1B" w:rsidRPr="008727FB">
        <w:t>fence</w:t>
      </w:r>
      <w:r w:rsidR="00B5198C" w:rsidRPr="008727FB">
        <w:t xml:space="preserve"> cases dealt with in the c</w:t>
      </w:r>
      <w:r w:rsidR="00522A5C" w:rsidRPr="008727FB">
        <w:t>ourts of the ACT, as prosecutors and as defence.  These organisations are the ACT Director of Pu</w:t>
      </w:r>
      <w:r w:rsidR="000D2651" w:rsidRPr="008727FB">
        <w:t>blic Prosecutions, the ACT Bar As</w:t>
      </w:r>
      <w:r w:rsidR="00522A5C" w:rsidRPr="008727FB">
        <w:t>sociation, the ACT Law Society</w:t>
      </w:r>
      <w:r w:rsidR="009A4BCD" w:rsidRPr="008727FB">
        <w:t>, the Human Rights Commission</w:t>
      </w:r>
      <w:r w:rsidR="00522A5C" w:rsidRPr="008727FB">
        <w:t xml:space="preserve"> </w:t>
      </w:r>
      <w:r w:rsidR="000D2651" w:rsidRPr="008727FB">
        <w:t>and Legal Aid ACT.</w:t>
      </w:r>
    </w:p>
    <w:p w:rsidR="00522A5C" w:rsidRPr="008727FB" w:rsidRDefault="00522A5C" w:rsidP="00B970A8">
      <w:pPr>
        <w:pStyle w:val="BodyText"/>
      </w:pPr>
      <w:r w:rsidRPr="008727FB">
        <w:t>These points include:</w:t>
      </w:r>
    </w:p>
    <w:p w:rsidR="00317D55" w:rsidRPr="008727FB" w:rsidRDefault="00317D55" w:rsidP="00317D55">
      <w:pPr>
        <w:pStyle w:val="ListBullet"/>
      </w:pPr>
      <w:r w:rsidRPr="008727FB">
        <w:t xml:space="preserve">the proposed definition (as drafted) of consent currently applying under the sexual offence provisions of the </w:t>
      </w:r>
      <w:r w:rsidRPr="008727FB">
        <w:rPr>
          <w:i/>
        </w:rPr>
        <w:t>Crimes Act</w:t>
      </w:r>
      <w:r w:rsidRPr="008727FB">
        <w:t>;</w:t>
      </w:r>
    </w:p>
    <w:p w:rsidR="00317D55" w:rsidRPr="008727FB" w:rsidRDefault="00317D55" w:rsidP="00317D55">
      <w:pPr>
        <w:pStyle w:val="ListBullet"/>
      </w:pPr>
      <w:r w:rsidRPr="008727FB">
        <w:t xml:space="preserve">reversal of the onus of proof placing the onus upon the person accused (rather than the prosecution), not just to prove an honest belief that consent was given, but to prove a higher standard of proof; and does the Bill raise the burden of the onus of proof to a standard that is too high? </w:t>
      </w:r>
    </w:p>
    <w:p w:rsidR="00A24687" w:rsidRPr="008727FB" w:rsidRDefault="00A24687" w:rsidP="00A24687">
      <w:pPr>
        <w:pStyle w:val="ListBullet"/>
      </w:pPr>
      <w:r w:rsidRPr="008727FB">
        <w:t>conflation of the two aspects of consent in sexual offences. The first is the consent of the victim - does the victim actually consent to the sexual conduct; and, secondly, the state of mind of the perpetrator as to the consent of the victim;</w:t>
      </w:r>
    </w:p>
    <w:p w:rsidR="00C652FF" w:rsidRPr="008727FB" w:rsidRDefault="00C652FF" w:rsidP="00C652FF">
      <w:pPr>
        <w:pStyle w:val="ListBullet"/>
      </w:pPr>
      <w:r w:rsidRPr="008727FB">
        <w:t>the extent to which reasonableness as a factor in determining ‘honest mistake’ (the ‘Morgan defence’) applies in the ACT</w:t>
      </w:r>
      <w:r w:rsidR="00A24687" w:rsidRPr="008727FB">
        <w:t>;</w:t>
      </w:r>
    </w:p>
    <w:p w:rsidR="00317D55" w:rsidRPr="008727FB" w:rsidRDefault="00317D55" w:rsidP="00317D55">
      <w:pPr>
        <w:pStyle w:val="ListBullet"/>
      </w:pPr>
      <w:r w:rsidRPr="008727FB">
        <w:t>the social implications of the Bill, including measures may be required to effectively implement the intentions of the Bill in addition to a change to the law; and, how will the Bill impact personal and sexual relationships.</w:t>
      </w:r>
    </w:p>
    <w:p w:rsidR="00E77661" w:rsidRPr="008727FB" w:rsidRDefault="000D2651" w:rsidP="00B970A8">
      <w:pPr>
        <w:pStyle w:val="BodyText"/>
      </w:pPr>
      <w:r w:rsidRPr="008727FB">
        <w:lastRenderedPageBreak/>
        <w:t xml:space="preserve">The second </w:t>
      </w:r>
      <w:r w:rsidR="00C879C1" w:rsidRPr="008727FB">
        <w:t>category</w:t>
      </w:r>
      <w:r w:rsidRPr="008727FB">
        <w:t xml:space="preserve"> </w:t>
      </w:r>
      <w:r w:rsidR="00522A5C" w:rsidRPr="008727FB">
        <w:t>of organisations who made submissions and gave evidence to the Comm</w:t>
      </w:r>
      <w:r w:rsidR="00C879C1" w:rsidRPr="008727FB">
        <w:t xml:space="preserve">ittee are organisations which, </w:t>
      </w:r>
      <w:r w:rsidR="00522A5C" w:rsidRPr="008727FB">
        <w:t xml:space="preserve">as part of their </w:t>
      </w:r>
      <w:r w:rsidR="00F761CF" w:rsidRPr="008727FB">
        <w:t>role in the community</w:t>
      </w:r>
      <w:r w:rsidR="00C879C1" w:rsidRPr="008727FB">
        <w:t>,</w:t>
      </w:r>
      <w:r w:rsidR="00522A5C" w:rsidRPr="008727FB">
        <w:t xml:space="preserve"> </w:t>
      </w:r>
      <w:r w:rsidR="00F761CF" w:rsidRPr="008727FB">
        <w:t>provid</w:t>
      </w:r>
      <w:r w:rsidR="00522A5C" w:rsidRPr="008727FB">
        <w:t xml:space="preserve">e </w:t>
      </w:r>
      <w:r w:rsidR="00F761CF" w:rsidRPr="008727FB">
        <w:t xml:space="preserve">support, </w:t>
      </w:r>
      <w:r w:rsidR="00522A5C" w:rsidRPr="008727FB">
        <w:t xml:space="preserve">advice and advocate for </w:t>
      </w:r>
      <w:r w:rsidR="00C879C1" w:rsidRPr="008727FB">
        <w:t>Canberrans</w:t>
      </w:r>
      <w:r w:rsidRPr="008727FB">
        <w:t xml:space="preserve"> regarding sexual and reproductive health, and </w:t>
      </w:r>
      <w:r w:rsidR="00F761CF" w:rsidRPr="008727FB">
        <w:t xml:space="preserve">in supporting </w:t>
      </w:r>
      <w:r w:rsidR="00522A5C" w:rsidRPr="008727FB">
        <w:t xml:space="preserve">those who </w:t>
      </w:r>
      <w:r w:rsidR="00F761CF" w:rsidRPr="008727FB">
        <w:t>have been subject of sexual violence</w:t>
      </w:r>
      <w:r w:rsidR="00522A5C" w:rsidRPr="008727FB">
        <w:t xml:space="preserve"> and assaul</w:t>
      </w:r>
      <w:r w:rsidR="00E77661" w:rsidRPr="008727FB">
        <w:t xml:space="preserve">t. As stated, this approach by the Committee </w:t>
      </w:r>
      <w:r w:rsidR="00522A5C" w:rsidRPr="008727FB">
        <w:t xml:space="preserve">includes the </w:t>
      </w:r>
      <w:r w:rsidR="00F761CF" w:rsidRPr="008727FB">
        <w:t>views which</w:t>
      </w:r>
      <w:r w:rsidR="00522A5C" w:rsidRPr="008727FB">
        <w:t xml:space="preserve"> </w:t>
      </w:r>
      <w:r w:rsidR="00C03A8C" w:rsidRPr="008727FB">
        <w:t xml:space="preserve">were </w:t>
      </w:r>
      <w:r w:rsidR="00F761CF" w:rsidRPr="008727FB">
        <w:t xml:space="preserve">contributed </w:t>
      </w:r>
      <w:r w:rsidR="00C03A8C" w:rsidRPr="008727FB">
        <w:t xml:space="preserve">by these organisations </w:t>
      </w:r>
      <w:r w:rsidR="00677813" w:rsidRPr="008727FB">
        <w:t>during the</w:t>
      </w:r>
      <w:r w:rsidR="00F761CF" w:rsidRPr="008727FB">
        <w:t xml:space="preserve"> draftin</w:t>
      </w:r>
      <w:r w:rsidR="00C03A8C" w:rsidRPr="008727FB">
        <w:t>g of the Bill.</w:t>
      </w:r>
      <w:r w:rsidR="00C03A8C" w:rsidRPr="008727FB">
        <w:rPr>
          <w:rStyle w:val="FootnoteReference"/>
        </w:rPr>
        <w:footnoteReference w:id="21"/>
      </w:r>
      <w:r w:rsidR="00F761CF" w:rsidRPr="008727FB">
        <w:t xml:space="preserve"> </w:t>
      </w:r>
    </w:p>
    <w:p w:rsidR="00F761CF" w:rsidRPr="008727FB" w:rsidRDefault="00F761CF" w:rsidP="00B970A8">
      <w:pPr>
        <w:pStyle w:val="BodyText"/>
      </w:pPr>
      <w:r w:rsidRPr="008727FB">
        <w:t>Th</w:t>
      </w:r>
      <w:r w:rsidR="00E77661" w:rsidRPr="008727FB">
        <w:t>ese points include:</w:t>
      </w:r>
    </w:p>
    <w:p w:rsidR="00317D55" w:rsidRPr="008727FB" w:rsidRDefault="00317D55" w:rsidP="00317D55">
      <w:pPr>
        <w:pStyle w:val="ListBullet"/>
      </w:pPr>
      <w:r w:rsidRPr="008727FB">
        <w:t>the proposed changes to definitions of consent in sexual offences, and the result that may have for both victim and perpetrator in sexual offence matters;</w:t>
      </w:r>
    </w:p>
    <w:p w:rsidR="00317D55" w:rsidRPr="008727FB" w:rsidRDefault="00317D55" w:rsidP="00317D55">
      <w:pPr>
        <w:pStyle w:val="ListBullet"/>
      </w:pPr>
      <w:r w:rsidRPr="008727FB">
        <w:t>comment and proposals for reform of consent provisions in view of the Bill’s proposals, and giving effect to community interest and advocacy for change to the law of consen</w:t>
      </w:r>
      <w:r w:rsidR="00A24687" w:rsidRPr="008727FB">
        <w:t>t in sexual offences in the ACT;</w:t>
      </w:r>
    </w:p>
    <w:p w:rsidR="00C652FF" w:rsidRPr="008727FB" w:rsidRDefault="00C652FF" w:rsidP="00C652FF">
      <w:pPr>
        <w:pStyle w:val="ListBullet"/>
      </w:pPr>
      <w:r w:rsidRPr="008727FB">
        <w:t>the social implications of the Bill, including measures may be required to effectively implement the intentions of the Bill in addition to a change to the law; and, how will the Bill impact personal and sexual relationships.</w:t>
      </w:r>
    </w:p>
    <w:p w:rsidR="00DE2F43" w:rsidRPr="008727FB" w:rsidRDefault="001A526F" w:rsidP="001A526F">
      <w:pPr>
        <w:pStyle w:val="Heading3"/>
      </w:pPr>
      <w:bookmarkStart w:id="63" w:name="_Toc528670943"/>
      <w:bookmarkStart w:id="64" w:name="_Toc502671593"/>
      <w:bookmarkStart w:id="65" w:name="_Toc502671771"/>
      <w:bookmarkStart w:id="66" w:name="_Toc502671877"/>
      <w:bookmarkStart w:id="67" w:name="_Toc502672809"/>
      <w:r w:rsidRPr="008727FB">
        <w:t>Views put to the Committee – Ms Le Couteur MLA</w:t>
      </w:r>
      <w:bookmarkEnd w:id="63"/>
    </w:p>
    <w:p w:rsidR="000D4434" w:rsidRPr="008727FB" w:rsidRDefault="00FB4C16" w:rsidP="00FB4C16">
      <w:pPr>
        <w:pStyle w:val="BodyText"/>
      </w:pPr>
      <w:r w:rsidRPr="008727FB">
        <w:t>As the Committee noted, discussions wer</w:t>
      </w:r>
      <w:r w:rsidR="000D4434" w:rsidRPr="008727FB">
        <w:t>e</w:t>
      </w:r>
      <w:r w:rsidR="00C879C1" w:rsidRPr="008727FB">
        <w:t xml:space="preserve"> held with Ms Le Couteur MLA</w:t>
      </w:r>
      <w:r w:rsidRPr="008727FB">
        <w:t xml:space="preserve"> in July 2018, drawing on </w:t>
      </w:r>
      <w:r w:rsidR="008273AC" w:rsidRPr="008727FB">
        <w:t>Ms Le Couteur MLA</w:t>
      </w:r>
      <w:r w:rsidRPr="008727FB">
        <w:t>’s first submission to th</w:t>
      </w:r>
      <w:r w:rsidR="00EB2FDC" w:rsidRPr="008727FB">
        <w:t>e</w:t>
      </w:r>
      <w:r w:rsidRPr="008727FB">
        <w:t xml:space="preserve"> inquiry.  </w:t>
      </w:r>
      <w:r w:rsidR="008273AC" w:rsidRPr="008727FB">
        <w:t>Ms Le Couteur MLA</w:t>
      </w:r>
      <w:r w:rsidRPr="008727FB">
        <w:t xml:space="preserve"> made a second submission to the Committee </w:t>
      </w:r>
      <w:r w:rsidR="000D4434" w:rsidRPr="008727FB">
        <w:t>during the period the Committee allowed for submissions.</w:t>
      </w:r>
    </w:p>
    <w:p w:rsidR="000D4434" w:rsidRPr="008727FB" w:rsidRDefault="00C879C1" w:rsidP="00FB4C16">
      <w:pPr>
        <w:pStyle w:val="BodyText"/>
      </w:pPr>
      <w:r w:rsidRPr="008727FB">
        <w:t xml:space="preserve">In her </w:t>
      </w:r>
      <w:r w:rsidR="000D4434" w:rsidRPr="008727FB">
        <w:t xml:space="preserve">second submission, </w:t>
      </w:r>
      <w:r w:rsidR="008273AC" w:rsidRPr="008727FB">
        <w:t>Ms Le Couteur MLA</w:t>
      </w:r>
      <w:r w:rsidR="000D4434" w:rsidRPr="008727FB">
        <w:t xml:space="preserve"> has set out her views on a means to answer the observations and objections to the drafting of the Bill:</w:t>
      </w:r>
    </w:p>
    <w:p w:rsidR="000D4434" w:rsidRPr="008727FB" w:rsidRDefault="000D4434" w:rsidP="00383D4E">
      <w:pPr>
        <w:pStyle w:val="Quote"/>
      </w:pPr>
      <w:r w:rsidRPr="008727FB">
        <w:t>In light of further stakeholder consultations and feedback since the announcement of the Committee Inquiry process I am of the belief that a new Bill will be needed to effectively deliver a strengthened legal model for consent. It is clear that an affirmative definition based on a ‘free and voluntary agreement’ is the central element of the model, as is an ‘objective fault test’. However in recognition of the concerns raised by the Scrutiny report and the Human Rights Commission, the objective fault test will need to be redrafted in a separate provision to the definition.</w:t>
      </w:r>
      <w:r w:rsidR="00B14015" w:rsidRPr="008727FB">
        <w:rPr>
          <w:rStyle w:val="FootnoteReference"/>
        </w:rPr>
        <w:footnoteReference w:id="22"/>
      </w:r>
    </w:p>
    <w:p w:rsidR="00383D4E" w:rsidRPr="008727FB" w:rsidRDefault="008273AC" w:rsidP="00FB4C16">
      <w:pPr>
        <w:pStyle w:val="BodyText"/>
      </w:pPr>
      <w:r w:rsidRPr="008727FB">
        <w:t>Ms Le Couteur MLA</w:t>
      </w:r>
      <w:r w:rsidR="00383D4E" w:rsidRPr="008727FB">
        <w:t xml:space="preserve">’s submission also noted that, underlying the proposal to </w:t>
      </w:r>
      <w:r w:rsidR="00EB2FDC" w:rsidRPr="008727FB">
        <w:t>amend</w:t>
      </w:r>
      <w:r w:rsidR="00383D4E" w:rsidRPr="008727FB">
        <w:t xml:space="preserve"> or re-</w:t>
      </w:r>
      <w:r w:rsidR="00EB2FDC" w:rsidRPr="008727FB">
        <w:t>draft</w:t>
      </w:r>
      <w:r w:rsidR="00383D4E" w:rsidRPr="008727FB">
        <w:t xml:space="preserve"> the Bill, is </w:t>
      </w:r>
      <w:r w:rsidR="00EB2FDC" w:rsidRPr="008727FB">
        <w:t>a</w:t>
      </w:r>
      <w:r w:rsidR="00383D4E" w:rsidRPr="008727FB">
        <w:t xml:space="preserve"> question of timing:</w:t>
      </w:r>
    </w:p>
    <w:p w:rsidR="00383D4E" w:rsidRPr="008727FB" w:rsidRDefault="00383D4E" w:rsidP="00383D4E">
      <w:pPr>
        <w:pStyle w:val="Quote"/>
      </w:pPr>
      <w:r w:rsidRPr="008727FB">
        <w:t xml:space="preserve">The wording of this will need to take into consideration the submissions to this inquiry and its report due at the end of October. This timing will also allow for consideration of </w:t>
      </w:r>
      <w:r w:rsidRPr="008727FB">
        <w:lastRenderedPageBreak/>
        <w:t>the current NSW Law Reform Commission reference on Consent in Criminal Matters, with an early consultation response paper due to be released around the same time.</w:t>
      </w:r>
      <w:r w:rsidRPr="008727FB">
        <w:rPr>
          <w:rStyle w:val="FootnoteReference"/>
        </w:rPr>
        <w:footnoteReference w:id="23"/>
      </w:r>
    </w:p>
    <w:p w:rsidR="005A5E60" w:rsidRPr="008727FB" w:rsidRDefault="00383D4E" w:rsidP="005A5E60">
      <w:pPr>
        <w:pStyle w:val="BodyText"/>
      </w:pPr>
      <w:r w:rsidRPr="008727FB">
        <w:t xml:space="preserve">In addition to this submission – which the Committee deals with further in </w:t>
      </w:r>
      <w:r w:rsidR="008273AC" w:rsidRPr="008727FB">
        <w:t>c</w:t>
      </w:r>
      <w:r w:rsidR="00EB2FDC" w:rsidRPr="008727FB">
        <w:t>hapter</w:t>
      </w:r>
      <w:r w:rsidR="005A5E60" w:rsidRPr="008727FB">
        <w:t xml:space="preserve"> 5 – </w:t>
      </w:r>
      <w:r w:rsidR="008273AC" w:rsidRPr="008727FB">
        <w:t>Ms Le Couteur MLA</w:t>
      </w:r>
      <w:r w:rsidR="005A5E60" w:rsidRPr="008727FB">
        <w:t xml:space="preserve"> did </w:t>
      </w:r>
      <w:r w:rsidR="00AF3E9A" w:rsidRPr="008727FB">
        <w:t xml:space="preserve">advance the </w:t>
      </w:r>
      <w:r w:rsidR="005A5E60" w:rsidRPr="008727FB">
        <w:t xml:space="preserve">following points as being fundamental to a definition </w:t>
      </w:r>
      <w:r w:rsidR="00AF3E9A" w:rsidRPr="008727FB">
        <w:t xml:space="preserve">central </w:t>
      </w:r>
      <w:r w:rsidR="00C879C1" w:rsidRPr="008727FB">
        <w:t>to</w:t>
      </w:r>
      <w:r w:rsidR="005A5E60" w:rsidRPr="008727FB">
        <w:t xml:space="preserve"> </w:t>
      </w:r>
      <w:r w:rsidR="00EB2FDC" w:rsidRPr="008727FB">
        <w:t>consent</w:t>
      </w:r>
      <w:r w:rsidR="005A5E60" w:rsidRPr="008727FB">
        <w:t xml:space="preserve"> which </w:t>
      </w:r>
      <w:r w:rsidR="00EB2FDC" w:rsidRPr="008727FB">
        <w:t>meets</w:t>
      </w:r>
      <w:r w:rsidR="005A5E60" w:rsidRPr="008727FB">
        <w:t xml:space="preserve"> the criteria for </w:t>
      </w:r>
      <w:r w:rsidR="00EB2FDC" w:rsidRPr="008727FB">
        <w:t>an</w:t>
      </w:r>
      <w:r w:rsidR="005A5E60" w:rsidRPr="008727FB">
        <w:t xml:space="preserve"> </w:t>
      </w:r>
      <w:r w:rsidR="00EB2FDC" w:rsidRPr="008727FB">
        <w:t>appropriate application and definition</w:t>
      </w:r>
      <w:r w:rsidR="005A5E60" w:rsidRPr="008727FB">
        <w:t xml:space="preserve"> of con</w:t>
      </w:r>
      <w:r w:rsidR="00EB2FDC" w:rsidRPr="008727FB">
        <w:t>sent</w:t>
      </w:r>
      <w:r w:rsidR="005A5E60" w:rsidRPr="008727FB">
        <w:t xml:space="preserve"> as a defence.  They are:</w:t>
      </w:r>
    </w:p>
    <w:p w:rsidR="005A5E60" w:rsidRPr="008727FB" w:rsidRDefault="005A5E60" w:rsidP="00DC7B74">
      <w:pPr>
        <w:pStyle w:val="Quote"/>
      </w:pPr>
      <w:r w:rsidRPr="008727FB">
        <w:t>Evidence in sexual assault matters inevitably relies on competing narratives by the only two people present about what happened and about whether consent existed. The risk that the accused’s presumption of innocence is undermined by the way the definition is currently constructed is one that must be addressed whilst ensuring it that any revised definition combines the affirmative, communicative definition of consent with an objective fault test to prove the elements of consent.</w:t>
      </w:r>
    </w:p>
    <w:p w:rsidR="005A5E60" w:rsidRPr="008727FB" w:rsidRDefault="00DC7B74" w:rsidP="00DC7B74">
      <w:pPr>
        <w:pStyle w:val="Quote"/>
      </w:pPr>
      <w:r w:rsidRPr="008727FB">
        <w:t>Notwithstanding these issues, an objective fault test in and of itself does not reverse the onus of proof onto the defendant. An objective fault test means that a defendant may only rely on a belief that is both honest and reasonable. That is, would a reasonable person in the circumstances of the case hold the same belief that the complainant was consenting. Reasonable belief in consent is an objective standard, but it must be for the prosecution to prove that standard has not been met, not the defendant to prove it has been met. A subjective fault test means the defendant had an honest belief that the complainant was consenting and relies only on what was in the mind of the accused at the time of alleged offence.</w:t>
      </w:r>
    </w:p>
    <w:p w:rsidR="00DC7B74" w:rsidRPr="008727FB" w:rsidRDefault="00DC7B74" w:rsidP="00DC7B74">
      <w:pPr>
        <w:pStyle w:val="Quote"/>
      </w:pPr>
      <w:r w:rsidRPr="008727FB">
        <w:t>An objective fault test is critical to ensure that any definition of consent can be referred to and used as a basis for argument in legal proceedings. Without an objective fault test, an enhanced definition of consent – even if it includes an affirmative, communicative model of free and voluntary agreement to sexual activity, will have little effect.</w:t>
      </w:r>
      <w:r w:rsidRPr="008727FB">
        <w:rPr>
          <w:rStyle w:val="FootnoteReference"/>
        </w:rPr>
        <w:footnoteReference w:id="24"/>
      </w:r>
    </w:p>
    <w:p w:rsidR="00513F0F" w:rsidRPr="008727FB" w:rsidRDefault="00211168" w:rsidP="00FB4C16">
      <w:pPr>
        <w:pStyle w:val="BodyText"/>
      </w:pPr>
      <w:r w:rsidRPr="008727FB">
        <w:t xml:space="preserve">As an </w:t>
      </w:r>
      <w:r w:rsidR="00EB2FDC" w:rsidRPr="008727FB">
        <w:t>important</w:t>
      </w:r>
      <w:r w:rsidRPr="008727FB">
        <w:t xml:space="preserve"> argument</w:t>
      </w:r>
      <w:r w:rsidR="00513F0F" w:rsidRPr="008727FB">
        <w:t xml:space="preserve">, </w:t>
      </w:r>
      <w:r w:rsidR="008273AC" w:rsidRPr="008727FB">
        <w:t>Ms Le Couteur MLA</w:t>
      </w:r>
      <w:r w:rsidR="00513F0F" w:rsidRPr="008727FB">
        <w:t xml:space="preserve"> has </w:t>
      </w:r>
      <w:r w:rsidR="00EB2FDC" w:rsidRPr="008727FB">
        <w:t>emphasised</w:t>
      </w:r>
      <w:r w:rsidR="00513F0F" w:rsidRPr="008727FB">
        <w:t xml:space="preserve"> the need </w:t>
      </w:r>
      <w:r w:rsidR="00C879C1" w:rsidRPr="008727FB">
        <w:t>–</w:t>
      </w:r>
      <w:r w:rsidR="00513F0F" w:rsidRPr="008727FB">
        <w:t xml:space="preserve"> identified</w:t>
      </w:r>
      <w:r w:rsidR="00C879C1" w:rsidRPr="008727FB">
        <w:t xml:space="preserve"> </w:t>
      </w:r>
      <w:r w:rsidR="00513F0F" w:rsidRPr="008727FB">
        <w:t xml:space="preserve">by her submission and others – that </w:t>
      </w:r>
      <w:r w:rsidRPr="008727FB">
        <w:t>there needs</w:t>
      </w:r>
      <w:r w:rsidR="00513F0F" w:rsidRPr="008727FB">
        <w:t xml:space="preserve"> to </w:t>
      </w:r>
      <w:r w:rsidR="00EB2FDC" w:rsidRPr="008727FB">
        <w:t>be</w:t>
      </w:r>
      <w:r w:rsidR="00513F0F" w:rsidRPr="008727FB">
        <w:t xml:space="preserve"> </w:t>
      </w:r>
      <w:r w:rsidR="00EB2FDC" w:rsidRPr="008727FB">
        <w:t xml:space="preserve">a means of </w:t>
      </w:r>
      <w:r w:rsidR="00513F0F" w:rsidRPr="008727FB">
        <w:t>clarify</w:t>
      </w:r>
      <w:r w:rsidR="00EB2FDC" w:rsidRPr="008727FB">
        <w:t>ing</w:t>
      </w:r>
      <w:r w:rsidR="00513F0F" w:rsidRPr="008727FB">
        <w:t xml:space="preserve"> the criminal </w:t>
      </w:r>
      <w:r w:rsidR="00EB2FDC" w:rsidRPr="008727FB">
        <w:t>law</w:t>
      </w:r>
      <w:r w:rsidR="00513F0F" w:rsidRPr="008727FB">
        <w:t xml:space="preserve"> to address the current situation </w:t>
      </w:r>
      <w:r w:rsidR="00EB2FDC" w:rsidRPr="008727FB">
        <w:t>confronting</w:t>
      </w:r>
      <w:r w:rsidR="00513F0F" w:rsidRPr="008727FB">
        <w:t xml:space="preserve"> victims in sexual offences:</w:t>
      </w:r>
    </w:p>
    <w:p w:rsidR="00513F0F" w:rsidRPr="008727FB" w:rsidRDefault="00513F0F" w:rsidP="000A01F2">
      <w:pPr>
        <w:pStyle w:val="Quote"/>
      </w:pPr>
      <w:r w:rsidRPr="008727FB">
        <w:t>The nature of this Bill and this inquiry will contribute to breaking down the stigma and shame associated with sexual assault victimisation. We know that historically, sexual abuse, sexual assault and rape are in the category of the least reported crimes, not least because of society’s tendency to blame the victim. Victims fear coming forward because they are often not believed and many are asked how they contributed to the offence.</w:t>
      </w:r>
      <w:r w:rsidR="00211168" w:rsidRPr="008727FB">
        <w:rPr>
          <w:rStyle w:val="FootnoteReference"/>
        </w:rPr>
        <w:footnoteReference w:id="25"/>
      </w:r>
    </w:p>
    <w:p w:rsidR="00211168" w:rsidRPr="008727FB" w:rsidRDefault="00211168" w:rsidP="00FB4C16">
      <w:pPr>
        <w:pStyle w:val="BodyText"/>
      </w:pPr>
      <w:r w:rsidRPr="008727FB">
        <w:lastRenderedPageBreak/>
        <w:t>The C</w:t>
      </w:r>
      <w:r w:rsidR="00EB2FDC" w:rsidRPr="008727FB">
        <w:t xml:space="preserve">ommittee draws on </w:t>
      </w:r>
      <w:r w:rsidR="008273AC" w:rsidRPr="008727FB">
        <w:t>Ms Le Couteur MLA</w:t>
      </w:r>
      <w:r w:rsidR="00EB2FDC" w:rsidRPr="008727FB">
        <w:t>’s</w:t>
      </w:r>
      <w:r w:rsidRPr="008727FB">
        <w:t xml:space="preserve"> submission in its comments and </w:t>
      </w:r>
      <w:r w:rsidR="00EB2FDC" w:rsidRPr="008727FB">
        <w:t>conclusions</w:t>
      </w:r>
      <w:r w:rsidR="008273AC" w:rsidRPr="008727FB">
        <w:t xml:space="preserve"> in c</w:t>
      </w:r>
      <w:r w:rsidRPr="008727FB">
        <w:t>hapter 5.</w:t>
      </w:r>
    </w:p>
    <w:p w:rsidR="001A526F" w:rsidRPr="008727FB" w:rsidRDefault="001A526F" w:rsidP="001A526F">
      <w:pPr>
        <w:pStyle w:val="Heading3"/>
      </w:pPr>
      <w:bookmarkStart w:id="68" w:name="_Toc528670944"/>
      <w:r w:rsidRPr="008727FB">
        <w:t>Views put to th</w:t>
      </w:r>
      <w:r w:rsidR="00C81064" w:rsidRPr="008727FB">
        <w:t>e Committee – Legal Practitioner</w:t>
      </w:r>
      <w:r w:rsidRPr="008727FB">
        <w:t xml:space="preserve"> Bodies</w:t>
      </w:r>
      <w:bookmarkEnd w:id="68"/>
    </w:p>
    <w:p w:rsidR="001A526F" w:rsidRPr="008727FB" w:rsidRDefault="00643B5E" w:rsidP="001A526F">
      <w:pPr>
        <w:pStyle w:val="Heading3"/>
      </w:pPr>
      <w:bookmarkStart w:id="69" w:name="_Toc528670945"/>
      <w:r w:rsidRPr="008727FB">
        <w:t xml:space="preserve">ACT </w:t>
      </w:r>
      <w:r w:rsidR="001A526F" w:rsidRPr="008727FB">
        <w:t>D</w:t>
      </w:r>
      <w:r w:rsidRPr="008727FB">
        <w:t>irector of Public Prosecutions (DPP)</w:t>
      </w:r>
      <w:bookmarkEnd w:id="69"/>
    </w:p>
    <w:p w:rsidR="00C81064" w:rsidRPr="008727FB" w:rsidRDefault="00C879C1" w:rsidP="00C81064">
      <w:pPr>
        <w:pStyle w:val="BodyText"/>
      </w:pPr>
      <w:r w:rsidRPr="008727FB">
        <w:t>The</w:t>
      </w:r>
      <w:r w:rsidR="00E33D97" w:rsidRPr="008727FB">
        <w:t xml:space="preserve"> A</w:t>
      </w:r>
      <w:r w:rsidR="00211168" w:rsidRPr="008727FB">
        <w:t>CT Director of Public P</w:t>
      </w:r>
      <w:r w:rsidRPr="008727FB">
        <w:t xml:space="preserve">rosecutions (DPP) submitted to the Committee </w:t>
      </w:r>
      <w:r w:rsidR="00EB2FDC" w:rsidRPr="008727FB">
        <w:t>several</w:t>
      </w:r>
      <w:r w:rsidR="00211168" w:rsidRPr="008727FB">
        <w:t xml:space="preserve"> points </w:t>
      </w:r>
      <w:r w:rsidR="00EB2FDC" w:rsidRPr="008727FB">
        <w:t>which</w:t>
      </w:r>
      <w:r w:rsidR="00211168" w:rsidRPr="008727FB">
        <w:t xml:space="preserve"> the Committee </w:t>
      </w:r>
      <w:r w:rsidR="000A5DDF" w:rsidRPr="008727FB">
        <w:t>notes are a summary of DPP’</w:t>
      </w:r>
      <w:r w:rsidR="000919E1" w:rsidRPr="008727FB">
        <w:t>s bro</w:t>
      </w:r>
      <w:r w:rsidR="000A5DDF" w:rsidRPr="008727FB">
        <w:t>ader submission:</w:t>
      </w:r>
    </w:p>
    <w:p w:rsidR="000A5DDF" w:rsidRPr="008727FB" w:rsidRDefault="000A5DDF" w:rsidP="000A01F2">
      <w:pPr>
        <w:pStyle w:val="Quote"/>
      </w:pPr>
      <w:r w:rsidRPr="008727FB">
        <w:t xml:space="preserve">The proposed legislation is unfortunately misconceived. The legislation </w:t>
      </w:r>
      <w:r w:rsidR="00EB2FDC" w:rsidRPr="008727FB">
        <w:t>conflates</w:t>
      </w:r>
      <w:r w:rsidRPr="008727FB">
        <w:t xml:space="preserve"> the different aspects of consent, and ignores the crucial aspect of recklessness which, in the area of sexual offending, has developed greatly at common law. </w:t>
      </w:r>
    </w:p>
    <w:p w:rsidR="000A5DDF" w:rsidRPr="008727FB" w:rsidRDefault="000A5DDF" w:rsidP="000A01F2">
      <w:pPr>
        <w:pStyle w:val="Quote"/>
      </w:pPr>
      <w:r w:rsidRPr="008727FB">
        <w:t>There is no need for a statutory definition of consent from the p</w:t>
      </w:r>
      <w:r w:rsidR="00C879C1" w:rsidRPr="008727FB">
        <w:t>oint of view of the victim. It i</w:t>
      </w:r>
      <w:r w:rsidRPr="008727FB">
        <w:t xml:space="preserve">s inherent in the meaning of consent at common law that it be freely and voluntarily given. Further in the ACT, s 67 of the </w:t>
      </w:r>
      <w:r w:rsidRPr="008727FB">
        <w:rPr>
          <w:i/>
        </w:rPr>
        <w:t>Crimes Act 1900</w:t>
      </w:r>
      <w:r w:rsidR="00C879C1" w:rsidRPr="008727FB">
        <w:t xml:space="preserve"> </w:t>
      </w:r>
      <w:r w:rsidRPr="008727FB">
        <w:t>greatly extends the situations in which consent of the victim is negated.</w:t>
      </w:r>
      <w:r w:rsidR="000919E1" w:rsidRPr="008727FB">
        <w:rPr>
          <w:rStyle w:val="FootnoteReference"/>
        </w:rPr>
        <w:footnoteReference w:id="26"/>
      </w:r>
    </w:p>
    <w:p w:rsidR="000A5DDF" w:rsidRPr="008727FB" w:rsidRDefault="000A5DDF" w:rsidP="00C81064">
      <w:pPr>
        <w:pStyle w:val="BodyText"/>
      </w:pPr>
      <w:r w:rsidRPr="008727FB">
        <w:t xml:space="preserve">The DPP’s submission detailed two matters involving </w:t>
      </w:r>
      <w:r w:rsidR="00EB2FDC" w:rsidRPr="008727FB">
        <w:t>consent</w:t>
      </w:r>
      <w:r w:rsidRPr="008727FB">
        <w:t>:</w:t>
      </w:r>
    </w:p>
    <w:p w:rsidR="000B15A4" w:rsidRPr="008727FB" w:rsidRDefault="000B15A4" w:rsidP="000A01F2">
      <w:pPr>
        <w:pStyle w:val="Quote"/>
      </w:pPr>
      <w:r w:rsidRPr="008727FB">
        <w:t>For sexual offe</w:t>
      </w:r>
      <w:r w:rsidR="000A5DDF" w:rsidRPr="008727FB">
        <w:t>nding, the concept of "consent" has 2 aspects. The first aspect is the consent of the victim: simply, does the victim actually consent to the sexual conduct. The second aspect is the state of mind of the perpetrator as to the consent of the</w:t>
      </w:r>
      <w:r w:rsidRPr="008727FB">
        <w:t xml:space="preserve"> victim</w:t>
      </w:r>
      <w:r w:rsidR="00C879C1" w:rsidRPr="008727FB">
        <w:t>.</w:t>
      </w:r>
    </w:p>
    <w:p w:rsidR="000B15A4" w:rsidRPr="008727FB" w:rsidRDefault="000A5DDF" w:rsidP="000A01F2">
      <w:pPr>
        <w:pStyle w:val="Quote"/>
      </w:pPr>
      <w:r w:rsidRPr="008727FB">
        <w:t xml:space="preserve">To succeed in a prosecution for a sexual offence where consent is an element, the Crown must prove both the first aspect - that the victim did not consent, and the second aspect </w:t>
      </w:r>
      <w:r w:rsidR="00C879C1" w:rsidRPr="008727FB">
        <w:t>–</w:t>
      </w:r>
      <w:r w:rsidRPr="008727FB">
        <w:t xml:space="preserve"> that</w:t>
      </w:r>
      <w:r w:rsidR="00C879C1" w:rsidRPr="008727FB">
        <w:t xml:space="preserve"> </w:t>
      </w:r>
      <w:r w:rsidRPr="008727FB">
        <w:t>the perpetrator knew the victim did not consent or was reckless about whether or not the victim consented.</w:t>
      </w:r>
    </w:p>
    <w:p w:rsidR="000B15A4" w:rsidRPr="008727FB" w:rsidRDefault="000A5DDF" w:rsidP="000A01F2">
      <w:pPr>
        <w:pStyle w:val="Quote"/>
      </w:pPr>
      <w:r w:rsidRPr="008727FB">
        <w:t xml:space="preserve">Unfortunately, in its definition of consent the proposed legislation conflates these aspects. Furthermore, the second aspect, that is the state of mind of the perpetrator as to the consent of the victim, is now taken by the common law to be defined essentially in terms of recklessness. Reference to recklessness is notably absent from the definition of the meaning of consent in the proposed law. However the provisions which formulate the actual sexual offences, such as section 54 of the </w:t>
      </w:r>
      <w:r w:rsidRPr="008727FB">
        <w:rPr>
          <w:i/>
        </w:rPr>
        <w:t>Crimes Act 1900</w:t>
      </w:r>
      <w:r w:rsidRPr="008727FB">
        <w:t xml:space="preserve">, </w:t>
      </w:r>
      <w:r w:rsidRPr="008727FB">
        <w:lastRenderedPageBreak/>
        <w:t>still retain under the draft the reliance on a recklessness as being crucial to the second aspect.</w:t>
      </w:r>
      <w:r w:rsidR="000B15A4" w:rsidRPr="008727FB">
        <w:rPr>
          <w:rStyle w:val="FootnoteReference"/>
        </w:rPr>
        <w:footnoteReference w:id="27"/>
      </w:r>
      <w:r w:rsidRPr="008727FB">
        <w:t xml:space="preserve">  </w:t>
      </w:r>
    </w:p>
    <w:p w:rsidR="000A5DDF" w:rsidRPr="008727FB" w:rsidRDefault="000B15A4" w:rsidP="00FF1F81">
      <w:pPr>
        <w:pStyle w:val="BodyText"/>
      </w:pPr>
      <w:r w:rsidRPr="008727FB">
        <w:t xml:space="preserve">In </w:t>
      </w:r>
      <w:r w:rsidR="00EB2FDC" w:rsidRPr="008727FB">
        <w:t>relation</w:t>
      </w:r>
      <w:r w:rsidRPr="008727FB">
        <w:t xml:space="preserve"> to the issues of recklessness, the DPP noted that:</w:t>
      </w:r>
    </w:p>
    <w:p w:rsidR="000B15A4" w:rsidRPr="008727FB" w:rsidRDefault="000B15A4" w:rsidP="000B15A4">
      <w:pPr>
        <w:pStyle w:val="Quote"/>
      </w:pPr>
      <w:r w:rsidRPr="008727FB">
        <w:t>For sexual offences, recklessness covers advertent recklessness (that is, a state of mind on the part of the accused that "the other person might not be consenting, but I will engage in sexual intercourse anyway") and inadvertent recklessness (that is, a state of mind on the part of the accused whereby the accused does not even consider whether the other person is consenting, but engages in sexual intercourse). In order to preserve this expansive common law concept of recklessness, which has developed to mirror changing societal attitudes towards the issue of consent, the second aspect of consent should be defined to incorporate this concept of recklessness as to consent.</w:t>
      </w:r>
      <w:r w:rsidRPr="008727FB">
        <w:rPr>
          <w:rStyle w:val="FootnoteReference"/>
        </w:rPr>
        <w:footnoteReference w:id="28"/>
      </w:r>
    </w:p>
    <w:p w:rsidR="000B15A4" w:rsidRPr="008727FB" w:rsidRDefault="004E5897" w:rsidP="00C81064">
      <w:pPr>
        <w:pStyle w:val="BodyText"/>
      </w:pPr>
      <w:r w:rsidRPr="008727FB">
        <w:t xml:space="preserve">In evidence, the DPP confirmed a number of points </w:t>
      </w:r>
      <w:r w:rsidR="00EB2FDC" w:rsidRPr="008727FB">
        <w:t xml:space="preserve">raised </w:t>
      </w:r>
      <w:r w:rsidR="009A4BCD" w:rsidRPr="008727FB">
        <w:t xml:space="preserve">regarding </w:t>
      </w:r>
      <w:r w:rsidR="00EB2FDC" w:rsidRPr="008727FB">
        <w:t>the</w:t>
      </w:r>
      <w:r w:rsidR="00C879C1" w:rsidRPr="008727FB">
        <w:t xml:space="preserve"> B</w:t>
      </w:r>
      <w:r w:rsidRPr="008727FB">
        <w:t xml:space="preserve">ill that </w:t>
      </w:r>
      <w:r w:rsidR="00EB2FDC" w:rsidRPr="008727FB">
        <w:t>w</w:t>
      </w:r>
      <w:r w:rsidRPr="008727FB">
        <w:t xml:space="preserve">ere made </w:t>
      </w:r>
      <w:r w:rsidR="00C879C1" w:rsidRPr="008727FB">
        <w:t>in the DPP’s written submission.</w:t>
      </w:r>
    </w:p>
    <w:p w:rsidR="004E5897" w:rsidRPr="008727FB" w:rsidRDefault="004E5897" w:rsidP="00C81064">
      <w:pPr>
        <w:pStyle w:val="BodyText"/>
      </w:pPr>
      <w:r w:rsidRPr="008727FB">
        <w:t xml:space="preserve">In answer to Committee questions on how </w:t>
      </w:r>
      <w:r w:rsidR="00EB2FDC" w:rsidRPr="008727FB">
        <w:t>consent</w:t>
      </w:r>
      <w:r w:rsidRPr="008727FB">
        <w:t xml:space="preserve"> is dealt with by prosecutors, the Committee was </w:t>
      </w:r>
      <w:r w:rsidR="00EB2FDC" w:rsidRPr="008727FB">
        <w:t>told</w:t>
      </w:r>
      <w:r w:rsidRPr="008727FB">
        <w:t>:</w:t>
      </w:r>
    </w:p>
    <w:p w:rsidR="004E5897" w:rsidRPr="008727FB" w:rsidRDefault="004E5897" w:rsidP="003351B4">
      <w:pPr>
        <w:pStyle w:val="Quote"/>
      </w:pPr>
      <w:r w:rsidRPr="008727FB">
        <w:t xml:space="preserve">A jury has to be convinced that there was or there was not consent. The issue of whether consent is present on behalf of the victim is a matter that the jury has to engage with. It is inherent in the meaning of that term that consent be freely and voluntarily given. Consent that is not freely and voluntarily given is clearly not consent. </w:t>
      </w:r>
    </w:p>
    <w:p w:rsidR="004E5897" w:rsidRPr="008727FB" w:rsidRDefault="004E5897" w:rsidP="003351B4">
      <w:pPr>
        <w:pStyle w:val="Quote"/>
      </w:pPr>
      <w:r w:rsidRPr="008727FB">
        <w:t xml:space="preserve">From the point of view of a common-sense approach by a jury, that is the approach that we invite juries to take and the approach that juries will take. I supplement that by saying that we also have additional assistance in the ACT in section 67 of the </w:t>
      </w:r>
      <w:r w:rsidRPr="008727FB">
        <w:rPr>
          <w:i/>
        </w:rPr>
        <w:t>Crimes Act</w:t>
      </w:r>
      <w:r w:rsidRPr="008727FB">
        <w:t xml:space="preserve">, which assists in identifying circumstances where consent that is apparently given is vitiated. </w:t>
      </w:r>
      <w:r w:rsidRPr="008727FB">
        <w:rPr>
          <w:rStyle w:val="FootnoteReference"/>
        </w:rPr>
        <w:footnoteReference w:id="29"/>
      </w:r>
    </w:p>
    <w:p w:rsidR="004E5897" w:rsidRPr="008727FB" w:rsidRDefault="003351B4" w:rsidP="00C81064">
      <w:pPr>
        <w:pStyle w:val="BodyText"/>
      </w:pPr>
      <w:r w:rsidRPr="008727FB">
        <w:t xml:space="preserve">As far as these consideration are not </w:t>
      </w:r>
      <w:r w:rsidR="00EB2FDC" w:rsidRPr="008727FB">
        <w:t>reflected</w:t>
      </w:r>
      <w:r w:rsidRPr="008727FB">
        <w:t xml:space="preserve"> in (or unaffected by) the Bill, the DPP advised that:</w:t>
      </w:r>
    </w:p>
    <w:p w:rsidR="003351B4" w:rsidRPr="008727FB" w:rsidRDefault="003351B4" w:rsidP="003E17DE">
      <w:pPr>
        <w:pStyle w:val="Quote"/>
      </w:pPr>
      <w:r w:rsidRPr="008727FB">
        <w:t xml:space="preserve">The difficulty comes back to this issue that there is no reference to recklessness in what is picked by the definition of consent. It is like there are two ships passing in the night in terms of the way in which the provisions operate. But at the moment the issue of consent is based around a concept of what consent of the victim actually means, what the real meaning of that is, with the supplementary examples given by </w:t>
      </w:r>
      <w:r w:rsidR="003E17DE" w:rsidRPr="008727FB">
        <w:t>[</w:t>
      </w:r>
      <w:r w:rsidR="00C879C1" w:rsidRPr="008727FB">
        <w:t xml:space="preserve">the </w:t>
      </w:r>
      <w:r w:rsidR="003E17DE" w:rsidRPr="008727FB">
        <w:t>ACT Crimes Act</w:t>
      </w:r>
      <w:r w:rsidR="00EB2FDC" w:rsidRPr="008727FB">
        <w:t>] section</w:t>
      </w:r>
      <w:r w:rsidRPr="008727FB">
        <w:t xml:space="preserve"> 67.</w:t>
      </w:r>
      <w:r w:rsidR="004D0974" w:rsidRPr="008727FB">
        <w:rPr>
          <w:rStyle w:val="FootnoteReference"/>
        </w:rPr>
        <w:footnoteReference w:id="30"/>
      </w:r>
    </w:p>
    <w:p w:rsidR="003E17DE" w:rsidRPr="008727FB" w:rsidRDefault="003E17DE" w:rsidP="003E17DE">
      <w:pPr>
        <w:pStyle w:val="BodyText"/>
      </w:pPr>
      <w:r w:rsidRPr="008727FB">
        <w:lastRenderedPageBreak/>
        <w:t xml:space="preserve">In relation to submission put to the Committee that a level of criminal culpability applies to both an accused who knows that consent is not given and to an accused who </w:t>
      </w:r>
      <w:r w:rsidR="00EB2FDC" w:rsidRPr="008727FB">
        <w:t>believes</w:t>
      </w:r>
      <w:r w:rsidRPr="008727FB">
        <w:t xml:space="preserve"> he or she is acting reasonably, and </w:t>
      </w:r>
      <w:r w:rsidR="00EB2FDC" w:rsidRPr="008727FB">
        <w:t>whether</w:t>
      </w:r>
      <w:r w:rsidRPr="008727FB">
        <w:t xml:space="preserve"> a </w:t>
      </w:r>
      <w:r w:rsidR="00EB2FDC" w:rsidRPr="008727FB">
        <w:t>different</w:t>
      </w:r>
      <w:r w:rsidRPr="008727FB">
        <w:t xml:space="preserve"> level of liability might apply, the DPP advised that:</w:t>
      </w:r>
    </w:p>
    <w:p w:rsidR="003E17DE" w:rsidRPr="008727FB" w:rsidRDefault="003E17DE" w:rsidP="003E17DE">
      <w:pPr>
        <w:pStyle w:val="Quote"/>
      </w:pPr>
      <w:r w:rsidRPr="008727FB">
        <w:t>We really come to this issue of the reasonableness of the belief in consent. Hopefully we will have a chance to talk about that specifically later. But the law really has developed, in developing its concept of recklessness, to encompass both of the positions that you have just postulated and both of those amount to recklessness in the eyes of the common law.</w:t>
      </w:r>
    </w:p>
    <w:p w:rsidR="003E17DE" w:rsidRPr="008727FB" w:rsidRDefault="003E17DE" w:rsidP="003E17DE">
      <w:pPr>
        <w:pStyle w:val="Quote"/>
      </w:pPr>
      <w:r w:rsidRPr="008727FB">
        <w:t xml:space="preserve">One way of explaining that is to refer to advertent recklessness, where a perpetrator adverts to a lack of consent but continues nevertheless. But the common law also continues inadvertent recklessness, where a perpetrator may think that the victim is consenting but proceeds nevertheless. But in those circumstances it is clear that there is a possibility that the victim is not consenting. That is really the latter part of the proposition, that scenario you put to me. </w:t>
      </w:r>
      <w:r w:rsidRPr="008727FB">
        <w:rPr>
          <w:rStyle w:val="FootnoteReference"/>
        </w:rPr>
        <w:footnoteReference w:id="31"/>
      </w:r>
    </w:p>
    <w:p w:rsidR="003E17DE" w:rsidRPr="008727FB" w:rsidRDefault="00C879C1" w:rsidP="00C81064">
      <w:pPr>
        <w:pStyle w:val="BodyText"/>
      </w:pPr>
      <w:r w:rsidRPr="008727FB">
        <w:t>The C</w:t>
      </w:r>
      <w:r w:rsidR="00D85ABF" w:rsidRPr="008727FB">
        <w:t xml:space="preserve">ommittee also discussed the </w:t>
      </w:r>
      <w:r w:rsidRPr="008727FB">
        <w:t>proposal of an</w:t>
      </w:r>
      <w:r w:rsidR="00D85ABF" w:rsidRPr="008727FB">
        <w:t xml:space="preserve"> </w:t>
      </w:r>
      <w:r w:rsidR="00FF1F81" w:rsidRPr="008727FB">
        <w:t>affirmative model of consent</w:t>
      </w:r>
      <w:r w:rsidR="00D85ABF" w:rsidRPr="008727FB">
        <w:t xml:space="preserve"> which</w:t>
      </w:r>
      <w:r w:rsidR="00FF1F81" w:rsidRPr="008727FB">
        <w:t xml:space="preserve"> </w:t>
      </w:r>
      <w:r w:rsidR="00D85ABF" w:rsidRPr="008727FB">
        <w:t>is a basi</w:t>
      </w:r>
      <w:r w:rsidR="00FF1F81" w:rsidRPr="008727FB">
        <w:t>s</w:t>
      </w:r>
      <w:r w:rsidRPr="008727FB">
        <w:t xml:space="preserve"> of the B</w:t>
      </w:r>
      <w:r w:rsidR="00D85ABF" w:rsidRPr="008727FB">
        <w:t>ill.  The DPP noted that there ne</w:t>
      </w:r>
      <w:r w:rsidR="00FF1F81" w:rsidRPr="008727FB">
        <w:t>eds</w:t>
      </w:r>
      <w:r w:rsidR="00D85ABF" w:rsidRPr="008727FB">
        <w:t xml:space="preserve"> to be a d</w:t>
      </w:r>
      <w:r w:rsidR="00FF1F81" w:rsidRPr="008727FB">
        <w:t>i</w:t>
      </w:r>
      <w:r w:rsidR="00D85ABF" w:rsidRPr="008727FB">
        <w:t xml:space="preserve">stinction </w:t>
      </w:r>
      <w:r w:rsidR="00FF1F81" w:rsidRPr="008727FB">
        <w:t>drawn</w:t>
      </w:r>
      <w:r w:rsidR="00D85ABF" w:rsidRPr="008727FB">
        <w:t xml:space="preserve"> </w:t>
      </w:r>
      <w:r w:rsidR="00FF1F81" w:rsidRPr="008727FB">
        <w:t>between</w:t>
      </w:r>
      <w:r w:rsidR="00D85ABF" w:rsidRPr="008727FB">
        <w:t xml:space="preserve"> that pro</w:t>
      </w:r>
      <w:r w:rsidR="00FF1F81" w:rsidRPr="008727FB">
        <w:t>po</w:t>
      </w:r>
      <w:r w:rsidR="00D85ABF" w:rsidRPr="008727FB">
        <w:t xml:space="preserve">sal and the criminal law, and to have </w:t>
      </w:r>
      <w:r w:rsidR="00FF1F81" w:rsidRPr="008727FB">
        <w:t>particular</w:t>
      </w:r>
      <w:r w:rsidR="00D85ABF" w:rsidRPr="008727FB">
        <w:t xml:space="preserve"> </w:t>
      </w:r>
      <w:r w:rsidR="00FF1F81" w:rsidRPr="008727FB">
        <w:t>attention</w:t>
      </w:r>
      <w:r w:rsidR="00D85ABF" w:rsidRPr="008727FB">
        <w:t xml:space="preserve"> to:</w:t>
      </w:r>
    </w:p>
    <w:p w:rsidR="00D85ABF" w:rsidRPr="008727FB" w:rsidRDefault="00C879C1" w:rsidP="00D85ABF">
      <w:pPr>
        <w:pStyle w:val="Quote"/>
      </w:pPr>
      <w:r w:rsidRPr="008727FB">
        <w:t>.</w:t>
      </w:r>
      <w:r w:rsidR="00D85ABF" w:rsidRPr="008727FB">
        <w:t xml:space="preserve">..the difference between societal attitudes on the one hand and how the criminal law deals with a matter. We need to be very certain that people we are prosecuting and having convicted of sexual assault have transgressed a very clear line. </w:t>
      </w:r>
    </w:p>
    <w:p w:rsidR="00D85ABF" w:rsidRPr="008727FB" w:rsidRDefault="00D85ABF" w:rsidP="00D85ABF">
      <w:pPr>
        <w:pStyle w:val="Quote"/>
      </w:pPr>
      <w:r w:rsidRPr="008727FB">
        <w:t>It is all very well to posit this affirmative position on consent, but I think we know in the real world that that is not the way human beings interact. The criminal law needs to deal with the real world as to how people actually react. That is what the criminal law does—we look at human behaviour as it actually happens and we draw lines on particular parts and say that that type of behaviour is prohibited.</w:t>
      </w:r>
      <w:r w:rsidRPr="008727FB">
        <w:rPr>
          <w:rStyle w:val="FootnoteReference"/>
        </w:rPr>
        <w:footnoteReference w:id="32"/>
      </w:r>
    </w:p>
    <w:p w:rsidR="00D85ABF" w:rsidRPr="008727FB" w:rsidRDefault="009A4BCD" w:rsidP="00C81064">
      <w:pPr>
        <w:pStyle w:val="BodyText"/>
      </w:pPr>
      <w:r w:rsidRPr="008727FB">
        <w:t>The C</w:t>
      </w:r>
      <w:r w:rsidR="00C61C69" w:rsidRPr="008727FB">
        <w:t xml:space="preserve">ommittee </w:t>
      </w:r>
      <w:r w:rsidR="00FF1F81" w:rsidRPr="008727FB">
        <w:t>comments</w:t>
      </w:r>
      <w:r w:rsidR="00C61C69" w:rsidRPr="008727FB">
        <w:t xml:space="preserve"> on the matters </w:t>
      </w:r>
      <w:r w:rsidR="00C879C1" w:rsidRPr="008727FB">
        <w:t>raised</w:t>
      </w:r>
      <w:r w:rsidR="00C61C69" w:rsidRPr="008727FB">
        <w:t xml:space="preserve"> by the DPP in </w:t>
      </w:r>
      <w:r w:rsidR="008273AC" w:rsidRPr="008727FB">
        <w:t>c</w:t>
      </w:r>
      <w:r w:rsidR="00FF1F81" w:rsidRPr="008727FB">
        <w:t>hapter</w:t>
      </w:r>
      <w:r w:rsidR="00C61C69" w:rsidRPr="008727FB">
        <w:t xml:space="preserve"> 5.</w:t>
      </w:r>
    </w:p>
    <w:p w:rsidR="001A526F" w:rsidRPr="008727FB" w:rsidRDefault="001A526F" w:rsidP="001A526F">
      <w:pPr>
        <w:pStyle w:val="Heading3"/>
      </w:pPr>
      <w:bookmarkStart w:id="70" w:name="_Toc528670946"/>
      <w:r w:rsidRPr="008727FB">
        <w:t>ACT Bar Association</w:t>
      </w:r>
      <w:bookmarkEnd w:id="70"/>
    </w:p>
    <w:p w:rsidR="00C61C69" w:rsidRPr="008727FB" w:rsidRDefault="0099723D" w:rsidP="00C61C69">
      <w:pPr>
        <w:pStyle w:val="BodyText"/>
      </w:pPr>
      <w:r w:rsidRPr="008727FB">
        <w:t xml:space="preserve">The </w:t>
      </w:r>
      <w:r w:rsidR="00C61C69" w:rsidRPr="008727FB">
        <w:t xml:space="preserve">ACT </w:t>
      </w:r>
      <w:r w:rsidRPr="008727FB">
        <w:t>B</w:t>
      </w:r>
      <w:r w:rsidR="00C61C69" w:rsidRPr="008727FB">
        <w:t>ar Association submission to the committee</w:t>
      </w:r>
      <w:r w:rsidR="00FF1F81" w:rsidRPr="008727FB">
        <w:t xml:space="preserve"> put its comment on th</w:t>
      </w:r>
      <w:r w:rsidRPr="008727FB">
        <w:t>e</w:t>
      </w:r>
      <w:r w:rsidR="00FF1F81" w:rsidRPr="008727FB">
        <w:t xml:space="preserve"> cons</w:t>
      </w:r>
      <w:r w:rsidRPr="008727FB">
        <w:t>en</w:t>
      </w:r>
      <w:r w:rsidR="00FF1F81" w:rsidRPr="008727FB">
        <w:t xml:space="preserve">t </w:t>
      </w:r>
      <w:r w:rsidRPr="008727FB">
        <w:t>provisions</w:t>
      </w:r>
      <w:r w:rsidR="00C879C1" w:rsidRPr="008727FB">
        <w:t xml:space="preserve"> of the Bill as:</w:t>
      </w:r>
    </w:p>
    <w:p w:rsidR="00FF1F81" w:rsidRPr="008727FB" w:rsidRDefault="00FF1F81" w:rsidP="00FF1F81">
      <w:pPr>
        <w:pStyle w:val="Quote"/>
      </w:pPr>
      <w:r w:rsidRPr="008727FB">
        <w:t xml:space="preserve">The rights of people who allege that they have been the victim of sexual assault must be balanced against the right of those who stand accused to have their guilt determined in accordance with balanced laws and otherwise in the context of a fair </w:t>
      </w:r>
      <w:r w:rsidRPr="008727FB">
        <w:lastRenderedPageBreak/>
        <w:t>trial. As a general proposition the Bar supports statutory expressions of crime of sexual assault that provide a balanced and clear expression of criminal liability. Any definition of consent must criminalises only that conduct that is generally regarded to be of such culpability that it should attract criminal sanction.</w:t>
      </w:r>
      <w:r w:rsidRPr="008727FB">
        <w:rPr>
          <w:rStyle w:val="FootnoteReference"/>
        </w:rPr>
        <w:footnoteReference w:id="33"/>
      </w:r>
    </w:p>
    <w:p w:rsidR="00FF1F81" w:rsidRPr="008727FB" w:rsidRDefault="009A4BCD" w:rsidP="009A4BCD">
      <w:pPr>
        <w:pStyle w:val="BodyText"/>
        <w:numPr>
          <w:ilvl w:val="0"/>
          <w:numId w:val="0"/>
        </w:numPr>
        <w:ind w:left="567"/>
      </w:pPr>
      <w:r w:rsidRPr="008727FB">
        <w:t>a</w:t>
      </w:r>
      <w:r w:rsidR="00FF1F81" w:rsidRPr="008727FB">
        <w:t>nd</w:t>
      </w:r>
      <w:r w:rsidR="00C879C1" w:rsidRPr="008727FB">
        <w:t>:</w:t>
      </w:r>
    </w:p>
    <w:p w:rsidR="00FF1F81" w:rsidRPr="008727FB" w:rsidRDefault="00FF1F81" w:rsidP="00FF1F81">
      <w:pPr>
        <w:pStyle w:val="Quote"/>
      </w:pPr>
      <w:r w:rsidRPr="008727FB">
        <w:t xml:space="preserve">The Bar is convinced that the Bill does not meet this test. Consent is defined to mean “free and voluntary agreement” or if the accused “is satisfied on reasonable grounds that the agreement was freely and voluntarily given”. The following comments are made. </w:t>
      </w:r>
    </w:p>
    <w:p w:rsidR="00FF1F81" w:rsidRPr="008727FB" w:rsidRDefault="00FF1F81" w:rsidP="00FF1F81">
      <w:pPr>
        <w:pStyle w:val="Quote"/>
      </w:pPr>
      <w:r w:rsidRPr="008727FB">
        <w:t xml:space="preserve">1. No guidance is given to the concept of “free and voluntary agreement”. Is a complainant persuaded to engage in a sexual act someone who engages freely and voluntarily in that act? Whilst it is said in the Explanatory Statement that the Bill involves the introduction of an “affirmative communicative model for consent”, it is not clear that this is what the Bill does. </w:t>
      </w:r>
    </w:p>
    <w:p w:rsidR="00FF1F81" w:rsidRPr="008727FB" w:rsidRDefault="00FF1F81" w:rsidP="00FF1F81">
      <w:pPr>
        <w:pStyle w:val="Quote"/>
      </w:pPr>
      <w:r w:rsidRPr="008727FB">
        <w:t xml:space="preserve">2. The provision would create a legal liability notwithstanding the existence of an honestly held belief that the complainant was consenting. </w:t>
      </w:r>
    </w:p>
    <w:p w:rsidR="00FF1F81" w:rsidRPr="008727FB" w:rsidRDefault="00FF1F81" w:rsidP="00FF1F81">
      <w:pPr>
        <w:pStyle w:val="Quote"/>
      </w:pPr>
      <w:r w:rsidRPr="008727FB">
        <w:t xml:space="preserve">3. The provision seems to cast a legal burden on the accused to the matters at the </w:t>
      </w:r>
      <w:r w:rsidR="00EB25B2" w:rsidRPr="008727FB">
        <w:t>[</w:t>
      </w:r>
      <w:r w:rsidR="00EB25B2" w:rsidRPr="008727FB">
        <w:rPr>
          <w:i/>
        </w:rPr>
        <w:t>Crimes Act</w:t>
      </w:r>
      <w:r w:rsidR="00EB25B2" w:rsidRPr="008727FB">
        <w:t xml:space="preserve">] </w:t>
      </w:r>
      <w:r w:rsidRPr="008727FB">
        <w:t>amended section 67(1)</w:t>
      </w:r>
      <w:r w:rsidR="00EB25B2" w:rsidRPr="008727FB">
        <w:t xml:space="preserve"> </w:t>
      </w:r>
      <w:r w:rsidRPr="008727FB">
        <w:t xml:space="preserve">(b). That would require the accused to prove that he/she was satisfied on reasonable grounds that the agreement was freely and voluntarily given. This not only shifts the ultimate onus of proof to an accused but by the use of the expression “satisfied” lifts the level of satisfaction from a lower threshold of “belief”. Such an approach overthrows the general approach to criminal liability set out in the </w:t>
      </w:r>
      <w:r w:rsidRPr="008727FB">
        <w:rPr>
          <w:i/>
        </w:rPr>
        <w:t>Crimes Act 1900</w:t>
      </w:r>
      <w:r w:rsidRPr="008727FB">
        <w:t xml:space="preserve"> and </w:t>
      </w:r>
      <w:r w:rsidRPr="008727FB">
        <w:rPr>
          <w:i/>
        </w:rPr>
        <w:t xml:space="preserve">Criminal Code 2002 </w:t>
      </w:r>
      <w:r w:rsidRPr="008727FB">
        <w:t xml:space="preserve">(see section 58). It would also be contrary to the right to a fair trial set out in section 21 and of the </w:t>
      </w:r>
      <w:r w:rsidRPr="008727FB">
        <w:rPr>
          <w:i/>
        </w:rPr>
        <w:t xml:space="preserve">Human Rights </w:t>
      </w:r>
      <w:r w:rsidR="00C879C1" w:rsidRPr="008727FB">
        <w:rPr>
          <w:i/>
        </w:rPr>
        <w:t xml:space="preserve">Act </w:t>
      </w:r>
      <w:r w:rsidRPr="008727FB">
        <w:rPr>
          <w:i/>
        </w:rPr>
        <w:t>2004</w:t>
      </w:r>
      <w:r w:rsidRPr="008727FB">
        <w:t xml:space="preserve"> and the presumption of innocence found in section 22 of the </w:t>
      </w:r>
      <w:r w:rsidRPr="008727FB">
        <w:rPr>
          <w:i/>
        </w:rPr>
        <w:t>Human Rights Act 2004</w:t>
      </w:r>
      <w:r w:rsidRPr="008727FB">
        <w:t>.</w:t>
      </w:r>
      <w:r w:rsidR="00EB25B2" w:rsidRPr="008727FB">
        <w:rPr>
          <w:rStyle w:val="FootnoteReference"/>
        </w:rPr>
        <w:footnoteReference w:id="34"/>
      </w:r>
    </w:p>
    <w:p w:rsidR="00EB25B2" w:rsidRPr="008727FB" w:rsidRDefault="00EB25B2" w:rsidP="00EB25B2">
      <w:pPr>
        <w:pStyle w:val="BodyText"/>
      </w:pPr>
      <w:r w:rsidRPr="008727FB">
        <w:t>I</w:t>
      </w:r>
      <w:r w:rsidR="007D78BD" w:rsidRPr="008727FB">
        <w:t>n evidence, the Bar Association no</w:t>
      </w:r>
      <w:r w:rsidR="00C879C1" w:rsidRPr="008727FB">
        <w:t>ted that the B</w:t>
      </w:r>
      <w:r w:rsidR="007D78BD" w:rsidRPr="008727FB">
        <w:t>ill’s proposal would, if enacted, send the</w:t>
      </w:r>
      <w:r w:rsidR="00C879C1" w:rsidRPr="008727FB">
        <w:t xml:space="preserve"> ACT off on a different course to</w:t>
      </w:r>
      <w:r w:rsidR="007D78BD" w:rsidRPr="008727FB">
        <w:t xml:space="preserve"> other jurisdictions:</w:t>
      </w:r>
    </w:p>
    <w:p w:rsidR="007D78BD" w:rsidRPr="008727FB" w:rsidRDefault="007D78BD" w:rsidP="007D78BD">
      <w:pPr>
        <w:pStyle w:val="Quote"/>
      </w:pPr>
      <w:r w:rsidRPr="008727FB">
        <w:t xml:space="preserve">The concern is with </w:t>
      </w:r>
      <w:r w:rsidR="0044228F" w:rsidRPr="008727FB">
        <w:t>[</w:t>
      </w:r>
      <w:r w:rsidR="0044228F" w:rsidRPr="008727FB">
        <w:rPr>
          <w:i/>
        </w:rPr>
        <w:t>Crimes Act</w:t>
      </w:r>
      <w:r w:rsidR="0044228F" w:rsidRPr="008727FB">
        <w:t xml:space="preserve">] </w:t>
      </w:r>
      <w:r w:rsidRPr="008727FB">
        <w:t>section 67, which provides in subsection (1</w:t>
      </w:r>
      <w:r w:rsidR="0099723D" w:rsidRPr="008727FB">
        <w:t>) (</w:t>
      </w:r>
      <w:r w:rsidRPr="008727FB">
        <w:t xml:space="preserve">b) that the other person knows the agreement was freely and voluntarily given and then, particularly, is satisfied on reasonable grounds the agreement was freely and voluntarily given. It is not a formulation I have seen anywhere else in interstate law. That is not to say there are not objective formulations of the fault element elsewhere; there clearly are. New South Wales has one; Victoria has one. In fact, the ACT may be one of the last jurisdictions not to have an objective fault element. </w:t>
      </w:r>
    </w:p>
    <w:p w:rsidR="007D78BD" w:rsidRPr="008727FB" w:rsidRDefault="007D78BD" w:rsidP="007D78BD">
      <w:pPr>
        <w:pStyle w:val="Quote"/>
      </w:pPr>
      <w:r w:rsidRPr="008727FB">
        <w:lastRenderedPageBreak/>
        <w:t>However, this is unique in that it appears, on its face, to put a legal onus on the accused to demonstrate that satisfaction. Perhaps it is a lack of clarity, but I think that in itself is significant. On its face it seems to go far beyond even that question of objectivity to a question of a reversal of onus—putting it on to the accused person. That is a very significant matter and not something that should be undertaken lightly.</w:t>
      </w:r>
      <w:r w:rsidR="0044228F" w:rsidRPr="008727FB">
        <w:rPr>
          <w:rStyle w:val="FootnoteReference"/>
        </w:rPr>
        <w:footnoteReference w:id="35"/>
      </w:r>
      <w:r w:rsidRPr="008727FB">
        <w:t xml:space="preserve"> </w:t>
      </w:r>
    </w:p>
    <w:p w:rsidR="0044228F" w:rsidRPr="008727FB" w:rsidRDefault="0044228F" w:rsidP="00C879C1">
      <w:pPr>
        <w:pStyle w:val="BodyText"/>
      </w:pPr>
      <w:r w:rsidRPr="008727FB">
        <w:t xml:space="preserve">When questioned about </w:t>
      </w:r>
      <w:r w:rsidR="0099723D" w:rsidRPr="008727FB">
        <w:t>the possibility</w:t>
      </w:r>
      <w:r w:rsidRPr="008727FB">
        <w:t xml:space="preserve"> of developing and applying a form of positive consent terminology or definition, and still be able to achieve legal verification so as to ensure protection </w:t>
      </w:r>
      <w:r w:rsidR="0099723D" w:rsidRPr="008727FB">
        <w:t>of women</w:t>
      </w:r>
      <w:r w:rsidRPr="008727FB">
        <w:t xml:space="preserve"> victims, the Bar </w:t>
      </w:r>
      <w:r w:rsidR="0099723D" w:rsidRPr="008727FB">
        <w:t>Association</w:t>
      </w:r>
      <w:r w:rsidRPr="008727FB">
        <w:t xml:space="preserve"> representative noted: </w:t>
      </w:r>
    </w:p>
    <w:p w:rsidR="009674C6" w:rsidRPr="008727FB" w:rsidRDefault="009674C6" w:rsidP="009674C6">
      <w:pPr>
        <w:pStyle w:val="Quote"/>
      </w:pPr>
      <w:r w:rsidRPr="008727FB">
        <w:t xml:space="preserve">A lot of different meanings might go with the idea of a positive consent standard. Perhaps the most obvious one is to understand it by way of an objective fault element, which essentially means that, in terms of the way we think of the law, a person has to have some grounds or some reasonableness to their belief in consent. </w:t>
      </w:r>
    </w:p>
    <w:p w:rsidR="009674C6" w:rsidRPr="008727FB" w:rsidRDefault="009674C6" w:rsidP="009674C6">
      <w:pPr>
        <w:pStyle w:val="Quote"/>
      </w:pPr>
      <w:r w:rsidRPr="008727FB">
        <w:t xml:space="preserve">Insofar as that puts an onus, practically speaking, on an accused person to actually ascertain agreement, then I think we are progressing towards a law reform that might in an overarching way be something considered a positive standard where there is some kind of obligation. That is a separate issue to proving the offence. I am not suggesting to have those confused, but it is a concern in relation to this </w:t>
      </w:r>
      <w:r w:rsidR="00C879C1" w:rsidRPr="008727FB">
        <w:t>B</w:t>
      </w:r>
      <w:r w:rsidRPr="008727FB">
        <w:t xml:space="preserve">ill. </w:t>
      </w:r>
      <w:r w:rsidRPr="008727FB">
        <w:rPr>
          <w:rStyle w:val="FootnoteReference"/>
        </w:rPr>
        <w:footnoteReference w:id="36"/>
      </w:r>
    </w:p>
    <w:p w:rsidR="007D78BD" w:rsidRPr="008727FB" w:rsidRDefault="00F95A52" w:rsidP="00EB25B2">
      <w:pPr>
        <w:pStyle w:val="BodyText"/>
      </w:pPr>
      <w:r w:rsidRPr="008727FB">
        <w:t>I</w:t>
      </w:r>
      <w:r w:rsidR="00C879C1" w:rsidRPr="008727FB">
        <w:t>n this context, it was also a mat</w:t>
      </w:r>
      <w:r w:rsidRPr="008727FB">
        <w:t xml:space="preserve">ter that the Bar </w:t>
      </w:r>
      <w:r w:rsidR="0099723D" w:rsidRPr="008727FB">
        <w:t>Association</w:t>
      </w:r>
      <w:r w:rsidRPr="008727FB">
        <w:t xml:space="preserve"> </w:t>
      </w:r>
      <w:r w:rsidR="009A4BCD" w:rsidRPr="008727FB">
        <w:t xml:space="preserve">stated </w:t>
      </w:r>
      <w:r w:rsidRPr="008727FB">
        <w:t xml:space="preserve">was important as </w:t>
      </w:r>
      <w:r w:rsidR="0099723D" w:rsidRPr="008727FB">
        <w:t>a matter</w:t>
      </w:r>
      <w:r w:rsidRPr="008727FB">
        <w:t xml:space="preserve"> of consideration and debate, </w:t>
      </w:r>
      <w:r w:rsidR="0099723D" w:rsidRPr="008727FB">
        <w:t>particularly</w:t>
      </w:r>
      <w:r w:rsidRPr="008727FB">
        <w:t xml:space="preserve"> in light of the ACT’s </w:t>
      </w:r>
      <w:r w:rsidR="0099723D" w:rsidRPr="008727FB">
        <w:t xml:space="preserve">different position </w:t>
      </w:r>
      <w:r w:rsidRPr="008727FB">
        <w:t>in relation to consent, and th</w:t>
      </w:r>
      <w:r w:rsidR="0099723D" w:rsidRPr="008727FB">
        <w:t>e</w:t>
      </w:r>
      <w:r w:rsidRPr="008727FB">
        <w:t xml:space="preserve"> matters being </w:t>
      </w:r>
      <w:r w:rsidR="0099723D" w:rsidRPr="008727FB">
        <w:t>examined</w:t>
      </w:r>
      <w:r w:rsidR="00C879C1" w:rsidRPr="008727FB">
        <w:t xml:space="preserve"> by the NSWLRC:</w:t>
      </w:r>
    </w:p>
    <w:p w:rsidR="00F95A52" w:rsidRPr="008727FB" w:rsidRDefault="00F95A52" w:rsidP="00F95A52">
      <w:pPr>
        <w:pStyle w:val="Quote"/>
      </w:pPr>
      <w:r w:rsidRPr="008727FB">
        <w:t>…</w:t>
      </w:r>
      <w:r w:rsidR="0099723D" w:rsidRPr="008727FB">
        <w:t>as you are aware, the B</w:t>
      </w:r>
      <w:r w:rsidRPr="008727FB">
        <w:t xml:space="preserve">ar’s position is that subjective fault is the appropriate fault in relation to this. That essentially is based around an idea that significant penalties reflecting significant criminality should go with a criminal state of mind, a state of mind we could describe as culpable rather than inadvertent so that it does not pick up someone who honestly believes in consent but is mistaken. </w:t>
      </w:r>
    </w:p>
    <w:p w:rsidR="00F95A52" w:rsidRPr="008727FB" w:rsidRDefault="00F95A52" w:rsidP="00F95A52">
      <w:pPr>
        <w:pStyle w:val="Quote"/>
      </w:pPr>
      <w:r w:rsidRPr="008727FB">
        <w:t>But I have to acknowledge that, in terms of way the law is moving in other jurisdictions, other jurisdictions are picking up and have picked up the idea that the belief has to be reasonable, and that is where the objective aspect comes in. I think that is where this idea of a positive consent standard rests to some extent.</w:t>
      </w:r>
      <w:r w:rsidRPr="008727FB">
        <w:rPr>
          <w:rStyle w:val="FootnoteReference"/>
        </w:rPr>
        <w:footnoteReference w:id="37"/>
      </w:r>
    </w:p>
    <w:p w:rsidR="00F95A52" w:rsidRPr="008727FB" w:rsidRDefault="0099723D" w:rsidP="00EB25B2">
      <w:pPr>
        <w:pStyle w:val="BodyText"/>
      </w:pPr>
      <w:r w:rsidRPr="008727FB">
        <w:t xml:space="preserve">Further commentary </w:t>
      </w:r>
      <w:r w:rsidR="00876CFE" w:rsidRPr="008727FB">
        <w:t xml:space="preserve"> on the question of subjective fault was </w:t>
      </w:r>
      <w:r w:rsidRPr="008727FB">
        <w:t>highlighted:</w:t>
      </w:r>
    </w:p>
    <w:p w:rsidR="00876CFE" w:rsidRPr="008727FB" w:rsidRDefault="00876CFE" w:rsidP="00876CFE">
      <w:pPr>
        <w:pStyle w:val="Quote"/>
      </w:pPr>
      <w:r w:rsidRPr="008727FB">
        <w:t xml:space="preserve">As the law currently stands, an honest, though mistaken, belief in consent would stand against a conviction. However, the reasonableness of the belief is something that gets taken into account in determining whether or not a belief is honest. So the more </w:t>
      </w:r>
      <w:r w:rsidRPr="008727FB">
        <w:lastRenderedPageBreak/>
        <w:t xml:space="preserve">unreasonable a belief may be, the less likely it is to be considered that there is any doubt about the honesty of the belief held. </w:t>
      </w:r>
    </w:p>
    <w:p w:rsidR="00876CFE" w:rsidRPr="008727FB" w:rsidRDefault="00876CFE" w:rsidP="00876CFE">
      <w:pPr>
        <w:pStyle w:val="Quote"/>
      </w:pPr>
      <w:r w:rsidRPr="008727FB">
        <w:t>We largely hold to the Morgan position in the sense of the subjective fault element here. But as I think was referred to by the director, there are a number of ways in the ACT that knowledge of lack of consent can be proven. They all essentially fall under this idea of recklessness. Then that gets a number of features. You can either know that there is a lack of consent or you can be aware of the possibility that there is a lack of consent. That will result in a conviction. Or you may be someone who did not turn your mind to it, and that is broadly picked up by the idea of recklessness just when it comes to sexual assault.</w:t>
      </w:r>
      <w:r w:rsidRPr="008727FB">
        <w:rPr>
          <w:rStyle w:val="FootnoteReference"/>
        </w:rPr>
        <w:footnoteReference w:id="38"/>
      </w:r>
    </w:p>
    <w:p w:rsidR="009143A0" w:rsidRPr="008727FB" w:rsidRDefault="009143A0" w:rsidP="009143A0">
      <w:pPr>
        <w:pStyle w:val="BodyText"/>
      </w:pPr>
      <w:r w:rsidRPr="008727FB">
        <w:t>As noted in relation to other v</w:t>
      </w:r>
      <w:r w:rsidR="00C879C1" w:rsidRPr="008727FB">
        <w:t>iews put to the Committee, the C</w:t>
      </w:r>
      <w:r w:rsidRPr="008727FB">
        <w:t xml:space="preserve">ommittee deals with views put to it </w:t>
      </w:r>
      <w:r w:rsidR="00C879C1" w:rsidRPr="008727FB">
        <w:t xml:space="preserve">by the Bar Association </w:t>
      </w:r>
      <w:r w:rsidR="008273AC" w:rsidRPr="008727FB">
        <w:t>in c</w:t>
      </w:r>
      <w:r w:rsidRPr="008727FB">
        <w:t>hapter</w:t>
      </w:r>
      <w:r w:rsidR="00C879C1" w:rsidRPr="008727FB">
        <w:t xml:space="preserve"> </w:t>
      </w:r>
      <w:r w:rsidRPr="008727FB">
        <w:t>5.</w:t>
      </w:r>
    </w:p>
    <w:p w:rsidR="001A526F" w:rsidRPr="008727FB" w:rsidRDefault="001A526F" w:rsidP="001A526F">
      <w:pPr>
        <w:pStyle w:val="Heading3"/>
      </w:pPr>
      <w:bookmarkStart w:id="71" w:name="_Toc528670947"/>
      <w:r w:rsidRPr="008727FB">
        <w:t>ACT Law Society</w:t>
      </w:r>
      <w:bookmarkEnd w:id="71"/>
    </w:p>
    <w:p w:rsidR="009143A0" w:rsidRPr="008727FB" w:rsidRDefault="009143A0" w:rsidP="009143A0">
      <w:pPr>
        <w:pStyle w:val="BodyText"/>
      </w:pPr>
      <w:r w:rsidRPr="008727FB">
        <w:t>The</w:t>
      </w:r>
      <w:r w:rsidR="00C879C1" w:rsidRPr="008727FB">
        <w:t xml:space="preserve"> ACT</w:t>
      </w:r>
      <w:r w:rsidRPr="008727FB">
        <w:t xml:space="preserve"> Law Society </w:t>
      </w:r>
      <w:r w:rsidR="00C879C1" w:rsidRPr="008727FB">
        <w:t xml:space="preserve">(the Society) </w:t>
      </w:r>
      <w:r w:rsidRPr="008727FB">
        <w:t>submission on the Bill</w:t>
      </w:r>
      <w:r w:rsidR="00B91F26" w:rsidRPr="008727FB">
        <w:t xml:space="preserve"> advocated the following approach to the Bill:</w:t>
      </w:r>
    </w:p>
    <w:p w:rsidR="00B91F26" w:rsidRPr="008727FB" w:rsidRDefault="00B91F26" w:rsidP="00B91F26">
      <w:pPr>
        <w:pStyle w:val="Quote"/>
      </w:pPr>
      <w:r w:rsidRPr="008727FB">
        <w:t xml:space="preserve">The Society notes that clause 7 (section 67(1)) of the Bill introduces a statutory definition of </w:t>
      </w:r>
      <w:r w:rsidRPr="008727FB">
        <w:rPr>
          <w:i/>
        </w:rPr>
        <w:t xml:space="preserve">consent. </w:t>
      </w:r>
      <w:r w:rsidRPr="008727FB">
        <w:t xml:space="preserve">As the statutory definition of </w:t>
      </w:r>
      <w:r w:rsidRPr="008727FB">
        <w:rPr>
          <w:i/>
        </w:rPr>
        <w:t xml:space="preserve">consent </w:t>
      </w:r>
      <w:r w:rsidRPr="008727FB">
        <w:t xml:space="preserve">is drafted in similar terms to section 61HA of the </w:t>
      </w:r>
      <w:r w:rsidRPr="008727FB">
        <w:rPr>
          <w:i/>
        </w:rPr>
        <w:t xml:space="preserve">Crimes Act 1900 </w:t>
      </w:r>
      <w:r w:rsidRPr="008727FB">
        <w:t>(NSW), we strongly urge the Committee to suspend its Inquiry until the New South Wales Law Reform Commission (‘NSWLRC’) has completed its Review of Consent in Relation to Sexual Assault Offences (‘the NSWLRC Review’). The Society has had the benefit of reading the New South Wales Bar Association’s preliminary submission to the NSWLRC Review and we understand that the NSWLRC will soon seek further public comment.</w:t>
      </w:r>
      <w:r w:rsidRPr="008727FB">
        <w:rPr>
          <w:rStyle w:val="FootnoteReference"/>
          <w:rFonts w:asciiTheme="minorHAnsi" w:hAnsiTheme="minorHAnsi"/>
        </w:rPr>
        <w:footnoteReference w:id="39"/>
      </w:r>
    </w:p>
    <w:p w:rsidR="00031054" w:rsidRPr="008727FB" w:rsidRDefault="0099723D" w:rsidP="009143A0">
      <w:pPr>
        <w:pStyle w:val="BodyText"/>
      </w:pPr>
      <w:r w:rsidRPr="008727FB">
        <w:t>While</w:t>
      </w:r>
      <w:r w:rsidR="00D075F0" w:rsidRPr="008727FB">
        <w:t xml:space="preserve"> its</w:t>
      </w:r>
      <w:r w:rsidR="00B91F26" w:rsidRPr="008727FB">
        <w:t xml:space="preserve"> </w:t>
      </w:r>
      <w:r w:rsidRPr="008727FB">
        <w:t xml:space="preserve">submission accords with other views </w:t>
      </w:r>
      <w:r w:rsidR="00B91F26" w:rsidRPr="008727FB">
        <w:t xml:space="preserve">on how </w:t>
      </w:r>
      <w:r w:rsidRPr="008727FB">
        <w:t>the B</w:t>
      </w:r>
      <w:r w:rsidR="00B91F26" w:rsidRPr="008727FB">
        <w:t>ill might be dealt with, the</w:t>
      </w:r>
      <w:r w:rsidR="003808DA" w:rsidRPr="008727FB">
        <w:t xml:space="preserve"> Committee notes the following </w:t>
      </w:r>
      <w:r w:rsidRPr="008727FB">
        <w:t>conclusions</w:t>
      </w:r>
      <w:r w:rsidR="00C879C1" w:rsidRPr="008727FB">
        <w:t xml:space="preserve"> and recommendations from the Society </w:t>
      </w:r>
      <w:r w:rsidR="00CC4B3E" w:rsidRPr="008727FB">
        <w:t xml:space="preserve">for the Committee’s </w:t>
      </w:r>
      <w:r w:rsidRPr="008727FB">
        <w:t>consideration</w:t>
      </w:r>
      <w:r w:rsidR="003808DA" w:rsidRPr="008727FB">
        <w:t>:</w:t>
      </w:r>
    </w:p>
    <w:p w:rsidR="003808DA" w:rsidRPr="008727FB" w:rsidRDefault="003808DA" w:rsidP="00867483">
      <w:pPr>
        <w:pStyle w:val="ListBullet"/>
      </w:pPr>
      <w:r w:rsidRPr="008727FB">
        <w:t>The Society considers that the ‘free and voluntary agreement’ concept is ambiguous because the ordinary meaning of the words ‘free’, ‘voluntary’ and ‘agreement’ are not precisely defined. The concept lacks legal certainty and could capture conduct that is undeserving of criminal sanction.</w:t>
      </w:r>
      <w:r w:rsidRPr="008727FB">
        <w:rPr>
          <w:rStyle w:val="FootnoteReference"/>
          <w:rFonts w:ascii="Arial Narrow" w:hAnsi="Arial Narrow"/>
        </w:rPr>
        <w:footnoteReference w:id="40"/>
      </w:r>
    </w:p>
    <w:p w:rsidR="003808DA" w:rsidRPr="008727FB" w:rsidRDefault="003808DA" w:rsidP="00867483">
      <w:pPr>
        <w:pStyle w:val="ListBullet"/>
        <w:rPr>
          <w:bCs/>
        </w:rPr>
      </w:pPr>
      <w:r w:rsidRPr="008727FB">
        <w:t xml:space="preserve">The Society strongly agrees with the Standing Committee on Justice and Community Safety (Legislative Scrutiny Role) that the Bill introduces a definition of </w:t>
      </w:r>
      <w:r w:rsidRPr="008727FB">
        <w:rPr>
          <w:i/>
        </w:rPr>
        <w:t>consent</w:t>
      </w:r>
      <w:r w:rsidRPr="008727FB">
        <w:t xml:space="preserve"> that is </w:t>
      </w:r>
      <w:r w:rsidRPr="008727FB">
        <w:lastRenderedPageBreak/>
        <w:t>likely to result in ambiguity and uncertainty. Clause 7 (section 67(1)) conflates two separate issues, being firstly, whether a person provides consent and, secondly, whether the accused knows, or reasonably believes, that the consent is provided. Suc</w:t>
      </w:r>
      <w:r w:rsidRPr="008727FB">
        <w:rPr>
          <w:bCs/>
        </w:rPr>
        <w:t>h could potentially result in an accused being found guilty of sexual intercourse without consent even if a jury was satisfied that “consent” was in fact given, if they were also satisfied that such was not valid consent as defined under the proposed amendment because the accused did not “know” consent was given and had no reasonable basis for implying same.</w:t>
      </w:r>
      <w:r w:rsidR="00867483" w:rsidRPr="008727FB">
        <w:rPr>
          <w:rStyle w:val="FootnoteReference"/>
          <w:bCs/>
        </w:rPr>
        <w:footnoteReference w:id="41"/>
      </w:r>
    </w:p>
    <w:p w:rsidR="00B91F26" w:rsidRPr="008727FB" w:rsidRDefault="00CC4B3E" w:rsidP="00867483">
      <w:pPr>
        <w:pStyle w:val="ListBullet"/>
      </w:pPr>
      <w:r w:rsidRPr="008727FB">
        <w:t>It is the Society’s view that the objective test (clause 7 (section 67(1</w:t>
      </w:r>
      <w:r w:rsidR="0099723D" w:rsidRPr="008727FB">
        <w:t>) (</w:t>
      </w:r>
      <w:r w:rsidRPr="008727FB">
        <w:t>b</w:t>
      </w:r>
      <w:r w:rsidR="0099723D" w:rsidRPr="008727FB">
        <w:t>) (</w:t>
      </w:r>
      <w:r w:rsidRPr="008727FB">
        <w:t>ii))) is problematic and accordingly, it should not be inserted into section 67(1). Under the objective test, the accused may be found guilty of having sexual intercourse without consent despite the fact that he or she honestly believed that consent was provided. The question of whether the accused believed that consent was provided would be judged by reference to the objective standards of the community. If the objective test is adopted, the accused will be unable to rely on the common law defence of honest and reasonable mistake of fact. The objective test will render the defence meaningless or it will create two conflicting legal concepts of consent to be determined by a jury in one trial. The defence would serve no purpose as it would be irrelevant whether an accused honestly believed that the other person had in fact consented.</w:t>
      </w:r>
      <w:r w:rsidR="00867483" w:rsidRPr="008727FB">
        <w:rPr>
          <w:rStyle w:val="FootnoteReference"/>
        </w:rPr>
        <w:footnoteReference w:id="42"/>
      </w:r>
    </w:p>
    <w:p w:rsidR="00774ABA" w:rsidRPr="008727FB" w:rsidRDefault="00CC4B3E" w:rsidP="00867483">
      <w:pPr>
        <w:pStyle w:val="ListBullet"/>
      </w:pPr>
      <w:r w:rsidRPr="008727FB">
        <w:t xml:space="preserve">The Society notes that the NSWLRC Review will consider, </w:t>
      </w:r>
      <w:r w:rsidRPr="008727FB">
        <w:rPr>
          <w:i/>
        </w:rPr>
        <w:t>inter alia,</w:t>
      </w:r>
      <w:r w:rsidRPr="008727FB">
        <w:t xml:space="preserve"> the utility of introducing an ‘affirmative model of consent’ by inserting an ‘affirmative consent’ provision into section 61HA of the </w:t>
      </w:r>
      <w:r w:rsidRPr="008727FB">
        <w:rPr>
          <w:i/>
        </w:rPr>
        <w:t xml:space="preserve">Crimes Act 1900 </w:t>
      </w:r>
      <w:r w:rsidRPr="008727FB">
        <w:t>(NSW) An affirmative model of consent currently operates in Tasmania (as a factor that vitiates consent) and in Victoria (as a factor that vitiates consent and as a direction to the jury).</w:t>
      </w:r>
      <w:r w:rsidR="00774ABA" w:rsidRPr="008727FB">
        <w:rPr>
          <w:rStyle w:val="FootnoteReference"/>
        </w:rPr>
        <w:footnoteReference w:id="43"/>
      </w:r>
    </w:p>
    <w:p w:rsidR="00CC4B3E" w:rsidRPr="008727FB" w:rsidRDefault="00CC4B3E" w:rsidP="00867483">
      <w:pPr>
        <w:pStyle w:val="ListBullet"/>
      </w:pPr>
      <w:r w:rsidRPr="008727FB">
        <w:t xml:space="preserve">The Society strongly advises against the insertion of an affirmative consent provision into section 67(1) of the </w:t>
      </w:r>
      <w:r w:rsidRPr="008727FB">
        <w:rPr>
          <w:i/>
        </w:rPr>
        <w:t xml:space="preserve">Crimes Act 1900 </w:t>
      </w:r>
      <w:r w:rsidRPr="008727FB">
        <w:t>(ACT). A provision that negates consent on the basis that a person does not say or do anything to communicate (or indicate) consent is likely to result in ambiguity and uncertainty. An affirmative consent provision would vitiate any subtle and ambiguous signals about consent and accordingly, would be more problematic than the objective test proposed by the Bill.</w:t>
      </w:r>
      <w:r w:rsidR="00867483" w:rsidRPr="008727FB">
        <w:rPr>
          <w:rStyle w:val="FootnoteReference"/>
        </w:rPr>
        <w:footnoteReference w:id="44"/>
      </w:r>
    </w:p>
    <w:p w:rsidR="0004226A" w:rsidRPr="008727FB" w:rsidRDefault="00031054" w:rsidP="009143A0">
      <w:pPr>
        <w:pStyle w:val="BodyText"/>
      </w:pPr>
      <w:r w:rsidRPr="008727FB">
        <w:rPr>
          <w:rFonts w:cs="Arial"/>
          <w:iCs/>
        </w:rPr>
        <w:t>In evidenc</w:t>
      </w:r>
      <w:r w:rsidR="00EA1C40" w:rsidRPr="008727FB">
        <w:rPr>
          <w:rFonts w:cs="Arial"/>
          <w:iCs/>
        </w:rPr>
        <w:t>e</w:t>
      </w:r>
      <w:r w:rsidRPr="008727FB">
        <w:rPr>
          <w:rFonts w:cs="Arial"/>
          <w:iCs/>
        </w:rPr>
        <w:t xml:space="preserve"> to the </w:t>
      </w:r>
      <w:r w:rsidR="00EA1C40" w:rsidRPr="008727FB">
        <w:rPr>
          <w:rFonts w:cs="Arial"/>
          <w:iCs/>
        </w:rPr>
        <w:t>C</w:t>
      </w:r>
      <w:r w:rsidR="00C879C1" w:rsidRPr="008727FB">
        <w:rPr>
          <w:rFonts w:cs="Arial"/>
          <w:iCs/>
        </w:rPr>
        <w:t>ommittee, the</w:t>
      </w:r>
      <w:r w:rsidRPr="008727FB">
        <w:rPr>
          <w:rFonts w:cs="Arial"/>
          <w:iCs/>
        </w:rPr>
        <w:t xml:space="preserve"> Society </w:t>
      </w:r>
      <w:r w:rsidR="0099723D" w:rsidRPr="008727FB">
        <w:rPr>
          <w:rFonts w:cs="Arial"/>
          <w:iCs/>
        </w:rPr>
        <w:t>also followed</w:t>
      </w:r>
      <w:r w:rsidRPr="008727FB">
        <w:rPr>
          <w:rFonts w:cs="Arial"/>
          <w:iCs/>
        </w:rPr>
        <w:t xml:space="preserve"> up matters</w:t>
      </w:r>
      <w:r w:rsidR="0004226A" w:rsidRPr="008727FB">
        <w:rPr>
          <w:rFonts w:cs="Arial"/>
          <w:iCs/>
        </w:rPr>
        <w:t xml:space="preserve"> raised in its submission.  These</w:t>
      </w:r>
      <w:r w:rsidRPr="008727FB">
        <w:rPr>
          <w:rFonts w:cs="Arial"/>
          <w:iCs/>
        </w:rPr>
        <w:t xml:space="preserve"> included </w:t>
      </w:r>
      <w:r w:rsidR="0004226A" w:rsidRPr="008727FB">
        <w:rPr>
          <w:rFonts w:cs="Arial"/>
          <w:iCs/>
        </w:rPr>
        <w:t>comments in</w:t>
      </w:r>
      <w:r w:rsidR="0004226A" w:rsidRPr="008727FB">
        <w:t xml:space="preserve"> </w:t>
      </w:r>
      <w:r w:rsidR="0099723D" w:rsidRPr="008727FB">
        <w:t>relation</w:t>
      </w:r>
      <w:r w:rsidR="0004226A" w:rsidRPr="008727FB">
        <w:t xml:space="preserve"> to the test of </w:t>
      </w:r>
      <w:r w:rsidR="0099723D" w:rsidRPr="008727FB">
        <w:t xml:space="preserve">consent in </w:t>
      </w:r>
      <w:r w:rsidR="0004226A" w:rsidRPr="008727FB">
        <w:t>the Bill:</w:t>
      </w:r>
    </w:p>
    <w:p w:rsidR="0004226A" w:rsidRPr="008727FB" w:rsidRDefault="0004226A" w:rsidP="00FF1B50">
      <w:pPr>
        <w:pStyle w:val="Quote"/>
      </w:pPr>
      <w:r w:rsidRPr="008727FB">
        <w:t xml:space="preserve">The first limb of the test—the “freely and voluntarily” or “free and voluntary”—although using slightly different words is the same concept in that the consent is free and there is voluntary agreement. But the second limb of the test in terms of the fault </w:t>
      </w:r>
      <w:r w:rsidRPr="008727FB">
        <w:lastRenderedPageBreak/>
        <w:t xml:space="preserve">element and the knowledge in the mind of the accused is certainly different in the </w:t>
      </w:r>
      <w:r w:rsidR="00C879C1" w:rsidRPr="008727FB">
        <w:t>B</w:t>
      </w:r>
      <w:r w:rsidRPr="008727FB">
        <w:t>ill.</w:t>
      </w:r>
      <w:r w:rsidR="006F47DF" w:rsidRPr="008727FB">
        <w:rPr>
          <w:rStyle w:val="FootnoteReference"/>
        </w:rPr>
        <w:footnoteReference w:id="45"/>
      </w:r>
    </w:p>
    <w:p w:rsidR="0004226A" w:rsidRPr="008727FB" w:rsidRDefault="0004226A" w:rsidP="009143A0">
      <w:pPr>
        <w:pStyle w:val="BodyText"/>
      </w:pPr>
      <w:r w:rsidRPr="008727FB">
        <w:t xml:space="preserve">In enlarging on this observation, the </w:t>
      </w:r>
      <w:r w:rsidR="004B5BCD" w:rsidRPr="008727FB">
        <w:t>Society</w:t>
      </w:r>
      <w:r w:rsidRPr="008727FB">
        <w:t xml:space="preserve"> representative noted – in some detail – the difficulty posed in presenting definition of </w:t>
      </w:r>
      <w:r w:rsidR="004B5BCD" w:rsidRPr="008727FB">
        <w:t>consent</w:t>
      </w:r>
      <w:r w:rsidRPr="008727FB">
        <w:t xml:space="preserve"> in sexual </w:t>
      </w:r>
      <w:r w:rsidR="004B5BCD" w:rsidRPr="008727FB">
        <w:t>offences</w:t>
      </w:r>
      <w:r w:rsidRPr="008727FB">
        <w:t xml:space="preserve"> </w:t>
      </w:r>
      <w:r w:rsidR="004B5BCD" w:rsidRPr="008727FB">
        <w:t>definitions</w:t>
      </w:r>
      <w:r w:rsidR="00C879C1" w:rsidRPr="008727FB">
        <w:t xml:space="preserve"> to an ACT jury,</w:t>
      </w:r>
      <w:r w:rsidRPr="008727FB">
        <w:t xml:space="preserve"> and </w:t>
      </w:r>
      <w:r w:rsidR="004B5BCD" w:rsidRPr="008727FB">
        <w:t>particularly</w:t>
      </w:r>
      <w:r w:rsidRPr="008727FB">
        <w:t xml:space="preserve"> in the context of the Bill</w:t>
      </w:r>
      <w:r w:rsidR="00C879C1" w:rsidRPr="008727FB">
        <w:t>’s</w:t>
      </w:r>
      <w:r w:rsidRPr="008727FB">
        <w:t xml:space="preserve"> proposals:</w:t>
      </w:r>
    </w:p>
    <w:p w:rsidR="0004226A" w:rsidRPr="008727FB" w:rsidRDefault="006F47DF" w:rsidP="00FF1B50">
      <w:pPr>
        <w:pStyle w:val="Quote"/>
      </w:pPr>
      <w:r w:rsidRPr="008727FB">
        <w:t>Explaining these legal tests to juries takes judges several hours as it is. A charge to the jury, typically, in a sexual assault trial will run anywhere from two to three hours. That is a lot of law to explain to 12 laypeople who have never studied law before; at least, that is the presumption.</w:t>
      </w:r>
    </w:p>
    <w:p w:rsidR="00761E48" w:rsidRPr="008727FB" w:rsidRDefault="00761E48" w:rsidP="00FF1B50">
      <w:pPr>
        <w:pStyle w:val="Quote"/>
      </w:pPr>
      <w:r w:rsidRPr="008727FB">
        <w:t>Adding more law and adding more complexity is not simplifying that process. I would suggest, and the society would suggest, that it is in fact making it more likely that they will fall back on their own prejudices, their own gut instincts in relation to the case, rather than the legal tests being espoused. That is particularly significant in the ACT, where there is no ability to have a judge</w:t>
      </w:r>
      <w:r w:rsidRPr="008727FB">
        <w:noBreakHyphen/>
        <w:t>alone trial for sexual offences.</w:t>
      </w:r>
      <w:r w:rsidR="00FF1B50" w:rsidRPr="008727FB">
        <w:rPr>
          <w:rStyle w:val="FootnoteReference"/>
        </w:rPr>
        <w:footnoteReference w:id="46"/>
      </w:r>
    </w:p>
    <w:p w:rsidR="00761E48" w:rsidRPr="008727FB" w:rsidRDefault="00761E48" w:rsidP="00FF1B50">
      <w:pPr>
        <w:pStyle w:val="Quote"/>
      </w:pPr>
      <w:r w:rsidRPr="008727FB">
        <w:t xml:space="preserve">Having two separate issues dealt with in the one apparent test is going to be very hard to unpack for a jury. It is going to be very hard for a judge to explain that to a jury. </w:t>
      </w:r>
      <w:r w:rsidR="00FF1B50" w:rsidRPr="008727FB">
        <w:t>…</w:t>
      </w:r>
      <w:r w:rsidRPr="008727FB">
        <w:t xml:space="preserve">The question is: how is a judge going to explain this to a jury and how is a jury going to understand? If the jury cannot understand then it does not matter what the test is. If it becomes too convoluted for a jury to understand, the test becomes irrelevant and the jury go and do what the jury want to do. </w:t>
      </w:r>
      <w:r w:rsidR="00FF1B50" w:rsidRPr="008727FB">
        <w:rPr>
          <w:rStyle w:val="FootnoteReference"/>
        </w:rPr>
        <w:footnoteReference w:id="47"/>
      </w:r>
    </w:p>
    <w:p w:rsidR="00FF1B50" w:rsidRPr="008727FB" w:rsidRDefault="00FF1B50" w:rsidP="009143A0">
      <w:pPr>
        <w:pStyle w:val="BodyText"/>
      </w:pPr>
      <w:r w:rsidRPr="008727FB">
        <w:t xml:space="preserve">In </w:t>
      </w:r>
      <w:r w:rsidR="004B5BCD" w:rsidRPr="008727FB">
        <w:t>relation</w:t>
      </w:r>
      <w:r w:rsidRPr="008727FB">
        <w:t xml:space="preserve"> to the intention sta</w:t>
      </w:r>
      <w:r w:rsidR="004B5BCD" w:rsidRPr="008727FB">
        <w:t>ted in</w:t>
      </w:r>
      <w:r w:rsidR="00C879C1" w:rsidRPr="008727FB">
        <w:t xml:space="preserve"> the Bill –</w:t>
      </w:r>
      <w:r w:rsidRPr="008727FB">
        <w:t xml:space="preserve"> to</w:t>
      </w:r>
      <w:r w:rsidR="00C879C1" w:rsidRPr="008727FB">
        <w:t xml:space="preserve"> </w:t>
      </w:r>
      <w:r w:rsidR="004B5BCD" w:rsidRPr="008727FB">
        <w:t>propose</w:t>
      </w:r>
      <w:r w:rsidRPr="008727FB">
        <w:t xml:space="preserve">  new </w:t>
      </w:r>
      <w:r w:rsidR="004B5BCD" w:rsidRPr="008727FB">
        <w:t>definition</w:t>
      </w:r>
      <w:r w:rsidRPr="008727FB">
        <w:t xml:space="preserve"> of </w:t>
      </w:r>
      <w:r w:rsidR="004B5BCD" w:rsidRPr="008727FB">
        <w:t>consent</w:t>
      </w:r>
      <w:r w:rsidR="00C879C1" w:rsidRPr="008727FB">
        <w:t xml:space="preserve"> – </w:t>
      </w:r>
      <w:r w:rsidRPr="008727FB">
        <w:t>the</w:t>
      </w:r>
      <w:r w:rsidR="00C879C1" w:rsidRPr="008727FB">
        <w:t xml:space="preserve"> </w:t>
      </w:r>
      <w:r w:rsidRPr="008727FB">
        <w:t>submission to the Committee by the Society was:</w:t>
      </w:r>
    </w:p>
    <w:p w:rsidR="00FF1B50" w:rsidRPr="008727FB" w:rsidRDefault="00FF1B50" w:rsidP="00FF1B50">
      <w:pPr>
        <w:pStyle w:val="Quote"/>
      </w:pPr>
      <w:r w:rsidRPr="008727FB">
        <w:t xml:space="preserve">The Law Society questions whether the laws of sexual assault are the right way to make that normative change. </w:t>
      </w:r>
    </w:p>
    <w:p w:rsidR="00FF1B50" w:rsidRPr="008727FB" w:rsidRDefault="00FF1B50" w:rsidP="00FF1B50">
      <w:pPr>
        <w:pStyle w:val="Quote"/>
      </w:pPr>
      <w:r w:rsidRPr="008727FB">
        <w:t xml:space="preserve">Normative change through the law is a controversial area. Normative change through the law, I suggest, works when laws are simple and easily understood. So drugs are illegal; it is an easy concept. It is easy for people to know. Cocaine is a drug or ecstasy is a drug, and it is easy for them to understand that it is illegal to possess that drug; it is illegal to sell that drug. So the law can have a normative effect in that case. </w:t>
      </w:r>
    </w:p>
    <w:p w:rsidR="00FF1B50" w:rsidRPr="008727FB" w:rsidRDefault="00FF1B50" w:rsidP="00FF1B50">
      <w:pPr>
        <w:pStyle w:val="Quote"/>
      </w:pPr>
      <w:r w:rsidRPr="008727FB">
        <w:t xml:space="preserve">In relation to laws of consent, I suspect that is not the case in the same way. Yes, penalising and criminalising activity does have an effect, but getting down to the nuances of how consent plays out in a bedroom is not something which is likely to be changed effectively by changes to the criminal law. Ultimately it is educative programs in the community that the Law Society feels are a better place to make such changes than tweaking the criminal law as it applies in the courtroom scenario, which is </w:t>
      </w:r>
      <w:r w:rsidRPr="008727FB">
        <w:lastRenderedPageBreak/>
        <w:t>probably not considered by defendants or accused at the time that they are in a bedroom situation, thinking of engaging in sexual activity.</w:t>
      </w:r>
      <w:r w:rsidRPr="008727FB">
        <w:rPr>
          <w:rStyle w:val="FootnoteReference"/>
        </w:rPr>
        <w:footnoteReference w:id="48"/>
      </w:r>
    </w:p>
    <w:p w:rsidR="008718D9" w:rsidRPr="008727FB" w:rsidRDefault="008718D9" w:rsidP="009143A0">
      <w:pPr>
        <w:pStyle w:val="BodyText"/>
      </w:pPr>
      <w:r w:rsidRPr="008727FB">
        <w:t xml:space="preserve">In </w:t>
      </w:r>
      <w:r w:rsidR="00F6426A" w:rsidRPr="008727FB">
        <w:t>relation</w:t>
      </w:r>
      <w:r w:rsidRPr="008727FB">
        <w:t xml:space="preserve"> to one other matter</w:t>
      </w:r>
      <w:r w:rsidR="009A4BCD" w:rsidRPr="008727FB">
        <w:t>,</w:t>
      </w:r>
      <w:r w:rsidRPr="008727FB">
        <w:t xml:space="preserve"> the means available to a jury to determine the </w:t>
      </w:r>
      <w:r w:rsidR="00F6426A" w:rsidRPr="008727FB">
        <w:t>extent of communication of consen</w:t>
      </w:r>
      <w:r w:rsidRPr="008727FB">
        <w:t xml:space="preserve">t, and the interpretation that needs to place by a jury  on  </w:t>
      </w:r>
      <w:r w:rsidR="00F6426A" w:rsidRPr="008727FB">
        <w:t>communication</w:t>
      </w:r>
      <w:r w:rsidRPr="008727FB">
        <w:t xml:space="preserve"> of </w:t>
      </w:r>
      <w:r w:rsidR="00F6426A" w:rsidRPr="008727FB">
        <w:t>consent</w:t>
      </w:r>
      <w:r w:rsidR="009A4BCD" w:rsidRPr="008727FB">
        <w:t xml:space="preserve"> -</w:t>
      </w:r>
      <w:r w:rsidRPr="008727FB">
        <w:t xml:space="preserve"> the fundamental “yes </w:t>
      </w:r>
      <w:r w:rsidR="00F6426A" w:rsidRPr="008727FB">
        <w:t>means</w:t>
      </w:r>
      <w:r w:rsidRPr="008727FB">
        <w:t xml:space="preserve"> yes; no means no”</w:t>
      </w:r>
      <w:r w:rsidR="009A4BCD" w:rsidRPr="008727FB">
        <w:t xml:space="preserve"> - </w:t>
      </w:r>
      <w:r w:rsidRPr="008727FB">
        <w:t>test</w:t>
      </w:r>
      <w:r w:rsidR="009A4BCD" w:rsidRPr="008727FB">
        <w:t xml:space="preserve"> -</w:t>
      </w:r>
      <w:r w:rsidRPr="008727FB">
        <w:t xml:space="preserve"> the Committee was told:</w:t>
      </w:r>
    </w:p>
    <w:p w:rsidR="008718D9" w:rsidRPr="008727FB" w:rsidRDefault="008718D9" w:rsidP="008718D9">
      <w:pPr>
        <w:pStyle w:val="Quote"/>
      </w:pPr>
      <w:r w:rsidRPr="008727FB">
        <w:t xml:space="preserve">That is all well and good when things are communicated in words. But are they always communicated in words? My experience in sexual assault trials is no, they are not. Frequently, for a variety of reasons, people do not communicate. We know from research that that can be because victims are so scared that they freeze. Therefore, there is no communication. So we run the risk with some communicative models that we are going to come back to, where nothing is said, analysis and drawing inferences from what happens. </w:t>
      </w:r>
    </w:p>
    <w:p w:rsidR="00181E64" w:rsidRPr="008727FB" w:rsidRDefault="00E87093" w:rsidP="00E87093">
      <w:pPr>
        <w:pStyle w:val="BodyText"/>
        <w:numPr>
          <w:ilvl w:val="0"/>
          <w:numId w:val="0"/>
        </w:numPr>
        <w:ind w:left="567"/>
      </w:pPr>
      <w:r w:rsidRPr="008727FB">
        <w:t>a</w:t>
      </w:r>
      <w:r w:rsidR="008718D9" w:rsidRPr="008727FB">
        <w:t>nd</w:t>
      </w:r>
      <w:r w:rsidR="00181E64" w:rsidRPr="008727FB">
        <w:t>:</w:t>
      </w:r>
    </w:p>
    <w:p w:rsidR="008718D9" w:rsidRPr="008727FB" w:rsidRDefault="008718D9" w:rsidP="00385DA2">
      <w:pPr>
        <w:pStyle w:val="Quote"/>
      </w:pPr>
      <w:r w:rsidRPr="008727FB">
        <w:t>Effectively, the test in this bill raises the standard. It goes beyond belief. It goes up to satisfaction or being satisfied. That raising the bar, effectively, I suspect, if enacted, would lead to trials being even more aggressive in terms of how the victim or the complainant is cross-examined in the trial.</w:t>
      </w:r>
    </w:p>
    <w:p w:rsidR="00396B9A" w:rsidRPr="008727FB" w:rsidRDefault="00396B9A" w:rsidP="00385DA2">
      <w:pPr>
        <w:pStyle w:val="Quote"/>
      </w:pPr>
      <w:r w:rsidRPr="008727FB">
        <w:t>Therefore, if it is not said—frequently that is the case; there are no actual words that are in dispute; it is actions—then that means more aggressive cross-examination and the like, which does seem a little problematic in the circumstances where we have been reforming now consistently across a number of jurisdictions, including the ACT.</w:t>
      </w:r>
      <w:r w:rsidRPr="008727FB">
        <w:rPr>
          <w:rStyle w:val="FootnoteReference"/>
        </w:rPr>
        <w:t xml:space="preserve"> </w:t>
      </w:r>
      <w:r w:rsidRPr="008727FB">
        <w:rPr>
          <w:rStyle w:val="FootnoteReference"/>
        </w:rPr>
        <w:footnoteReference w:id="49"/>
      </w:r>
    </w:p>
    <w:p w:rsidR="00FF1B50" w:rsidRPr="008727FB" w:rsidRDefault="00F6426A" w:rsidP="009143A0">
      <w:pPr>
        <w:pStyle w:val="BodyText"/>
      </w:pPr>
      <w:r w:rsidRPr="008727FB">
        <w:t>As noted, the</w:t>
      </w:r>
      <w:r w:rsidR="004B5BCD" w:rsidRPr="008727FB">
        <w:t xml:space="preserve"> Committee provides its </w:t>
      </w:r>
      <w:r w:rsidRPr="008727FB">
        <w:t>comments</w:t>
      </w:r>
      <w:r w:rsidR="004B5BCD" w:rsidRPr="008727FB">
        <w:t xml:space="preserve"> on </w:t>
      </w:r>
      <w:r w:rsidR="00181E64" w:rsidRPr="008727FB">
        <w:t xml:space="preserve">the </w:t>
      </w:r>
      <w:r w:rsidR="004B5BCD" w:rsidRPr="008727FB">
        <w:t>evidence</w:t>
      </w:r>
      <w:r w:rsidR="00181E64" w:rsidRPr="008727FB">
        <w:t xml:space="preserve"> of the Society</w:t>
      </w:r>
      <w:r w:rsidR="004B5BCD" w:rsidRPr="008727FB">
        <w:t xml:space="preserve"> </w:t>
      </w:r>
      <w:r w:rsidR="008273AC" w:rsidRPr="008727FB">
        <w:t>in c</w:t>
      </w:r>
      <w:r w:rsidRPr="008727FB">
        <w:t>hapter 5</w:t>
      </w:r>
      <w:r w:rsidR="004B5BCD" w:rsidRPr="008727FB">
        <w:t>.</w:t>
      </w:r>
    </w:p>
    <w:p w:rsidR="006F47DF" w:rsidRPr="008727FB" w:rsidRDefault="006F47DF" w:rsidP="006F47DF">
      <w:pPr>
        <w:pStyle w:val="Heading3"/>
      </w:pPr>
      <w:bookmarkStart w:id="72" w:name="_Toc528670948"/>
      <w:r w:rsidRPr="008727FB">
        <w:t xml:space="preserve">ACT </w:t>
      </w:r>
      <w:r w:rsidR="00F33795" w:rsidRPr="008727FB">
        <w:t>Human Rights C</w:t>
      </w:r>
      <w:r w:rsidRPr="008727FB">
        <w:t>ommission</w:t>
      </w:r>
      <w:bookmarkEnd w:id="72"/>
    </w:p>
    <w:p w:rsidR="004B5BCD" w:rsidRPr="008727FB" w:rsidRDefault="004B5BCD" w:rsidP="004B5BCD">
      <w:pPr>
        <w:pStyle w:val="BodyText"/>
      </w:pPr>
      <w:r w:rsidRPr="008727FB">
        <w:t xml:space="preserve">The Human Rights Commission </w:t>
      </w:r>
      <w:r w:rsidR="00396B9A" w:rsidRPr="008727FB">
        <w:t>(HRC</w:t>
      </w:r>
      <w:r w:rsidR="00D075F0" w:rsidRPr="008727FB">
        <w:t>) submission</w:t>
      </w:r>
      <w:r w:rsidRPr="008727FB">
        <w:t xml:space="preserve"> on th</w:t>
      </w:r>
      <w:r w:rsidR="00D075F0" w:rsidRPr="008727FB">
        <w:t>e</w:t>
      </w:r>
      <w:r w:rsidRPr="008727FB">
        <w:t xml:space="preserve"> </w:t>
      </w:r>
      <w:r w:rsidR="00D075F0" w:rsidRPr="008727FB">
        <w:t>B</w:t>
      </w:r>
      <w:r w:rsidRPr="008727FB">
        <w:t xml:space="preserve">ill was the same as the </w:t>
      </w:r>
      <w:r w:rsidR="00D075F0" w:rsidRPr="008727FB">
        <w:t>submission</w:t>
      </w:r>
      <w:r w:rsidRPr="008727FB">
        <w:t xml:space="preserve"> made to </w:t>
      </w:r>
      <w:r w:rsidR="008273AC" w:rsidRPr="008727FB">
        <w:t>Ms Le Couteur MLA</w:t>
      </w:r>
      <w:r w:rsidRPr="008727FB">
        <w:t xml:space="preserve"> on the Bill (annexed to </w:t>
      </w:r>
      <w:r w:rsidR="008273AC" w:rsidRPr="008727FB">
        <w:t>Ms Le Couteur MLA</w:t>
      </w:r>
      <w:r w:rsidR="00181E64" w:rsidRPr="008727FB">
        <w:t>’s fir</w:t>
      </w:r>
      <w:r w:rsidRPr="008727FB">
        <w:t>s</w:t>
      </w:r>
      <w:r w:rsidR="00181E64" w:rsidRPr="008727FB">
        <w:t>t</w:t>
      </w:r>
      <w:r w:rsidRPr="008727FB">
        <w:t xml:space="preserve"> submission to the Committee).</w:t>
      </w:r>
      <w:r w:rsidR="004E234A" w:rsidRPr="008727FB">
        <w:rPr>
          <w:rStyle w:val="FootnoteReference"/>
        </w:rPr>
        <w:footnoteReference w:id="50"/>
      </w:r>
    </w:p>
    <w:p w:rsidR="00396B9A" w:rsidRPr="008727FB" w:rsidRDefault="00396B9A" w:rsidP="004B5BCD">
      <w:pPr>
        <w:pStyle w:val="BodyText"/>
      </w:pPr>
      <w:r w:rsidRPr="008727FB">
        <w:t xml:space="preserve">The HRC submission on the Bill that was made to the </w:t>
      </w:r>
      <w:r w:rsidR="00D075F0" w:rsidRPr="008727FB">
        <w:t>Scrutiny Committee is</w:t>
      </w:r>
      <w:r w:rsidRPr="008727FB">
        <w:t xml:space="preserve"> </w:t>
      </w:r>
      <w:r w:rsidR="00D075F0" w:rsidRPr="008727FB">
        <w:t>discussed</w:t>
      </w:r>
      <w:r w:rsidRPr="008727FB">
        <w:t xml:space="preserve"> in </w:t>
      </w:r>
      <w:r w:rsidR="008273AC" w:rsidRPr="008727FB">
        <w:t>c</w:t>
      </w:r>
      <w:r w:rsidR="00D075F0" w:rsidRPr="008727FB">
        <w:t>hapter</w:t>
      </w:r>
      <w:r w:rsidRPr="008727FB">
        <w:t xml:space="preserve"> 2.  The HRC provided </w:t>
      </w:r>
      <w:r w:rsidR="00D075F0" w:rsidRPr="008727FB">
        <w:t>evidence to the C</w:t>
      </w:r>
      <w:r w:rsidRPr="008727FB">
        <w:t>ommittee, in which the two submissions and material prepared by the HRC was discussed.</w:t>
      </w:r>
    </w:p>
    <w:p w:rsidR="00396B9A" w:rsidRPr="008727FB" w:rsidRDefault="00377F17" w:rsidP="004B5BCD">
      <w:pPr>
        <w:pStyle w:val="BodyText"/>
      </w:pPr>
      <w:r w:rsidRPr="008727FB">
        <w:lastRenderedPageBreak/>
        <w:t>The HRC noted its view that:</w:t>
      </w:r>
    </w:p>
    <w:p w:rsidR="00377F17" w:rsidRPr="008727FB" w:rsidRDefault="00377F17" w:rsidP="00BC2218">
      <w:pPr>
        <w:pStyle w:val="Quote"/>
      </w:pPr>
      <w:r w:rsidRPr="008727FB">
        <w:t xml:space="preserve">All jurisdictions have a legislative definition of consent. The ACT is the odd person out by not having that. In terms of a model, probably the Victorian amendment is the most recent amendment in this respect. It is also a human rights jurisdiction, but it is not a code jurisdiction, nor are New South Wales, Victoria and South Australia. </w:t>
      </w:r>
    </w:p>
    <w:p w:rsidR="00377F17" w:rsidRPr="008727FB" w:rsidRDefault="00377F17" w:rsidP="00BC2218">
      <w:pPr>
        <w:pStyle w:val="Quote"/>
      </w:pPr>
      <w:r w:rsidRPr="008727FB">
        <w:t xml:space="preserve">We think that an appropriately defined community model will provide greater protection of a person’s freedom and autonomy to make decisions about having sex. But it has to be very carefully defined what is free and voluntary, taking into account all the relevant circumstances, including steps taken by the accused to ascertain the presence of consent. Ultimately this will advance women’s right to equal protection of the law without discrimination, given that sexual assault is a predominantly gendered crime. </w:t>
      </w:r>
    </w:p>
    <w:p w:rsidR="00377F17" w:rsidRPr="008727FB" w:rsidRDefault="009A4BCD" w:rsidP="009A4BCD">
      <w:pPr>
        <w:pStyle w:val="BodyText"/>
        <w:numPr>
          <w:ilvl w:val="0"/>
          <w:numId w:val="0"/>
        </w:numPr>
        <w:ind w:left="567"/>
      </w:pPr>
      <w:r w:rsidRPr="008727FB">
        <w:t>a</w:t>
      </w:r>
      <w:r w:rsidR="00377F17" w:rsidRPr="008727FB">
        <w:t>nd</w:t>
      </w:r>
      <w:r w:rsidR="00181E64" w:rsidRPr="008727FB">
        <w:t>:</w:t>
      </w:r>
    </w:p>
    <w:p w:rsidR="00377F17" w:rsidRPr="008727FB" w:rsidRDefault="00377F17" w:rsidP="00BC2218">
      <w:pPr>
        <w:pStyle w:val="Quote"/>
      </w:pPr>
      <w:r w:rsidRPr="008727FB">
        <w:t xml:space="preserve">Our concern is primarily with the way the bill has been drafted. A key concern—several other legal bodies have repeated this—is the conflation of the definition of consent and the belief about consent. We recommend that these provisions be redrafted. There is similar legislation. New South Wales, Tasmania and Victoria have similar legislation where they do not conflate. The Victorian parliamentary scrutiny committee had no concerns with its amendments; so that is a good thing. </w:t>
      </w:r>
    </w:p>
    <w:p w:rsidR="00377F17" w:rsidRPr="008727FB" w:rsidRDefault="00377F17" w:rsidP="00BC2218">
      <w:pPr>
        <w:pStyle w:val="Quote"/>
      </w:pPr>
      <w:r w:rsidRPr="008727FB">
        <w:t xml:space="preserve">The objective fault test I think is a big improvement on a subjective, out of date, out of touch with community standards test. That is in many comparable models: New South Wales, Tasmania, UK, Canada and New Zealand. </w:t>
      </w:r>
    </w:p>
    <w:p w:rsidR="00377F17" w:rsidRPr="008727FB" w:rsidRDefault="00377F17" w:rsidP="00BC2218">
      <w:pPr>
        <w:pStyle w:val="Quote"/>
      </w:pPr>
      <w:r w:rsidRPr="008727FB">
        <w:t xml:space="preserve">In drafting I think it would be prudent to rely on criminal law expertise, not just human rights expertise, because whatever happens will impact on the whole </w:t>
      </w:r>
      <w:r w:rsidR="00BC2218" w:rsidRPr="008727FB">
        <w:t>framework of the Criminal Code.</w:t>
      </w:r>
      <w:r w:rsidR="00BC2218" w:rsidRPr="008727FB">
        <w:rPr>
          <w:rStyle w:val="FootnoteReference"/>
        </w:rPr>
        <w:footnoteReference w:id="51"/>
      </w:r>
    </w:p>
    <w:p w:rsidR="00377F17" w:rsidRPr="008727FB" w:rsidRDefault="005E70D6" w:rsidP="00377F17">
      <w:pPr>
        <w:pStyle w:val="BodyText"/>
      </w:pPr>
      <w:r w:rsidRPr="008727FB">
        <w:t xml:space="preserve">The HRC </w:t>
      </w:r>
      <w:r w:rsidR="00377F17" w:rsidRPr="008727FB">
        <w:t>observe</w:t>
      </w:r>
      <w:r w:rsidRPr="008727FB">
        <w:t>d</w:t>
      </w:r>
      <w:r w:rsidR="00377F17" w:rsidRPr="008727FB">
        <w:t xml:space="preserve"> it </w:t>
      </w:r>
      <w:r w:rsidR="00D075F0" w:rsidRPr="008727FB">
        <w:t>did</w:t>
      </w:r>
      <w:r w:rsidR="00377F17" w:rsidRPr="008727FB">
        <w:t xml:space="preserve"> not </w:t>
      </w:r>
      <w:r w:rsidR="00D075F0" w:rsidRPr="008727FB">
        <w:t>agree</w:t>
      </w:r>
      <w:r w:rsidR="00377F17" w:rsidRPr="008727FB">
        <w:t xml:space="preserve"> with the Law Society view, and the DPP submissions, that the definition of free and voluntary agreement, is ambiguous and lacks legal certainty.</w:t>
      </w:r>
    </w:p>
    <w:p w:rsidR="00377F17" w:rsidRPr="008727FB" w:rsidRDefault="00377F17" w:rsidP="00377F17">
      <w:pPr>
        <w:pStyle w:val="BodyText"/>
      </w:pPr>
      <w:r w:rsidRPr="008727FB">
        <w:t>In relation to the DPP view, the HRC noted:</w:t>
      </w:r>
    </w:p>
    <w:p w:rsidR="00377F17" w:rsidRPr="008727FB" w:rsidRDefault="00377F17" w:rsidP="00BC2218">
      <w:pPr>
        <w:pStyle w:val="Quote"/>
      </w:pPr>
      <w:r w:rsidRPr="008727FB">
        <w:t>I know that the DPP said that a lot of this is inherent in the nature of consent under the common law, but I actually think it does the community a service to make this explicit in legislation.</w:t>
      </w:r>
      <w:r w:rsidR="00BC2218" w:rsidRPr="008727FB">
        <w:rPr>
          <w:rStyle w:val="FootnoteReference"/>
        </w:rPr>
        <w:footnoteReference w:id="52"/>
      </w:r>
    </w:p>
    <w:p w:rsidR="00377F17" w:rsidRPr="008727FB" w:rsidRDefault="00181E64" w:rsidP="00377F17">
      <w:pPr>
        <w:pStyle w:val="BodyText"/>
      </w:pPr>
      <w:r w:rsidRPr="008727FB">
        <w:t xml:space="preserve">The Human Rights </w:t>
      </w:r>
      <w:r w:rsidR="00BC2218" w:rsidRPr="008727FB">
        <w:t>Commissioner also commented on the matter of the burden of proof, as affected by the Bill:</w:t>
      </w:r>
    </w:p>
    <w:p w:rsidR="00BC2218" w:rsidRPr="008727FB" w:rsidRDefault="00BC2218" w:rsidP="00BC2218">
      <w:pPr>
        <w:pStyle w:val="Quote"/>
      </w:pPr>
      <w:r w:rsidRPr="008727FB">
        <w:lastRenderedPageBreak/>
        <w:t>I do have a concern about the possible reverse of the burden of proof by requiring the accused to be satisfied on reasonable grounds that the agreement was freely and voluntarily given. It is really the conflation issue that is the concern in my mind. All comparable consent laws incorporate an objective fault test. They do not actually give rise to any issues of the presumption of innocence. That is because there is no alteration of the legal burden of proof; it still remains with the prosecution. So there is nothing inherent that makes it a legal burden; it is really the drafting.</w:t>
      </w:r>
      <w:r w:rsidRPr="008727FB">
        <w:rPr>
          <w:rStyle w:val="FootnoteReference"/>
        </w:rPr>
        <w:footnoteReference w:id="53"/>
      </w:r>
    </w:p>
    <w:p w:rsidR="00BC2218" w:rsidRPr="008727FB" w:rsidRDefault="00BF2F50" w:rsidP="00377F17">
      <w:pPr>
        <w:pStyle w:val="BodyText"/>
      </w:pPr>
      <w:r w:rsidRPr="008727FB">
        <w:t xml:space="preserve">The HRC </w:t>
      </w:r>
      <w:r w:rsidR="00D075F0" w:rsidRPr="008727FB">
        <w:t>also</w:t>
      </w:r>
      <w:r w:rsidRPr="008727FB">
        <w:t xml:space="preserve"> questioned that approach taken in several submissions that drafting (or –re-</w:t>
      </w:r>
      <w:r w:rsidR="00D075F0" w:rsidRPr="008727FB">
        <w:t>drafting</w:t>
      </w:r>
      <w:r w:rsidRPr="008727FB">
        <w:t xml:space="preserve"> ) of the </w:t>
      </w:r>
      <w:r w:rsidR="00181E64" w:rsidRPr="008727FB">
        <w:t>Bill – if deemed</w:t>
      </w:r>
      <w:r w:rsidRPr="008727FB">
        <w:t xml:space="preserve"> necessary – </w:t>
      </w:r>
      <w:r w:rsidR="00D075F0" w:rsidRPr="008727FB">
        <w:t>wait</w:t>
      </w:r>
      <w:r w:rsidRPr="008727FB">
        <w:t xml:space="preserve"> until the NSW Law reform </w:t>
      </w:r>
      <w:r w:rsidR="00D075F0" w:rsidRPr="008727FB">
        <w:t>commission</w:t>
      </w:r>
      <w:r w:rsidRPr="008727FB">
        <w:t xml:space="preserve"> report on its current </w:t>
      </w:r>
      <w:r w:rsidR="00D075F0" w:rsidRPr="008727FB">
        <w:t>consent reference is completed</w:t>
      </w:r>
      <w:r w:rsidRPr="008727FB">
        <w:t>:</w:t>
      </w:r>
    </w:p>
    <w:p w:rsidR="00BF2F50" w:rsidRPr="008727FB" w:rsidRDefault="00BF2F50" w:rsidP="0048571A">
      <w:pPr>
        <w:pStyle w:val="Quote"/>
      </w:pPr>
      <w:r w:rsidRPr="008727FB">
        <w:t xml:space="preserve">As I understand the evidence of the bar and the Law Society, they support retaining the current subjective test. That raises the question as to whether it is worth waiting to see what is happening in the New South Wales model because that is about refining what they already have in terms of an objective test. I think there is scope for us to at least introduce a form of that test that has been in operation in every other jurisdiction in Australia as there is always scope to tweak that going forward. </w:t>
      </w:r>
      <w:r w:rsidR="0048571A" w:rsidRPr="008727FB">
        <w:rPr>
          <w:rStyle w:val="FootnoteReference"/>
        </w:rPr>
        <w:footnoteReference w:id="54"/>
      </w:r>
    </w:p>
    <w:p w:rsidR="001A526F" w:rsidRPr="008727FB" w:rsidRDefault="001A526F" w:rsidP="001A526F">
      <w:pPr>
        <w:pStyle w:val="Heading3"/>
      </w:pPr>
      <w:bookmarkStart w:id="73" w:name="_Toc528670949"/>
      <w:r w:rsidRPr="008727FB">
        <w:t xml:space="preserve">Legal Aid </w:t>
      </w:r>
      <w:r w:rsidR="00643B5E" w:rsidRPr="008727FB">
        <w:t>Commission (ACT)</w:t>
      </w:r>
      <w:bookmarkEnd w:id="73"/>
    </w:p>
    <w:p w:rsidR="00031054" w:rsidRPr="008727FB" w:rsidRDefault="0048571A" w:rsidP="00031054">
      <w:pPr>
        <w:pStyle w:val="BodyText"/>
      </w:pPr>
      <w:r w:rsidRPr="008727FB">
        <w:t xml:space="preserve">The Legal Aid </w:t>
      </w:r>
      <w:r w:rsidR="00D075F0" w:rsidRPr="008727FB">
        <w:t>Commission</w:t>
      </w:r>
      <w:r w:rsidRPr="008727FB">
        <w:t xml:space="preserve"> of the ACT (Legal Aid</w:t>
      </w:r>
      <w:r w:rsidR="00D075F0" w:rsidRPr="008727FB">
        <w:t>) provided</w:t>
      </w:r>
      <w:r w:rsidRPr="008727FB">
        <w:t xml:space="preserve"> evidence to the Committee on the matters raised by the </w:t>
      </w:r>
      <w:r w:rsidR="00181E64" w:rsidRPr="008727FB">
        <w:t>B</w:t>
      </w:r>
      <w:r w:rsidRPr="008727FB">
        <w:t xml:space="preserve">ill, as </w:t>
      </w:r>
      <w:r w:rsidR="00D075F0" w:rsidRPr="008727FB">
        <w:t>the</w:t>
      </w:r>
      <w:r w:rsidRPr="008727FB">
        <w:t xml:space="preserve"> </w:t>
      </w:r>
      <w:r w:rsidR="00D075F0" w:rsidRPr="008727FB">
        <w:t>principal</w:t>
      </w:r>
      <w:r w:rsidRPr="008727FB">
        <w:t xml:space="preserve"> public defender in matters </w:t>
      </w:r>
      <w:r w:rsidR="00D075F0" w:rsidRPr="008727FB">
        <w:t>relating</w:t>
      </w:r>
      <w:r w:rsidRPr="008727FB">
        <w:t xml:space="preserve"> to </w:t>
      </w:r>
      <w:r w:rsidR="00D075F0" w:rsidRPr="008727FB">
        <w:t>criminal</w:t>
      </w:r>
      <w:r w:rsidRPr="008727FB">
        <w:t xml:space="preserve"> sexual offences.  Legal Aid noted that – in </w:t>
      </w:r>
      <w:r w:rsidR="00D075F0" w:rsidRPr="008727FB">
        <w:t>relation</w:t>
      </w:r>
      <w:r w:rsidRPr="008727FB">
        <w:t xml:space="preserve"> to the pro</w:t>
      </w:r>
      <w:r w:rsidR="00D075F0" w:rsidRPr="008727FB">
        <w:t>po</w:t>
      </w:r>
      <w:r w:rsidRPr="008727FB">
        <w:t>sals in the Bill:</w:t>
      </w:r>
    </w:p>
    <w:p w:rsidR="0048571A" w:rsidRPr="008727FB" w:rsidRDefault="0048571A" w:rsidP="00144554">
      <w:pPr>
        <w:pStyle w:val="Quote"/>
      </w:pPr>
      <w:r w:rsidRPr="008727FB">
        <w:t xml:space="preserve">At the end of the day we would say that at this point there is no pressing need to amend the legislation to insert a definition for consent. There is not a definition of consent, but consent is a concept that operates effectively and is understood by those people who are the players in the courtroom. Similarly, the same thing would apply to the understanding of recklessness and how it operates in sexual assault. That is a suitable vehicle for determining the perpetrator’s state of mind. </w:t>
      </w:r>
    </w:p>
    <w:p w:rsidR="0048571A" w:rsidRPr="008727FB" w:rsidRDefault="0048571A" w:rsidP="00144554">
      <w:pPr>
        <w:pStyle w:val="Quote"/>
      </w:pPr>
      <w:r w:rsidRPr="008727FB">
        <w:t xml:space="preserve">Legal Aid also agree—and I think it was referred to by the previous witness—that there is a conflation between the two elements in the definition which makes that definition quite unworkable. Consent is really something in the victim’s mind; it has got nothing to do with the mind of the perpetrator. Consent is focused solely on what is in the victim’s mind. The second element as to whether a person is reckless as to the lack of consent is focusing on what is in the perpetrator’s mind. So the two things do not fit together. </w:t>
      </w:r>
    </w:p>
    <w:p w:rsidR="0048571A" w:rsidRPr="008727FB" w:rsidRDefault="00F15E74" w:rsidP="00E87093">
      <w:pPr>
        <w:pStyle w:val="BodyText"/>
        <w:numPr>
          <w:ilvl w:val="0"/>
          <w:numId w:val="0"/>
        </w:numPr>
        <w:ind w:left="567"/>
      </w:pPr>
      <w:r w:rsidRPr="008727FB">
        <w:lastRenderedPageBreak/>
        <w:t>But that</w:t>
      </w:r>
      <w:r w:rsidR="00181E64" w:rsidRPr="008727FB">
        <w:t>:</w:t>
      </w:r>
    </w:p>
    <w:p w:rsidR="00F15E74" w:rsidRPr="008727FB" w:rsidRDefault="00F15E74" w:rsidP="00144554">
      <w:pPr>
        <w:pStyle w:val="Quote"/>
      </w:pPr>
      <w:r w:rsidRPr="008727FB">
        <w:t xml:space="preserve">The objectives of the act as specified, as I understand it, are to clarify the law of consent and to achieve better outcomes for victims. They are the two listed things. At present in the way it is drafted I do not think it achieves those two objectives. Providing a defence of consent does not in any way address some of the rape myths that some of the submissions have addressed. </w:t>
      </w:r>
      <w:r w:rsidR="00144554" w:rsidRPr="008727FB">
        <w:rPr>
          <w:rStyle w:val="FootnoteReference"/>
        </w:rPr>
        <w:footnoteReference w:id="55"/>
      </w:r>
    </w:p>
    <w:p w:rsidR="001A526F" w:rsidRPr="008727FB" w:rsidRDefault="0044228F" w:rsidP="001A526F">
      <w:pPr>
        <w:pStyle w:val="Heading3"/>
      </w:pPr>
      <w:bookmarkStart w:id="74" w:name="_Toc528670950"/>
      <w:r w:rsidRPr="008727FB">
        <w:t>Views put to the Committee by community org</w:t>
      </w:r>
      <w:r w:rsidR="001A526F" w:rsidRPr="008727FB">
        <w:t>anisations</w:t>
      </w:r>
      <w:bookmarkEnd w:id="74"/>
    </w:p>
    <w:p w:rsidR="00D075F0" w:rsidRPr="008727FB" w:rsidRDefault="00B00C16" w:rsidP="00D075F0">
      <w:pPr>
        <w:pStyle w:val="BodyText"/>
      </w:pPr>
      <w:r w:rsidRPr="008727FB">
        <w:t xml:space="preserve">The Committee has published a number of submissions from Community organisations made on the Bill and has noted that a number of the organisations </w:t>
      </w:r>
      <w:r w:rsidR="006B5616" w:rsidRPr="008727FB">
        <w:t>making that</w:t>
      </w:r>
      <w:r w:rsidRPr="008727FB">
        <w:t xml:space="preserve"> a number of </w:t>
      </w:r>
      <w:r w:rsidR="006B5616" w:rsidRPr="008727FB">
        <w:t>these</w:t>
      </w:r>
      <w:r w:rsidRPr="008727FB">
        <w:t xml:space="preserve"> submissions </w:t>
      </w:r>
      <w:r w:rsidR="006B5616" w:rsidRPr="008727FB">
        <w:t>were</w:t>
      </w:r>
      <w:r w:rsidRPr="008727FB">
        <w:t xml:space="preserve"> provided to </w:t>
      </w:r>
      <w:r w:rsidR="008273AC" w:rsidRPr="008727FB">
        <w:t>Ms Le Couteur MLA</w:t>
      </w:r>
      <w:r w:rsidRPr="008727FB">
        <w:t xml:space="preserve"> during drafting</w:t>
      </w:r>
      <w:r w:rsidR="00633C4C" w:rsidRPr="008727FB">
        <w:t xml:space="preserve"> of the Bill. </w:t>
      </w:r>
      <w:r w:rsidR="00052887" w:rsidRPr="008727FB">
        <w:t>In</w:t>
      </w:r>
      <w:r w:rsidR="006B5616" w:rsidRPr="008727FB">
        <w:t xml:space="preserve"> particular</w:t>
      </w:r>
      <w:r w:rsidR="00052887" w:rsidRPr="008727FB">
        <w:t>, the Committee received submissions from:</w:t>
      </w:r>
    </w:p>
    <w:p w:rsidR="00052887" w:rsidRPr="008727FB" w:rsidRDefault="00052887" w:rsidP="007E51BD">
      <w:pPr>
        <w:pStyle w:val="ListBullet"/>
      </w:pPr>
      <w:r w:rsidRPr="008727FB">
        <w:t>ACT Council of Social Services</w:t>
      </w:r>
      <w:r w:rsidR="009B4AE9" w:rsidRPr="008727FB">
        <w:rPr>
          <w:rStyle w:val="FootnoteReference"/>
        </w:rPr>
        <w:footnoteReference w:id="56"/>
      </w:r>
    </w:p>
    <w:p w:rsidR="00052887" w:rsidRPr="008727FB" w:rsidRDefault="00052887" w:rsidP="007E51BD">
      <w:pPr>
        <w:pStyle w:val="ListBullet"/>
      </w:pPr>
      <w:r w:rsidRPr="008727FB">
        <w:t>Women’s Centre for Health Matters</w:t>
      </w:r>
      <w:r w:rsidR="009B4AE9" w:rsidRPr="008727FB">
        <w:rPr>
          <w:rStyle w:val="FootnoteReference"/>
        </w:rPr>
        <w:footnoteReference w:id="57"/>
      </w:r>
    </w:p>
    <w:p w:rsidR="00052887" w:rsidRPr="008727FB" w:rsidRDefault="00052887" w:rsidP="007E51BD">
      <w:pPr>
        <w:pStyle w:val="ListBullet"/>
      </w:pPr>
      <w:r w:rsidRPr="008727FB">
        <w:t>Women With Disabilities ACT</w:t>
      </w:r>
      <w:r w:rsidR="009B4AE9" w:rsidRPr="008727FB">
        <w:rPr>
          <w:rStyle w:val="FootnoteReference"/>
        </w:rPr>
        <w:footnoteReference w:id="58"/>
      </w:r>
      <w:r w:rsidRPr="008727FB">
        <w:t xml:space="preserve"> </w:t>
      </w:r>
    </w:p>
    <w:p w:rsidR="00052887" w:rsidRPr="008727FB" w:rsidRDefault="00052887" w:rsidP="007E51BD">
      <w:pPr>
        <w:pStyle w:val="ListBullet"/>
      </w:pPr>
      <w:r w:rsidRPr="008727FB">
        <w:t>Youth Coalition of the ACT</w:t>
      </w:r>
      <w:r w:rsidR="009B4AE9" w:rsidRPr="008727FB">
        <w:rPr>
          <w:rStyle w:val="FootnoteReference"/>
        </w:rPr>
        <w:footnoteReference w:id="59"/>
      </w:r>
      <w:r w:rsidRPr="008727FB">
        <w:t xml:space="preserve"> </w:t>
      </w:r>
    </w:p>
    <w:p w:rsidR="00181E64" w:rsidRPr="008727FB" w:rsidRDefault="00052887" w:rsidP="00181E64">
      <w:pPr>
        <w:pStyle w:val="ListBullet"/>
      </w:pPr>
      <w:r w:rsidRPr="008727FB">
        <w:t>YWCA Canberra</w:t>
      </w:r>
      <w:r w:rsidR="009B4AE9" w:rsidRPr="008727FB">
        <w:rPr>
          <w:rStyle w:val="FootnoteReference"/>
        </w:rPr>
        <w:footnoteReference w:id="60"/>
      </w:r>
    </w:p>
    <w:p w:rsidR="007E51BD" w:rsidRPr="008727FB" w:rsidRDefault="00052887" w:rsidP="00181E64">
      <w:pPr>
        <w:pStyle w:val="ListBullet"/>
      </w:pPr>
      <w:r w:rsidRPr="008727FB">
        <w:t>Women With Disabilities ACT</w:t>
      </w:r>
      <w:r w:rsidR="009B4AE9" w:rsidRPr="008727FB">
        <w:rPr>
          <w:rStyle w:val="FootnoteReference"/>
        </w:rPr>
        <w:footnoteReference w:id="61"/>
      </w:r>
    </w:p>
    <w:p w:rsidR="00052887" w:rsidRPr="008727FB" w:rsidRDefault="00052887" w:rsidP="00D075F0">
      <w:pPr>
        <w:pStyle w:val="BodyText"/>
      </w:pPr>
      <w:r w:rsidRPr="008727FB">
        <w:t>In addition, the committee received su</w:t>
      </w:r>
      <w:r w:rsidR="00C968DA" w:rsidRPr="008727FB">
        <w:t>bmissions fro</w:t>
      </w:r>
      <w:r w:rsidR="00181E64" w:rsidRPr="008727FB">
        <w:t>m:</w:t>
      </w:r>
    </w:p>
    <w:p w:rsidR="00052887" w:rsidRPr="008727FB" w:rsidRDefault="007E51BD" w:rsidP="007E51BD">
      <w:pPr>
        <w:pStyle w:val="ListBullet"/>
      </w:pPr>
      <w:r w:rsidRPr="008727FB">
        <w:t>Young Women Speak Out</w:t>
      </w:r>
      <w:r w:rsidR="009B4AE9" w:rsidRPr="008727FB">
        <w:rPr>
          <w:rStyle w:val="FootnoteReference"/>
        </w:rPr>
        <w:footnoteReference w:id="62"/>
      </w:r>
    </w:p>
    <w:p w:rsidR="007E51BD" w:rsidRPr="008727FB" w:rsidRDefault="007E51BD" w:rsidP="007E51BD">
      <w:pPr>
        <w:pStyle w:val="ListBullet"/>
      </w:pPr>
      <w:r w:rsidRPr="008727FB">
        <w:t>Advocacy for inclusion</w:t>
      </w:r>
      <w:r w:rsidR="009B4AE9" w:rsidRPr="008727FB">
        <w:rPr>
          <w:rStyle w:val="FootnoteReference"/>
        </w:rPr>
        <w:footnoteReference w:id="63"/>
      </w:r>
    </w:p>
    <w:p w:rsidR="007E51BD" w:rsidRPr="008727FB" w:rsidRDefault="00F3021D" w:rsidP="007E51BD">
      <w:pPr>
        <w:pStyle w:val="ListBullet"/>
      </w:pPr>
      <w:r w:rsidRPr="008727FB">
        <w:t>Rape and Domestic V</w:t>
      </w:r>
      <w:r w:rsidR="007E51BD" w:rsidRPr="008727FB">
        <w:t>iolence Service Australia</w:t>
      </w:r>
      <w:r w:rsidR="009B4AE9" w:rsidRPr="008727FB">
        <w:rPr>
          <w:rStyle w:val="FootnoteReference"/>
        </w:rPr>
        <w:footnoteReference w:id="64"/>
      </w:r>
    </w:p>
    <w:p w:rsidR="007E51BD" w:rsidRPr="008727FB" w:rsidRDefault="00F3021D" w:rsidP="007E51BD">
      <w:pPr>
        <w:pStyle w:val="ListBullet"/>
      </w:pPr>
      <w:r w:rsidRPr="008727FB">
        <w:t>Sexual H</w:t>
      </w:r>
      <w:r w:rsidR="007E51BD" w:rsidRPr="008727FB">
        <w:t>ealth and Planning ACT</w:t>
      </w:r>
      <w:r w:rsidR="007721CD" w:rsidRPr="008727FB">
        <w:rPr>
          <w:rStyle w:val="FootnoteReference"/>
        </w:rPr>
        <w:footnoteReference w:id="65"/>
      </w:r>
    </w:p>
    <w:p w:rsidR="007E51BD" w:rsidRPr="008727FB" w:rsidRDefault="007E51BD" w:rsidP="007E51BD">
      <w:pPr>
        <w:pStyle w:val="ListBullet"/>
      </w:pPr>
      <w:r w:rsidRPr="008727FB">
        <w:t>AIDS Action Council of the ACT</w:t>
      </w:r>
      <w:r w:rsidR="007721CD" w:rsidRPr="008727FB">
        <w:rPr>
          <w:rStyle w:val="FootnoteReference"/>
        </w:rPr>
        <w:footnoteReference w:id="66"/>
      </w:r>
    </w:p>
    <w:p w:rsidR="007E51BD" w:rsidRPr="008727FB" w:rsidRDefault="007E51BD" w:rsidP="007E51BD">
      <w:pPr>
        <w:pStyle w:val="ListBullet"/>
      </w:pPr>
      <w:r w:rsidRPr="008727FB">
        <w:lastRenderedPageBreak/>
        <w:t>Civil Liberties Australia</w:t>
      </w:r>
      <w:r w:rsidR="007721CD" w:rsidRPr="008727FB">
        <w:rPr>
          <w:rStyle w:val="FootnoteReference"/>
        </w:rPr>
        <w:footnoteReference w:id="67"/>
      </w:r>
    </w:p>
    <w:p w:rsidR="00317D55" w:rsidRPr="008727FB" w:rsidRDefault="00317D55" w:rsidP="00317D55">
      <w:pPr>
        <w:pStyle w:val="BodyText"/>
      </w:pPr>
      <w:r w:rsidRPr="008727FB">
        <w:t xml:space="preserve">The views put to the Committee by these organisations come from expertise and experience in dealing with broad-ranging issues including gender-based violence, sexual and reproductive health and advocacy. These are views that the Committee found valuable in reviewing legislation aimed at providing protection and </w:t>
      </w:r>
      <w:r w:rsidR="00CB5935" w:rsidRPr="008727FB">
        <w:t xml:space="preserve">as </w:t>
      </w:r>
      <w:r w:rsidRPr="008727FB">
        <w:t>an avenue for prevention of sexual offending.</w:t>
      </w:r>
    </w:p>
    <w:p w:rsidR="00CC6D80" w:rsidRPr="008727FB" w:rsidRDefault="00CC6D80" w:rsidP="00B500BA">
      <w:pPr>
        <w:pStyle w:val="BodyText"/>
      </w:pPr>
      <w:r w:rsidRPr="008727FB">
        <w:t xml:space="preserve">These </w:t>
      </w:r>
      <w:r w:rsidR="00D76B52" w:rsidRPr="008727FB">
        <w:t>include</w:t>
      </w:r>
      <w:r w:rsidRPr="008727FB">
        <w:t xml:space="preserve"> organisations </w:t>
      </w:r>
      <w:r w:rsidR="00D76B52" w:rsidRPr="008727FB">
        <w:t>involved</w:t>
      </w:r>
      <w:r w:rsidRPr="008727FB">
        <w:t xml:space="preserve"> in </w:t>
      </w:r>
      <w:r w:rsidR="00D76B52" w:rsidRPr="008727FB">
        <w:t>women’s</w:t>
      </w:r>
      <w:r w:rsidRPr="008727FB">
        <w:t xml:space="preserve">’ health, </w:t>
      </w:r>
      <w:r w:rsidR="00D76B52" w:rsidRPr="008727FB">
        <w:t>gender</w:t>
      </w:r>
      <w:r w:rsidRPr="008727FB">
        <w:t xml:space="preserve"> issues, the support and protection of the </w:t>
      </w:r>
      <w:r w:rsidR="005A306F" w:rsidRPr="008727FB">
        <w:t>interests</w:t>
      </w:r>
      <w:r w:rsidRPr="008727FB">
        <w:t xml:space="preserve"> of </w:t>
      </w:r>
      <w:r w:rsidR="005A306F" w:rsidRPr="008727FB">
        <w:t>woman</w:t>
      </w:r>
      <w:r w:rsidRPr="008727FB">
        <w:t xml:space="preserve"> </w:t>
      </w:r>
      <w:r w:rsidR="005A306F" w:rsidRPr="008727FB">
        <w:t>with</w:t>
      </w:r>
      <w:r w:rsidRPr="008727FB">
        <w:t xml:space="preserve"> </w:t>
      </w:r>
      <w:r w:rsidR="005A306F" w:rsidRPr="008727FB">
        <w:t>disabilities</w:t>
      </w:r>
      <w:r w:rsidR="00783489" w:rsidRPr="008727FB">
        <w:t>,</w:t>
      </w:r>
      <w:r w:rsidRPr="008727FB">
        <w:t xml:space="preserve"> AI</w:t>
      </w:r>
      <w:r w:rsidR="00783489" w:rsidRPr="008727FB">
        <w:t>DS action and assistance.  The C</w:t>
      </w:r>
      <w:r w:rsidRPr="008727FB">
        <w:t xml:space="preserve">ommittee </w:t>
      </w:r>
      <w:r w:rsidR="005A306F" w:rsidRPr="008727FB">
        <w:t>also</w:t>
      </w:r>
      <w:r w:rsidRPr="008727FB">
        <w:t xml:space="preserve"> </w:t>
      </w:r>
      <w:r w:rsidR="005A306F" w:rsidRPr="008727FB">
        <w:t>notes</w:t>
      </w:r>
      <w:r w:rsidRPr="008727FB">
        <w:t xml:space="preserve"> the </w:t>
      </w:r>
      <w:r w:rsidR="005A306F" w:rsidRPr="008727FB">
        <w:t>representations</w:t>
      </w:r>
      <w:r w:rsidRPr="008727FB">
        <w:t xml:space="preserve"> and views of groups s</w:t>
      </w:r>
      <w:r w:rsidR="001805BA" w:rsidRPr="008727FB">
        <w:t xml:space="preserve">upporting young </w:t>
      </w:r>
      <w:r w:rsidR="005A306F" w:rsidRPr="008727FB">
        <w:t>women</w:t>
      </w:r>
      <w:r w:rsidR="001805BA" w:rsidRPr="008727FB">
        <w:t xml:space="preserve"> and youth.</w:t>
      </w:r>
    </w:p>
    <w:p w:rsidR="00C968DA" w:rsidRPr="008727FB" w:rsidRDefault="00783489" w:rsidP="007E51BD">
      <w:pPr>
        <w:pStyle w:val="BodyText"/>
      </w:pPr>
      <w:r w:rsidRPr="008727FB">
        <w:t>The views p</w:t>
      </w:r>
      <w:r w:rsidR="00C968DA" w:rsidRPr="008727FB">
        <w:t>ut to the Commi</w:t>
      </w:r>
      <w:r w:rsidR="005A306F" w:rsidRPr="008727FB">
        <w:t>ttee by these organisations are in fav</w:t>
      </w:r>
      <w:r w:rsidR="00C968DA" w:rsidRPr="008727FB">
        <w:t xml:space="preserve">our of the </w:t>
      </w:r>
      <w:r w:rsidRPr="008727FB">
        <w:t>intention of the B</w:t>
      </w:r>
      <w:r w:rsidR="00C968DA" w:rsidRPr="008727FB">
        <w:t>ill for the introduction of a f</w:t>
      </w:r>
      <w:r w:rsidRPr="008727FB">
        <w:t>r</w:t>
      </w:r>
      <w:r w:rsidR="00C968DA" w:rsidRPr="008727FB">
        <w:t xml:space="preserve">ee and voluntary </w:t>
      </w:r>
      <w:r w:rsidRPr="008727FB">
        <w:t>af</w:t>
      </w:r>
      <w:r w:rsidR="005A306F" w:rsidRPr="008727FB">
        <w:t>firmative</w:t>
      </w:r>
      <w:r w:rsidR="00C968DA" w:rsidRPr="008727FB">
        <w:t xml:space="preserve"> </w:t>
      </w:r>
      <w:r w:rsidRPr="008727FB">
        <w:t xml:space="preserve">consent </w:t>
      </w:r>
      <w:r w:rsidR="005A306F" w:rsidRPr="008727FB">
        <w:t>requirement</w:t>
      </w:r>
      <w:r w:rsidR="00C968DA" w:rsidRPr="008727FB">
        <w:t xml:space="preserve"> for sexual </w:t>
      </w:r>
      <w:r w:rsidR="005A306F" w:rsidRPr="008727FB">
        <w:t>activity as</w:t>
      </w:r>
      <w:r w:rsidR="00C968DA" w:rsidRPr="008727FB">
        <w:t xml:space="preserve"> </w:t>
      </w:r>
      <w:r w:rsidR="005A306F" w:rsidRPr="008727FB">
        <w:t>an</w:t>
      </w:r>
      <w:r w:rsidR="00C968DA" w:rsidRPr="008727FB">
        <w:t xml:space="preserve"> explicit guidance on what is </w:t>
      </w:r>
      <w:r w:rsidR="005A306F" w:rsidRPr="008727FB">
        <w:t>acceptable</w:t>
      </w:r>
      <w:r w:rsidR="00C968DA" w:rsidRPr="008727FB">
        <w:t xml:space="preserve"> sexual </w:t>
      </w:r>
      <w:r w:rsidR="005A306F" w:rsidRPr="008727FB">
        <w:t>participation</w:t>
      </w:r>
      <w:r w:rsidR="00317D55" w:rsidRPr="008727FB">
        <w:t>.</w:t>
      </w:r>
    </w:p>
    <w:p w:rsidR="00317D55" w:rsidRPr="008727FB" w:rsidRDefault="00317D55" w:rsidP="00317D55">
      <w:pPr>
        <w:pStyle w:val="BodyText"/>
        <w:rPr>
          <w:szCs w:val="22"/>
        </w:rPr>
      </w:pPr>
      <w:r w:rsidRPr="008727FB">
        <w:t>The submissions also emphasised that the Bill is an important step in recognising the shift in societal attitude to consent. It was submitted that in the broader community, "yes means yes” is a more accurate view of what consent should be and the law should reflect this view. It was also submitted that by enacting an affirmative consent model into legislation, it sets a boundary of socially acceptable behaviour with a framework of redress in the event that boundary is breached.</w:t>
      </w:r>
    </w:p>
    <w:p w:rsidR="00317D55" w:rsidRPr="008727FB" w:rsidRDefault="00317D55" w:rsidP="00317D55">
      <w:pPr>
        <w:pStyle w:val="BodyText"/>
        <w:rPr>
          <w:szCs w:val="22"/>
        </w:rPr>
      </w:pPr>
      <w:r w:rsidRPr="008727FB">
        <w:t>All organisations were also of the view that a change in the law alone is not going to alter behaviour or attitude and that community consultation and ongoing education, particularly for young people, was important to address the broad culture of sexual violence in Australia.</w:t>
      </w:r>
    </w:p>
    <w:p w:rsidR="00CC6D80" w:rsidRPr="008727FB" w:rsidRDefault="001805BA" w:rsidP="001805BA">
      <w:pPr>
        <w:pStyle w:val="Heading3"/>
      </w:pPr>
      <w:bookmarkStart w:id="75" w:name="_Toc528670951"/>
      <w:r w:rsidRPr="008727FB">
        <w:t>Summary of vi</w:t>
      </w:r>
      <w:r w:rsidR="00CC6D80" w:rsidRPr="008727FB">
        <w:t>ews put to the Committee in evidence</w:t>
      </w:r>
      <w:bookmarkEnd w:id="75"/>
    </w:p>
    <w:p w:rsidR="00CC6D80" w:rsidRPr="008727FB" w:rsidRDefault="00CC6D80" w:rsidP="007E51BD">
      <w:pPr>
        <w:pStyle w:val="BodyText"/>
      </w:pPr>
      <w:r w:rsidRPr="008727FB">
        <w:t>The Committee</w:t>
      </w:r>
      <w:r w:rsidR="009B4AE9" w:rsidRPr="008727FB">
        <w:t xml:space="preserve"> discussed the views, summarised above, in detail with </w:t>
      </w:r>
      <w:r w:rsidR="00BA73F8" w:rsidRPr="008727FB">
        <w:t>representatives</w:t>
      </w:r>
      <w:r w:rsidR="009B4AE9" w:rsidRPr="008727FB">
        <w:t xml:space="preserve"> of a number of submission makers, and </w:t>
      </w:r>
      <w:r w:rsidR="00BA73F8" w:rsidRPr="008727FB">
        <w:t>highlights</w:t>
      </w:r>
      <w:r w:rsidR="009B4AE9" w:rsidRPr="008727FB">
        <w:t xml:space="preserve"> their views in the following </w:t>
      </w:r>
      <w:r w:rsidR="00BA73F8" w:rsidRPr="008727FB">
        <w:t>summary</w:t>
      </w:r>
      <w:r w:rsidR="009B4AE9" w:rsidRPr="008727FB">
        <w:t>:</w:t>
      </w:r>
    </w:p>
    <w:p w:rsidR="00621EFB" w:rsidRPr="008727FB" w:rsidRDefault="00621EFB" w:rsidP="00384C12">
      <w:pPr>
        <w:pStyle w:val="Quote"/>
        <w:rPr>
          <w:lang w:val="en-GB"/>
        </w:rPr>
      </w:pPr>
      <w:r w:rsidRPr="008727FB">
        <w:rPr>
          <w:lang w:val="en-GB"/>
        </w:rPr>
        <w:t xml:space="preserve">People who learn to ask for and confidently give positive consent are also learning to respect their own boundaries, and those of their sexual partner, and to communicate effectively. We believe steps like positive consent, backed up by a strong education campaign, can build a culture that breaks down destructive gender stereotyping, be ultimately empowering to everyone and combat other non-sexual offences, including domestic violence. This is particularly important for young people, who are unfamiliar with communicating in intimate scenarios; for example, during their first sexual relationship. Reinforced with adequate education, positive consent has the scope to </w:t>
      </w:r>
      <w:r w:rsidRPr="008727FB">
        <w:rPr>
          <w:lang w:val="en-GB"/>
        </w:rPr>
        <w:lastRenderedPageBreak/>
        <w:t>empower communication amongst young people and generate confidence and awareness about personal boundaries.</w:t>
      </w:r>
      <w:r w:rsidRPr="008727FB">
        <w:rPr>
          <w:rStyle w:val="FootnoteReference"/>
          <w:lang w:val="en-GB"/>
        </w:rPr>
        <w:footnoteReference w:id="68"/>
      </w:r>
    </w:p>
    <w:p w:rsidR="00783489" w:rsidRPr="008727FB" w:rsidRDefault="00783489" w:rsidP="00384C12">
      <w:pPr>
        <w:pStyle w:val="Quote"/>
        <w:rPr>
          <w:lang w:val="en-GB"/>
        </w:rPr>
      </w:pPr>
      <w:r w:rsidRPr="008727FB">
        <w:rPr>
          <w:lang w:val="en-GB"/>
        </w:rPr>
        <w:t>…</w:t>
      </w:r>
    </w:p>
    <w:p w:rsidR="009B4AE9" w:rsidRPr="008727FB" w:rsidRDefault="00384C12" w:rsidP="00384C12">
      <w:pPr>
        <w:pStyle w:val="Quote"/>
      </w:pPr>
      <w:r w:rsidRPr="008727FB">
        <w:t>What has been identified is not the issue with positive consent in and of itself; it is that the perpetrators are being interpreted as being able to make a defence that is not leading to outcomes that are in line with community expectations. Our view on that is that the ACT is very fortunate that we can look at the findings of that inquiry and possibly apply it to our own legislation. As you are aware, we do not even have a basic framework at the moment, and that really needs to be put in place as a bare minimum.</w:t>
      </w:r>
      <w:r w:rsidRPr="008727FB">
        <w:rPr>
          <w:rStyle w:val="FootnoteReference"/>
        </w:rPr>
        <w:footnoteReference w:id="69"/>
      </w:r>
    </w:p>
    <w:p w:rsidR="00E25764" w:rsidRPr="008727FB" w:rsidRDefault="00783489" w:rsidP="00384C12">
      <w:pPr>
        <w:pStyle w:val="Quote"/>
      </w:pPr>
      <w:r w:rsidRPr="008727FB">
        <w:t>…</w:t>
      </w:r>
    </w:p>
    <w:p w:rsidR="00384C12" w:rsidRPr="008727FB" w:rsidRDefault="00384C12" w:rsidP="00384C12">
      <w:pPr>
        <w:pStyle w:val="Quote"/>
      </w:pPr>
      <w:r w:rsidRPr="008727FB">
        <w:t>The good news is that this power imbalance is finally changing in our community and women are being heard. Their allegations of sexual assaults and rapes are listened to and investigated. It is about time the law reflected these changing attitudes in the community. Canberra proudly calls itself a liberal and progressive city. Unfortunately the law of consent in the ACT is archaic and puts a blot on its progressive image. All other states and territories define consent as what it is, rather than what it is not. It is difficult to understand why the ACT is still sticking to the current definition of consent, which puts the onus of proof entirely on the victim. The current law fails to protect victims of sexual assault who were too scared or felt unsafe to say no.</w:t>
      </w:r>
      <w:r w:rsidRPr="008727FB">
        <w:rPr>
          <w:rStyle w:val="FootnoteReference"/>
        </w:rPr>
        <w:footnoteReference w:id="70"/>
      </w:r>
    </w:p>
    <w:p w:rsidR="00E25764" w:rsidRPr="008727FB" w:rsidRDefault="00783489" w:rsidP="00384C12">
      <w:pPr>
        <w:pStyle w:val="Quote"/>
        <w:rPr>
          <w:lang w:val="en-GB"/>
        </w:rPr>
      </w:pPr>
      <w:r w:rsidRPr="008727FB">
        <w:rPr>
          <w:lang w:val="en-GB"/>
        </w:rPr>
        <w:t>…</w:t>
      </w:r>
    </w:p>
    <w:p w:rsidR="00384C12" w:rsidRPr="008727FB" w:rsidRDefault="00384C12" w:rsidP="00384C12">
      <w:pPr>
        <w:pStyle w:val="Quote"/>
        <w:rPr>
          <w:lang w:val="en-GB"/>
        </w:rPr>
      </w:pPr>
      <w:r w:rsidRPr="008727FB">
        <w:rPr>
          <w:lang w:val="en-GB"/>
        </w:rPr>
        <w:t>The evidence shows that since 2007, when New South Wales transitioned to an affirmative definition of consent, there have been no statistical variations in convictions for sexual violence or in acquittals or overturns of previously tried and convicted cases. Fundamentally it is not about increasing the conviction rate or acquittal rate; it is about clarifying what is a very complex piece of legislation, not only from a legislative perspective but also very much from a social perspective.</w:t>
      </w:r>
    </w:p>
    <w:p w:rsidR="00384C12" w:rsidRPr="008727FB" w:rsidRDefault="00384C12" w:rsidP="00384C12">
      <w:pPr>
        <w:pStyle w:val="Quote"/>
        <w:rPr>
          <w:lang w:val="en-GB"/>
        </w:rPr>
      </w:pPr>
      <w:r w:rsidRPr="008727FB">
        <w:rPr>
          <w:lang w:val="en-GB"/>
        </w:rPr>
        <w:t>If we as a society want to educate people about what consent is, it is hard to come from a negative perspective. If you say to somebody, for example, “I will tell you all the things that are not a glass of water,” rather than, “These are the things that make up a glass of water,” it is much easier to understand from that perspective. Sexual assault and consent is a very complex issue, so it helps to have an affirmative definition of it to understand.</w:t>
      </w:r>
      <w:r w:rsidRPr="008727FB">
        <w:rPr>
          <w:rStyle w:val="FootnoteReference"/>
          <w:lang w:val="en-GB"/>
        </w:rPr>
        <w:footnoteReference w:id="71"/>
      </w:r>
    </w:p>
    <w:p w:rsidR="00E25764" w:rsidRPr="008727FB" w:rsidRDefault="00783489" w:rsidP="00384C12">
      <w:pPr>
        <w:pStyle w:val="Quote"/>
        <w:rPr>
          <w:lang w:val="en-GB"/>
        </w:rPr>
      </w:pPr>
      <w:r w:rsidRPr="008727FB">
        <w:rPr>
          <w:lang w:val="en-GB"/>
        </w:rPr>
        <w:t>…</w:t>
      </w:r>
    </w:p>
    <w:p w:rsidR="00E25764" w:rsidRPr="008727FB" w:rsidRDefault="00E25764" w:rsidP="00E25764">
      <w:pPr>
        <w:pStyle w:val="Quote"/>
        <w:rPr>
          <w:lang w:val="en-GB"/>
        </w:rPr>
      </w:pPr>
      <w:r w:rsidRPr="008727FB">
        <w:rPr>
          <w:lang w:val="en-GB"/>
        </w:rPr>
        <w:lastRenderedPageBreak/>
        <w:t>In my experience merely threatening the sanction of the law is ineffective and counterproductive as an approach to sexual violence prevention. It alarms those who are not the problem. It sidesteps the needs and the experience of those who have been victimised and it has no effect on those who offend other than to highlight the gap between what gets said about sexual assault and what actually is tolerated and gets done about it.</w:t>
      </w:r>
    </w:p>
    <w:p w:rsidR="00E25764" w:rsidRPr="008727FB" w:rsidRDefault="00783489" w:rsidP="00E25764">
      <w:pPr>
        <w:pStyle w:val="Quote"/>
        <w:rPr>
          <w:lang w:val="en-GB"/>
        </w:rPr>
      </w:pPr>
      <w:r w:rsidRPr="008727FB">
        <w:rPr>
          <w:lang w:val="en-GB"/>
        </w:rPr>
        <w:t>…</w:t>
      </w:r>
    </w:p>
    <w:p w:rsidR="00E25764" w:rsidRPr="008727FB" w:rsidRDefault="00E25764" w:rsidP="00E25764">
      <w:pPr>
        <w:pStyle w:val="Quote"/>
        <w:rPr>
          <w:lang w:val="en-GB"/>
        </w:rPr>
      </w:pPr>
      <w:r w:rsidRPr="008727FB">
        <w:rPr>
          <w:lang w:val="en-GB"/>
        </w:rPr>
        <w:t>The greatest impact education can have on raising awareness of and preventing sexual violence comes when educators—be they parents and carers and families or teachers and youth workers in our schools and other community facilities, university lecturers, healthcare professionals—are all able to link a commitment to ethical conduct with the standards reflected in our laws and can do so in an open, honest and nuanced way with regard to the complexity that our sexual interactions and encounters with one another as human beings in body can represent.</w:t>
      </w:r>
      <w:r w:rsidRPr="008727FB">
        <w:rPr>
          <w:rStyle w:val="FootnoteReference"/>
          <w:lang w:val="en-GB"/>
        </w:rPr>
        <w:footnoteReference w:id="72"/>
      </w:r>
    </w:p>
    <w:p w:rsidR="009143AF" w:rsidRPr="008727FB" w:rsidRDefault="009143AF" w:rsidP="009143AF">
      <w:pPr>
        <w:pStyle w:val="Quote"/>
        <w:rPr>
          <w:lang w:val="en-GB"/>
        </w:rPr>
      </w:pPr>
      <w:r w:rsidRPr="008727FB">
        <w:rPr>
          <w:lang w:val="en-GB"/>
        </w:rPr>
        <w:t>Parents are often surprised about how young their children are when they are first exposed to it. And we are not sure. I can see that some of the work that we have achieved in the last couple of decades has been severely tested in an environment where the lack of verbal negotiation of consent, the lack of sexual interaction that demonstrates a respect for a partner or the need to engage and understand whether they are okay or not is not what we are seeing modelled in pornography online.</w:t>
      </w:r>
    </w:p>
    <w:p w:rsidR="009143AF" w:rsidRPr="008727FB" w:rsidRDefault="009143AF" w:rsidP="009143AF">
      <w:pPr>
        <w:pStyle w:val="Quote"/>
        <w:rPr>
          <w:lang w:val="en-GB"/>
        </w:rPr>
      </w:pPr>
      <w:r w:rsidRPr="008727FB">
        <w:rPr>
          <w:lang w:val="en-GB"/>
        </w:rPr>
        <w:t>I think we have a split as a community at the moment between what is being modelled as sexual relationships in terms of that kind of content and the kinds of things we are articulating as our expectation of the standard of conduct. I do not believe that it is an either/or—and certainly we do not take the view as an organisation that all sexually explicit material is inherently and necessarily harmful—but it is clear that early exposure to sexual material can have negative impacts and that parents and the community in general are quite concerned about what this modelling does for us.</w:t>
      </w:r>
      <w:r w:rsidRPr="008727FB">
        <w:rPr>
          <w:rStyle w:val="FootnoteReference"/>
          <w:lang w:val="en-GB"/>
        </w:rPr>
        <w:footnoteReference w:id="73"/>
      </w:r>
    </w:p>
    <w:p w:rsidR="00E25764" w:rsidRPr="008727FB" w:rsidRDefault="009143AF" w:rsidP="009143AF">
      <w:pPr>
        <w:pStyle w:val="Quote"/>
        <w:rPr>
          <w:lang w:val="en-GB"/>
        </w:rPr>
      </w:pPr>
      <w:r w:rsidRPr="008727FB">
        <w:rPr>
          <w:lang w:val="en-GB"/>
        </w:rPr>
        <w:t>…</w:t>
      </w:r>
      <w:r w:rsidR="00783489" w:rsidRPr="008727FB">
        <w:rPr>
          <w:lang w:val="en-GB"/>
        </w:rPr>
        <w:t>.</w:t>
      </w:r>
    </w:p>
    <w:p w:rsidR="009143AF" w:rsidRPr="008727FB" w:rsidRDefault="009143AF" w:rsidP="009143AF">
      <w:pPr>
        <w:pStyle w:val="Quote"/>
      </w:pPr>
      <w:r w:rsidRPr="008727FB">
        <w:t>It is important to know, though, that it is not just young people who are sexually active and need to understand how consent works and what is legal and what is not. Women in their 50s and 60s and older are dating again after a long period of being in long</w:t>
      </w:r>
      <w:r w:rsidRPr="008727FB">
        <w:noBreakHyphen/>
        <w:t xml:space="preserve">term relationships that have come to an end. And some of them have reported to us that they are finding it difficult to have those conversations with their partner. We found that 79 per cent of women in the survey that we did in November last year—there were 510 women who participated in that—aged 40 or older had engaged in sexual activity with another person in the past 12 months. </w:t>
      </w:r>
    </w:p>
    <w:p w:rsidR="009143AF" w:rsidRPr="008727FB" w:rsidRDefault="009143AF" w:rsidP="009143AF">
      <w:pPr>
        <w:pStyle w:val="Quote"/>
      </w:pPr>
      <w:r w:rsidRPr="008727FB">
        <w:lastRenderedPageBreak/>
        <w:t>They are not all going to be people who are in long-term relationships and who have already got clear, established rules about what they will consent to and what they do not. Some of these women are going to be having those conversations with new partners and it is really important for them to understand what their rights are and what is okay.</w:t>
      </w:r>
      <w:r w:rsidRPr="008727FB">
        <w:rPr>
          <w:rStyle w:val="FootnoteReference"/>
        </w:rPr>
        <w:footnoteReference w:id="74"/>
      </w:r>
    </w:p>
    <w:p w:rsidR="009143AF" w:rsidRPr="008727FB" w:rsidRDefault="00783489" w:rsidP="009143AF">
      <w:pPr>
        <w:pStyle w:val="Quote"/>
        <w:rPr>
          <w:lang w:val="en-GB"/>
        </w:rPr>
      </w:pPr>
      <w:r w:rsidRPr="008727FB">
        <w:rPr>
          <w:lang w:val="en-GB"/>
        </w:rPr>
        <w:t>…</w:t>
      </w:r>
    </w:p>
    <w:p w:rsidR="0073174D" w:rsidRPr="008727FB" w:rsidRDefault="0073174D" w:rsidP="00F43418">
      <w:pPr>
        <w:pStyle w:val="Quote"/>
      </w:pPr>
      <w:r w:rsidRPr="008727FB">
        <w:t>Sometimes what can happen is that activity commences without any conversation about it before it started. If someone experiences rape freeze in that situation—and they were not expecting that this was about to start and then it starts, and they experience rape freeze—affirmative consent would be a really good thing to have in that situation. When everyone understands that you need affirmative consent before you do the thing then you are in a situation where, if someone is experiencing rape freeze, that is clearly not okay; you cannot give affirmative consent in that position.</w:t>
      </w:r>
    </w:p>
    <w:p w:rsidR="0073174D" w:rsidRPr="008727FB" w:rsidRDefault="0073174D" w:rsidP="00F43418">
      <w:pPr>
        <w:pStyle w:val="Quote"/>
      </w:pPr>
      <w:r w:rsidRPr="008727FB">
        <w:t xml:space="preserve">It also means that people will have a bit more of an awareness in the community, hopefully, that this is actually a thing that occurs to some people. When something happens that they were not expecting or something happens that triggers a past trauma—keeping in mind the massive rates of sexual abuse that a lot of people in our community have already experienced by the time they get to 15 or 16 years old; rape freeze is something that does happen to people—if we can get to a point where people can understand that it is important to get consent before you start then we will not have as much of an issue with that. </w:t>
      </w:r>
      <w:r w:rsidRPr="008727FB">
        <w:rPr>
          <w:rStyle w:val="FootnoteReference"/>
        </w:rPr>
        <w:footnoteReference w:id="75"/>
      </w:r>
    </w:p>
    <w:p w:rsidR="00F43418" w:rsidRPr="008727FB" w:rsidRDefault="00783489" w:rsidP="00F43418">
      <w:pPr>
        <w:pStyle w:val="Quote"/>
      </w:pPr>
      <w:r w:rsidRPr="008727FB">
        <w:t>…</w:t>
      </w:r>
    </w:p>
    <w:p w:rsidR="0073174D" w:rsidRPr="008727FB" w:rsidRDefault="0073174D" w:rsidP="00F43418">
      <w:pPr>
        <w:pStyle w:val="Quote"/>
      </w:pPr>
      <w:r w:rsidRPr="008727FB">
        <w:t xml:space="preserve">We were certainly mindful of the incidence of sexual assault perpetrated on women who have limited ability to articulate speech. When they get into the courts, they are not assumed to have capacity. Certainly in defence their poor articulation of words will be used against them. We were also very mindful of grooming behaviours. Young women with intellectual disabilities are more vulnerable to that grooming, and our submission has outlined the barriers which then prevent them reporting the abuse and, if it gets to court, getting satisfaction in the court. </w:t>
      </w:r>
    </w:p>
    <w:p w:rsidR="0073174D" w:rsidRPr="008727FB" w:rsidRDefault="0073174D" w:rsidP="00F43418">
      <w:pPr>
        <w:pStyle w:val="Quote"/>
      </w:pPr>
      <w:r w:rsidRPr="008727FB">
        <w:t>We want to acknowledge in the context of women with disabilities that we know reform processes are going on in the ACT—specifically the restorative justice program and the development of a victims charter of rights and the ACT disability strategy. They need to be aware of the consent provisions in this bill and to be worked</w:t>
      </w:r>
      <w:r w:rsidR="00176AAA" w:rsidRPr="008727FB">
        <w:t xml:space="preserve"> in conjuncti</w:t>
      </w:r>
      <w:r w:rsidRPr="008727FB">
        <w:t>on wi</w:t>
      </w:r>
      <w:r w:rsidR="00176AAA" w:rsidRPr="008727FB">
        <w:t>t</w:t>
      </w:r>
      <w:r w:rsidRPr="008727FB">
        <w:t>h them.</w:t>
      </w:r>
      <w:r w:rsidRPr="008727FB">
        <w:rPr>
          <w:rStyle w:val="FootnoteReference"/>
        </w:rPr>
        <w:footnoteReference w:id="76"/>
      </w:r>
    </w:p>
    <w:p w:rsidR="00783489" w:rsidRPr="008727FB" w:rsidRDefault="00783489" w:rsidP="00F43418">
      <w:pPr>
        <w:pStyle w:val="Quote"/>
      </w:pPr>
      <w:r w:rsidRPr="008727FB">
        <w:t>…</w:t>
      </w:r>
    </w:p>
    <w:p w:rsidR="00176AAA" w:rsidRPr="008727FB" w:rsidRDefault="00176AAA" w:rsidP="00F43418">
      <w:pPr>
        <w:pStyle w:val="Quote"/>
      </w:pPr>
      <w:r w:rsidRPr="008727FB">
        <w:lastRenderedPageBreak/>
        <w:t>One of the issues relevant to this bill concerns the reasonableness of belief that consent has been given and what that actually means. We believe the bill could definitely be strengthened in that area. Research and anecdotal evidence tell us that women with disabilities, particularly those with cognitive impairment, tend to be compliant and may agree to suggestions put to them by a would-be perpetrator of a sexual assault. That means that it is very important that a nod from a woman who is non-verbal should not necessarily be taken as a reasonable belief that this is consent.</w:t>
      </w:r>
      <w:r w:rsidRPr="008727FB">
        <w:rPr>
          <w:rStyle w:val="FootnoteReference"/>
        </w:rPr>
        <w:footnoteReference w:id="77"/>
      </w:r>
    </w:p>
    <w:p w:rsidR="0073174D" w:rsidRPr="008727FB" w:rsidRDefault="00F43418" w:rsidP="00F43418">
      <w:pPr>
        <w:pStyle w:val="Quote"/>
      </w:pPr>
      <w:r w:rsidRPr="008727FB">
        <w:t>…</w:t>
      </w:r>
    </w:p>
    <w:p w:rsidR="00F43418" w:rsidRPr="008727FB" w:rsidRDefault="00F43418" w:rsidP="00F43418">
      <w:pPr>
        <w:pStyle w:val="Quote"/>
      </w:pPr>
      <w:r w:rsidRPr="008727FB">
        <w:t>We also are acutely aware that when cases come to us in regard to abuse in these sorts of settings where individual advocacy is required, it brings to us a picture of exactly why it is so hard to reach these people and why as a community we must be more forceful in ensuring that they have education about their rights as well as what consent means to them. So I feel that there needs to be increased awareness and education, but it very much needs to be inclusive of people with disabilities as a whole.</w:t>
      </w:r>
      <w:r w:rsidRPr="008727FB">
        <w:rPr>
          <w:rStyle w:val="FootnoteReference"/>
        </w:rPr>
        <w:footnoteReference w:id="78"/>
      </w:r>
    </w:p>
    <w:p w:rsidR="00F43418" w:rsidRPr="008727FB" w:rsidRDefault="00F43418" w:rsidP="00F43418">
      <w:pPr>
        <w:pStyle w:val="Quote"/>
      </w:pPr>
      <w:r w:rsidRPr="008727FB">
        <w:t>…</w:t>
      </w:r>
    </w:p>
    <w:p w:rsidR="00F43418" w:rsidRPr="008727FB" w:rsidRDefault="00F43418" w:rsidP="00F43418">
      <w:pPr>
        <w:pStyle w:val="Quote"/>
      </w:pPr>
      <w:r w:rsidRPr="008727FB">
        <w:t xml:space="preserve">Under an affirmative model, consent is characterised in the affirmative rather than the negative as a positive act of communicating yes rather than the mere absence of a communicated no. This model is founded on the ideals of mutuality and reciprocity in sexual relationships and aims to promote a shared responsibility to ensure respect for each partner’s sexual autonomy. </w:t>
      </w:r>
    </w:p>
    <w:p w:rsidR="00F43418" w:rsidRPr="008727FB" w:rsidRDefault="00F43418" w:rsidP="00F43418">
      <w:pPr>
        <w:pStyle w:val="Quote"/>
      </w:pPr>
      <w:r w:rsidRPr="008727FB">
        <w:t xml:space="preserve">It does this by creating an obligation on each party to communicate with the other in order to reach the necessary mutuality of understanding. It also requires that consent be communicated either through words or actions and thereby replaces the traditional presumption that submission can equate to consent. </w:t>
      </w:r>
    </w:p>
    <w:p w:rsidR="00F43418" w:rsidRPr="008727FB" w:rsidRDefault="00F43418" w:rsidP="00F43418">
      <w:pPr>
        <w:pStyle w:val="Quote"/>
      </w:pPr>
      <w:r w:rsidRPr="008727FB">
        <w:t>Despite our strong support for the intentions of the bill, we do have significant concerns about the drafting, the fatal provision being clause 67(1). We have outlined these concerns in detail in our submission but, very briefly, we believe that clause 67(1) may result in ambiguity for three reasons: first, it appears to conflate the elements of consent and knowledge of consent. Second, it appears to reverse the burden of proof to some extent. And, third, it does not clearly provide for an objective fault standard.</w:t>
      </w:r>
      <w:r w:rsidRPr="008727FB">
        <w:rPr>
          <w:rStyle w:val="FootnoteReference"/>
        </w:rPr>
        <w:footnoteReference w:id="79"/>
      </w:r>
    </w:p>
    <w:p w:rsidR="00C968DA" w:rsidRPr="008727FB" w:rsidRDefault="0099659D" w:rsidP="007E51BD">
      <w:pPr>
        <w:pStyle w:val="BodyText"/>
      </w:pPr>
      <w:r w:rsidRPr="008727FB">
        <w:t>The C</w:t>
      </w:r>
      <w:r w:rsidR="00D50878" w:rsidRPr="008727FB">
        <w:t xml:space="preserve">ommittee has highlighted </w:t>
      </w:r>
      <w:r w:rsidR="00BA73F8" w:rsidRPr="008727FB">
        <w:t>relevant comments</w:t>
      </w:r>
      <w:r w:rsidR="00D50878" w:rsidRPr="008727FB">
        <w:t xml:space="preserve"> made during evidence by each of </w:t>
      </w:r>
      <w:r w:rsidR="00BA73F8" w:rsidRPr="008727FB">
        <w:t>the</w:t>
      </w:r>
      <w:r w:rsidR="00D50878" w:rsidRPr="008727FB">
        <w:t xml:space="preserve"> submission maker</w:t>
      </w:r>
      <w:r w:rsidR="00F3021D" w:rsidRPr="008727FB">
        <w:t>s</w:t>
      </w:r>
      <w:r w:rsidR="009A4BCD" w:rsidRPr="008727FB">
        <w:t xml:space="preserve"> who presented evidence to the C</w:t>
      </w:r>
      <w:r w:rsidR="00D50878" w:rsidRPr="008727FB">
        <w:t xml:space="preserve">ommittee </w:t>
      </w:r>
      <w:r w:rsidR="00BA73F8" w:rsidRPr="008727FB">
        <w:t>during</w:t>
      </w:r>
      <w:r w:rsidR="00D50878" w:rsidRPr="008727FB">
        <w:t xml:space="preserve"> hearings</w:t>
      </w:r>
      <w:r w:rsidR="002F4276" w:rsidRPr="008727FB">
        <w:t>.  As</w:t>
      </w:r>
      <w:r w:rsidR="00D50878" w:rsidRPr="008727FB">
        <w:t xml:space="preserve"> noted </w:t>
      </w:r>
      <w:r w:rsidR="00BA73F8" w:rsidRPr="008727FB">
        <w:t>elsewhere</w:t>
      </w:r>
      <w:r w:rsidR="00D50878" w:rsidRPr="008727FB">
        <w:t xml:space="preserve">, the Committee </w:t>
      </w:r>
      <w:r w:rsidR="00BA73F8" w:rsidRPr="008727FB">
        <w:t xml:space="preserve">considers these </w:t>
      </w:r>
      <w:r w:rsidR="008273AC" w:rsidRPr="008727FB">
        <w:t>comments in c</w:t>
      </w:r>
      <w:r w:rsidR="00D50878" w:rsidRPr="008727FB">
        <w:t>hapter 5.</w:t>
      </w:r>
    </w:p>
    <w:p w:rsidR="00DF2927" w:rsidRPr="008727FB" w:rsidRDefault="00DF2927" w:rsidP="00D50878">
      <w:pPr>
        <w:pStyle w:val="ListBullet2"/>
        <w:numPr>
          <w:ilvl w:val="0"/>
          <w:numId w:val="0"/>
        </w:numPr>
        <w:ind w:left="1276"/>
      </w:pPr>
    </w:p>
    <w:bookmarkEnd w:id="64"/>
    <w:bookmarkEnd w:id="65"/>
    <w:bookmarkEnd w:id="66"/>
    <w:bookmarkEnd w:id="67"/>
    <w:p w:rsidR="005C6E29" w:rsidRPr="008727FB" w:rsidRDefault="005C6E29" w:rsidP="00FF1B50">
      <w:pPr>
        <w:pStyle w:val="Heading2"/>
        <w:sectPr w:rsidR="005C6E29" w:rsidRPr="008727FB" w:rsidSect="004207A6">
          <w:type w:val="oddPage"/>
          <w:pgSz w:w="11907" w:h="16840" w:code="9"/>
          <w:pgMar w:top="1588" w:right="1418" w:bottom="1418" w:left="1418" w:header="720" w:footer="851" w:gutter="0"/>
          <w:cols w:space="720"/>
          <w:docGrid w:linePitch="360"/>
        </w:sectPr>
      </w:pPr>
    </w:p>
    <w:p w:rsidR="0019591D" w:rsidRPr="008727FB" w:rsidRDefault="007D5577" w:rsidP="00FF1B50">
      <w:pPr>
        <w:pStyle w:val="Heading2"/>
      </w:pPr>
      <w:bookmarkStart w:id="76" w:name="_Toc528670952"/>
      <w:r w:rsidRPr="008727FB">
        <w:lastRenderedPageBreak/>
        <w:t xml:space="preserve">Consent in sexual </w:t>
      </w:r>
      <w:r w:rsidR="00DB76C0" w:rsidRPr="008727FB">
        <w:t>O</w:t>
      </w:r>
      <w:r w:rsidR="00FF1B50" w:rsidRPr="008727FB">
        <w:t>ffences</w:t>
      </w:r>
      <w:r w:rsidR="00DB76C0" w:rsidRPr="008727FB">
        <w:t xml:space="preserve"> -</w:t>
      </w:r>
      <w:r w:rsidRPr="008727FB">
        <w:t xml:space="preserve"> </w:t>
      </w:r>
      <w:r w:rsidR="00DE2F43" w:rsidRPr="008727FB">
        <w:t>other jurisdictions</w:t>
      </w:r>
      <w:bookmarkEnd w:id="76"/>
    </w:p>
    <w:p w:rsidR="008654B3" w:rsidRPr="008727FB" w:rsidRDefault="008654B3" w:rsidP="008654B3">
      <w:pPr>
        <w:pStyle w:val="Heading3"/>
      </w:pPr>
      <w:bookmarkStart w:id="77" w:name="_Toc528670953"/>
      <w:r w:rsidRPr="008727FB">
        <w:t>Introduction</w:t>
      </w:r>
      <w:bookmarkEnd w:id="77"/>
    </w:p>
    <w:p w:rsidR="00443F2D" w:rsidRPr="008727FB" w:rsidRDefault="00443F2D" w:rsidP="00443F2D">
      <w:pPr>
        <w:pStyle w:val="BodyText"/>
      </w:pPr>
      <w:r w:rsidRPr="008727FB">
        <w:t xml:space="preserve">In the course of this inquiry, it was </w:t>
      </w:r>
      <w:r w:rsidR="003F0417" w:rsidRPr="008727FB">
        <w:t>clear</w:t>
      </w:r>
      <w:r w:rsidRPr="008727FB">
        <w:t xml:space="preserve"> to the </w:t>
      </w:r>
      <w:r w:rsidR="00F3021D" w:rsidRPr="008727FB">
        <w:t>C</w:t>
      </w:r>
      <w:r w:rsidRPr="008727FB">
        <w:t xml:space="preserve">ommittee that current </w:t>
      </w:r>
      <w:r w:rsidR="003F0417" w:rsidRPr="008727FB">
        <w:t xml:space="preserve">statutory provisions </w:t>
      </w:r>
      <w:r w:rsidRPr="008727FB">
        <w:t>governing the law of conse</w:t>
      </w:r>
      <w:r w:rsidR="003F0417" w:rsidRPr="008727FB">
        <w:t>nt</w:t>
      </w:r>
      <w:r w:rsidRPr="008727FB">
        <w:t xml:space="preserve"> in </w:t>
      </w:r>
      <w:r w:rsidR="003F0417" w:rsidRPr="008727FB">
        <w:t>sexual</w:t>
      </w:r>
      <w:r w:rsidRPr="008727FB">
        <w:t xml:space="preserve"> offences in other jurisdictions are an </w:t>
      </w:r>
      <w:r w:rsidR="003F0417" w:rsidRPr="008727FB">
        <w:t>important</w:t>
      </w:r>
      <w:r w:rsidRPr="008727FB">
        <w:t xml:space="preserve"> point of </w:t>
      </w:r>
      <w:r w:rsidR="003F0417" w:rsidRPr="008727FB">
        <w:t xml:space="preserve">comparison </w:t>
      </w:r>
      <w:r w:rsidRPr="008727FB">
        <w:t xml:space="preserve">with current ACT law, and are a matter of comment in all submissions, and </w:t>
      </w:r>
      <w:r w:rsidR="003F0417" w:rsidRPr="008727FB">
        <w:t>in evidence</w:t>
      </w:r>
      <w:r w:rsidRPr="008727FB">
        <w:t xml:space="preserve"> taken by </w:t>
      </w:r>
      <w:r w:rsidR="003F0417" w:rsidRPr="008727FB">
        <w:t>the</w:t>
      </w:r>
      <w:r w:rsidR="00F3021D" w:rsidRPr="008727FB">
        <w:t xml:space="preserve"> C</w:t>
      </w:r>
      <w:r w:rsidRPr="008727FB">
        <w:t>ommittee.</w:t>
      </w:r>
    </w:p>
    <w:p w:rsidR="006D174C" w:rsidRPr="008727FB" w:rsidRDefault="00443F2D" w:rsidP="00443F2D">
      <w:pPr>
        <w:pStyle w:val="BodyText"/>
      </w:pPr>
      <w:r w:rsidRPr="008727FB">
        <w:t xml:space="preserve">Of </w:t>
      </w:r>
      <w:r w:rsidR="003F0417" w:rsidRPr="008727FB">
        <w:t>particular relevance, are</w:t>
      </w:r>
      <w:r w:rsidR="006D174C" w:rsidRPr="008727FB">
        <w:t xml:space="preserve"> </w:t>
      </w:r>
      <w:r w:rsidR="003F0417" w:rsidRPr="008727FB">
        <w:t>provisions</w:t>
      </w:r>
      <w:r w:rsidR="006D174C" w:rsidRPr="008727FB">
        <w:t xml:space="preserve"> in other </w:t>
      </w:r>
      <w:r w:rsidR="003F0417" w:rsidRPr="008727FB">
        <w:t>jurisdictions</w:t>
      </w:r>
      <w:r w:rsidR="006D174C" w:rsidRPr="008727FB">
        <w:t xml:space="preserve"> in Australia, which </w:t>
      </w:r>
      <w:r w:rsidR="003F0417" w:rsidRPr="008727FB">
        <w:t>a number</w:t>
      </w:r>
      <w:r w:rsidR="006D174C" w:rsidRPr="008727FB">
        <w:t xml:space="preserve"> of submissions and witnesses </w:t>
      </w:r>
      <w:r w:rsidR="003F0417" w:rsidRPr="008727FB">
        <w:t>noted</w:t>
      </w:r>
      <w:r w:rsidR="006D174C" w:rsidRPr="008727FB">
        <w:t xml:space="preserve"> had </w:t>
      </w:r>
      <w:r w:rsidR="003F0417" w:rsidRPr="008727FB">
        <w:t>legislative</w:t>
      </w:r>
      <w:r w:rsidR="006D174C" w:rsidRPr="008727FB">
        <w:t xml:space="preserve"> </w:t>
      </w:r>
      <w:r w:rsidR="003F0417" w:rsidRPr="008727FB">
        <w:t>provisions</w:t>
      </w:r>
      <w:r w:rsidR="006D174C" w:rsidRPr="008727FB">
        <w:t xml:space="preserve"> which enacted </w:t>
      </w:r>
      <w:r w:rsidR="003F0417" w:rsidRPr="008727FB">
        <w:t>definitions</w:t>
      </w:r>
      <w:r w:rsidR="006D174C" w:rsidRPr="008727FB">
        <w:t xml:space="preserve"> of con</w:t>
      </w:r>
      <w:r w:rsidR="003F0417" w:rsidRPr="008727FB">
        <w:t>sent</w:t>
      </w:r>
      <w:r w:rsidR="006D174C" w:rsidRPr="008727FB">
        <w:t xml:space="preserve"> which </w:t>
      </w:r>
      <w:r w:rsidR="003F0417" w:rsidRPr="008727FB">
        <w:t>reflected</w:t>
      </w:r>
      <w:r w:rsidR="006D174C" w:rsidRPr="008727FB">
        <w:t xml:space="preserve"> a </w:t>
      </w:r>
      <w:r w:rsidR="003F0417" w:rsidRPr="008727FB">
        <w:t>different</w:t>
      </w:r>
      <w:r w:rsidR="006D174C" w:rsidRPr="008727FB">
        <w:t xml:space="preserve"> and more effective definition of </w:t>
      </w:r>
      <w:r w:rsidR="003F0417" w:rsidRPr="008727FB">
        <w:t>consent</w:t>
      </w:r>
      <w:r w:rsidR="006D174C" w:rsidRPr="008727FB">
        <w:t xml:space="preserve"> in sexual assault offences.</w:t>
      </w:r>
    </w:p>
    <w:p w:rsidR="00443F2D" w:rsidRPr="008727FB" w:rsidRDefault="00783489" w:rsidP="00443F2D">
      <w:pPr>
        <w:pStyle w:val="BodyText"/>
      </w:pPr>
      <w:r w:rsidRPr="008727FB">
        <w:t xml:space="preserve">Of </w:t>
      </w:r>
      <w:r w:rsidR="006D174C" w:rsidRPr="008727FB">
        <w:t>rel</w:t>
      </w:r>
      <w:r w:rsidR="003F0417" w:rsidRPr="008727FB">
        <w:t>evance to</w:t>
      </w:r>
      <w:r w:rsidR="006D174C" w:rsidRPr="008727FB">
        <w:t xml:space="preserve"> the discussion were the </w:t>
      </w:r>
      <w:r w:rsidR="003F0417" w:rsidRPr="008727FB">
        <w:t>provisions</w:t>
      </w:r>
      <w:r w:rsidR="006D174C" w:rsidRPr="008727FB">
        <w:t xml:space="preserve"> in NSW and </w:t>
      </w:r>
      <w:r w:rsidR="003F0417" w:rsidRPr="008727FB">
        <w:t>Tasmanian</w:t>
      </w:r>
      <w:r w:rsidR="006D174C" w:rsidRPr="008727FB">
        <w:t xml:space="preserve"> </w:t>
      </w:r>
      <w:r w:rsidR="003F0417" w:rsidRPr="008727FB">
        <w:t>legislation</w:t>
      </w:r>
      <w:r w:rsidR="006D174C" w:rsidRPr="008727FB">
        <w:t xml:space="preserve">, </w:t>
      </w:r>
      <w:r w:rsidRPr="008727FB">
        <w:t xml:space="preserve">and in </w:t>
      </w:r>
      <w:r w:rsidR="003F0417" w:rsidRPr="008727FB">
        <w:t>particular</w:t>
      </w:r>
      <w:r w:rsidRPr="008727FB">
        <w:t>,</w:t>
      </w:r>
      <w:r w:rsidR="006D174C" w:rsidRPr="008727FB">
        <w:t xml:space="preserve"> </w:t>
      </w:r>
      <w:r w:rsidRPr="008727FB">
        <w:t>in the case of NSW,</w:t>
      </w:r>
      <w:r w:rsidR="006D174C" w:rsidRPr="008727FB">
        <w:t xml:space="preserve"> as this </w:t>
      </w:r>
      <w:r w:rsidR="003F0417" w:rsidRPr="008727FB">
        <w:t>jurisdiction</w:t>
      </w:r>
      <w:r w:rsidR="006D174C" w:rsidRPr="008727FB">
        <w:t xml:space="preserve"> has a direct and immediate effect on the laws of th</w:t>
      </w:r>
      <w:r w:rsidRPr="008727FB">
        <w:t>e</w:t>
      </w:r>
      <w:r w:rsidR="006D174C" w:rsidRPr="008727FB">
        <w:t xml:space="preserve"> ACT, both through geographical </w:t>
      </w:r>
      <w:r w:rsidR="003F0417" w:rsidRPr="008727FB">
        <w:t>proximity</w:t>
      </w:r>
      <w:r w:rsidR="006D174C" w:rsidRPr="008727FB">
        <w:t xml:space="preserve">, and as the </w:t>
      </w:r>
      <w:r w:rsidR="003F0417" w:rsidRPr="008727FB">
        <w:t>basis</w:t>
      </w:r>
      <w:r w:rsidR="006D174C" w:rsidRPr="008727FB">
        <w:t xml:space="preserve"> for </w:t>
      </w:r>
      <w:r w:rsidR="003F0417" w:rsidRPr="008727FB">
        <w:t>the</w:t>
      </w:r>
      <w:r w:rsidR="006D174C" w:rsidRPr="008727FB">
        <w:t xml:space="preserve"> </w:t>
      </w:r>
      <w:r w:rsidR="006D174C" w:rsidRPr="008727FB">
        <w:rPr>
          <w:i/>
        </w:rPr>
        <w:t>Crimes Act 1900</w:t>
      </w:r>
      <w:r w:rsidR="006D174C" w:rsidRPr="008727FB">
        <w:t xml:space="preserve"> in the ACT.</w:t>
      </w:r>
    </w:p>
    <w:p w:rsidR="008654B3" w:rsidRPr="008727FB" w:rsidRDefault="008654B3" w:rsidP="008654B3">
      <w:pPr>
        <w:pStyle w:val="Heading3"/>
      </w:pPr>
      <w:bookmarkStart w:id="78" w:name="_Toc528670954"/>
      <w:r w:rsidRPr="008727FB">
        <w:t>Other Jurisdictions</w:t>
      </w:r>
      <w:bookmarkEnd w:id="78"/>
    </w:p>
    <w:p w:rsidR="008654B3" w:rsidRPr="008727FB" w:rsidRDefault="008654B3" w:rsidP="008654B3">
      <w:pPr>
        <w:pStyle w:val="Heading3"/>
      </w:pPr>
      <w:bookmarkStart w:id="79" w:name="_Toc528670955"/>
      <w:r w:rsidRPr="008727FB">
        <w:t>New South Wales</w:t>
      </w:r>
      <w:bookmarkEnd w:id="79"/>
    </w:p>
    <w:p w:rsidR="00A40866" w:rsidRPr="008727FB" w:rsidRDefault="000B15A4" w:rsidP="00A40866">
      <w:pPr>
        <w:pStyle w:val="BodyText"/>
      </w:pPr>
      <w:r w:rsidRPr="008727FB">
        <w:t>In New South Wales, th</w:t>
      </w:r>
      <w:r w:rsidR="00783489" w:rsidRPr="008727FB">
        <w:t>e</w:t>
      </w:r>
      <w:r w:rsidRPr="008727FB">
        <w:t xml:space="preserve"> current law relating </w:t>
      </w:r>
      <w:r w:rsidR="00A7335C" w:rsidRPr="008727FB">
        <w:t>to consent in sexual offences i</w:t>
      </w:r>
      <w:r w:rsidRPr="008727FB">
        <w:t xml:space="preserve">s </w:t>
      </w:r>
      <w:r w:rsidR="00A40866" w:rsidRPr="008727FB">
        <w:t>i</w:t>
      </w:r>
      <w:r w:rsidR="00783489" w:rsidRPr="008727FB">
        <w:t xml:space="preserve">n </w:t>
      </w:r>
      <w:r w:rsidR="003F0417" w:rsidRPr="008727FB">
        <w:t>Section 61</w:t>
      </w:r>
      <w:r w:rsidR="00A40866" w:rsidRPr="008727FB">
        <w:t xml:space="preserve"> HA of the </w:t>
      </w:r>
      <w:r w:rsidR="00A40866" w:rsidRPr="008727FB">
        <w:rPr>
          <w:i/>
        </w:rPr>
        <w:t>Crimes Act 1900</w:t>
      </w:r>
      <w:r w:rsidR="00783489" w:rsidRPr="008727FB">
        <w:rPr>
          <w:i/>
        </w:rPr>
        <w:t xml:space="preserve"> </w:t>
      </w:r>
      <w:r w:rsidR="00783489" w:rsidRPr="008727FB">
        <w:t>(NSW)</w:t>
      </w:r>
      <w:r w:rsidR="00A40866" w:rsidRPr="008727FB">
        <w:t xml:space="preserve">. </w:t>
      </w:r>
    </w:p>
    <w:p w:rsidR="00A40866" w:rsidRPr="008727FB" w:rsidRDefault="00A40866" w:rsidP="00A40866">
      <w:pPr>
        <w:pStyle w:val="BodyText"/>
      </w:pPr>
      <w:r w:rsidRPr="008727FB">
        <w:t xml:space="preserve"> For a person accused of sexual assault to be found guilty, the prosecution must prove three “eleme</w:t>
      </w:r>
      <w:r w:rsidR="00783489" w:rsidRPr="008727FB">
        <w:t>nts” beyond a reasonable doubt:</w:t>
      </w:r>
    </w:p>
    <w:p w:rsidR="00A40866" w:rsidRPr="008727FB" w:rsidRDefault="00A40866" w:rsidP="00A40866">
      <w:pPr>
        <w:pStyle w:val="ListBullet"/>
      </w:pPr>
      <w:r w:rsidRPr="008727FB">
        <w:t xml:space="preserve">the accused engaged in sexual </w:t>
      </w:r>
      <w:r w:rsidR="00783489" w:rsidRPr="008727FB">
        <w:t>intercourse with another person;</w:t>
      </w:r>
    </w:p>
    <w:p w:rsidR="00A40866" w:rsidRPr="008727FB" w:rsidRDefault="00A40866" w:rsidP="00A40866">
      <w:pPr>
        <w:pStyle w:val="ListBullet"/>
      </w:pPr>
      <w:r w:rsidRPr="008727FB">
        <w:t>the person did not consent</w:t>
      </w:r>
      <w:r w:rsidR="00783489" w:rsidRPr="008727FB">
        <w:t xml:space="preserve"> to the sexual intercourse; and</w:t>
      </w:r>
    </w:p>
    <w:p w:rsidR="00A40866" w:rsidRPr="008727FB" w:rsidRDefault="00A40866" w:rsidP="00A40866">
      <w:pPr>
        <w:pStyle w:val="ListBullet"/>
      </w:pPr>
      <w:r w:rsidRPr="008727FB">
        <w:t>the accused knew the person did not consent.</w:t>
      </w:r>
    </w:p>
    <w:p w:rsidR="00A40866" w:rsidRPr="008727FB" w:rsidRDefault="00A40866" w:rsidP="00A40866">
      <w:pPr>
        <w:pStyle w:val="ListBullet"/>
        <w:numPr>
          <w:ilvl w:val="0"/>
          <w:numId w:val="0"/>
        </w:numPr>
        <w:ind w:left="567"/>
      </w:pPr>
      <w:r w:rsidRPr="008727FB">
        <w:t xml:space="preserve"> Section </w:t>
      </w:r>
      <w:r w:rsidR="003F0417" w:rsidRPr="008727FB">
        <w:t>61HA deals</w:t>
      </w:r>
      <w:r w:rsidRPr="008727FB">
        <w:t xml:space="preserve"> with the second and third elements. </w:t>
      </w:r>
    </w:p>
    <w:p w:rsidR="00A40866" w:rsidRPr="008727FB" w:rsidRDefault="00783489" w:rsidP="00A40866">
      <w:pPr>
        <w:pStyle w:val="BodyText"/>
      </w:pPr>
      <w:r w:rsidRPr="008727FB">
        <w:t>Section 61HA provides:</w:t>
      </w:r>
    </w:p>
    <w:p w:rsidR="00317D55" w:rsidRPr="008727FB" w:rsidRDefault="00A40866" w:rsidP="00317D55">
      <w:pPr>
        <w:pStyle w:val="Quote"/>
        <w:numPr>
          <w:ilvl w:val="0"/>
          <w:numId w:val="30"/>
        </w:numPr>
      </w:pPr>
      <w:r w:rsidRPr="008727FB">
        <w:t xml:space="preserve">Offences to which section applies </w:t>
      </w:r>
    </w:p>
    <w:p w:rsidR="00A40866" w:rsidRPr="008727FB" w:rsidRDefault="00A40866" w:rsidP="00317D55">
      <w:pPr>
        <w:pStyle w:val="Quote"/>
        <w:ind w:left="1607"/>
        <w:rPr>
          <w:sz w:val="24"/>
          <w:lang w:eastAsia="en-AU"/>
        </w:rPr>
      </w:pPr>
      <w:r w:rsidRPr="008727FB">
        <w:lastRenderedPageBreak/>
        <w:t>This section applies for the purposes of the offences, or attempts to commit the offences, under sections 61I, 61J and 61JA.</w:t>
      </w:r>
    </w:p>
    <w:p w:rsidR="00317D55" w:rsidRPr="008727FB" w:rsidRDefault="00A40866" w:rsidP="00317D55">
      <w:pPr>
        <w:pStyle w:val="Quote"/>
        <w:numPr>
          <w:ilvl w:val="0"/>
          <w:numId w:val="30"/>
        </w:numPr>
        <w:rPr>
          <w:b/>
        </w:rPr>
      </w:pPr>
      <w:r w:rsidRPr="008727FB">
        <w:rPr>
          <w:b/>
        </w:rPr>
        <w:t xml:space="preserve">Meaning of consent </w:t>
      </w:r>
    </w:p>
    <w:p w:rsidR="00A40866" w:rsidRPr="008727FB" w:rsidRDefault="00A40866" w:rsidP="00317D55">
      <w:pPr>
        <w:pStyle w:val="Quote"/>
        <w:ind w:left="1607"/>
      </w:pPr>
      <w:r w:rsidRPr="008727FB">
        <w:t>A </w:t>
      </w:r>
      <w:hyperlink r:id="rId24" w:anchor="person" w:history="1">
        <w:r w:rsidRPr="008727FB">
          <w:rPr>
            <w:rStyle w:val="Hyperlink"/>
            <w:rFonts w:ascii="Source Sans Pro" w:hAnsi="Source Sans Pro"/>
            <w:color w:val="auto"/>
          </w:rPr>
          <w:t>person</w:t>
        </w:r>
      </w:hyperlink>
      <w:r w:rsidRPr="008727FB">
        <w:t> </w:t>
      </w:r>
      <w:bookmarkStart w:id="80" w:name="consents"/>
      <w:bookmarkEnd w:id="80"/>
      <w:r w:rsidRPr="008727FB">
        <w:br/>
      </w:r>
      <w:r w:rsidRPr="008727FB">
        <w:rPr>
          <w:b/>
          <w:bCs/>
        </w:rPr>
        <w:t>"consents" </w:t>
      </w:r>
      <w:r w:rsidRPr="008727FB">
        <w:t>to sexual intercourse if the </w:t>
      </w:r>
      <w:hyperlink r:id="rId25" w:anchor="person" w:history="1">
        <w:r w:rsidRPr="008727FB">
          <w:rPr>
            <w:rStyle w:val="Hyperlink"/>
            <w:rFonts w:ascii="Source Sans Pro" w:hAnsi="Source Sans Pro"/>
            <w:color w:val="auto"/>
          </w:rPr>
          <w:t>person</w:t>
        </w:r>
      </w:hyperlink>
      <w:r w:rsidRPr="008727FB">
        <w:t> freely and voluntarily agrees to the sexual intercourse.</w:t>
      </w:r>
    </w:p>
    <w:p w:rsidR="00831008" w:rsidRPr="008727FB" w:rsidRDefault="00A40866" w:rsidP="00831008">
      <w:pPr>
        <w:pStyle w:val="Quote"/>
        <w:numPr>
          <w:ilvl w:val="0"/>
          <w:numId w:val="30"/>
        </w:numPr>
        <w:rPr>
          <w:rFonts w:asciiTheme="minorHAnsi" w:hAnsiTheme="minorHAnsi"/>
          <w:b/>
          <w:iCs w:val="0"/>
        </w:rPr>
      </w:pPr>
      <w:r w:rsidRPr="008727FB">
        <w:rPr>
          <w:rFonts w:asciiTheme="minorHAnsi" w:hAnsiTheme="minorHAnsi"/>
          <w:b/>
          <w:iCs w:val="0"/>
        </w:rPr>
        <w:t xml:space="preserve">Knowledge about consent </w:t>
      </w:r>
    </w:p>
    <w:p w:rsidR="00A40866" w:rsidRPr="008727FB" w:rsidRDefault="00A40866" w:rsidP="00831008">
      <w:pPr>
        <w:pStyle w:val="Quote"/>
        <w:ind w:left="1607"/>
      </w:pPr>
      <w:r w:rsidRPr="008727FB">
        <w:t>A </w:t>
      </w:r>
      <w:hyperlink r:id="rId26" w:anchor="person" w:history="1">
        <w:r w:rsidRPr="008727FB">
          <w:rPr>
            <w:rStyle w:val="Hyperlink"/>
            <w:rFonts w:ascii="Source Sans Pro" w:hAnsi="Source Sans Pro"/>
            <w:color w:val="auto"/>
          </w:rPr>
          <w:t>person</w:t>
        </w:r>
      </w:hyperlink>
      <w:r w:rsidRPr="008727FB">
        <w:t> who has sexual intercourse with another </w:t>
      </w:r>
      <w:hyperlink r:id="rId27" w:anchor="person" w:history="1">
        <w:r w:rsidRPr="008727FB">
          <w:rPr>
            <w:rStyle w:val="Hyperlink"/>
            <w:rFonts w:ascii="Source Sans Pro" w:hAnsi="Source Sans Pro"/>
            <w:color w:val="auto"/>
          </w:rPr>
          <w:t>person</w:t>
        </w:r>
      </w:hyperlink>
      <w:r w:rsidRPr="008727FB">
        <w:t> without the consent of the other </w:t>
      </w:r>
      <w:hyperlink r:id="rId28" w:anchor="person" w:history="1">
        <w:r w:rsidRPr="008727FB">
          <w:rPr>
            <w:rStyle w:val="Hyperlink"/>
            <w:rFonts w:ascii="Source Sans Pro" w:hAnsi="Source Sans Pro"/>
            <w:color w:val="auto"/>
          </w:rPr>
          <w:t>person</w:t>
        </w:r>
      </w:hyperlink>
      <w:r w:rsidRPr="008727FB">
        <w:t> knows that the other </w:t>
      </w:r>
      <w:hyperlink r:id="rId29" w:anchor="person" w:history="1">
        <w:r w:rsidRPr="008727FB">
          <w:rPr>
            <w:rStyle w:val="Hyperlink"/>
            <w:rFonts w:ascii="Source Sans Pro" w:hAnsi="Source Sans Pro"/>
            <w:color w:val="auto"/>
          </w:rPr>
          <w:t>person</w:t>
        </w:r>
      </w:hyperlink>
      <w:r w:rsidRPr="008727FB">
        <w:t> does not consent to the sexual intercourse if:</w:t>
      </w:r>
    </w:p>
    <w:p w:rsidR="00A40866" w:rsidRPr="008727FB" w:rsidRDefault="00A40866" w:rsidP="00831008">
      <w:pPr>
        <w:pStyle w:val="Quote"/>
        <w:ind w:left="1440"/>
      </w:pPr>
      <w:r w:rsidRPr="008727FB">
        <w:t>(a) the </w:t>
      </w:r>
      <w:hyperlink r:id="rId30" w:anchor="person" w:history="1">
        <w:r w:rsidRPr="008727FB">
          <w:rPr>
            <w:rStyle w:val="Hyperlink"/>
            <w:rFonts w:ascii="Source Sans Pro" w:hAnsi="Source Sans Pro"/>
            <w:color w:val="auto"/>
          </w:rPr>
          <w:t>person</w:t>
        </w:r>
      </w:hyperlink>
      <w:r w:rsidRPr="008727FB">
        <w:t> knows that the other </w:t>
      </w:r>
      <w:hyperlink r:id="rId31" w:anchor="person" w:history="1">
        <w:r w:rsidRPr="008727FB">
          <w:rPr>
            <w:rStyle w:val="Hyperlink"/>
            <w:rFonts w:ascii="Source Sans Pro" w:hAnsi="Source Sans Pro"/>
            <w:color w:val="auto"/>
          </w:rPr>
          <w:t>person</w:t>
        </w:r>
      </w:hyperlink>
      <w:r w:rsidRPr="008727FB">
        <w:t> does not consent to the sexual intercourse, or</w:t>
      </w:r>
    </w:p>
    <w:p w:rsidR="00A40866" w:rsidRPr="008727FB" w:rsidRDefault="00A40866" w:rsidP="00831008">
      <w:pPr>
        <w:pStyle w:val="Quote"/>
        <w:ind w:left="1440"/>
      </w:pPr>
      <w:r w:rsidRPr="008727FB">
        <w:t>(b) the </w:t>
      </w:r>
      <w:hyperlink r:id="rId32" w:anchor="person" w:history="1">
        <w:r w:rsidRPr="008727FB">
          <w:rPr>
            <w:rStyle w:val="Hyperlink"/>
            <w:rFonts w:ascii="Source Sans Pro" w:hAnsi="Source Sans Pro"/>
            <w:color w:val="auto"/>
          </w:rPr>
          <w:t>person</w:t>
        </w:r>
      </w:hyperlink>
      <w:r w:rsidRPr="008727FB">
        <w:t> is reckless as to whether the other </w:t>
      </w:r>
      <w:hyperlink r:id="rId33" w:anchor="person" w:history="1">
        <w:r w:rsidRPr="008727FB">
          <w:rPr>
            <w:rStyle w:val="Hyperlink"/>
            <w:rFonts w:ascii="Source Sans Pro" w:hAnsi="Source Sans Pro"/>
            <w:color w:val="auto"/>
          </w:rPr>
          <w:t>person</w:t>
        </w:r>
      </w:hyperlink>
      <w:r w:rsidRPr="008727FB">
        <w:t> </w:t>
      </w:r>
      <w:hyperlink r:id="rId34" w:anchor="consents" w:history="1">
        <w:r w:rsidRPr="008727FB">
          <w:rPr>
            <w:rStyle w:val="Hyperlink"/>
            <w:rFonts w:ascii="Source Sans Pro" w:hAnsi="Source Sans Pro"/>
            <w:color w:val="auto"/>
          </w:rPr>
          <w:t>consents</w:t>
        </w:r>
      </w:hyperlink>
      <w:r w:rsidRPr="008727FB">
        <w:t> to the sexual intercourse, or</w:t>
      </w:r>
    </w:p>
    <w:p w:rsidR="00A40866" w:rsidRPr="008727FB" w:rsidRDefault="00A40866" w:rsidP="00831008">
      <w:pPr>
        <w:pStyle w:val="Quote"/>
        <w:ind w:left="1440"/>
      </w:pPr>
      <w:r w:rsidRPr="008727FB">
        <w:t>(c) the </w:t>
      </w:r>
      <w:hyperlink r:id="rId35" w:anchor="person" w:history="1">
        <w:r w:rsidRPr="008727FB">
          <w:rPr>
            <w:rStyle w:val="Hyperlink"/>
            <w:rFonts w:ascii="Source Sans Pro" w:hAnsi="Source Sans Pro"/>
            <w:color w:val="auto"/>
          </w:rPr>
          <w:t>person</w:t>
        </w:r>
      </w:hyperlink>
      <w:r w:rsidRPr="008727FB">
        <w:t> has no reasonable grounds for believing that the other </w:t>
      </w:r>
      <w:hyperlink r:id="rId36" w:anchor="person" w:history="1">
        <w:r w:rsidRPr="008727FB">
          <w:rPr>
            <w:rStyle w:val="Hyperlink"/>
            <w:rFonts w:ascii="Source Sans Pro" w:hAnsi="Source Sans Pro"/>
            <w:color w:val="auto"/>
          </w:rPr>
          <w:t>person</w:t>
        </w:r>
      </w:hyperlink>
      <w:r w:rsidRPr="008727FB">
        <w:t> </w:t>
      </w:r>
      <w:r w:rsidR="003F0417" w:rsidRPr="008727FB">
        <w:t>consents to</w:t>
      </w:r>
      <w:r w:rsidRPr="008727FB">
        <w:t xml:space="preserve"> the sexual intercourse.</w:t>
      </w:r>
    </w:p>
    <w:p w:rsidR="000B15A4" w:rsidRPr="008727FB" w:rsidRDefault="00A40866" w:rsidP="000B15A4">
      <w:pPr>
        <w:pStyle w:val="BodyText"/>
      </w:pPr>
      <w:r w:rsidRPr="008727FB">
        <w:t xml:space="preserve">This provision is currently the </w:t>
      </w:r>
      <w:r w:rsidR="003F0417" w:rsidRPr="008727FB">
        <w:t>subject</w:t>
      </w:r>
      <w:r w:rsidR="000B15A4" w:rsidRPr="008727FB">
        <w:t xml:space="preserve"> of a special </w:t>
      </w:r>
      <w:r w:rsidR="00EB2FDC" w:rsidRPr="008727FB">
        <w:t>reference</w:t>
      </w:r>
      <w:r w:rsidRPr="008727FB">
        <w:t xml:space="preserve"> by the </w:t>
      </w:r>
      <w:r w:rsidR="000B15A4" w:rsidRPr="008727FB">
        <w:t xml:space="preserve">NSW Attorney-General to </w:t>
      </w:r>
      <w:r w:rsidR="00EB2FDC" w:rsidRPr="008727FB">
        <w:t>the</w:t>
      </w:r>
      <w:r w:rsidR="000B15A4" w:rsidRPr="008727FB">
        <w:t xml:space="preserve"> NSW Law Reform Commission (NSW LRC).  </w:t>
      </w:r>
      <w:r w:rsidR="00EB2FDC" w:rsidRPr="008727FB">
        <w:t>Details</w:t>
      </w:r>
      <w:r w:rsidR="000B15A4" w:rsidRPr="008727FB">
        <w:t xml:space="preserve"> of the </w:t>
      </w:r>
      <w:r w:rsidR="00EB2FDC" w:rsidRPr="008727FB">
        <w:t>reference</w:t>
      </w:r>
      <w:r w:rsidRPr="008727FB">
        <w:t xml:space="preserve"> </w:t>
      </w:r>
      <w:r w:rsidR="003F0417" w:rsidRPr="008727FB">
        <w:t>are dealt</w:t>
      </w:r>
      <w:r w:rsidR="000B15A4" w:rsidRPr="008727FB">
        <w:t xml:space="preserve"> with in the following section of this </w:t>
      </w:r>
      <w:r w:rsidR="00EB2FDC" w:rsidRPr="008727FB">
        <w:t>chapter</w:t>
      </w:r>
      <w:r w:rsidR="000B15A4" w:rsidRPr="008727FB">
        <w:t>.</w:t>
      </w:r>
    </w:p>
    <w:p w:rsidR="000B15A4" w:rsidRPr="008727FB" w:rsidRDefault="00A7335C" w:rsidP="000B15A4">
      <w:pPr>
        <w:pStyle w:val="BodyText"/>
      </w:pPr>
      <w:r w:rsidRPr="008727FB">
        <w:t>In rela</w:t>
      </w:r>
      <w:r w:rsidR="000B15A4" w:rsidRPr="008727FB">
        <w:t xml:space="preserve">tion to NSW current law, the DPP provided the Committee with this comment on </w:t>
      </w:r>
      <w:r w:rsidRPr="008727FB">
        <w:t>the issues of reckle</w:t>
      </w:r>
      <w:r w:rsidR="00783489" w:rsidRPr="008727FB">
        <w:t>ssness.  The DPP noted that: ‘…</w:t>
      </w:r>
      <w:r w:rsidRPr="008727FB">
        <w:t>part of the Common Law’s current analysis is that it is now clear that an honest belief that the victim was consenting to sexual intercourse does not necessarily exclude the existence of recklessness.’</w:t>
      </w:r>
      <w:r w:rsidRPr="008727FB">
        <w:rPr>
          <w:rStyle w:val="FootnoteReference"/>
        </w:rPr>
        <w:footnoteReference w:id="80"/>
      </w:r>
    </w:p>
    <w:p w:rsidR="00A7335C" w:rsidRPr="008727FB" w:rsidRDefault="00A7335C" w:rsidP="000B15A4">
      <w:pPr>
        <w:pStyle w:val="BodyText"/>
      </w:pPr>
      <w:r w:rsidRPr="008727FB">
        <w:t xml:space="preserve">In enlarging on this matter, the DPP noted the effectives answer provided to this difficulty by NSW </w:t>
      </w:r>
      <w:r w:rsidRPr="008727FB">
        <w:rPr>
          <w:i/>
        </w:rPr>
        <w:t>Crimes ACT</w:t>
      </w:r>
      <w:r w:rsidRPr="008727FB">
        <w:t>:</w:t>
      </w:r>
    </w:p>
    <w:p w:rsidR="000B15A4" w:rsidRPr="008727FB" w:rsidRDefault="000B15A4" w:rsidP="00A40866">
      <w:pPr>
        <w:pStyle w:val="Quote"/>
      </w:pPr>
      <w:r w:rsidRPr="008727FB">
        <w:t xml:space="preserve">Fortuitously, there exists a legislative model which takes account of all of the issues that need to be addressed. In the </w:t>
      </w:r>
      <w:r w:rsidR="00783489" w:rsidRPr="008727FB">
        <w:t>NSW</w:t>
      </w:r>
      <w:r w:rsidRPr="008727FB">
        <w:t xml:space="preserve"> </w:t>
      </w:r>
      <w:r w:rsidRPr="008727FB">
        <w:rPr>
          <w:i/>
        </w:rPr>
        <w:t>Crimes Act</w:t>
      </w:r>
      <w:r w:rsidRPr="008727FB">
        <w:t>, the second aspect of consent is dealt with in the following manner</w:t>
      </w:r>
      <w:r w:rsidR="00EB2FDC" w:rsidRPr="008727FB">
        <w:t>:</w:t>
      </w:r>
    </w:p>
    <w:p w:rsidR="00A7335C" w:rsidRPr="008727FB" w:rsidRDefault="000B15A4" w:rsidP="00503186">
      <w:pPr>
        <w:pStyle w:val="Quote"/>
        <w:ind w:left="1440"/>
        <w:rPr>
          <w:b/>
        </w:rPr>
      </w:pPr>
      <w:r w:rsidRPr="008727FB">
        <w:rPr>
          <w:b/>
        </w:rPr>
        <w:t xml:space="preserve"> Section 61 HA </w:t>
      </w:r>
    </w:p>
    <w:p w:rsidR="00A7335C" w:rsidRPr="008727FB" w:rsidRDefault="006A743F" w:rsidP="006A743F">
      <w:pPr>
        <w:pStyle w:val="Quote"/>
        <w:ind w:left="1440"/>
      </w:pPr>
      <w:r w:rsidRPr="008727FB">
        <w:t>… (See para 4.6 above for the section)</w:t>
      </w:r>
      <w:r w:rsidR="000B15A4" w:rsidRPr="008727FB">
        <w:t xml:space="preserve"> </w:t>
      </w:r>
    </w:p>
    <w:p w:rsidR="00A7335C" w:rsidRPr="008727FB" w:rsidRDefault="000B15A4" w:rsidP="00A40866">
      <w:pPr>
        <w:pStyle w:val="Quote"/>
      </w:pPr>
      <w:r w:rsidRPr="008727FB">
        <w:t>This provision strikes the right balance. The reference in paragraph (a) to the knowledge of the perpetrator would include in the ACT context the knowledge that is deemed by section 67(3), that is, the knowledge that consent of the victim to sexual intercourse has been caused by any of the me</w:t>
      </w:r>
      <w:r w:rsidR="00A7335C" w:rsidRPr="008727FB">
        <w:t>ans set out in section 67(1).</w:t>
      </w:r>
    </w:p>
    <w:p w:rsidR="00A7335C" w:rsidRPr="008727FB" w:rsidRDefault="000B15A4" w:rsidP="00A40866">
      <w:pPr>
        <w:pStyle w:val="Quote"/>
      </w:pPr>
      <w:r w:rsidRPr="008727FB">
        <w:lastRenderedPageBreak/>
        <w:t>The reference to recklessness in paragraph (b) would incorporate the common law developments of the concept of recklessness in relation to consent in sexual offending.</w:t>
      </w:r>
    </w:p>
    <w:p w:rsidR="00A7335C" w:rsidRPr="008727FB" w:rsidRDefault="000B15A4" w:rsidP="00A40866">
      <w:pPr>
        <w:pStyle w:val="Quote"/>
      </w:pPr>
      <w:r w:rsidRPr="008727FB">
        <w:t>And paragraph (c) in</w:t>
      </w:r>
      <w:r w:rsidR="003F0417" w:rsidRPr="008727FB">
        <w:t xml:space="preserve">corporates a reasonable person </w:t>
      </w:r>
      <w:r w:rsidRPr="008727FB">
        <w:t xml:space="preserve">test in relation to consent. This is </w:t>
      </w:r>
      <w:r w:rsidR="00EB2FDC" w:rsidRPr="008727FB">
        <w:t>probably</w:t>
      </w:r>
      <w:r w:rsidRPr="008727FB">
        <w:t xml:space="preserve"> one of the things that was sought to be</w:t>
      </w:r>
      <w:r w:rsidR="00A7335C" w:rsidRPr="008727FB">
        <w:t xml:space="preserve"> achieved by the proposed Bill.</w:t>
      </w:r>
      <w:r w:rsidR="00A40866" w:rsidRPr="008727FB">
        <w:rPr>
          <w:rStyle w:val="FootnoteReference"/>
        </w:rPr>
        <w:footnoteReference w:id="81"/>
      </w:r>
    </w:p>
    <w:p w:rsidR="008654B3" w:rsidRPr="008727FB" w:rsidRDefault="008654B3" w:rsidP="008654B3">
      <w:pPr>
        <w:pStyle w:val="Heading3"/>
      </w:pPr>
      <w:bookmarkStart w:id="81" w:name="_Toc528670956"/>
      <w:r w:rsidRPr="008727FB">
        <w:t>NSW Law Reform Commission – Reference on Consent in sexual offences</w:t>
      </w:r>
      <w:bookmarkEnd w:id="81"/>
    </w:p>
    <w:p w:rsidR="00A40866" w:rsidRPr="008727FB" w:rsidRDefault="00A40866" w:rsidP="00A40866">
      <w:pPr>
        <w:pStyle w:val="BodyText"/>
      </w:pPr>
      <w:r w:rsidRPr="008727FB">
        <w:t xml:space="preserve">In </w:t>
      </w:r>
      <w:r w:rsidR="003F0417" w:rsidRPr="008727FB">
        <w:t>May</w:t>
      </w:r>
      <w:r w:rsidRPr="008727FB">
        <w:t xml:space="preserve"> 2018, the NSW </w:t>
      </w:r>
      <w:r w:rsidR="003F0417" w:rsidRPr="008727FB">
        <w:t>Attorney</w:t>
      </w:r>
      <w:r w:rsidRPr="008727FB">
        <w:t xml:space="preserve">-General </w:t>
      </w:r>
      <w:r w:rsidR="003F0417" w:rsidRPr="008727FB">
        <w:t>referred</w:t>
      </w:r>
      <w:r w:rsidRPr="008727FB">
        <w:t xml:space="preserve"> the question of </w:t>
      </w:r>
      <w:r w:rsidR="003F0417" w:rsidRPr="008727FB">
        <w:t>consent</w:t>
      </w:r>
      <w:r w:rsidRPr="008727FB">
        <w:t xml:space="preserve"> in sexual assault offences to the NSWLRC for inquiry and </w:t>
      </w:r>
      <w:r w:rsidR="003F0417" w:rsidRPr="008727FB">
        <w:t>report</w:t>
      </w:r>
      <w:r w:rsidRPr="008727FB">
        <w:t>.</w:t>
      </w:r>
    </w:p>
    <w:p w:rsidR="00A40866" w:rsidRPr="008727FB" w:rsidRDefault="003F0417" w:rsidP="00A40866">
      <w:pPr>
        <w:pStyle w:val="BodyText"/>
      </w:pPr>
      <w:r w:rsidRPr="008727FB">
        <w:t>When initiating the reference</w:t>
      </w:r>
      <w:r w:rsidR="00A40866" w:rsidRPr="008727FB">
        <w:t xml:space="preserve">, the </w:t>
      </w:r>
      <w:r w:rsidR="006A743F" w:rsidRPr="008727FB">
        <w:t xml:space="preserve">NSW </w:t>
      </w:r>
      <w:r w:rsidR="00A40866" w:rsidRPr="008727FB">
        <w:t>Attorney-General</w:t>
      </w:r>
      <w:r w:rsidR="00722ECB" w:rsidRPr="008727FB">
        <w:t xml:space="preserve">’s media release </w:t>
      </w:r>
      <w:r w:rsidR="00A40866" w:rsidRPr="008727FB">
        <w:t>noted:</w:t>
      </w:r>
    </w:p>
    <w:p w:rsidR="00A40866" w:rsidRPr="008727FB" w:rsidRDefault="00A40866" w:rsidP="00722ECB">
      <w:pPr>
        <w:pStyle w:val="Quote"/>
      </w:pPr>
      <w:r w:rsidRPr="008727FB">
        <w:rPr>
          <w:shd w:val="clear" w:color="auto" w:fill="FFFFFF"/>
        </w:rPr>
        <w:t>Mr Speakman</w:t>
      </w:r>
      <w:r w:rsidR="00722ECB" w:rsidRPr="008727FB">
        <w:rPr>
          <w:shd w:val="clear" w:color="auto" w:fill="FFFFFF"/>
        </w:rPr>
        <w:t xml:space="preserve"> [NSW Attorney-General</w:t>
      </w:r>
      <w:r w:rsidR="003F0417" w:rsidRPr="008727FB">
        <w:rPr>
          <w:shd w:val="clear" w:color="auto" w:fill="FFFFFF"/>
        </w:rPr>
        <w:t>] initiated</w:t>
      </w:r>
      <w:r w:rsidRPr="008727FB">
        <w:rPr>
          <w:shd w:val="clear" w:color="auto" w:fill="FFFFFF"/>
        </w:rPr>
        <w:t xml:space="preserve"> the review after a young woman endured two trials and two appeals with no final resolution. The proceedings centred on the issues of consent and the accused’s knowledge of whether the complainant consented, which the review will consider.</w:t>
      </w:r>
      <w:r w:rsidR="00503186" w:rsidRPr="008727FB">
        <w:rPr>
          <w:rStyle w:val="FootnoteReference"/>
          <w:shd w:val="clear" w:color="auto" w:fill="FFFFFF"/>
        </w:rPr>
        <w:footnoteReference w:id="82"/>
      </w:r>
    </w:p>
    <w:p w:rsidR="00722ECB" w:rsidRPr="008727FB" w:rsidRDefault="003F0417" w:rsidP="00A40866">
      <w:pPr>
        <w:pStyle w:val="BodyText"/>
      </w:pPr>
      <w:r w:rsidRPr="008727FB">
        <w:t xml:space="preserve">The trials and appeals referred </w:t>
      </w:r>
      <w:r w:rsidR="00722ECB" w:rsidRPr="008727FB">
        <w:t xml:space="preserve">to </w:t>
      </w:r>
      <w:r w:rsidR="0086143C" w:rsidRPr="008727FB">
        <w:t xml:space="preserve">in the media release are </w:t>
      </w:r>
      <w:r w:rsidR="00722ECB" w:rsidRPr="008727FB">
        <w:t xml:space="preserve">the 2017 case </w:t>
      </w:r>
      <w:r w:rsidR="00722ECB" w:rsidRPr="008727FB">
        <w:rPr>
          <w:i/>
        </w:rPr>
        <w:t>R v Lazarus</w:t>
      </w:r>
      <w:r w:rsidR="00722ECB" w:rsidRPr="008727FB">
        <w:t>, in which the question of con</w:t>
      </w:r>
      <w:r w:rsidR="009D3A95" w:rsidRPr="008727FB">
        <w:t>sent</w:t>
      </w:r>
      <w:r w:rsidR="00722ECB" w:rsidRPr="008727FB">
        <w:t xml:space="preserve"> in an alleged sexual assault played a decisive part</w:t>
      </w:r>
      <w:r w:rsidR="009D3A95" w:rsidRPr="008727FB">
        <w:t xml:space="preserve"> in the decision of the courts</w:t>
      </w:r>
      <w:r w:rsidR="00722ECB" w:rsidRPr="008727FB">
        <w:t>.</w:t>
      </w:r>
      <w:r w:rsidR="00722ECB" w:rsidRPr="008727FB">
        <w:rPr>
          <w:rStyle w:val="FootnoteReference"/>
        </w:rPr>
        <w:footnoteReference w:id="83"/>
      </w:r>
    </w:p>
    <w:p w:rsidR="00A40866" w:rsidRPr="008727FB" w:rsidRDefault="00503186" w:rsidP="00A40866">
      <w:pPr>
        <w:pStyle w:val="BodyText"/>
      </w:pPr>
      <w:r w:rsidRPr="008727FB">
        <w:t xml:space="preserve">The NSW LRC invited </w:t>
      </w:r>
      <w:r w:rsidR="002D1347" w:rsidRPr="008727FB">
        <w:t>preliminary</w:t>
      </w:r>
      <w:r w:rsidRPr="008727FB">
        <w:t xml:space="preserve"> submissions on this </w:t>
      </w:r>
      <w:r w:rsidR="002D1347" w:rsidRPr="008727FB">
        <w:t>reference</w:t>
      </w:r>
      <w:r w:rsidRPr="008727FB">
        <w:t xml:space="preserve">, and – on 19 </w:t>
      </w:r>
      <w:r w:rsidR="002D1347" w:rsidRPr="008727FB">
        <w:t>October</w:t>
      </w:r>
      <w:r w:rsidRPr="008727FB">
        <w:t xml:space="preserve"> 2018 – issued a </w:t>
      </w:r>
      <w:r w:rsidR="002D1347" w:rsidRPr="008727FB">
        <w:t>Consultation</w:t>
      </w:r>
      <w:r w:rsidRPr="008727FB">
        <w:t xml:space="preserve"> Paper seeking detailed </w:t>
      </w:r>
      <w:r w:rsidR="002D1347" w:rsidRPr="008727FB">
        <w:t>submissions</w:t>
      </w:r>
      <w:r w:rsidRPr="008727FB">
        <w:t xml:space="preserve"> on matters </w:t>
      </w:r>
      <w:r w:rsidR="009D66E3" w:rsidRPr="008727FB">
        <w:t xml:space="preserve">it has identified as questions raised by the </w:t>
      </w:r>
      <w:r w:rsidR="002D1347" w:rsidRPr="008727FB">
        <w:t>reference</w:t>
      </w:r>
      <w:r w:rsidR="009D66E3" w:rsidRPr="008727FB">
        <w:t>.</w:t>
      </w:r>
      <w:r w:rsidR="009D66E3" w:rsidRPr="008727FB">
        <w:rPr>
          <w:rStyle w:val="FootnoteReference"/>
        </w:rPr>
        <w:footnoteReference w:id="84"/>
      </w:r>
    </w:p>
    <w:p w:rsidR="005017CF" w:rsidRPr="008727FB" w:rsidRDefault="002D1347" w:rsidP="00A40866">
      <w:pPr>
        <w:pStyle w:val="BodyText"/>
      </w:pPr>
      <w:r w:rsidRPr="008727FB">
        <w:t>The C</w:t>
      </w:r>
      <w:r w:rsidR="005017CF" w:rsidRPr="008727FB">
        <w:t>ommittee no</w:t>
      </w:r>
      <w:r w:rsidR="00783489" w:rsidRPr="008727FB">
        <w:t>t</w:t>
      </w:r>
      <w:r w:rsidR="005017CF" w:rsidRPr="008727FB">
        <w:t>es that a large number of issues are raised by the Consu</w:t>
      </w:r>
      <w:r w:rsidRPr="008727FB">
        <w:t>ltation P</w:t>
      </w:r>
      <w:r w:rsidR="005017CF" w:rsidRPr="008727FB">
        <w:t>aper</w:t>
      </w:r>
      <w:r w:rsidRPr="008727FB">
        <w:t xml:space="preserve"> which are relevant to issues considered by the Committee in this inquiry</w:t>
      </w:r>
      <w:r w:rsidR="005017CF" w:rsidRPr="008727FB">
        <w:t xml:space="preserve">, and </w:t>
      </w:r>
      <w:r w:rsidR="00F343E5" w:rsidRPr="008727FB">
        <w:t xml:space="preserve">comments further on the NSW LRC process at </w:t>
      </w:r>
      <w:r w:rsidR="008273AC" w:rsidRPr="008727FB">
        <w:t>the end of this chapter and in c</w:t>
      </w:r>
      <w:r w:rsidR="00F343E5" w:rsidRPr="008727FB">
        <w:t>hapter 5.</w:t>
      </w:r>
    </w:p>
    <w:p w:rsidR="008654B3" w:rsidRPr="008727FB" w:rsidRDefault="008654B3" w:rsidP="008654B3">
      <w:pPr>
        <w:pStyle w:val="Heading3"/>
      </w:pPr>
      <w:bookmarkStart w:id="82" w:name="_Toc528670957"/>
      <w:r w:rsidRPr="008727FB">
        <w:lastRenderedPageBreak/>
        <w:t>Tasmania</w:t>
      </w:r>
      <w:bookmarkEnd w:id="82"/>
    </w:p>
    <w:p w:rsidR="00F343E5" w:rsidRPr="008727FB" w:rsidRDefault="00F343E5" w:rsidP="00F343E5">
      <w:pPr>
        <w:pStyle w:val="BodyText"/>
      </w:pPr>
      <w:r w:rsidRPr="008727FB">
        <w:t>In 2004</w:t>
      </w:r>
      <w:r w:rsidR="00783489" w:rsidRPr="008727FB">
        <w:t>,</w:t>
      </w:r>
      <w:r w:rsidRPr="008727FB">
        <w:t xml:space="preserve"> Tasmania enacted </w:t>
      </w:r>
      <w:r w:rsidR="002D1347" w:rsidRPr="008727FB">
        <w:t>amendments</w:t>
      </w:r>
      <w:r w:rsidRPr="008727FB">
        <w:t xml:space="preserve"> to the state’s Criminal Code that inserted a statutory definition of consent and imposed additional constraints on the availability of the defence of mistaken belief in consent.</w:t>
      </w:r>
    </w:p>
    <w:p w:rsidR="00F343E5" w:rsidRPr="008727FB" w:rsidRDefault="00F343E5" w:rsidP="00F343E5">
      <w:pPr>
        <w:pStyle w:val="BodyText"/>
      </w:pPr>
      <w:r w:rsidRPr="008727FB">
        <w:t xml:space="preserve">The </w:t>
      </w:r>
      <w:r w:rsidR="002D1347" w:rsidRPr="008727FB">
        <w:t>amendments</w:t>
      </w:r>
      <w:r w:rsidRPr="008727FB">
        <w:t xml:space="preserve"> were enacted to ensure that the issue of consent to sexual conduct would be tested and assessed according to standards of mutual and reciprocal </w:t>
      </w:r>
      <w:r w:rsidR="002D1347" w:rsidRPr="008727FB">
        <w:t>consent</w:t>
      </w:r>
      <w:r w:rsidR="00783489" w:rsidRPr="008727FB">
        <w:t xml:space="preserve"> and, in accordance with Section</w:t>
      </w:r>
      <w:r w:rsidRPr="008727FB">
        <w:t xml:space="preserve"> 2A(2)(a) of the Tasmanian Criminal Code, the amendment </w:t>
      </w:r>
      <w:r w:rsidR="002D1347" w:rsidRPr="008727FB">
        <w:t>provides</w:t>
      </w:r>
      <w:r w:rsidRPr="008727FB">
        <w:t xml:space="preserve"> that a complainant did not communicate consent is sufficient to establish absence of consent.</w:t>
      </w:r>
    </w:p>
    <w:p w:rsidR="00F343E5" w:rsidRPr="008727FB" w:rsidRDefault="00F343E5" w:rsidP="00F343E5">
      <w:pPr>
        <w:pStyle w:val="BodyText"/>
      </w:pPr>
      <w:r w:rsidRPr="008727FB">
        <w:t>In the Tasmanian Criminal Code consent is defined in s 2A as ‘free agreement’.  The section reads:</w:t>
      </w:r>
    </w:p>
    <w:p w:rsidR="00F343E5" w:rsidRPr="008727FB" w:rsidRDefault="00F343E5" w:rsidP="00F343E5">
      <w:pPr>
        <w:pStyle w:val="Quote"/>
        <w:rPr>
          <w:b/>
        </w:rPr>
      </w:pPr>
      <w:r w:rsidRPr="008727FB">
        <w:rPr>
          <w:b/>
        </w:rPr>
        <w:t>2A. - Consent</w:t>
      </w:r>
    </w:p>
    <w:p w:rsidR="00F343E5" w:rsidRPr="008727FB" w:rsidRDefault="00F343E5" w:rsidP="00F343E5">
      <w:pPr>
        <w:pStyle w:val="Quote"/>
        <w:rPr>
          <w:sz w:val="24"/>
          <w:lang w:eastAsia="en-AU"/>
        </w:rPr>
      </w:pPr>
      <w:r w:rsidRPr="008727FB">
        <w:rPr>
          <w:sz w:val="24"/>
          <w:lang w:eastAsia="en-AU"/>
        </w:rPr>
        <w:t>(1)  In the Code, unless the contrary intention appears, "consent " means free agreement.</w:t>
      </w:r>
    </w:p>
    <w:p w:rsidR="00F343E5" w:rsidRPr="008727FB" w:rsidRDefault="00F343E5" w:rsidP="00F343E5">
      <w:pPr>
        <w:pStyle w:val="Quote"/>
        <w:rPr>
          <w:sz w:val="24"/>
          <w:lang w:eastAsia="en-AU"/>
        </w:rPr>
      </w:pPr>
      <w:r w:rsidRPr="008727FB">
        <w:rPr>
          <w:sz w:val="24"/>
          <w:lang w:eastAsia="en-AU"/>
        </w:rPr>
        <w:t>(2)  Without limiting the meaning of "free agreement" , and without limiting what may constitute "free agreement" or "not free agreement" , a person does not freely agree to an act if the person –</w:t>
      </w:r>
    </w:p>
    <w:p w:rsidR="00F343E5" w:rsidRPr="008727FB" w:rsidRDefault="00F343E5" w:rsidP="00F343E5">
      <w:pPr>
        <w:pStyle w:val="Quote"/>
        <w:rPr>
          <w:sz w:val="24"/>
          <w:lang w:eastAsia="en-AU"/>
        </w:rPr>
      </w:pPr>
      <w:r w:rsidRPr="008727FB">
        <w:rPr>
          <w:sz w:val="24"/>
          <w:lang w:eastAsia="en-AU"/>
        </w:rPr>
        <w:t>(a) does not say or do anything to communicate consent; or</w:t>
      </w:r>
    </w:p>
    <w:p w:rsidR="00F343E5" w:rsidRPr="008727FB" w:rsidRDefault="00F343E5" w:rsidP="00F343E5">
      <w:pPr>
        <w:pStyle w:val="Quote"/>
        <w:rPr>
          <w:sz w:val="24"/>
          <w:lang w:eastAsia="en-AU"/>
        </w:rPr>
      </w:pPr>
      <w:r w:rsidRPr="008727FB">
        <w:rPr>
          <w:sz w:val="24"/>
          <w:lang w:eastAsia="en-AU"/>
        </w:rPr>
        <w:t>(b) agrees or submits because of force, or a reasonable fear of force, to him or her or to another person; or</w:t>
      </w:r>
    </w:p>
    <w:p w:rsidR="00F343E5" w:rsidRPr="008727FB" w:rsidRDefault="00F343E5" w:rsidP="00F343E5">
      <w:pPr>
        <w:pStyle w:val="Quote"/>
        <w:rPr>
          <w:sz w:val="24"/>
          <w:lang w:eastAsia="en-AU"/>
        </w:rPr>
      </w:pPr>
      <w:r w:rsidRPr="008727FB">
        <w:rPr>
          <w:sz w:val="24"/>
          <w:lang w:eastAsia="en-AU"/>
        </w:rPr>
        <w:t>(c) agrees or submits because of a threat of any kind against him or her or against another person; or</w:t>
      </w:r>
    </w:p>
    <w:p w:rsidR="00F343E5" w:rsidRPr="008727FB" w:rsidRDefault="00F343E5" w:rsidP="00F343E5">
      <w:pPr>
        <w:pStyle w:val="Quote"/>
        <w:rPr>
          <w:sz w:val="24"/>
          <w:lang w:eastAsia="en-AU"/>
        </w:rPr>
      </w:pPr>
      <w:r w:rsidRPr="008727FB">
        <w:rPr>
          <w:sz w:val="24"/>
          <w:lang w:eastAsia="en-AU"/>
        </w:rPr>
        <w:t>(d) agrees or submits because he or she or another person is unlawfully detained; or</w:t>
      </w:r>
    </w:p>
    <w:p w:rsidR="00F343E5" w:rsidRPr="008727FB" w:rsidRDefault="00F343E5" w:rsidP="00F343E5">
      <w:pPr>
        <w:pStyle w:val="Quote"/>
        <w:rPr>
          <w:sz w:val="24"/>
          <w:lang w:eastAsia="en-AU"/>
        </w:rPr>
      </w:pPr>
      <w:r w:rsidRPr="008727FB">
        <w:rPr>
          <w:sz w:val="24"/>
          <w:lang w:eastAsia="en-AU"/>
        </w:rPr>
        <w:t>(e) agrees or submits because he or she is overborne by the nature or position of another person; or</w:t>
      </w:r>
    </w:p>
    <w:p w:rsidR="00F343E5" w:rsidRPr="008727FB" w:rsidRDefault="00F343E5" w:rsidP="00F343E5">
      <w:pPr>
        <w:pStyle w:val="Quote"/>
        <w:rPr>
          <w:sz w:val="24"/>
          <w:lang w:eastAsia="en-AU"/>
        </w:rPr>
      </w:pPr>
      <w:r w:rsidRPr="008727FB">
        <w:rPr>
          <w:sz w:val="24"/>
          <w:lang w:eastAsia="en-AU"/>
        </w:rPr>
        <w:t>(f) agrees or submits because of the fraud of the accused; or</w:t>
      </w:r>
    </w:p>
    <w:p w:rsidR="00F343E5" w:rsidRPr="008727FB" w:rsidRDefault="00F343E5" w:rsidP="00F343E5">
      <w:pPr>
        <w:pStyle w:val="Quote"/>
        <w:rPr>
          <w:sz w:val="24"/>
          <w:lang w:eastAsia="en-AU"/>
        </w:rPr>
      </w:pPr>
      <w:r w:rsidRPr="008727FB">
        <w:rPr>
          <w:sz w:val="24"/>
          <w:lang w:eastAsia="en-AU"/>
        </w:rPr>
        <w:t>(g) is reasonably mistaken about the nature or purpose of the act or the identity of the accused; or</w:t>
      </w:r>
    </w:p>
    <w:p w:rsidR="00F343E5" w:rsidRPr="008727FB" w:rsidRDefault="00F343E5" w:rsidP="00F343E5">
      <w:pPr>
        <w:pStyle w:val="Quote"/>
        <w:rPr>
          <w:sz w:val="24"/>
          <w:lang w:eastAsia="en-AU"/>
        </w:rPr>
      </w:pPr>
      <w:r w:rsidRPr="008727FB">
        <w:rPr>
          <w:sz w:val="24"/>
          <w:lang w:eastAsia="en-AU"/>
        </w:rPr>
        <w:t>(h) is asleep, unconscious or so affected by alcohol or another drug as to be unable to form a rational opinion in respect of the matter for which consent is required; or</w:t>
      </w:r>
    </w:p>
    <w:p w:rsidR="00F343E5" w:rsidRPr="008727FB" w:rsidRDefault="00F343E5" w:rsidP="00F343E5">
      <w:pPr>
        <w:pStyle w:val="Quote"/>
        <w:rPr>
          <w:sz w:val="24"/>
          <w:lang w:eastAsia="en-AU"/>
        </w:rPr>
      </w:pPr>
      <w:r w:rsidRPr="008727FB">
        <w:rPr>
          <w:sz w:val="24"/>
          <w:lang w:eastAsia="en-AU"/>
        </w:rPr>
        <w:t>(i) is unable to understand the nature of the act.</w:t>
      </w:r>
    </w:p>
    <w:p w:rsidR="00F343E5" w:rsidRPr="008727FB" w:rsidRDefault="00F343E5" w:rsidP="00F343E5">
      <w:pPr>
        <w:pStyle w:val="Quote"/>
        <w:rPr>
          <w:sz w:val="24"/>
          <w:lang w:eastAsia="en-AU"/>
        </w:rPr>
      </w:pPr>
      <w:r w:rsidRPr="008727FB">
        <w:rPr>
          <w:sz w:val="24"/>
          <w:lang w:eastAsia="en-AU"/>
        </w:rPr>
        <w:t xml:space="preserve">(3)  If a person, against whom a crime is alleged to have been committed under chapters XIV or XX, suffers grievous bodily harm as a result of, or in connection </w:t>
      </w:r>
      <w:r w:rsidRPr="008727FB">
        <w:rPr>
          <w:sz w:val="24"/>
          <w:lang w:eastAsia="en-AU"/>
        </w:rPr>
        <w:lastRenderedPageBreak/>
        <w:t>with, such a crime, the grievous bodily harm so suffered is evidence of the lack of consent on the part of that person unless the contrary is shown.</w:t>
      </w:r>
    </w:p>
    <w:p w:rsidR="00F343E5" w:rsidRPr="008727FB" w:rsidRDefault="00F343E5" w:rsidP="00F343E5">
      <w:pPr>
        <w:pStyle w:val="BodyText"/>
      </w:pPr>
      <w:r w:rsidRPr="008727FB">
        <w:t xml:space="preserve">The </w:t>
      </w:r>
      <w:r w:rsidR="002D1347" w:rsidRPr="008727FB">
        <w:t>Tasmanian</w:t>
      </w:r>
      <w:r w:rsidRPr="008727FB">
        <w:t xml:space="preserve"> </w:t>
      </w:r>
      <w:r w:rsidR="002F4276" w:rsidRPr="008727FB">
        <w:t>consent provisions</w:t>
      </w:r>
      <w:r w:rsidR="002D1347" w:rsidRPr="008727FB">
        <w:t>, having been in force for some time, have</w:t>
      </w:r>
      <w:r w:rsidRPr="008727FB">
        <w:t xml:space="preserve"> been the </w:t>
      </w:r>
      <w:r w:rsidR="002D1347" w:rsidRPr="008727FB">
        <w:t>subject</w:t>
      </w:r>
      <w:r w:rsidRPr="008727FB">
        <w:t xml:space="preserve"> of some study, and in </w:t>
      </w:r>
      <w:r w:rsidR="002D1347" w:rsidRPr="008727FB">
        <w:t>particular, on</w:t>
      </w:r>
      <w:r w:rsidR="004C3009" w:rsidRPr="008727FB">
        <w:t xml:space="preserve"> the Impact of Introducing the affirmative model of consent in Tasmanian rape trials.</w:t>
      </w:r>
      <w:r w:rsidR="004C3009" w:rsidRPr="008727FB">
        <w:rPr>
          <w:rStyle w:val="FootnoteReference"/>
        </w:rPr>
        <w:footnoteReference w:id="85"/>
      </w:r>
      <w:r w:rsidR="00CF1B56" w:rsidRPr="008727FB">
        <w:t xml:space="preserve">  This </w:t>
      </w:r>
      <w:r w:rsidR="002D1347" w:rsidRPr="008727FB">
        <w:t xml:space="preserve">particular </w:t>
      </w:r>
      <w:r w:rsidR="00CF1B56" w:rsidRPr="008727FB">
        <w:t>study found, inter alia, that:</w:t>
      </w:r>
    </w:p>
    <w:p w:rsidR="00CF1B56" w:rsidRPr="008727FB" w:rsidRDefault="00CF1B56" w:rsidP="00CF1B56">
      <w:pPr>
        <w:pStyle w:val="Quote"/>
      </w:pPr>
      <w:r w:rsidRPr="008727FB">
        <w:t>There is evidence that judges and counsel continue to rely on a pre-reform notion of consent and indications that the prosecution tailor cases to their understanding of the jury’s preconceived views about rape, rape victims and consent to sexual intercourse. The thesis concludes that the general reluctance or inability to engage with the new concept of consent that the reforms have instituted must be addressed by providing education about the meaning and effect of the amended legislation if there is to be any hope of achieving positive attitudinal change within both the criminal justice system and the broader community.</w:t>
      </w:r>
      <w:r w:rsidRPr="008727FB">
        <w:rPr>
          <w:rStyle w:val="FootnoteReference"/>
        </w:rPr>
        <w:footnoteReference w:id="86"/>
      </w:r>
    </w:p>
    <w:p w:rsidR="00CF1B56" w:rsidRPr="008727FB" w:rsidRDefault="002D1347" w:rsidP="00F343E5">
      <w:pPr>
        <w:pStyle w:val="BodyText"/>
      </w:pPr>
      <w:r w:rsidRPr="008727FB">
        <w:t>The C</w:t>
      </w:r>
      <w:r w:rsidR="00CF1B56" w:rsidRPr="008727FB">
        <w:t>ommittee has not considered or inquired into matters raised by the cha</w:t>
      </w:r>
      <w:r w:rsidRPr="008727FB">
        <w:t xml:space="preserve">nges to Tasmanian consent provisions </w:t>
      </w:r>
      <w:r w:rsidR="00CF1B56" w:rsidRPr="008727FB">
        <w:t>ap</w:t>
      </w:r>
      <w:r w:rsidRPr="008727FB">
        <w:t>art fro</w:t>
      </w:r>
      <w:r w:rsidR="00CF1B56" w:rsidRPr="008727FB">
        <w:t>m noting th</w:t>
      </w:r>
      <w:r w:rsidR="00783489" w:rsidRPr="008727FB">
        <w:t>e</w:t>
      </w:r>
      <w:r w:rsidR="00CF1B56" w:rsidRPr="008727FB">
        <w:t xml:space="preserve"> 2004 </w:t>
      </w:r>
      <w:r w:rsidRPr="008727FB">
        <w:t>amendments</w:t>
      </w:r>
      <w:r w:rsidR="00CF1B56" w:rsidRPr="008727FB">
        <w:t xml:space="preserve">, and the </w:t>
      </w:r>
      <w:r w:rsidRPr="008727FB">
        <w:t>assessment in the analysis pu</w:t>
      </w:r>
      <w:r w:rsidR="00CF1B56" w:rsidRPr="008727FB">
        <w:t>blished on its imple</w:t>
      </w:r>
      <w:r w:rsidRPr="008727FB">
        <w:t>mentation</w:t>
      </w:r>
      <w:r w:rsidR="00CF1B56" w:rsidRPr="008727FB">
        <w:t>.</w:t>
      </w:r>
    </w:p>
    <w:p w:rsidR="008654B3" w:rsidRPr="008727FB" w:rsidRDefault="00F343E5" w:rsidP="008654B3">
      <w:pPr>
        <w:pStyle w:val="Heading3"/>
      </w:pPr>
      <w:r w:rsidRPr="008727FB">
        <w:t xml:space="preserve"> </w:t>
      </w:r>
      <w:bookmarkStart w:id="83" w:name="_Toc528670958"/>
      <w:r w:rsidR="002D1347" w:rsidRPr="008727FB">
        <w:t>Committee</w:t>
      </w:r>
      <w:r w:rsidR="008654B3" w:rsidRPr="008727FB">
        <w:t xml:space="preserve"> Comment</w:t>
      </w:r>
      <w:bookmarkEnd w:id="83"/>
    </w:p>
    <w:p w:rsidR="00BB78B5" w:rsidRPr="008727FB" w:rsidRDefault="00BB78B5" w:rsidP="00BB78B5">
      <w:pPr>
        <w:pStyle w:val="BodyText"/>
      </w:pPr>
      <w:r w:rsidRPr="008727FB">
        <w:t>The Committee has provided a</w:t>
      </w:r>
      <w:r w:rsidR="002D1347" w:rsidRPr="008727FB">
        <w:t xml:space="preserve"> brief</w:t>
      </w:r>
      <w:r w:rsidRPr="008727FB">
        <w:t xml:space="preserve"> </w:t>
      </w:r>
      <w:r w:rsidR="002D1347" w:rsidRPr="008727FB">
        <w:t>analysis</w:t>
      </w:r>
      <w:r w:rsidRPr="008727FB">
        <w:t xml:space="preserve"> of the current provi</w:t>
      </w:r>
      <w:r w:rsidR="002D1347" w:rsidRPr="008727FB">
        <w:t>sions relating</w:t>
      </w:r>
      <w:r w:rsidRPr="008727FB">
        <w:t xml:space="preserve"> to con</w:t>
      </w:r>
      <w:r w:rsidR="002D1347" w:rsidRPr="008727FB">
        <w:t xml:space="preserve">sent </w:t>
      </w:r>
      <w:r w:rsidRPr="008727FB">
        <w:t xml:space="preserve">and notes two </w:t>
      </w:r>
      <w:r w:rsidR="002D1347" w:rsidRPr="008727FB">
        <w:t>considerations</w:t>
      </w:r>
      <w:r w:rsidRPr="008727FB">
        <w:t>.</w:t>
      </w:r>
    </w:p>
    <w:p w:rsidR="00BB78B5" w:rsidRPr="008727FB" w:rsidRDefault="00BB78B5" w:rsidP="00BB78B5">
      <w:pPr>
        <w:pStyle w:val="BodyText"/>
      </w:pPr>
      <w:r w:rsidRPr="008727FB">
        <w:t>The first</w:t>
      </w:r>
      <w:r w:rsidR="002D1347" w:rsidRPr="008727FB">
        <w:t xml:space="preserve"> is the </w:t>
      </w:r>
      <w:r w:rsidRPr="008727FB">
        <w:t xml:space="preserve">NSW </w:t>
      </w:r>
      <w:r w:rsidR="00783489" w:rsidRPr="008727FB">
        <w:t xml:space="preserve">provisions. </w:t>
      </w:r>
      <w:r w:rsidR="002D1347" w:rsidRPr="008727FB">
        <w:t xml:space="preserve"> Section 61 HA of the </w:t>
      </w:r>
      <w:r w:rsidR="002D1347" w:rsidRPr="008727FB">
        <w:rPr>
          <w:i/>
        </w:rPr>
        <w:t>C</w:t>
      </w:r>
      <w:r w:rsidRPr="008727FB">
        <w:rPr>
          <w:i/>
        </w:rPr>
        <w:t>rimes Act 1900</w:t>
      </w:r>
      <w:r w:rsidR="002D1347" w:rsidRPr="008727FB">
        <w:t xml:space="preserve"> </w:t>
      </w:r>
      <w:r w:rsidR="00A24687" w:rsidRPr="008727FB">
        <w:t xml:space="preserve">(NSW) </w:t>
      </w:r>
      <w:r w:rsidR="002D1347" w:rsidRPr="008727FB">
        <w:t>may</w:t>
      </w:r>
      <w:r w:rsidRPr="008727FB">
        <w:t xml:space="preserve"> provide a good model for an </w:t>
      </w:r>
      <w:r w:rsidR="002D1347" w:rsidRPr="008727FB">
        <w:t>amendment</w:t>
      </w:r>
      <w:r w:rsidRPr="008727FB">
        <w:t xml:space="preserve"> of the ACT </w:t>
      </w:r>
      <w:r w:rsidRPr="008727FB">
        <w:rPr>
          <w:i/>
        </w:rPr>
        <w:t>Crimes Act</w:t>
      </w:r>
      <w:r w:rsidRPr="008727FB">
        <w:t xml:space="preserve">, if the Committee </w:t>
      </w:r>
      <w:r w:rsidR="002D1347" w:rsidRPr="008727FB">
        <w:t xml:space="preserve">accepted the view of the DPP (and several </w:t>
      </w:r>
      <w:r w:rsidRPr="008727FB">
        <w:t>other submitters</w:t>
      </w:r>
      <w:r w:rsidR="00A24687" w:rsidRPr="008727FB">
        <w:t>, who made a similar suggestion</w:t>
      </w:r>
      <w:r w:rsidRPr="008727FB">
        <w:t>)</w:t>
      </w:r>
      <w:r w:rsidR="00A24687" w:rsidRPr="008727FB">
        <w:t>.</w:t>
      </w:r>
    </w:p>
    <w:p w:rsidR="00BB78B5" w:rsidRPr="008727FB" w:rsidRDefault="00BB78B5" w:rsidP="00BB78B5">
      <w:pPr>
        <w:pStyle w:val="BodyText"/>
      </w:pPr>
      <w:r w:rsidRPr="008727FB">
        <w:t xml:space="preserve">However, the </w:t>
      </w:r>
      <w:r w:rsidR="003F0417" w:rsidRPr="008727FB">
        <w:t xml:space="preserve">referral of the matters </w:t>
      </w:r>
      <w:r w:rsidR="002D1347" w:rsidRPr="008727FB">
        <w:t>relating to consent</w:t>
      </w:r>
      <w:r w:rsidR="003F0417" w:rsidRPr="008727FB">
        <w:t xml:space="preserve"> in </w:t>
      </w:r>
      <w:r w:rsidR="002D1347" w:rsidRPr="008727FB">
        <w:t>sexual</w:t>
      </w:r>
      <w:r w:rsidR="00783489" w:rsidRPr="008727FB">
        <w:t xml:space="preserve"> offences to the NSW</w:t>
      </w:r>
      <w:r w:rsidR="003F0417" w:rsidRPr="008727FB">
        <w:t>LRC (on th</w:t>
      </w:r>
      <w:r w:rsidR="00783489" w:rsidRPr="008727FB">
        <w:t>e</w:t>
      </w:r>
      <w:r w:rsidR="003F0417" w:rsidRPr="008727FB">
        <w:t xml:space="preserve"> same day the Bill was referred to the Committee by the </w:t>
      </w:r>
      <w:r w:rsidR="002D1347" w:rsidRPr="008727FB">
        <w:t>Legislative</w:t>
      </w:r>
      <w:r w:rsidR="003F0417" w:rsidRPr="008727FB">
        <w:t xml:space="preserve"> Assembly) has resulted in submis</w:t>
      </w:r>
      <w:r w:rsidR="00783489" w:rsidRPr="008727FB">
        <w:t>sions to the Committee, by the A</w:t>
      </w:r>
      <w:r w:rsidR="003F0417" w:rsidRPr="008727FB">
        <w:t xml:space="preserve">ttorney-General and by the Bill’s </w:t>
      </w:r>
      <w:r w:rsidR="002D1347" w:rsidRPr="008727FB">
        <w:t>sponsor</w:t>
      </w:r>
      <w:r w:rsidR="003F0417" w:rsidRPr="008727FB">
        <w:t xml:space="preserve">, Ms Le </w:t>
      </w:r>
      <w:r w:rsidR="002D1347" w:rsidRPr="008727FB">
        <w:t>C</w:t>
      </w:r>
      <w:r w:rsidR="003F0417" w:rsidRPr="008727FB">
        <w:t>outeur MLA, that consideration of the</w:t>
      </w:r>
      <w:r w:rsidR="00783489" w:rsidRPr="008727FB">
        <w:t xml:space="preserve"> Bill be deferred until the NSW</w:t>
      </w:r>
      <w:r w:rsidR="003F0417" w:rsidRPr="008727FB">
        <w:t xml:space="preserve">LRC finalises and published its </w:t>
      </w:r>
      <w:r w:rsidR="002D1347" w:rsidRPr="008727FB">
        <w:t>report</w:t>
      </w:r>
      <w:r w:rsidR="003F0417" w:rsidRPr="008727FB">
        <w:t xml:space="preserve"> and recommendations to </w:t>
      </w:r>
      <w:r w:rsidR="002D1347" w:rsidRPr="008727FB">
        <w:t>government</w:t>
      </w:r>
      <w:r w:rsidR="003F0417" w:rsidRPr="008727FB">
        <w:t xml:space="preserve"> in 2019.</w:t>
      </w:r>
    </w:p>
    <w:p w:rsidR="003F0417" w:rsidRPr="008727FB" w:rsidRDefault="003F0417" w:rsidP="00BB78B5">
      <w:pPr>
        <w:pStyle w:val="BodyText"/>
      </w:pPr>
      <w:r w:rsidRPr="008727FB">
        <w:t>The Commit</w:t>
      </w:r>
      <w:r w:rsidR="008273AC" w:rsidRPr="008727FB">
        <w:t>tee considers these matters in c</w:t>
      </w:r>
      <w:r w:rsidRPr="008727FB">
        <w:t>hapter 5.</w:t>
      </w:r>
    </w:p>
    <w:p w:rsidR="00514BC3" w:rsidRPr="008727FB" w:rsidRDefault="00514BC3" w:rsidP="00DE2F43">
      <w:pPr>
        <w:pStyle w:val="Heading2"/>
        <w:sectPr w:rsidR="00514BC3" w:rsidRPr="008727FB" w:rsidSect="004207A6">
          <w:type w:val="oddPage"/>
          <w:pgSz w:w="11907" w:h="16840" w:code="9"/>
          <w:pgMar w:top="1588" w:right="1418" w:bottom="1418" w:left="1418" w:header="720" w:footer="851" w:gutter="0"/>
          <w:cols w:space="720"/>
          <w:docGrid w:linePitch="360"/>
        </w:sectPr>
      </w:pPr>
      <w:bookmarkStart w:id="84" w:name="_Toc502672957"/>
      <w:bookmarkStart w:id="85" w:name="_Toc502671594"/>
      <w:bookmarkStart w:id="86" w:name="_Toc502671772"/>
      <w:bookmarkStart w:id="87" w:name="_Toc502671878"/>
      <w:bookmarkStart w:id="88" w:name="_Toc502672810"/>
      <w:bookmarkEnd w:id="84"/>
    </w:p>
    <w:p w:rsidR="00DE2F43" w:rsidRPr="008727FB" w:rsidRDefault="00E77661" w:rsidP="00DE2F43">
      <w:pPr>
        <w:pStyle w:val="Heading2"/>
      </w:pPr>
      <w:bookmarkStart w:id="89" w:name="_Toc528670959"/>
      <w:r w:rsidRPr="008727FB">
        <w:lastRenderedPageBreak/>
        <w:t>S</w:t>
      </w:r>
      <w:r w:rsidR="00DE2F43" w:rsidRPr="008727FB">
        <w:t>ummary of Issues, Committee Comment and Conclusions</w:t>
      </w:r>
      <w:bookmarkEnd w:id="89"/>
    </w:p>
    <w:p w:rsidR="00DE2F43" w:rsidRPr="008727FB" w:rsidRDefault="00DE2F43" w:rsidP="005C15BE">
      <w:pPr>
        <w:pStyle w:val="Heading3"/>
      </w:pPr>
      <w:bookmarkStart w:id="90" w:name="_Toc528670960"/>
      <w:r w:rsidRPr="008727FB">
        <w:t>Introduction</w:t>
      </w:r>
      <w:bookmarkEnd w:id="90"/>
    </w:p>
    <w:p w:rsidR="00E33D97" w:rsidRPr="008727FB" w:rsidRDefault="000A5DDF" w:rsidP="00E33D97">
      <w:pPr>
        <w:pStyle w:val="BodyText"/>
      </w:pPr>
      <w:r w:rsidRPr="008727FB">
        <w:t>The C</w:t>
      </w:r>
      <w:r w:rsidR="00E33D97" w:rsidRPr="008727FB">
        <w:t xml:space="preserve">ommittee has provided – </w:t>
      </w:r>
      <w:r w:rsidR="00513F0F" w:rsidRPr="008727FB">
        <w:t>partic</w:t>
      </w:r>
      <w:r w:rsidR="006B5616" w:rsidRPr="008727FB">
        <w:t>ularly</w:t>
      </w:r>
      <w:r w:rsidR="00513F0F" w:rsidRPr="008727FB">
        <w:t xml:space="preserve"> </w:t>
      </w:r>
      <w:r w:rsidR="008273AC" w:rsidRPr="008727FB">
        <w:t>in c</w:t>
      </w:r>
      <w:r w:rsidR="00E33D97" w:rsidRPr="008727FB">
        <w:t>hapter</w:t>
      </w:r>
      <w:r w:rsidR="00DA020B" w:rsidRPr="008727FB">
        <w:t xml:space="preserve"> </w:t>
      </w:r>
      <w:r w:rsidR="00E33D97" w:rsidRPr="008727FB">
        <w:t xml:space="preserve">3 – a review of the </w:t>
      </w:r>
      <w:r w:rsidR="006B5616" w:rsidRPr="008727FB">
        <w:t>evidence</w:t>
      </w:r>
      <w:r w:rsidR="00E33D97" w:rsidRPr="008727FB">
        <w:t xml:space="preserve"> and </w:t>
      </w:r>
      <w:r w:rsidR="006B5616" w:rsidRPr="008727FB">
        <w:t>observations</w:t>
      </w:r>
      <w:r w:rsidR="00E33D97" w:rsidRPr="008727FB">
        <w:t xml:space="preserve"> </w:t>
      </w:r>
      <w:r w:rsidR="006B5616" w:rsidRPr="008727FB">
        <w:t>put</w:t>
      </w:r>
      <w:r w:rsidR="00E33D97" w:rsidRPr="008727FB">
        <w:t xml:space="preserve"> to it on the Bill.  It </w:t>
      </w:r>
      <w:r w:rsidR="006B5616" w:rsidRPr="008727FB">
        <w:t>particularly notes that the B</w:t>
      </w:r>
      <w:r w:rsidR="00E33D97" w:rsidRPr="008727FB">
        <w:t xml:space="preserve">ill’s sponsor, </w:t>
      </w:r>
      <w:r w:rsidR="006B5616" w:rsidRPr="008727FB">
        <w:t>Ms</w:t>
      </w:r>
      <w:r w:rsidR="00E33D97" w:rsidRPr="008727FB">
        <w:t xml:space="preserve"> Le Coute</w:t>
      </w:r>
      <w:r w:rsidR="008B0BF1" w:rsidRPr="008727FB">
        <w:t>u</w:t>
      </w:r>
      <w:r w:rsidR="00E33D97" w:rsidRPr="008727FB">
        <w:t xml:space="preserve">r MLA, makes it clear in her </w:t>
      </w:r>
      <w:r w:rsidR="006B5616" w:rsidRPr="008727FB">
        <w:t>second submission t</w:t>
      </w:r>
      <w:r w:rsidR="00E33D97" w:rsidRPr="008727FB">
        <w:t xml:space="preserve">o the </w:t>
      </w:r>
      <w:r w:rsidR="006B5616" w:rsidRPr="008727FB">
        <w:t>inquiry</w:t>
      </w:r>
      <w:r w:rsidR="00E33D97" w:rsidRPr="008727FB">
        <w:t xml:space="preserve">, </w:t>
      </w:r>
      <w:r w:rsidR="006B5616" w:rsidRPr="008727FB">
        <w:t>that</w:t>
      </w:r>
      <w:r w:rsidR="00E33D97" w:rsidRPr="008727FB">
        <w:t xml:space="preserve"> the Bill – as </w:t>
      </w:r>
      <w:r w:rsidR="006B5616" w:rsidRPr="008727FB">
        <w:t>presented</w:t>
      </w:r>
      <w:r w:rsidR="00E33D97" w:rsidRPr="008727FB">
        <w:t xml:space="preserve"> on 11 April 2018 – </w:t>
      </w:r>
      <w:r w:rsidR="005F7102" w:rsidRPr="008727FB">
        <w:t xml:space="preserve">requires </w:t>
      </w:r>
      <w:r w:rsidR="006B5616" w:rsidRPr="008727FB">
        <w:t>amendment</w:t>
      </w:r>
      <w:r w:rsidR="00E33D97" w:rsidRPr="008727FB">
        <w:t xml:space="preserve"> to ensure the Bill will </w:t>
      </w:r>
      <w:r w:rsidR="006B5616" w:rsidRPr="008727FB">
        <w:t>fulfil</w:t>
      </w:r>
      <w:r w:rsidR="00E33D97" w:rsidRPr="008727FB">
        <w:t xml:space="preserve"> its </w:t>
      </w:r>
      <w:r w:rsidR="009C1563" w:rsidRPr="008727FB">
        <w:t xml:space="preserve">intended </w:t>
      </w:r>
      <w:r w:rsidR="00E33D97" w:rsidRPr="008727FB">
        <w:t>purpose.</w:t>
      </w:r>
    </w:p>
    <w:p w:rsidR="00DA020B" w:rsidRPr="008727FB" w:rsidRDefault="00E33D97" w:rsidP="00A24687">
      <w:pPr>
        <w:pStyle w:val="BodyText"/>
      </w:pPr>
      <w:r w:rsidRPr="008727FB">
        <w:t xml:space="preserve">The </w:t>
      </w:r>
      <w:r w:rsidR="009C1563" w:rsidRPr="008727FB">
        <w:t>C</w:t>
      </w:r>
      <w:r w:rsidRPr="008727FB">
        <w:t xml:space="preserve">ommittee also </w:t>
      </w:r>
      <w:r w:rsidR="009C1563" w:rsidRPr="008727FB">
        <w:t xml:space="preserve">has noted that the </w:t>
      </w:r>
      <w:r w:rsidR="00513F0F" w:rsidRPr="008727FB">
        <w:t xml:space="preserve">Attorney-General shares </w:t>
      </w:r>
      <w:r w:rsidR="009C1563" w:rsidRPr="008727FB">
        <w:t xml:space="preserve">a </w:t>
      </w:r>
      <w:r w:rsidR="00513F0F" w:rsidRPr="008727FB">
        <w:t xml:space="preserve"> view advanced by </w:t>
      </w:r>
      <w:r w:rsidR="008273AC" w:rsidRPr="008727FB">
        <w:t>Ms Le Couteur MLA</w:t>
      </w:r>
      <w:r w:rsidR="009C1563" w:rsidRPr="008727FB">
        <w:t>, namely,</w:t>
      </w:r>
      <w:r w:rsidR="00513F0F" w:rsidRPr="008727FB">
        <w:t xml:space="preserve"> that any </w:t>
      </w:r>
      <w:r w:rsidR="006B5616" w:rsidRPr="008727FB">
        <w:t>decisions</w:t>
      </w:r>
      <w:r w:rsidR="00513F0F" w:rsidRPr="008727FB">
        <w:t xml:space="preserve"> on how to frame </w:t>
      </w:r>
      <w:r w:rsidR="006B5616" w:rsidRPr="008727FB">
        <w:t>legislation</w:t>
      </w:r>
      <w:r w:rsidR="00513F0F" w:rsidRPr="008727FB">
        <w:t xml:space="preserve"> </w:t>
      </w:r>
      <w:r w:rsidR="006B5616" w:rsidRPr="008727FB">
        <w:t>which achieves</w:t>
      </w:r>
      <w:r w:rsidR="00513F0F" w:rsidRPr="008727FB">
        <w:t xml:space="preserve"> clear definitional clarity, and also </w:t>
      </w:r>
      <w:r w:rsidR="006B5616" w:rsidRPr="008727FB">
        <w:t xml:space="preserve">provides </w:t>
      </w:r>
      <w:r w:rsidR="00211168" w:rsidRPr="008727FB">
        <w:t xml:space="preserve">an equally clear provision requiring </w:t>
      </w:r>
      <w:r w:rsidR="006B5616" w:rsidRPr="008727FB">
        <w:t>affirmative</w:t>
      </w:r>
      <w:r w:rsidR="00211168" w:rsidRPr="008727FB">
        <w:t xml:space="preserve"> and </w:t>
      </w:r>
      <w:r w:rsidR="00E627E9" w:rsidRPr="008727FB">
        <w:t xml:space="preserve">positive </w:t>
      </w:r>
      <w:r w:rsidR="006B5616" w:rsidRPr="008727FB">
        <w:t>consent</w:t>
      </w:r>
      <w:r w:rsidR="00211168" w:rsidRPr="008727FB">
        <w:t xml:space="preserve"> to participate in </w:t>
      </w:r>
      <w:r w:rsidR="006B5616" w:rsidRPr="008727FB">
        <w:t>sexual</w:t>
      </w:r>
      <w:r w:rsidR="00211168" w:rsidRPr="008727FB">
        <w:t xml:space="preserve"> activity</w:t>
      </w:r>
      <w:r w:rsidR="00E627E9" w:rsidRPr="008727FB">
        <w:t xml:space="preserve"> requires some preliminary consideration of this Committee’s report, and other matters</w:t>
      </w:r>
      <w:r w:rsidR="00DA020B" w:rsidRPr="008727FB">
        <w:t>.</w:t>
      </w:r>
    </w:p>
    <w:p w:rsidR="00211168" w:rsidRPr="008727FB" w:rsidRDefault="00211168" w:rsidP="00A24687">
      <w:pPr>
        <w:pStyle w:val="BodyText"/>
      </w:pPr>
      <w:r w:rsidRPr="008727FB">
        <w:t xml:space="preserve">There are two quotes which the Committee </w:t>
      </w:r>
      <w:r w:rsidR="006B5616" w:rsidRPr="008727FB">
        <w:t>found</w:t>
      </w:r>
      <w:r w:rsidRPr="008727FB">
        <w:t xml:space="preserve"> </w:t>
      </w:r>
      <w:r w:rsidR="006B5616" w:rsidRPr="008727FB">
        <w:t>distilled</w:t>
      </w:r>
      <w:r w:rsidRPr="008727FB">
        <w:t xml:space="preserve"> the </w:t>
      </w:r>
      <w:r w:rsidR="006B5616" w:rsidRPr="008727FB">
        <w:t>essential</w:t>
      </w:r>
      <w:r w:rsidRPr="008727FB">
        <w:t xml:space="preserve"> </w:t>
      </w:r>
      <w:r w:rsidR="006B5616" w:rsidRPr="008727FB">
        <w:t>difficulty</w:t>
      </w:r>
      <w:r w:rsidR="00DA020B" w:rsidRPr="008727FB">
        <w:t xml:space="preserve"> with the Bill; one fro</w:t>
      </w:r>
      <w:r w:rsidRPr="008727FB">
        <w:t>m the DPP</w:t>
      </w:r>
      <w:r w:rsidR="006B5616" w:rsidRPr="008727FB">
        <w:t>, and</w:t>
      </w:r>
      <w:r w:rsidR="00DA020B" w:rsidRPr="008727FB">
        <w:t xml:space="preserve"> the other fro</w:t>
      </w:r>
      <w:r w:rsidRPr="008727FB">
        <w:t xml:space="preserve">m </w:t>
      </w:r>
      <w:r w:rsidR="008273AC" w:rsidRPr="008727FB">
        <w:t>Ms Le Couteur MLA</w:t>
      </w:r>
      <w:r w:rsidR="000A5DDF" w:rsidRPr="008727FB">
        <w:t>.</w:t>
      </w:r>
    </w:p>
    <w:p w:rsidR="000A5DDF" w:rsidRPr="008727FB" w:rsidRDefault="000A5DDF" w:rsidP="00E33D97">
      <w:pPr>
        <w:pStyle w:val="BodyText"/>
      </w:pPr>
      <w:r w:rsidRPr="008727FB">
        <w:t>The DPP told the Committee:</w:t>
      </w:r>
    </w:p>
    <w:p w:rsidR="00211168" w:rsidRPr="008727FB" w:rsidRDefault="00211168" w:rsidP="000A5DDF">
      <w:pPr>
        <w:pStyle w:val="Quote"/>
      </w:pPr>
      <w:r w:rsidRPr="008727FB">
        <w:t xml:space="preserve">The issue of consent in sexual offending is one of the most difficult issues in the criminal law. One of the basic reasons for that is that consent in the criminal law has two aspects: it has an aspect of consent from the point of view of the victim but also there has to be an appreciation of consent, or lack of consent, on behalf of the perpetrator. Those two aspects of consent have proved to be very difficult for criminal law over many years. </w:t>
      </w:r>
    </w:p>
    <w:p w:rsidR="006A743F" w:rsidRPr="008727FB" w:rsidRDefault="006A743F" w:rsidP="000A5DDF">
      <w:pPr>
        <w:pStyle w:val="Quote"/>
      </w:pPr>
      <w:r w:rsidRPr="008727FB">
        <w:t>…</w:t>
      </w:r>
    </w:p>
    <w:p w:rsidR="00211168" w:rsidRPr="008727FB" w:rsidRDefault="00211168" w:rsidP="000A5DDF">
      <w:pPr>
        <w:pStyle w:val="Quote"/>
      </w:pPr>
      <w:r w:rsidRPr="008727FB">
        <w:t xml:space="preserve">I do not want to take up too much time, but in welcoming the opportunity to talk about consent I also welcome the opportunity that is provided by this inquiry for the community to engage in issues of consent. One of the underlying driving forces behind this bill is undoubtedly a debate around issues of positive consent. That is a very important debate for the community to have. Speaking as criminal lawyers and as prosecutors, we welcome community attention to that issue and we welcome a model for societal behaviour that really emphasises the necessity for positive consent to </w:t>
      </w:r>
      <w:r w:rsidRPr="008727FB">
        <w:lastRenderedPageBreak/>
        <w:t>sexual relations being obtained. There is an increasing awareness in society of the importance of that, and that</w:t>
      </w:r>
      <w:r w:rsidR="000A5DDF" w:rsidRPr="008727FB">
        <w:t xml:space="preserve"> is where this debate is going.</w:t>
      </w:r>
      <w:r w:rsidR="000A5DDF" w:rsidRPr="008727FB">
        <w:rPr>
          <w:rStyle w:val="FootnoteReference"/>
        </w:rPr>
        <w:footnoteReference w:id="87"/>
      </w:r>
    </w:p>
    <w:p w:rsidR="00211168" w:rsidRPr="008727FB" w:rsidRDefault="008273AC" w:rsidP="00E33D97">
      <w:pPr>
        <w:pStyle w:val="BodyText"/>
      </w:pPr>
      <w:r w:rsidRPr="008727FB">
        <w:t>Ms Le Couteur MLA</w:t>
      </w:r>
      <w:r w:rsidR="006A743F" w:rsidRPr="008727FB">
        <w:t xml:space="preserve"> put the view to the </w:t>
      </w:r>
      <w:r w:rsidR="00F3021D" w:rsidRPr="008727FB">
        <w:t>C</w:t>
      </w:r>
      <w:r w:rsidR="006A743F" w:rsidRPr="008727FB">
        <w:t>ommittee that:</w:t>
      </w:r>
    </w:p>
    <w:p w:rsidR="000A5DDF" w:rsidRPr="008727FB" w:rsidRDefault="006A743F" w:rsidP="00E56811">
      <w:pPr>
        <w:pStyle w:val="Quote"/>
      </w:pPr>
      <w:r w:rsidRPr="008727FB">
        <w:t>As outlined in the Explanatory Statement the policy intent behind the Bill is to provide an affirmative definition of consent that aligns with modern community standards. This issue has been the subject of inquiries and report recommendations for nearly two decades. As far back as 2001, the ACT Law Reform Commission provided a report to the ACT Government on Laws Relating to Sexual Assault and the Model Criminal Code on Sexual offences Against the Person. This report recommended a positive consent standard. The Government and the Legislative Assembly must now commit to addressing this gap in our legal system without further delay. We must ensure that our jurisdiction is brought up to date within the term of the ninth Assembly, if not within the next 12 months and I am committed to ensuring this occurs.</w:t>
      </w:r>
      <w:r w:rsidR="00E56811" w:rsidRPr="008727FB">
        <w:rPr>
          <w:rStyle w:val="FootnoteReference"/>
        </w:rPr>
        <w:footnoteReference w:id="88"/>
      </w:r>
    </w:p>
    <w:p w:rsidR="006A743F" w:rsidRPr="008727FB" w:rsidRDefault="006916BE" w:rsidP="00E33D97">
      <w:pPr>
        <w:pStyle w:val="BodyText"/>
      </w:pPr>
      <w:r w:rsidRPr="008727FB">
        <w:t xml:space="preserve">These two quotes constitute </w:t>
      </w:r>
      <w:r w:rsidR="00E60E9D" w:rsidRPr="008727FB">
        <w:t xml:space="preserve">a </w:t>
      </w:r>
      <w:r w:rsidR="006A743F" w:rsidRPr="008727FB">
        <w:t>s</w:t>
      </w:r>
      <w:r w:rsidR="00783489" w:rsidRPr="008727FB">
        <w:t>ummary of the issues which the C</w:t>
      </w:r>
      <w:r w:rsidR="006A743F" w:rsidRPr="008727FB">
        <w:t xml:space="preserve">ommittee sought, following its </w:t>
      </w:r>
      <w:r w:rsidR="00E56811" w:rsidRPr="008727FB">
        <w:t>initial</w:t>
      </w:r>
      <w:r w:rsidR="006A743F" w:rsidRPr="008727FB">
        <w:t xml:space="preserve"> </w:t>
      </w:r>
      <w:r w:rsidR="00E56811" w:rsidRPr="008727FB">
        <w:t>assessment of the B</w:t>
      </w:r>
      <w:r w:rsidR="006A743F" w:rsidRPr="008727FB">
        <w:t>ill, and publication of th</w:t>
      </w:r>
      <w:r w:rsidR="00E56811" w:rsidRPr="008727FB">
        <w:t>e</w:t>
      </w:r>
      <w:r w:rsidR="006A743F" w:rsidRPr="008727FB">
        <w:t xml:space="preserve"> Terms of </w:t>
      </w:r>
      <w:r w:rsidR="00783489" w:rsidRPr="008727FB">
        <w:t>I</w:t>
      </w:r>
      <w:r w:rsidR="00E56811" w:rsidRPr="008727FB">
        <w:t>nquiry</w:t>
      </w:r>
      <w:r w:rsidR="006A743F" w:rsidRPr="008727FB">
        <w:t xml:space="preserve"> </w:t>
      </w:r>
      <w:r w:rsidR="00E56811" w:rsidRPr="008727FB">
        <w:t>referred</w:t>
      </w:r>
      <w:r w:rsidR="008273AC" w:rsidRPr="008727FB">
        <w:t xml:space="preserve"> to in c</w:t>
      </w:r>
      <w:r w:rsidR="006A743F" w:rsidRPr="008727FB">
        <w:t>hapter 1, to address in this inquiry.</w:t>
      </w:r>
    </w:p>
    <w:p w:rsidR="006A743F" w:rsidRPr="008727FB" w:rsidRDefault="006A743F" w:rsidP="00E33D97">
      <w:pPr>
        <w:pStyle w:val="BodyText"/>
      </w:pPr>
      <w:r w:rsidRPr="008727FB">
        <w:t xml:space="preserve">The Committee has </w:t>
      </w:r>
      <w:r w:rsidR="00E56811" w:rsidRPr="008727FB">
        <w:t>concentrated</w:t>
      </w:r>
      <w:r w:rsidRPr="008727FB">
        <w:t xml:space="preserve"> its examination on the issue which was </w:t>
      </w:r>
      <w:r w:rsidR="00E56811" w:rsidRPr="008727FB">
        <w:t>clearly</w:t>
      </w:r>
      <w:r w:rsidRPr="008727FB">
        <w:t xml:space="preserve"> at the centre of an </w:t>
      </w:r>
      <w:r w:rsidR="00E56811" w:rsidRPr="008727FB">
        <w:t>examination</w:t>
      </w:r>
      <w:r w:rsidRPr="008727FB">
        <w:t xml:space="preserve"> of the Bill, and was of very </w:t>
      </w:r>
      <w:r w:rsidR="00E56811" w:rsidRPr="008727FB">
        <w:t>significant</w:t>
      </w:r>
      <w:r w:rsidRPr="008727FB">
        <w:t xml:space="preserve"> </w:t>
      </w:r>
      <w:r w:rsidR="00E56811" w:rsidRPr="008727FB">
        <w:t xml:space="preserve">importance as a </w:t>
      </w:r>
      <w:r w:rsidRPr="008727FB">
        <w:t>pro</w:t>
      </w:r>
      <w:r w:rsidR="00E56811" w:rsidRPr="008727FB">
        <w:t>po</w:t>
      </w:r>
      <w:r w:rsidRPr="008727FB">
        <w:t>sed change to the current law governing co</w:t>
      </w:r>
      <w:r w:rsidR="00E56811" w:rsidRPr="008727FB">
        <w:t>nsent</w:t>
      </w:r>
      <w:r w:rsidRPr="008727FB">
        <w:t xml:space="preserve"> in sexual assault </w:t>
      </w:r>
      <w:r w:rsidR="00E56811" w:rsidRPr="008727FB">
        <w:t>offences</w:t>
      </w:r>
      <w:r w:rsidRPr="008727FB">
        <w:t xml:space="preserve"> in the ACT.</w:t>
      </w:r>
    </w:p>
    <w:p w:rsidR="006A743F" w:rsidRPr="008727FB" w:rsidRDefault="006A743F" w:rsidP="00E33D97">
      <w:pPr>
        <w:pStyle w:val="BodyText"/>
      </w:pPr>
      <w:r w:rsidRPr="008727FB">
        <w:t>The Committee receive</w:t>
      </w:r>
      <w:r w:rsidR="00E56811" w:rsidRPr="008727FB">
        <w:t>d</w:t>
      </w:r>
      <w:r w:rsidRPr="008727FB">
        <w:t xml:space="preserve"> </w:t>
      </w:r>
      <w:r w:rsidR="006027F0" w:rsidRPr="008727FB">
        <w:t>submissions on matters rais</w:t>
      </w:r>
      <w:r w:rsidRPr="008727FB">
        <w:t>ed by the</w:t>
      </w:r>
      <w:r w:rsidR="00E56811" w:rsidRPr="008727FB">
        <w:t xml:space="preserve"> B</w:t>
      </w:r>
      <w:r w:rsidRPr="008727FB">
        <w:t xml:space="preserve">ill in </w:t>
      </w:r>
      <w:r w:rsidR="006027F0" w:rsidRPr="008727FB">
        <w:t>relation</w:t>
      </w:r>
      <w:r w:rsidR="000A01F2" w:rsidRPr="008727FB">
        <w:t xml:space="preserve"> to </w:t>
      </w:r>
      <w:r w:rsidR="006027F0" w:rsidRPr="008727FB">
        <w:t xml:space="preserve">consent as </w:t>
      </w:r>
      <w:r w:rsidR="000A01F2" w:rsidRPr="008727FB">
        <w:t xml:space="preserve">it </w:t>
      </w:r>
      <w:r w:rsidR="006027F0" w:rsidRPr="008727FB">
        <w:t>relates to</w:t>
      </w:r>
      <w:r w:rsidRPr="008727FB">
        <w:t xml:space="preserve"> image </w:t>
      </w:r>
      <w:r w:rsidR="00E635B5" w:rsidRPr="008727FB">
        <w:t>transmission</w:t>
      </w:r>
      <w:r w:rsidR="006027F0" w:rsidRPr="008727FB">
        <w:t>, the C</w:t>
      </w:r>
      <w:r w:rsidR="000A01F2" w:rsidRPr="008727FB">
        <w:t>ommittee received view supporting the pro</w:t>
      </w:r>
      <w:r w:rsidR="006027F0" w:rsidRPr="008727FB">
        <w:t>posals and</w:t>
      </w:r>
      <w:r w:rsidR="000A01F2" w:rsidRPr="008727FB">
        <w:t xml:space="preserve"> supports those </w:t>
      </w:r>
      <w:r w:rsidR="006027F0" w:rsidRPr="008727FB">
        <w:t>provisions</w:t>
      </w:r>
      <w:r w:rsidR="000A01F2" w:rsidRPr="008727FB">
        <w:t>.</w:t>
      </w:r>
    </w:p>
    <w:p w:rsidR="00F72935" w:rsidRPr="008727FB" w:rsidRDefault="00F72935" w:rsidP="00F72935">
      <w:pPr>
        <w:pStyle w:val="BodyText"/>
      </w:pPr>
      <w:r w:rsidRPr="008727FB">
        <w:t xml:space="preserve">In her submission to the Committee </w:t>
      </w:r>
      <w:r w:rsidR="001F2C9B" w:rsidRPr="008727FB">
        <w:t>on the future treatment of the B</w:t>
      </w:r>
      <w:r w:rsidRPr="008727FB">
        <w:t>ill, Ms Le Couteur MLA noted:</w:t>
      </w:r>
    </w:p>
    <w:p w:rsidR="00F72935" w:rsidRPr="008727FB" w:rsidRDefault="00F72935" w:rsidP="00F72935">
      <w:pPr>
        <w:pStyle w:val="Quote"/>
      </w:pPr>
      <w:r w:rsidRPr="008727FB">
        <w:t xml:space="preserve">In light of further stakeholder consultations and feedback since the announcement of the Committee Inquiry process I am of the belief that a new Bill will be needed to effectively deliver a strengthened legal model for consent. It is clear that an affirmative definition based on a ‘free and voluntary agreement’ is the central element of the model, as is an ‘objective fault test’. However in recognition of the concerns raised by the Scrutiny report and the Human Rights Commission, the objective fault test will need to be redrafted in a separate provision to the definition. This will also more closely align with the formulations of other Australian jurisdictions, such as NSW and Victoria. The wording of this will need to take into consideration the submissions to this inquiry and its report due at the end of October. This timing will also allow for </w:t>
      </w:r>
      <w:r w:rsidRPr="008727FB">
        <w:lastRenderedPageBreak/>
        <w:t>consideration of the current NSW Law Reform Commission reference on Consent in Criminal Matters, with an early consultation response paper due to be released around the same time.</w:t>
      </w:r>
      <w:r w:rsidRPr="008727FB">
        <w:rPr>
          <w:rStyle w:val="FootnoteReference"/>
        </w:rPr>
        <w:footnoteReference w:id="89"/>
      </w:r>
    </w:p>
    <w:p w:rsidR="00F72935" w:rsidRPr="008727FB" w:rsidRDefault="001F2C9B" w:rsidP="00F72935">
      <w:pPr>
        <w:pStyle w:val="BodyText"/>
      </w:pPr>
      <w:r w:rsidRPr="008727FB">
        <w:t>The C</w:t>
      </w:r>
      <w:r w:rsidR="00F72935" w:rsidRPr="008727FB">
        <w:t xml:space="preserve">ommittee has taken </w:t>
      </w:r>
      <w:r w:rsidR="008273AC" w:rsidRPr="008727FB">
        <w:t>Ms Le Couteur MLA</w:t>
      </w:r>
      <w:r w:rsidR="00F72935" w:rsidRPr="008727FB">
        <w:t>’s stated position into account in making recommendations on the Bill.</w:t>
      </w:r>
    </w:p>
    <w:p w:rsidR="00DE2F43" w:rsidRPr="008727FB" w:rsidRDefault="007A2AEF" w:rsidP="005C15BE">
      <w:pPr>
        <w:pStyle w:val="Heading3"/>
      </w:pPr>
      <w:bookmarkStart w:id="91" w:name="_Toc528670961"/>
      <w:r w:rsidRPr="008727FB">
        <w:t>S</w:t>
      </w:r>
      <w:r w:rsidR="00DE2F43" w:rsidRPr="008727FB">
        <w:t>ummary – Issues considered in the inquiry</w:t>
      </w:r>
      <w:bookmarkEnd w:id="91"/>
    </w:p>
    <w:p w:rsidR="0048368A" w:rsidRPr="008727FB" w:rsidRDefault="0048368A" w:rsidP="0048368A">
      <w:pPr>
        <w:pStyle w:val="Heading3"/>
      </w:pPr>
      <w:bookmarkStart w:id="92" w:name="_Toc528670962"/>
      <w:r w:rsidRPr="008727FB">
        <w:t>Definition of consent</w:t>
      </w:r>
      <w:bookmarkEnd w:id="92"/>
    </w:p>
    <w:p w:rsidR="006027F0" w:rsidRPr="008727FB" w:rsidRDefault="001F2C9B" w:rsidP="006027F0">
      <w:pPr>
        <w:pStyle w:val="BodyText"/>
      </w:pPr>
      <w:r w:rsidRPr="008727FB">
        <w:t>As noted in c</w:t>
      </w:r>
      <w:r w:rsidR="000A01F2" w:rsidRPr="008727FB">
        <w:t>hapters 3 and 4, the Committee has considered</w:t>
      </w:r>
      <w:r w:rsidR="0086143C" w:rsidRPr="008727FB">
        <w:t xml:space="preserve"> a number of </w:t>
      </w:r>
      <w:r w:rsidR="000A01F2" w:rsidRPr="008727FB">
        <w:t>views on th</w:t>
      </w:r>
      <w:r w:rsidR="006027F0" w:rsidRPr="008727FB">
        <w:t>e</w:t>
      </w:r>
      <w:r w:rsidR="000A01F2" w:rsidRPr="008727FB">
        <w:t xml:space="preserve"> </w:t>
      </w:r>
      <w:r w:rsidRPr="008727FB">
        <w:t>princip</w:t>
      </w:r>
      <w:r w:rsidR="009A4BCD" w:rsidRPr="008727FB">
        <w:t>al</w:t>
      </w:r>
      <w:r w:rsidR="000A01F2" w:rsidRPr="008727FB">
        <w:t xml:space="preserve"> matters in </w:t>
      </w:r>
      <w:r w:rsidR="006027F0" w:rsidRPr="008727FB">
        <w:t>relation</w:t>
      </w:r>
      <w:r w:rsidR="000A01F2" w:rsidRPr="008727FB">
        <w:t xml:space="preserve"> to </w:t>
      </w:r>
      <w:r w:rsidR="006027F0" w:rsidRPr="008727FB">
        <w:t>consent</w:t>
      </w:r>
      <w:r w:rsidR="000A01F2" w:rsidRPr="008727FB">
        <w:t xml:space="preserve"> </w:t>
      </w:r>
      <w:r w:rsidR="00B34900" w:rsidRPr="008727FB">
        <w:t xml:space="preserve">in sexual assault offences </w:t>
      </w:r>
      <w:r w:rsidR="000A01F2" w:rsidRPr="008727FB">
        <w:t xml:space="preserve">and </w:t>
      </w:r>
      <w:r w:rsidR="006027F0" w:rsidRPr="008727FB">
        <w:t>how the Bill pro</w:t>
      </w:r>
      <w:r w:rsidR="00B34900" w:rsidRPr="008727FB">
        <w:t>po</w:t>
      </w:r>
      <w:r w:rsidR="006027F0" w:rsidRPr="008727FB">
        <w:t>ses to ame</w:t>
      </w:r>
      <w:r w:rsidR="0086143C" w:rsidRPr="008727FB">
        <w:t>nd the current law</w:t>
      </w:r>
      <w:r w:rsidR="006027F0" w:rsidRPr="008727FB">
        <w:t xml:space="preserve">. </w:t>
      </w:r>
      <w:r w:rsidR="0086143C" w:rsidRPr="008727FB">
        <w:t xml:space="preserve"> </w:t>
      </w:r>
      <w:r w:rsidR="006027F0" w:rsidRPr="008727FB">
        <w:t xml:space="preserve">These </w:t>
      </w:r>
      <w:r w:rsidR="0086143C" w:rsidRPr="008727FB">
        <w:t xml:space="preserve">matters </w:t>
      </w:r>
      <w:r w:rsidR="006027F0" w:rsidRPr="008727FB">
        <w:t>can be described as t</w:t>
      </w:r>
      <w:r w:rsidR="000A01F2" w:rsidRPr="008727FB">
        <w:t xml:space="preserve">he two aspects of </w:t>
      </w:r>
      <w:r w:rsidR="006027F0" w:rsidRPr="008727FB">
        <w:t>consent:</w:t>
      </w:r>
    </w:p>
    <w:p w:rsidR="000A01F2" w:rsidRPr="008727FB" w:rsidRDefault="001F2C9B" w:rsidP="0099659D">
      <w:pPr>
        <w:pStyle w:val="ListBullet"/>
      </w:pPr>
      <w:r w:rsidRPr="008727FB">
        <w:t>The</w:t>
      </w:r>
      <w:r w:rsidR="00B34900" w:rsidRPr="008727FB">
        <w:t xml:space="preserve"> first </w:t>
      </w:r>
      <w:r w:rsidR="006027F0" w:rsidRPr="008727FB">
        <w:t>issue</w:t>
      </w:r>
      <w:r w:rsidR="000A01F2" w:rsidRPr="008727FB">
        <w:t xml:space="preserve"> of </w:t>
      </w:r>
      <w:r w:rsidR="006027F0" w:rsidRPr="008727FB">
        <w:t xml:space="preserve">whether </w:t>
      </w:r>
      <w:r w:rsidR="000A01F2" w:rsidRPr="008727FB">
        <w:t>the complainant/victim actually consent</w:t>
      </w:r>
      <w:r w:rsidR="006027F0" w:rsidRPr="008727FB">
        <w:t>ed</w:t>
      </w:r>
      <w:r w:rsidR="000A01F2" w:rsidRPr="008727FB">
        <w:t xml:space="preserve"> to the sexual </w:t>
      </w:r>
      <w:r w:rsidRPr="008727FB">
        <w:t>activity</w:t>
      </w:r>
      <w:r w:rsidR="000A01F2" w:rsidRPr="008727FB">
        <w:t>.</w:t>
      </w:r>
    </w:p>
    <w:p w:rsidR="000A01F2" w:rsidRPr="008727FB" w:rsidRDefault="001F2C9B" w:rsidP="0099659D">
      <w:pPr>
        <w:pStyle w:val="ListBullet"/>
      </w:pPr>
      <w:r w:rsidRPr="008727FB">
        <w:t>The</w:t>
      </w:r>
      <w:r w:rsidR="00B34900" w:rsidRPr="008727FB">
        <w:t xml:space="preserve"> second issue o</w:t>
      </w:r>
      <w:r w:rsidRPr="008727FB">
        <w:t xml:space="preserve">f whether the perpetrator knew or was reckless to the fact that </w:t>
      </w:r>
      <w:r w:rsidR="00B34900" w:rsidRPr="008727FB">
        <w:t>the victim did not consent to the activity.</w:t>
      </w:r>
    </w:p>
    <w:p w:rsidR="000A01F2" w:rsidRPr="008727FB" w:rsidRDefault="005D5ADE" w:rsidP="00B34900">
      <w:pPr>
        <w:pStyle w:val="BodyText"/>
      </w:pPr>
      <w:r w:rsidRPr="008727FB">
        <w:t xml:space="preserve">It was submitted by the DPP that </w:t>
      </w:r>
      <w:r w:rsidR="001F2C9B" w:rsidRPr="008727FB">
        <w:t>it is a requirement for the C</w:t>
      </w:r>
      <w:r w:rsidR="007A2AEF" w:rsidRPr="008727FB">
        <w:t>rown to p</w:t>
      </w:r>
      <w:r w:rsidR="000A01F2" w:rsidRPr="008727FB">
        <w:t xml:space="preserve">rove both the first aspect </w:t>
      </w:r>
      <w:r w:rsidR="001F2C9B" w:rsidRPr="008727FB">
        <w:t>–</w:t>
      </w:r>
      <w:r w:rsidR="000A01F2" w:rsidRPr="008727FB">
        <w:t xml:space="preserve"> that</w:t>
      </w:r>
      <w:r w:rsidR="001F2C9B" w:rsidRPr="008727FB">
        <w:t xml:space="preserve"> </w:t>
      </w:r>
      <w:r w:rsidR="000A01F2" w:rsidRPr="008727FB">
        <w:t xml:space="preserve">the victim did not consent, and the second aspect </w:t>
      </w:r>
      <w:r w:rsidR="001F2C9B" w:rsidRPr="008727FB">
        <w:t>–</w:t>
      </w:r>
      <w:r w:rsidR="000A01F2" w:rsidRPr="008727FB">
        <w:t xml:space="preserve"> that</w:t>
      </w:r>
      <w:r w:rsidR="001F2C9B" w:rsidRPr="008727FB">
        <w:t xml:space="preserve"> </w:t>
      </w:r>
      <w:r w:rsidR="000A01F2" w:rsidRPr="008727FB">
        <w:t>the perpetrator knew the victim did not consent or was reckless about whether or not the victim consented.</w:t>
      </w:r>
      <w:r w:rsidRPr="008727FB">
        <w:rPr>
          <w:rStyle w:val="FootnoteReference"/>
        </w:rPr>
        <w:footnoteReference w:id="90"/>
      </w:r>
    </w:p>
    <w:p w:rsidR="00B34900" w:rsidRPr="008727FB" w:rsidRDefault="00B34900" w:rsidP="007A2AEF">
      <w:pPr>
        <w:pStyle w:val="BodyText"/>
      </w:pPr>
      <w:r w:rsidRPr="008727FB">
        <w:t xml:space="preserve">As was noted during the inquiry, </w:t>
      </w:r>
      <w:r w:rsidR="007A2AEF" w:rsidRPr="008727FB">
        <w:t xml:space="preserve">the </w:t>
      </w:r>
      <w:r w:rsidRPr="008727FB">
        <w:t xml:space="preserve">clear </w:t>
      </w:r>
      <w:r w:rsidR="007A2AEF" w:rsidRPr="008727FB">
        <w:t xml:space="preserve">view of </w:t>
      </w:r>
      <w:r w:rsidRPr="008727FB">
        <w:t>legal</w:t>
      </w:r>
      <w:r w:rsidR="007A2AEF" w:rsidRPr="008727FB">
        <w:t xml:space="preserve"> </w:t>
      </w:r>
      <w:r w:rsidR="0099659D" w:rsidRPr="008727FB">
        <w:t>practitioner submissions</w:t>
      </w:r>
      <w:r w:rsidR="007A2AEF" w:rsidRPr="008727FB">
        <w:t xml:space="preserve"> </w:t>
      </w:r>
      <w:r w:rsidR="007242F0" w:rsidRPr="008727FB">
        <w:t xml:space="preserve">and that of the HRC </w:t>
      </w:r>
      <w:r w:rsidR="007A2AEF" w:rsidRPr="008727FB">
        <w:t>was tha</w:t>
      </w:r>
      <w:r w:rsidRPr="008727FB">
        <w:t>t</w:t>
      </w:r>
      <w:r w:rsidR="007A2AEF" w:rsidRPr="008727FB">
        <w:t xml:space="preserve"> </w:t>
      </w:r>
      <w:r w:rsidR="000A01F2" w:rsidRPr="008727FB">
        <w:t xml:space="preserve">in its definition of consent the </w:t>
      </w:r>
      <w:r w:rsidR="007A2AEF" w:rsidRPr="008727FB">
        <w:t xml:space="preserve">Bill conflates </w:t>
      </w:r>
      <w:r w:rsidR="00A24687" w:rsidRPr="008727FB">
        <w:t xml:space="preserve">the </w:t>
      </w:r>
      <w:r w:rsidR="002B324F" w:rsidRPr="008727FB">
        <w:t xml:space="preserve">two </w:t>
      </w:r>
      <w:r w:rsidR="00E56811" w:rsidRPr="008727FB">
        <w:t>aspects of consent</w:t>
      </w:r>
      <w:r w:rsidR="002B324F" w:rsidRPr="008727FB">
        <w:t>.</w:t>
      </w:r>
    </w:p>
    <w:p w:rsidR="007A2AEF" w:rsidRPr="008727FB" w:rsidRDefault="00B34900" w:rsidP="00B34900">
      <w:pPr>
        <w:pStyle w:val="BodyText"/>
      </w:pPr>
      <w:r w:rsidRPr="008727FB">
        <w:t>In a</w:t>
      </w:r>
      <w:r w:rsidR="007A2AEF" w:rsidRPr="008727FB">
        <w:t xml:space="preserve">ddition, the second </w:t>
      </w:r>
      <w:r w:rsidR="00854C80" w:rsidRPr="008727FB">
        <w:t xml:space="preserve">leg </w:t>
      </w:r>
      <w:r w:rsidR="007A2AEF" w:rsidRPr="008727FB">
        <w:t>of co</w:t>
      </w:r>
      <w:r w:rsidRPr="008727FB">
        <w:t>nsent</w:t>
      </w:r>
      <w:r w:rsidR="007A2AEF" w:rsidRPr="008727FB">
        <w:t xml:space="preserve">, </w:t>
      </w:r>
      <w:r w:rsidR="000A01F2" w:rsidRPr="008727FB">
        <w:t xml:space="preserve">the state of mind of the perpetrator as to the consent of the victim, is </w:t>
      </w:r>
      <w:r w:rsidRPr="008727FB">
        <w:t>currentl</w:t>
      </w:r>
      <w:r w:rsidR="007A2AEF" w:rsidRPr="008727FB">
        <w:t xml:space="preserve">y taken by </w:t>
      </w:r>
      <w:r w:rsidR="000A01F2" w:rsidRPr="008727FB">
        <w:t xml:space="preserve">common law to be defined essentially in terms of recklessness. </w:t>
      </w:r>
    </w:p>
    <w:p w:rsidR="00831008" w:rsidRPr="008727FB" w:rsidRDefault="00831008" w:rsidP="00831008">
      <w:pPr>
        <w:pStyle w:val="BodyText"/>
        <w:rPr>
          <w:szCs w:val="22"/>
        </w:rPr>
      </w:pPr>
      <w:r w:rsidRPr="008727FB">
        <w:t>It was clear to the Committee that ‘recklessness’ remains a crucial element in determining consent in sexual offending, but that it cannot be conflated with the first and distinctive element of whether or not the victim actually consented.</w:t>
      </w:r>
    </w:p>
    <w:p w:rsidR="00B34900" w:rsidRPr="008727FB" w:rsidRDefault="00831008" w:rsidP="000A01F2">
      <w:pPr>
        <w:pStyle w:val="BodyText"/>
      </w:pPr>
      <w:r w:rsidRPr="008727FB">
        <w:t xml:space="preserve">The Committee has considered this question carefully and has concluded that legal advice be sought specifically on the </w:t>
      </w:r>
      <w:r w:rsidR="002B324F" w:rsidRPr="008727FB">
        <w:t xml:space="preserve">concept of </w:t>
      </w:r>
      <w:r w:rsidRPr="008727FB">
        <w:t xml:space="preserve">recklessness </w:t>
      </w:r>
      <w:r w:rsidR="002B324F" w:rsidRPr="008727FB">
        <w:t>(which the DPP submitted has developed greatly in common law)</w:t>
      </w:r>
      <w:r w:rsidR="002B324F" w:rsidRPr="008727FB">
        <w:rPr>
          <w:rStyle w:val="FootnoteReference"/>
        </w:rPr>
        <w:footnoteReference w:id="91"/>
      </w:r>
      <w:r w:rsidR="00A24687" w:rsidRPr="008727FB">
        <w:t xml:space="preserve"> </w:t>
      </w:r>
      <w:r w:rsidRPr="008727FB">
        <w:t xml:space="preserve">insofar as to what extent ‘reasonableness’ is considered in </w:t>
      </w:r>
      <w:r w:rsidRPr="008727FB">
        <w:lastRenderedPageBreak/>
        <w:t>determining the common law defence of ‘honest’ mistake (the ‘Morgan defence’).</w:t>
      </w:r>
      <w:r w:rsidR="0048368A" w:rsidRPr="008727FB">
        <w:t xml:space="preserve">The </w:t>
      </w:r>
      <w:r w:rsidR="001F2C9B" w:rsidRPr="008727FB">
        <w:t>Committee has recommended to this</w:t>
      </w:r>
      <w:r w:rsidR="0048368A" w:rsidRPr="008727FB">
        <w:t xml:space="preserve"> effect.</w:t>
      </w:r>
    </w:p>
    <w:p w:rsidR="0048368A" w:rsidRPr="008727FB" w:rsidRDefault="0048368A" w:rsidP="00831008">
      <w:pPr>
        <w:pStyle w:val="Heading3"/>
      </w:pPr>
      <w:bookmarkStart w:id="93" w:name="_Toc528670963"/>
      <w:r w:rsidRPr="008727FB">
        <w:t>Affirmative and communicative consent</w:t>
      </w:r>
      <w:bookmarkEnd w:id="93"/>
    </w:p>
    <w:p w:rsidR="0048368A" w:rsidRPr="008727FB" w:rsidRDefault="0048368A" w:rsidP="000A01F2">
      <w:pPr>
        <w:pStyle w:val="BodyText"/>
      </w:pPr>
      <w:r w:rsidRPr="008727FB">
        <w:t>In her submissio</w:t>
      </w:r>
      <w:r w:rsidR="001F2C9B" w:rsidRPr="008727FB">
        <w:t>n, Ms Le Couteur MLA noted that:</w:t>
      </w:r>
    </w:p>
    <w:p w:rsidR="0048368A" w:rsidRPr="008727FB" w:rsidRDefault="0048368A" w:rsidP="0048368A">
      <w:pPr>
        <w:pStyle w:val="Quote"/>
      </w:pPr>
      <w:r w:rsidRPr="008727FB">
        <w:t>I have already outlined above the reasons for moving to an affirmative model, which is almost universally supported. The communicative element is however, somewhat more contested. Many law reform advocates suggest a communicative element, such as already exists in Tasmania and Victoria, in addition to the affirmative definition, can further instruct decision-makers (judges and juries) in the interpretation of the law. Not only this, but communication is the gold standard in consent – ideally we want our laws to show the community at large that there is an expectation we should seek and receive physical or verbal confirmation that our sexual advances are wanted.</w:t>
      </w:r>
      <w:r w:rsidRPr="008727FB">
        <w:rPr>
          <w:rStyle w:val="FootnoteReference"/>
        </w:rPr>
        <w:footnoteReference w:id="92"/>
      </w:r>
    </w:p>
    <w:p w:rsidR="0048368A" w:rsidRPr="008727FB" w:rsidRDefault="0048368A" w:rsidP="000A01F2">
      <w:pPr>
        <w:pStyle w:val="BodyText"/>
      </w:pPr>
      <w:r w:rsidRPr="008727FB">
        <w:t>Submissions to the Committ</w:t>
      </w:r>
      <w:r w:rsidR="001F2C9B" w:rsidRPr="008727FB">
        <w:t>ee, as discussed and quoted in c</w:t>
      </w:r>
      <w:r w:rsidRPr="008727FB">
        <w:t xml:space="preserve">hapter 3, show that there is strong </w:t>
      </w:r>
      <w:r w:rsidR="00A24687" w:rsidRPr="008727FB">
        <w:t xml:space="preserve">community </w:t>
      </w:r>
      <w:r w:rsidRPr="008727FB">
        <w:t xml:space="preserve">support for such an approach to developing a workable formula for </w:t>
      </w:r>
      <w:r w:rsidR="0086143C" w:rsidRPr="008727FB">
        <w:t>affirmative and communicative consent.</w:t>
      </w:r>
    </w:p>
    <w:p w:rsidR="0086143C" w:rsidRPr="008727FB" w:rsidRDefault="0086143C" w:rsidP="000A01F2">
      <w:pPr>
        <w:pStyle w:val="BodyText"/>
      </w:pPr>
      <w:r w:rsidRPr="008727FB">
        <w:t xml:space="preserve">The Committee believes that it is important, in light of the views considered during the inquiry, </w:t>
      </w:r>
      <w:r w:rsidR="001F2C9B" w:rsidRPr="008727FB">
        <w:t xml:space="preserve">and subject to the recommendations from the NSWLRC’s inquiry into consent, </w:t>
      </w:r>
      <w:r w:rsidRPr="008727FB">
        <w:t>that an appropriate model definition of consent which includes affirmative and positive communication of consent be</w:t>
      </w:r>
      <w:r w:rsidR="001F2C9B" w:rsidRPr="008727FB">
        <w:t xml:space="preserve"> considered for </w:t>
      </w:r>
      <w:r w:rsidRPr="008727FB">
        <w:t>inclusion in ACT law.</w:t>
      </w:r>
    </w:p>
    <w:p w:rsidR="0086143C" w:rsidRPr="008727FB" w:rsidRDefault="0086143C" w:rsidP="00854C80">
      <w:pPr>
        <w:pStyle w:val="Heading3"/>
      </w:pPr>
      <w:bookmarkStart w:id="94" w:name="_Toc528670964"/>
      <w:r w:rsidRPr="008727FB">
        <w:t>Burden of proof</w:t>
      </w:r>
      <w:bookmarkEnd w:id="94"/>
    </w:p>
    <w:p w:rsidR="0086143C" w:rsidRPr="008727FB" w:rsidRDefault="002F4276" w:rsidP="000A01F2">
      <w:pPr>
        <w:pStyle w:val="BodyText"/>
      </w:pPr>
      <w:r w:rsidRPr="008727FB">
        <w:t>The C</w:t>
      </w:r>
      <w:r w:rsidR="0086143C" w:rsidRPr="008727FB">
        <w:t xml:space="preserve">ommittee </w:t>
      </w:r>
      <w:r w:rsidRPr="008727FB">
        <w:t>n</w:t>
      </w:r>
      <w:r w:rsidR="0086143C" w:rsidRPr="008727FB">
        <w:t xml:space="preserve">otes that the findings and recommendations by the Scrutiny Committee, which resulted in </w:t>
      </w:r>
      <w:r w:rsidRPr="008727FB">
        <w:t>reference</w:t>
      </w:r>
      <w:r w:rsidR="0086143C" w:rsidRPr="008727FB">
        <w:t xml:space="preserve"> of the </w:t>
      </w:r>
      <w:r w:rsidRPr="008727FB">
        <w:t>B</w:t>
      </w:r>
      <w:r w:rsidR="0086143C" w:rsidRPr="008727FB">
        <w:t xml:space="preserve">ill to the Committee focussed on this matter.  The evidence </w:t>
      </w:r>
      <w:r w:rsidR="001F2C9B" w:rsidRPr="008727FB">
        <w:t>taken by the C</w:t>
      </w:r>
      <w:r w:rsidRPr="008727FB">
        <w:t>ommittee fro</w:t>
      </w:r>
      <w:r w:rsidR="0086143C" w:rsidRPr="008727FB">
        <w:t xml:space="preserve">m the </w:t>
      </w:r>
      <w:r w:rsidR="00902413" w:rsidRPr="008727FB">
        <w:t xml:space="preserve">legal practitioner bodies (including the HRC) </w:t>
      </w:r>
      <w:r w:rsidR="0086143C" w:rsidRPr="008727FB">
        <w:t xml:space="preserve">in particular has provided the committee with a </w:t>
      </w:r>
      <w:r w:rsidRPr="008727FB">
        <w:t>sufficient</w:t>
      </w:r>
      <w:r w:rsidR="0086143C" w:rsidRPr="008727FB">
        <w:t xml:space="preserve"> level of con</w:t>
      </w:r>
      <w:r w:rsidRPr="008727FB">
        <w:t xml:space="preserve">cern </w:t>
      </w:r>
      <w:r w:rsidR="0086143C" w:rsidRPr="008727FB">
        <w:t>over this quest</w:t>
      </w:r>
      <w:r w:rsidRPr="008727FB">
        <w:t>i</w:t>
      </w:r>
      <w:r w:rsidR="0086143C" w:rsidRPr="008727FB">
        <w:t xml:space="preserve">on to </w:t>
      </w:r>
      <w:r w:rsidR="00854C80" w:rsidRPr="008727FB">
        <w:t xml:space="preserve">convince the </w:t>
      </w:r>
      <w:r w:rsidRPr="008727FB">
        <w:t>C</w:t>
      </w:r>
      <w:r w:rsidR="00854C80" w:rsidRPr="008727FB">
        <w:t xml:space="preserve">ommittee that this </w:t>
      </w:r>
      <w:r w:rsidRPr="008727FB">
        <w:t>element</w:t>
      </w:r>
      <w:r w:rsidR="00854C80" w:rsidRPr="008727FB">
        <w:t xml:space="preserve"> of the Bill requires </w:t>
      </w:r>
      <w:r w:rsidRPr="008727FB">
        <w:t>consideration</w:t>
      </w:r>
      <w:r w:rsidR="00854C80" w:rsidRPr="008727FB">
        <w:t xml:space="preserve"> and re-drafting.</w:t>
      </w:r>
    </w:p>
    <w:p w:rsidR="00854C80" w:rsidRPr="008727FB" w:rsidRDefault="00854C80" w:rsidP="00831008">
      <w:pPr>
        <w:pStyle w:val="Heading3"/>
      </w:pPr>
      <w:bookmarkStart w:id="95" w:name="_Toc528670965"/>
      <w:r w:rsidRPr="008727FB">
        <w:lastRenderedPageBreak/>
        <w:t>Social context</w:t>
      </w:r>
      <w:r w:rsidR="005C24B5" w:rsidRPr="008727FB">
        <w:t xml:space="preserve"> implications</w:t>
      </w:r>
      <w:r w:rsidRPr="008727FB">
        <w:t xml:space="preserve"> and education</w:t>
      </w:r>
      <w:bookmarkEnd w:id="95"/>
    </w:p>
    <w:p w:rsidR="00854C80" w:rsidRPr="008727FB" w:rsidRDefault="005C24B5" w:rsidP="000A01F2">
      <w:pPr>
        <w:pStyle w:val="BodyText"/>
      </w:pPr>
      <w:r w:rsidRPr="008727FB">
        <w:t xml:space="preserve">There was strong support in all submissions for a </w:t>
      </w:r>
      <w:r w:rsidR="002F4276" w:rsidRPr="008727FB">
        <w:t>continuation</w:t>
      </w:r>
      <w:r w:rsidRPr="008727FB">
        <w:t xml:space="preserve"> of developing programs to educate the </w:t>
      </w:r>
      <w:r w:rsidR="002F4276" w:rsidRPr="008727FB">
        <w:t>community</w:t>
      </w:r>
      <w:r w:rsidRPr="008727FB">
        <w:t xml:space="preserve"> – </w:t>
      </w:r>
      <w:r w:rsidR="002F4276" w:rsidRPr="008727FB">
        <w:t>particularly</w:t>
      </w:r>
      <w:r w:rsidR="001F2C9B" w:rsidRPr="008727FB">
        <w:t xml:space="preserve"> at the </w:t>
      </w:r>
      <w:r w:rsidRPr="008727FB">
        <w:t>school level – in the nature of sexual co</w:t>
      </w:r>
      <w:r w:rsidR="002F4276" w:rsidRPr="008727FB">
        <w:t>nsent issues</w:t>
      </w:r>
      <w:r w:rsidRPr="008727FB">
        <w:t xml:space="preserve"> and for the importance </w:t>
      </w:r>
      <w:r w:rsidR="002F4276" w:rsidRPr="008727FB">
        <w:t xml:space="preserve">for </w:t>
      </w:r>
      <w:r w:rsidR="001F2C9B" w:rsidRPr="008727FB">
        <w:t xml:space="preserve">socially </w:t>
      </w:r>
      <w:r w:rsidR="002F4276" w:rsidRPr="008727FB">
        <w:t>acceptable behaviour standards.</w:t>
      </w:r>
    </w:p>
    <w:p w:rsidR="002F4276" w:rsidRPr="008727FB" w:rsidRDefault="002F4276" w:rsidP="000A01F2">
      <w:pPr>
        <w:pStyle w:val="BodyText"/>
      </w:pPr>
      <w:r w:rsidRPr="008727FB">
        <w:t>In a concluding paragraph of her submission, Ms Le Couteur MLA affirmed a strong theme in submissions:</w:t>
      </w:r>
    </w:p>
    <w:p w:rsidR="002F4276" w:rsidRPr="008727FB" w:rsidRDefault="002F4276" w:rsidP="002F4276">
      <w:pPr>
        <w:pStyle w:val="Quote"/>
      </w:pPr>
      <w:r w:rsidRPr="008727FB">
        <w:t>This Inquiry is a contributor to the discourse and debate that surrounds the issue of consent. Further to this, there is an ongoing need to educate the community more broadly about consent, respectful relationships, the non-consensual sharing of intimate images and/or other non-consensual sexual acts and the breaking down of stereotypical myths and beliefs about sexual assault and rape. This needs to occur in school settings targeting students and young people, but also through professional development opportunities for teachers, community service and youth workers in a range of settings. The development of education opportunities and resources for community groups as well as for the full range of stakeholders in the criminal justice system are a necessary and important part of effectively implementing the intentions of the Bill.</w:t>
      </w:r>
      <w:r w:rsidRPr="008727FB">
        <w:rPr>
          <w:rStyle w:val="FootnoteReference"/>
        </w:rPr>
        <w:footnoteReference w:id="93"/>
      </w:r>
    </w:p>
    <w:p w:rsidR="002F4276" w:rsidRPr="008727FB" w:rsidRDefault="00902413" w:rsidP="002F4276">
      <w:pPr>
        <w:pStyle w:val="BodyText"/>
      </w:pPr>
      <w:r w:rsidRPr="008727FB">
        <w:t>The C</w:t>
      </w:r>
      <w:r w:rsidR="002F4276" w:rsidRPr="008727FB">
        <w:t xml:space="preserve">ommittee endorses the last sentence of the quote and </w:t>
      </w:r>
      <w:r w:rsidRPr="008727FB">
        <w:t>acknowledges that changes in the law alone will not bring about broader and better understanding of consent in sexual offending</w:t>
      </w:r>
      <w:r w:rsidR="00A24687" w:rsidRPr="008727FB">
        <w:t>.</w:t>
      </w:r>
    </w:p>
    <w:p w:rsidR="00902413" w:rsidRPr="008727FB" w:rsidRDefault="00A24687" w:rsidP="002F4276">
      <w:pPr>
        <w:pStyle w:val="BodyText"/>
      </w:pPr>
      <w:r w:rsidRPr="008727FB">
        <w:t>E</w:t>
      </w:r>
      <w:r w:rsidR="00902413" w:rsidRPr="008727FB">
        <w:t xml:space="preserve">ducation and awareness is paramount in schools and across the community.  The Committee also recognises that there </w:t>
      </w:r>
      <w:r w:rsidRPr="008727FB">
        <w:t>appears to be a</w:t>
      </w:r>
      <w:r w:rsidR="00902413" w:rsidRPr="008727FB">
        <w:t xml:space="preserve"> disconnect between the community and the judiciary about this</w:t>
      </w:r>
      <w:r w:rsidRPr="008727FB">
        <w:t xml:space="preserve"> –</w:t>
      </w:r>
      <w:r w:rsidR="00902413" w:rsidRPr="008727FB">
        <w:t xml:space="preserve"> communicative</w:t>
      </w:r>
      <w:r w:rsidRPr="008727FB">
        <w:t xml:space="preserve"> </w:t>
      </w:r>
      <w:r w:rsidR="00902413" w:rsidRPr="008727FB">
        <w:t xml:space="preserve">and affirmative consent – and the potential risk for young people who don’t understand the law and </w:t>
      </w:r>
      <w:r w:rsidR="00457D9B" w:rsidRPr="008727FB">
        <w:t>potential</w:t>
      </w:r>
      <w:r w:rsidR="00902413" w:rsidRPr="008727FB">
        <w:t xml:space="preserve"> changes.</w:t>
      </w:r>
    </w:p>
    <w:p w:rsidR="002F4276" w:rsidRPr="008727FB" w:rsidRDefault="002F4276" w:rsidP="002F4276">
      <w:pPr>
        <w:pStyle w:val="BodyText"/>
      </w:pPr>
      <w:r w:rsidRPr="008727FB">
        <w:t>The Committee recommends this approach and details its views in its recommendations.</w:t>
      </w:r>
    </w:p>
    <w:p w:rsidR="00F8783E" w:rsidRPr="008727FB" w:rsidRDefault="00DE2F43" w:rsidP="00831008">
      <w:pPr>
        <w:pStyle w:val="Heading3"/>
        <w:rPr>
          <w:b/>
        </w:rPr>
      </w:pPr>
      <w:bookmarkStart w:id="96" w:name="_Toc528670966"/>
      <w:r w:rsidRPr="008727FB">
        <w:t>Co</w:t>
      </w:r>
      <w:r w:rsidR="00831008" w:rsidRPr="008727FB">
        <w:t>mmittee Comment</w:t>
      </w:r>
      <w:r w:rsidR="00CB7851" w:rsidRPr="008727FB">
        <w:t xml:space="preserve"> and Conclusions</w:t>
      </w:r>
      <w:bookmarkEnd w:id="96"/>
    </w:p>
    <w:p w:rsidR="00F8783E" w:rsidRPr="008727FB" w:rsidRDefault="00F8783E" w:rsidP="00831008">
      <w:pPr>
        <w:pStyle w:val="BodyText"/>
      </w:pPr>
      <w:r w:rsidRPr="008727FB">
        <w:t>A</w:t>
      </w:r>
      <w:r w:rsidR="009F3F0E" w:rsidRPr="008727FB">
        <w:t xml:space="preserve"> </w:t>
      </w:r>
      <w:r w:rsidRPr="008727FB">
        <w:t xml:space="preserve">definition of consent based on a concept </w:t>
      </w:r>
      <w:r w:rsidR="009F3F0E" w:rsidRPr="008727FB">
        <w:t xml:space="preserve">of free and voluntary agreement, and affirmative and communicative consent </w:t>
      </w:r>
      <w:r w:rsidRPr="008727FB">
        <w:t xml:space="preserve">should be </w:t>
      </w:r>
      <w:r w:rsidR="001F2C9B" w:rsidRPr="008727FB">
        <w:t>considered for enactment into ACT law.</w:t>
      </w:r>
    </w:p>
    <w:p w:rsidR="00F8783E" w:rsidRPr="008727FB" w:rsidRDefault="001F2C9B" w:rsidP="00831008">
      <w:pPr>
        <w:pStyle w:val="BodyText"/>
      </w:pPr>
      <w:r w:rsidRPr="008727FB">
        <w:t>T</w:t>
      </w:r>
      <w:r w:rsidR="00F8783E" w:rsidRPr="008727FB">
        <w:t xml:space="preserve">he </w:t>
      </w:r>
      <w:r w:rsidR="00854C80" w:rsidRPr="008727FB">
        <w:t>Legislati</w:t>
      </w:r>
      <w:r w:rsidRPr="008727FB">
        <w:t xml:space="preserve">ve Assembly, the Committee </w:t>
      </w:r>
      <w:r w:rsidR="00854C80" w:rsidRPr="008727FB">
        <w:t>and Ms Le Cou</w:t>
      </w:r>
      <w:r w:rsidR="002F4276" w:rsidRPr="008727FB">
        <w:t>t</w:t>
      </w:r>
      <w:r w:rsidR="00854C80" w:rsidRPr="008727FB">
        <w:t xml:space="preserve">eur MLA </w:t>
      </w:r>
      <w:r w:rsidR="00F8783E" w:rsidRPr="008727FB">
        <w:t xml:space="preserve">should wait for the </w:t>
      </w:r>
      <w:r w:rsidR="00854C80" w:rsidRPr="008727FB">
        <w:t xml:space="preserve">findings and </w:t>
      </w:r>
      <w:r w:rsidR="00F8783E" w:rsidRPr="008727FB">
        <w:t xml:space="preserve">recommendations made by the </w:t>
      </w:r>
      <w:r w:rsidRPr="008727FB">
        <w:t>NSWLRC</w:t>
      </w:r>
      <w:r w:rsidR="00F8783E" w:rsidRPr="008727FB">
        <w:t xml:space="preserve"> </w:t>
      </w:r>
      <w:r w:rsidR="00854C80" w:rsidRPr="008727FB">
        <w:t>resulting from the inquiry on sexual cons</w:t>
      </w:r>
      <w:r w:rsidR="002F4276" w:rsidRPr="008727FB">
        <w:t>en</w:t>
      </w:r>
      <w:r w:rsidR="00854C80" w:rsidRPr="008727FB">
        <w:t xml:space="preserve">t in relation to sexual offences which is due in 2019.  As all aspects of the consent provisions in </w:t>
      </w:r>
      <w:r w:rsidR="00854C80" w:rsidRPr="008727FB">
        <w:lastRenderedPageBreak/>
        <w:t>NSW (and ACT law) can be</w:t>
      </w:r>
      <w:r w:rsidRPr="008727FB">
        <w:t xml:space="preserve"> reasonably</w:t>
      </w:r>
      <w:r w:rsidR="00854C80" w:rsidRPr="008727FB">
        <w:t xml:space="preserve"> expected to be subject</w:t>
      </w:r>
      <w:r w:rsidRPr="008727FB">
        <w:t xml:space="preserve"> of the</w:t>
      </w:r>
      <w:r w:rsidR="00457D9B" w:rsidRPr="008727FB">
        <w:t xml:space="preserve"> findings of the NSWLRC inquiry, </w:t>
      </w:r>
      <w:r w:rsidR="00A24687" w:rsidRPr="008727FB">
        <w:t xml:space="preserve">the Committee is of the view that </w:t>
      </w:r>
      <w:r w:rsidR="00457D9B" w:rsidRPr="008727FB">
        <w:t>it is prudent to await the conclusions of the NSWLRC inquiry.</w:t>
      </w:r>
    </w:p>
    <w:p w:rsidR="00831008" w:rsidRPr="008727FB" w:rsidRDefault="00831008" w:rsidP="00831008">
      <w:pPr>
        <w:pStyle w:val="BodyText"/>
      </w:pPr>
      <w:r w:rsidRPr="008727FB">
        <w:t xml:space="preserve">The Committee has </w:t>
      </w:r>
      <w:r w:rsidR="00457D9B" w:rsidRPr="008727FB">
        <w:t xml:space="preserve">also </w:t>
      </w:r>
      <w:r w:rsidRPr="008727FB">
        <w:t>concluded that legal advice</w:t>
      </w:r>
      <w:r w:rsidR="00BB4DEA" w:rsidRPr="008727FB">
        <w:t xml:space="preserve"> </w:t>
      </w:r>
      <w:r w:rsidRPr="008727FB">
        <w:t xml:space="preserve">be sought specifically on the </w:t>
      </w:r>
      <w:r w:rsidR="00457D9B" w:rsidRPr="008727FB">
        <w:t xml:space="preserve">issue of recklessness, insofar as </w:t>
      </w:r>
      <w:r w:rsidRPr="008727FB">
        <w:t xml:space="preserve">to what extent ‘reasonableness’ is </w:t>
      </w:r>
      <w:r w:rsidR="007D684F" w:rsidRPr="008727FB">
        <w:t xml:space="preserve">and should be </w:t>
      </w:r>
      <w:r w:rsidRPr="008727FB">
        <w:t>considered in determining the common law defence of ‘honest’ mistake (the ‘Morgan defence’).</w:t>
      </w:r>
    </w:p>
    <w:p w:rsidR="00DE2F43" w:rsidRPr="008727FB" w:rsidRDefault="00DE2F43" w:rsidP="005C15BE">
      <w:pPr>
        <w:pStyle w:val="Heading3"/>
      </w:pPr>
      <w:bookmarkStart w:id="97" w:name="_Toc528670967"/>
      <w:r w:rsidRPr="008727FB">
        <w:t>Recommendations</w:t>
      </w:r>
      <w:bookmarkEnd w:id="97"/>
    </w:p>
    <w:p w:rsidR="00B464F0" w:rsidRPr="00102753" w:rsidRDefault="00B464F0" w:rsidP="00102753">
      <w:pPr>
        <w:spacing w:before="0" w:after="0" w:line="240" w:lineRule="auto"/>
        <w:rPr>
          <w:rFonts w:asciiTheme="minorHAnsi" w:hAnsiTheme="minorHAnsi"/>
          <w:b/>
          <w:szCs w:val="22"/>
        </w:rPr>
      </w:pPr>
      <w:r w:rsidRPr="00102753">
        <w:rPr>
          <w:rFonts w:asciiTheme="minorHAnsi" w:hAnsiTheme="minorHAnsi"/>
          <w:b/>
          <w:szCs w:val="22"/>
        </w:rPr>
        <w:t>Recommendation 1</w:t>
      </w:r>
    </w:p>
    <w:p w:rsidR="00B464F0" w:rsidRPr="008727FB" w:rsidRDefault="00B464F0" w:rsidP="0063087D">
      <w:pPr>
        <w:spacing w:before="120" w:after="120" w:line="240" w:lineRule="auto"/>
        <w:rPr>
          <w:rFonts w:asciiTheme="minorHAnsi" w:hAnsiTheme="minorHAnsi"/>
          <w:szCs w:val="22"/>
        </w:rPr>
      </w:pPr>
      <w:r w:rsidRPr="008727FB">
        <w:rPr>
          <w:rFonts w:asciiTheme="minorHAnsi" w:hAnsiTheme="minorHAnsi"/>
          <w:szCs w:val="22"/>
        </w:rPr>
        <w:t xml:space="preserve">That the </w:t>
      </w:r>
      <w:r w:rsidRPr="008727FB">
        <w:rPr>
          <w:rFonts w:asciiTheme="minorHAnsi" w:hAnsiTheme="minorHAnsi"/>
          <w:i/>
          <w:szCs w:val="22"/>
        </w:rPr>
        <w:t>Crimes (Consent) Amendment Bill 2018</w:t>
      </w:r>
      <w:r w:rsidRPr="008727FB">
        <w:rPr>
          <w:rFonts w:asciiTheme="minorHAnsi" w:hAnsiTheme="minorHAnsi"/>
          <w:szCs w:val="22"/>
        </w:rPr>
        <w:t xml:space="preserve"> as introduced into the Legislative Assembly on </w:t>
      </w:r>
      <w:r w:rsidRPr="008727FB">
        <w:rPr>
          <w:rFonts w:asciiTheme="minorHAnsi" w:hAnsiTheme="minorHAnsi"/>
          <w:szCs w:val="22"/>
        </w:rPr>
        <w:br/>
        <w:t>11 April 2018 not be proceeded with in its current form.</w:t>
      </w:r>
    </w:p>
    <w:p w:rsidR="00B464F0" w:rsidRPr="00102753" w:rsidRDefault="00B464F0" w:rsidP="00102753">
      <w:pPr>
        <w:spacing w:before="0" w:after="0" w:line="240" w:lineRule="auto"/>
        <w:rPr>
          <w:rFonts w:asciiTheme="minorHAnsi" w:hAnsiTheme="minorHAnsi"/>
          <w:b/>
          <w:szCs w:val="22"/>
        </w:rPr>
      </w:pPr>
      <w:r w:rsidRPr="00102753">
        <w:rPr>
          <w:rFonts w:asciiTheme="minorHAnsi" w:hAnsiTheme="minorHAnsi"/>
          <w:b/>
          <w:szCs w:val="22"/>
        </w:rPr>
        <w:t>Recommendation 2</w:t>
      </w:r>
    </w:p>
    <w:p w:rsidR="00B464F0" w:rsidRPr="008727FB" w:rsidRDefault="00B464F0" w:rsidP="0063087D">
      <w:pPr>
        <w:spacing w:before="120" w:after="120" w:line="240" w:lineRule="auto"/>
        <w:rPr>
          <w:rFonts w:asciiTheme="minorHAnsi" w:hAnsiTheme="minorHAnsi"/>
          <w:szCs w:val="22"/>
        </w:rPr>
      </w:pPr>
      <w:r w:rsidRPr="008727FB">
        <w:rPr>
          <w:rFonts w:asciiTheme="minorHAnsi" w:hAnsiTheme="minorHAnsi"/>
          <w:szCs w:val="22"/>
        </w:rPr>
        <w:t>The Committee recommends that the ACT not consider or enact legislative change to introduce a definition of affirmative consent until the report from the current NSW Law Reform Commission inquiry in relation to sexual offences is presented.</w:t>
      </w:r>
    </w:p>
    <w:p w:rsidR="00B464F0" w:rsidRPr="00102753" w:rsidRDefault="00B464F0" w:rsidP="00102753">
      <w:pPr>
        <w:spacing w:before="0" w:after="0" w:line="240" w:lineRule="auto"/>
        <w:rPr>
          <w:rFonts w:asciiTheme="minorHAnsi" w:hAnsiTheme="minorHAnsi"/>
          <w:b/>
          <w:szCs w:val="22"/>
        </w:rPr>
      </w:pPr>
      <w:r w:rsidRPr="00102753">
        <w:rPr>
          <w:rFonts w:asciiTheme="minorHAnsi" w:hAnsiTheme="minorHAnsi"/>
          <w:b/>
          <w:szCs w:val="22"/>
        </w:rPr>
        <w:t>Recommendation 3</w:t>
      </w:r>
    </w:p>
    <w:p w:rsidR="00B464F0" w:rsidRPr="008727FB" w:rsidRDefault="00B464F0" w:rsidP="00B464F0">
      <w:pPr>
        <w:pStyle w:val="NormalWeb"/>
        <w:spacing w:before="120" w:beforeAutospacing="0" w:after="120" w:afterAutospacing="0"/>
        <w:rPr>
          <w:rFonts w:asciiTheme="minorHAnsi" w:hAnsiTheme="minorHAnsi"/>
          <w:sz w:val="22"/>
          <w:szCs w:val="22"/>
        </w:rPr>
      </w:pPr>
      <w:r w:rsidRPr="008727FB">
        <w:rPr>
          <w:rFonts w:asciiTheme="minorHAnsi" w:hAnsiTheme="minorHAnsi"/>
          <w:sz w:val="22"/>
          <w:szCs w:val="22"/>
        </w:rPr>
        <w:t>The Committee recommends that, any legislative changes under ACT law proposing a definition of consent in relation to sexual offences, not include any element that requires proof that a perpetrator knew or should have known consent was given.</w:t>
      </w:r>
    </w:p>
    <w:p w:rsidR="00B464F0" w:rsidRPr="008727FB" w:rsidRDefault="00B464F0" w:rsidP="00B464F0">
      <w:pPr>
        <w:spacing w:before="0" w:after="0" w:line="240" w:lineRule="auto"/>
        <w:rPr>
          <w:rFonts w:asciiTheme="minorHAnsi" w:hAnsiTheme="minorHAnsi"/>
          <w:b/>
          <w:szCs w:val="22"/>
        </w:rPr>
      </w:pPr>
      <w:r w:rsidRPr="008727FB">
        <w:rPr>
          <w:rFonts w:asciiTheme="minorHAnsi" w:hAnsiTheme="minorHAnsi"/>
          <w:b/>
          <w:szCs w:val="22"/>
        </w:rPr>
        <w:t>Recommendation 4</w:t>
      </w:r>
    </w:p>
    <w:p w:rsidR="00B464F0" w:rsidRPr="008727FB" w:rsidRDefault="00B464F0" w:rsidP="0063087D">
      <w:pPr>
        <w:pStyle w:val="BodyText"/>
        <w:numPr>
          <w:ilvl w:val="0"/>
          <w:numId w:val="0"/>
        </w:numPr>
        <w:spacing w:before="120" w:after="120" w:line="240" w:lineRule="auto"/>
      </w:pPr>
      <w:r w:rsidRPr="008727FB">
        <w:t>The Committee recommends that a definition of consent based on a concept of free and voluntary agreement, and affirmative and communicative consent be considered for enactment into ACT law.</w:t>
      </w:r>
    </w:p>
    <w:p w:rsidR="00E132CC" w:rsidRPr="008727FB" w:rsidRDefault="00E132CC" w:rsidP="00E132CC">
      <w:pPr>
        <w:spacing w:before="0" w:after="0" w:line="240" w:lineRule="auto"/>
        <w:rPr>
          <w:rFonts w:asciiTheme="minorHAnsi" w:hAnsiTheme="minorHAnsi"/>
          <w:b/>
          <w:szCs w:val="22"/>
        </w:rPr>
      </w:pPr>
      <w:r>
        <w:rPr>
          <w:rFonts w:asciiTheme="minorHAnsi" w:hAnsiTheme="minorHAnsi"/>
          <w:b/>
          <w:szCs w:val="22"/>
        </w:rPr>
        <w:t>*</w:t>
      </w:r>
      <w:r w:rsidRPr="008727FB">
        <w:rPr>
          <w:rFonts w:asciiTheme="minorHAnsi" w:hAnsiTheme="minorHAnsi"/>
          <w:b/>
          <w:szCs w:val="22"/>
        </w:rPr>
        <w:t>Recommendation 5</w:t>
      </w:r>
    </w:p>
    <w:p w:rsidR="00E132CC" w:rsidRDefault="00E132CC" w:rsidP="00E132CC">
      <w:pPr>
        <w:spacing w:before="120" w:after="120" w:line="240" w:lineRule="auto"/>
      </w:pPr>
      <w:r>
        <w:t xml:space="preserve">The Committee recommends that Section 67 of the </w:t>
      </w:r>
      <w:r w:rsidRPr="00E132CC">
        <w:t>Crimes Act 1900</w:t>
      </w:r>
      <w:r>
        <w:t xml:space="preserve"> be amended to include a provision which states that the fact a person does not say or communicate consent is not, of itself, regarded as consent.</w:t>
      </w:r>
    </w:p>
    <w:p w:rsidR="00B464F0" w:rsidRPr="008727FB" w:rsidRDefault="00B464F0" w:rsidP="00B464F0">
      <w:pPr>
        <w:spacing w:before="0" w:after="0" w:line="240" w:lineRule="auto"/>
        <w:rPr>
          <w:rFonts w:asciiTheme="minorHAnsi" w:hAnsiTheme="minorHAnsi"/>
          <w:b/>
          <w:szCs w:val="22"/>
        </w:rPr>
      </w:pPr>
      <w:r w:rsidRPr="008727FB">
        <w:rPr>
          <w:rFonts w:asciiTheme="minorHAnsi" w:hAnsiTheme="minorHAnsi"/>
          <w:b/>
          <w:szCs w:val="22"/>
        </w:rPr>
        <w:t>Recommendation 6</w:t>
      </w:r>
    </w:p>
    <w:p w:rsidR="00B464F0" w:rsidRPr="008727FB" w:rsidRDefault="00B464F0" w:rsidP="00B464F0">
      <w:pPr>
        <w:spacing w:before="120" w:after="120" w:line="240" w:lineRule="auto"/>
        <w:rPr>
          <w:szCs w:val="22"/>
        </w:rPr>
      </w:pPr>
      <w:r w:rsidRPr="008727FB">
        <w:t>The Committee recommends that any legislative changes retain the fundamental presumption of innocence until proven guilty in that the burden of proof beyond reasonable doubt must remain with the prosecution.</w:t>
      </w:r>
    </w:p>
    <w:p w:rsidR="00B464F0" w:rsidRPr="00102753" w:rsidRDefault="00B464F0" w:rsidP="00102753">
      <w:pPr>
        <w:spacing w:before="0" w:after="0" w:line="240" w:lineRule="auto"/>
        <w:rPr>
          <w:rFonts w:asciiTheme="minorHAnsi" w:hAnsiTheme="minorHAnsi"/>
          <w:b/>
          <w:szCs w:val="22"/>
        </w:rPr>
      </w:pPr>
      <w:r w:rsidRPr="00102753">
        <w:rPr>
          <w:rFonts w:asciiTheme="minorHAnsi" w:hAnsiTheme="minorHAnsi"/>
          <w:b/>
          <w:szCs w:val="22"/>
        </w:rPr>
        <w:t xml:space="preserve">Recommendation 7 </w:t>
      </w:r>
    </w:p>
    <w:p w:rsidR="00B464F0" w:rsidRDefault="00B464F0" w:rsidP="00B464F0">
      <w:pPr>
        <w:pStyle w:val="NormalWeb"/>
        <w:spacing w:before="120" w:beforeAutospacing="0" w:after="120" w:afterAutospacing="0"/>
        <w:rPr>
          <w:rFonts w:asciiTheme="minorHAnsi" w:hAnsiTheme="minorHAnsi"/>
          <w:sz w:val="22"/>
          <w:szCs w:val="22"/>
        </w:rPr>
      </w:pPr>
      <w:r w:rsidRPr="008727FB">
        <w:rPr>
          <w:rFonts w:asciiTheme="minorHAnsi" w:hAnsiTheme="minorHAnsi"/>
          <w:sz w:val="22"/>
          <w:szCs w:val="22"/>
        </w:rPr>
        <w:t>The Committee recommends that legal advice be sought on the potential impacts of legislatively removing the current common law defence of ‘honest mistake’ (‘the Morgan defence’).</w:t>
      </w:r>
    </w:p>
    <w:p w:rsidR="00E132CC" w:rsidRDefault="00E132CC" w:rsidP="00B464F0">
      <w:pPr>
        <w:pStyle w:val="NormalWeb"/>
        <w:spacing w:before="120" w:beforeAutospacing="0" w:after="120" w:afterAutospacing="0"/>
        <w:rPr>
          <w:rFonts w:asciiTheme="minorHAnsi" w:hAnsiTheme="minorHAnsi"/>
          <w:sz w:val="22"/>
          <w:szCs w:val="22"/>
        </w:rPr>
      </w:pPr>
    </w:p>
    <w:p w:rsidR="00E132CC" w:rsidRDefault="00E132CC" w:rsidP="00B464F0">
      <w:pPr>
        <w:pStyle w:val="NormalWeb"/>
        <w:spacing w:before="120" w:beforeAutospacing="0" w:after="120" w:afterAutospacing="0"/>
        <w:rPr>
          <w:rFonts w:asciiTheme="minorHAnsi" w:hAnsiTheme="minorHAnsi"/>
          <w:sz w:val="22"/>
          <w:szCs w:val="22"/>
        </w:rPr>
      </w:pPr>
    </w:p>
    <w:p w:rsidR="00E132CC" w:rsidRDefault="00E132CC" w:rsidP="00B464F0">
      <w:pPr>
        <w:pStyle w:val="NormalWeb"/>
        <w:spacing w:before="120" w:beforeAutospacing="0" w:after="120" w:afterAutospacing="0"/>
        <w:rPr>
          <w:rFonts w:asciiTheme="minorHAnsi" w:hAnsiTheme="minorHAnsi"/>
          <w:sz w:val="22"/>
          <w:szCs w:val="22"/>
        </w:rPr>
      </w:pPr>
    </w:p>
    <w:p w:rsidR="00102753" w:rsidRDefault="00102753" w:rsidP="00B464F0">
      <w:pPr>
        <w:pStyle w:val="NormalWeb"/>
        <w:spacing w:before="120" w:beforeAutospacing="0" w:after="120" w:afterAutospacing="0"/>
        <w:rPr>
          <w:rFonts w:asciiTheme="minorHAnsi" w:hAnsiTheme="minorHAnsi"/>
          <w:sz w:val="22"/>
          <w:szCs w:val="22"/>
        </w:rPr>
      </w:pPr>
    </w:p>
    <w:p w:rsidR="00102753" w:rsidRPr="00E132CC" w:rsidRDefault="00102753" w:rsidP="00102753">
      <w:pPr>
        <w:spacing w:before="120" w:after="120" w:line="240" w:lineRule="auto"/>
        <w:rPr>
          <w:rFonts w:asciiTheme="minorHAnsi" w:hAnsiTheme="minorHAnsi"/>
          <w:sz w:val="18"/>
          <w:szCs w:val="18"/>
        </w:rPr>
      </w:pPr>
      <w:r w:rsidRPr="00E132CC">
        <w:rPr>
          <w:rFonts w:asciiTheme="minorHAnsi" w:hAnsiTheme="minorHAnsi"/>
          <w:sz w:val="18"/>
          <w:szCs w:val="18"/>
        </w:rPr>
        <w:t>*Recommendation replaced by Corrigendum tabled 31 October 2018</w:t>
      </w:r>
      <w:r>
        <w:rPr>
          <w:rFonts w:asciiTheme="minorHAnsi" w:hAnsiTheme="minorHAnsi"/>
          <w:sz w:val="18"/>
          <w:szCs w:val="18"/>
        </w:rPr>
        <w:t>.</w:t>
      </w:r>
    </w:p>
    <w:p w:rsidR="00B464F0" w:rsidRPr="008727FB" w:rsidRDefault="00102753" w:rsidP="00102753">
      <w:pPr>
        <w:spacing w:before="0" w:after="0" w:line="240" w:lineRule="auto"/>
        <w:rPr>
          <w:b/>
        </w:rPr>
      </w:pPr>
      <w:r>
        <w:rPr>
          <w:b/>
        </w:rPr>
        <w:br w:type="page"/>
      </w:r>
      <w:r w:rsidR="00B464F0" w:rsidRPr="008727FB">
        <w:rPr>
          <w:b/>
        </w:rPr>
        <w:lastRenderedPageBreak/>
        <w:t>Recommendation 8</w:t>
      </w:r>
    </w:p>
    <w:p w:rsidR="00B464F0" w:rsidRPr="008727FB" w:rsidRDefault="00B464F0" w:rsidP="00B464F0">
      <w:pPr>
        <w:pStyle w:val="Bodytextnonumbering"/>
        <w:spacing w:before="120" w:after="120" w:line="240" w:lineRule="auto"/>
      </w:pPr>
      <w:r w:rsidRPr="008727FB">
        <w:t>The Committee recommends that, in conjunction with legislative change and amendment, that a complementary education program on consent be put in place.  The Committee also recommends that such a campaign especially focus on young people.</w:t>
      </w:r>
    </w:p>
    <w:p w:rsidR="00B464F0" w:rsidRPr="008727FB" w:rsidRDefault="00B464F0" w:rsidP="00B464F0">
      <w:pPr>
        <w:pStyle w:val="Bodytextnonumbering"/>
        <w:spacing w:before="0" w:after="0" w:line="240" w:lineRule="auto"/>
        <w:rPr>
          <w:b/>
        </w:rPr>
      </w:pPr>
      <w:r w:rsidRPr="008727FB">
        <w:rPr>
          <w:b/>
        </w:rPr>
        <w:t>Recommendation 9</w:t>
      </w:r>
    </w:p>
    <w:p w:rsidR="00B464F0" w:rsidRPr="008727FB" w:rsidRDefault="00B464F0" w:rsidP="00B464F0">
      <w:pPr>
        <w:spacing w:before="120" w:after="120" w:line="240" w:lineRule="auto"/>
        <w:rPr>
          <w:rFonts w:asciiTheme="minorHAnsi" w:hAnsiTheme="minorHAnsi"/>
          <w:szCs w:val="22"/>
        </w:rPr>
      </w:pPr>
      <w:r w:rsidRPr="008727FB">
        <w:rPr>
          <w:rFonts w:asciiTheme="minorHAnsi" w:hAnsiTheme="minorHAnsi"/>
          <w:szCs w:val="22"/>
        </w:rPr>
        <w:t>The Committee recommends that the ACT Government establish a cross-government, cross-sector working group, which includes representations from women’s organisations, sexual assault and domestic violence services and the legal fraternity, or alternatively, that the ACT Government utilise an already existing group to provide advice on how the government can improve prosecution outcomes for victims of sexual assault, specifically with regards to consent.</w:t>
      </w:r>
    </w:p>
    <w:p w:rsidR="00B464F0" w:rsidRPr="008727FB" w:rsidRDefault="00B464F0" w:rsidP="00B464F0">
      <w:pPr>
        <w:pStyle w:val="Bodytextnonumbering"/>
        <w:spacing w:before="0" w:after="0" w:line="240" w:lineRule="auto"/>
        <w:rPr>
          <w:b/>
        </w:rPr>
      </w:pPr>
      <w:r w:rsidRPr="008727FB">
        <w:rPr>
          <w:b/>
        </w:rPr>
        <w:t>Recommendation 10</w:t>
      </w:r>
    </w:p>
    <w:p w:rsidR="00B464F0" w:rsidRPr="008727FB" w:rsidRDefault="00B464F0" w:rsidP="00B464F0">
      <w:pPr>
        <w:spacing w:before="120" w:after="120" w:line="240" w:lineRule="auto"/>
        <w:rPr>
          <w:rFonts w:asciiTheme="minorHAnsi" w:hAnsiTheme="minorHAnsi"/>
          <w:szCs w:val="22"/>
        </w:rPr>
      </w:pPr>
      <w:r w:rsidRPr="008727FB">
        <w:rPr>
          <w:rFonts w:asciiTheme="minorHAnsi" w:hAnsiTheme="minorHAnsi"/>
          <w:szCs w:val="22"/>
        </w:rPr>
        <w:t>The Committee recommends that all law reform must provide scope to deliver the best possible outcome for victims of sexual assault as well as the community.</w:t>
      </w:r>
    </w:p>
    <w:p w:rsidR="00457D9B" w:rsidRPr="008727FB" w:rsidRDefault="00457D9B" w:rsidP="00457D9B">
      <w:pPr>
        <w:pStyle w:val="BodyText"/>
      </w:pPr>
      <w:r w:rsidRPr="008727FB">
        <w:t>The Committee thanks</w:t>
      </w:r>
      <w:r w:rsidR="00A60093" w:rsidRPr="008727FB">
        <w:t xml:space="preserve"> </w:t>
      </w:r>
      <w:r w:rsidRPr="008727FB">
        <w:t xml:space="preserve">the organisations and individuals who have contributed to its inquiry, by making submissions, and/or appearing before it to give evidence. </w:t>
      </w:r>
    </w:p>
    <w:p w:rsidR="00457D9B" w:rsidRPr="008727FB" w:rsidRDefault="00457D9B" w:rsidP="00457D9B">
      <w:pPr>
        <w:pStyle w:val="BodyText"/>
      </w:pPr>
      <w:r w:rsidRPr="008727FB">
        <w:t>The Committee recognises the significant commitment of time and resources required to participate in this inquiry and is grateful that it was able to draw on a broad range of expertise and experience in its deliberations</w:t>
      </w:r>
      <w:bookmarkStart w:id="98" w:name="_Toc514657293"/>
      <w:bookmarkStart w:id="99" w:name="_Toc514657344"/>
      <w:bookmarkEnd w:id="98"/>
      <w:bookmarkEnd w:id="99"/>
    </w:p>
    <w:p w:rsidR="00457D9B" w:rsidRPr="008727FB" w:rsidRDefault="00457D9B" w:rsidP="00457D9B">
      <w:pPr>
        <w:pStyle w:val="BodyText"/>
        <w:numPr>
          <w:ilvl w:val="0"/>
          <w:numId w:val="0"/>
        </w:numPr>
        <w:ind w:left="567"/>
      </w:pPr>
    </w:p>
    <w:bookmarkEnd w:id="85"/>
    <w:bookmarkEnd w:id="86"/>
    <w:bookmarkEnd w:id="87"/>
    <w:bookmarkEnd w:id="88"/>
    <w:p w:rsidR="00D3626E" w:rsidRPr="008727FB" w:rsidRDefault="00D3626E" w:rsidP="00D3626E">
      <w:pPr>
        <w:pStyle w:val="BodyText"/>
        <w:numPr>
          <w:ilvl w:val="0"/>
          <w:numId w:val="0"/>
        </w:numPr>
        <w:ind w:left="567"/>
      </w:pPr>
    </w:p>
    <w:p w:rsidR="00D3626E" w:rsidRPr="008727FB" w:rsidRDefault="00D3626E" w:rsidP="00D3626E">
      <w:pPr>
        <w:pStyle w:val="BodyText"/>
        <w:numPr>
          <w:ilvl w:val="0"/>
          <w:numId w:val="0"/>
        </w:numPr>
        <w:ind w:left="567"/>
      </w:pPr>
    </w:p>
    <w:p w:rsidR="00141665" w:rsidRPr="008727FB" w:rsidRDefault="00141665" w:rsidP="00D3626E">
      <w:pPr>
        <w:spacing w:before="0" w:after="0"/>
      </w:pPr>
      <w:r w:rsidRPr="008727FB">
        <w:t>Elizabeth Lee MLA</w:t>
      </w:r>
    </w:p>
    <w:p w:rsidR="00151F03" w:rsidRPr="008727FB" w:rsidRDefault="00151F03" w:rsidP="00D3626E">
      <w:pPr>
        <w:spacing w:before="0" w:after="0"/>
      </w:pPr>
      <w:r w:rsidRPr="008727FB">
        <w:t>Chair</w:t>
      </w:r>
    </w:p>
    <w:p w:rsidR="00151F03" w:rsidRPr="008727FB" w:rsidRDefault="00141665" w:rsidP="00D3626E">
      <w:pPr>
        <w:spacing w:before="0" w:after="0"/>
      </w:pPr>
      <w:r w:rsidRPr="008727FB">
        <w:t xml:space="preserve">    October 2018</w:t>
      </w:r>
    </w:p>
    <w:p w:rsidR="004D2594" w:rsidRPr="008727FB" w:rsidRDefault="004D2594" w:rsidP="00C715C2">
      <w:pPr>
        <w:pStyle w:val="BodyText"/>
        <w:ind w:left="0" w:firstLine="0"/>
        <w:sectPr w:rsidR="004D2594" w:rsidRPr="008727FB" w:rsidSect="004207A6">
          <w:type w:val="oddPage"/>
          <w:pgSz w:w="11907" w:h="16840" w:code="9"/>
          <w:pgMar w:top="1588" w:right="1418" w:bottom="1418" w:left="1418" w:header="720" w:footer="851" w:gutter="0"/>
          <w:cols w:space="720"/>
          <w:docGrid w:linePitch="360"/>
        </w:sectPr>
      </w:pPr>
    </w:p>
    <w:p w:rsidR="00522A5C" w:rsidRPr="008727FB" w:rsidRDefault="00522A5C" w:rsidP="00522A5C">
      <w:pPr>
        <w:pStyle w:val="Heading2"/>
        <w:numPr>
          <w:ilvl w:val="0"/>
          <w:numId w:val="0"/>
        </w:numPr>
        <w:ind w:left="567" w:hanging="567"/>
      </w:pPr>
      <w:bookmarkStart w:id="100" w:name="_Toc528670968"/>
      <w:r w:rsidRPr="008727FB">
        <w:lastRenderedPageBreak/>
        <w:t xml:space="preserve">Appendix </w:t>
      </w:r>
      <w:r w:rsidR="00A12AF6" w:rsidRPr="008727FB">
        <w:t>A</w:t>
      </w:r>
      <w:r w:rsidRPr="008727FB">
        <w:t xml:space="preserve"> – Report by the Standing Committee on Justice and Community Safety (Legislative Scrutiny Role) on the Crimes (Consent) Amendment Bill 2018, May 2018</w:t>
      </w:r>
      <w:bookmarkEnd w:id="100"/>
    </w:p>
    <w:p w:rsidR="0074208F" w:rsidRPr="008727FB" w:rsidRDefault="0074208F" w:rsidP="0074208F">
      <w:pPr>
        <w:pStyle w:val="Heading4"/>
        <w:pBdr>
          <w:bottom w:val="single" w:sz="4" w:space="1" w:color="auto"/>
        </w:pBdr>
        <w:spacing w:line="280" w:lineRule="exact"/>
      </w:pPr>
      <w:bookmarkStart w:id="101" w:name="_Toc513192162"/>
      <w:r w:rsidRPr="008727FB">
        <w:t>Crimes (Consent) Amendment Bill 2018</w:t>
      </w:r>
      <w:bookmarkEnd w:id="101"/>
    </w:p>
    <w:p w:rsidR="0074208F" w:rsidRPr="008727FB" w:rsidRDefault="0074208F" w:rsidP="0074208F">
      <w:pPr>
        <w:rPr>
          <w:lang w:eastAsia="en-AU"/>
        </w:rPr>
      </w:pPr>
      <w:r w:rsidRPr="008727FB">
        <w:rPr>
          <w:lang w:eastAsia="en-AU"/>
        </w:rPr>
        <w:t xml:space="preserve">This Private Member’s Bill will amend the </w:t>
      </w:r>
      <w:r w:rsidRPr="008727FB">
        <w:rPr>
          <w:i/>
          <w:lang w:eastAsia="en-AU"/>
        </w:rPr>
        <w:t>Crimes Act 1900</w:t>
      </w:r>
      <w:r w:rsidRPr="008727FB">
        <w:rPr>
          <w:lang w:eastAsia="en-AU"/>
        </w:rPr>
        <w:t xml:space="preserve"> to extend the protection given to young people of similar age who consensually share intimate images to the production, trading and possession of child exploitation material or pornographic performances, and to include a statutory definition of consent in relation to sexual offence provisions. </w:t>
      </w:r>
    </w:p>
    <w:p w:rsidR="0074208F" w:rsidRPr="008727FB" w:rsidRDefault="0074208F" w:rsidP="0074208F">
      <w:pPr>
        <w:widowControl w:val="0"/>
        <w:tabs>
          <w:tab w:val="left" w:pos="1276"/>
        </w:tabs>
        <w:rPr>
          <w:rFonts w:eastAsia="Calibri" w:cs="Calibri"/>
          <w:b/>
          <w:bCs/>
          <w:i/>
          <w:szCs w:val="20"/>
          <w:lang w:eastAsia="en-AU"/>
        </w:rPr>
      </w:pPr>
      <w:r w:rsidRPr="008727FB">
        <w:rPr>
          <w:rFonts w:eastAsia="Calibri" w:cs="Calibri"/>
          <w:b/>
          <w:bCs/>
          <w:i/>
          <w:szCs w:val="20"/>
          <w:lang w:eastAsia="en-AU"/>
        </w:rPr>
        <w:t>Do any provisions of the Bill amount to an undue trespass on personal rights and liberties?—Committee terms of reference paragraph (3)(a)</w:t>
      </w:r>
    </w:p>
    <w:p w:rsidR="0074208F" w:rsidRPr="008727FB" w:rsidRDefault="0074208F" w:rsidP="0074208F">
      <w:pPr>
        <w:widowControl w:val="0"/>
        <w:tabs>
          <w:tab w:val="left" w:pos="1276"/>
        </w:tabs>
        <w:rPr>
          <w:rFonts w:eastAsia="Calibri" w:cs="Calibri"/>
          <w:b/>
          <w:bCs/>
          <w:i/>
          <w:szCs w:val="20"/>
          <w:lang w:eastAsia="en-AU"/>
        </w:rPr>
      </w:pPr>
      <w:r w:rsidRPr="008727FB">
        <w:rPr>
          <w:rFonts w:eastAsia="Calibri" w:cs="Calibri"/>
          <w:b/>
          <w:bCs/>
          <w:szCs w:val="20"/>
          <w:lang w:eastAsia="en-AU"/>
        </w:rPr>
        <w:t xml:space="preserve">Report under section 38 of the </w:t>
      </w:r>
      <w:r w:rsidRPr="008727FB">
        <w:rPr>
          <w:rFonts w:eastAsia="Calibri" w:cs="Calibri"/>
          <w:b/>
          <w:bCs/>
          <w:i/>
          <w:szCs w:val="20"/>
          <w:lang w:eastAsia="en-AU"/>
        </w:rPr>
        <w:t xml:space="preserve">Human Rights Act 2004 </w:t>
      </w:r>
      <w:r w:rsidRPr="008727FB">
        <w:rPr>
          <w:rFonts w:eastAsia="Calibri" w:cs="Calibri"/>
          <w:b/>
          <w:bCs/>
          <w:szCs w:val="20"/>
          <w:lang w:eastAsia="en-AU"/>
        </w:rPr>
        <w:t>(HRA)</w:t>
      </w:r>
    </w:p>
    <w:p w:rsidR="0074208F" w:rsidRPr="008727FB" w:rsidRDefault="0074208F" w:rsidP="0074208F">
      <w:pPr>
        <w:pStyle w:val="Heading5"/>
      </w:pPr>
      <w:r w:rsidRPr="008727FB">
        <w:t>Right to the presumption of innocence (section 22 HRA)</w:t>
      </w:r>
    </w:p>
    <w:p w:rsidR="0074208F" w:rsidRPr="008727FB" w:rsidRDefault="0074208F" w:rsidP="0074208F">
      <w:pPr>
        <w:widowControl w:val="0"/>
        <w:tabs>
          <w:tab w:val="left" w:pos="1276"/>
        </w:tabs>
        <w:spacing w:line="280" w:lineRule="exact"/>
      </w:pPr>
      <w:r w:rsidRPr="008727FB">
        <w:t>Various sexual offences under the Crimes Act involve establishing a lack of consent, either as an element of the offence (eg sexual intercourse without consent under section 54, an act of indecency without consent under section 60) or as a defence (eg sexual intercourse with a young person under paragraph 55(3)(b), act of indecency with a young person under paragraph 61(3)(b)). Section 67 of the Crimes Act currently sets out various acts which negate what might otherwise be consent, such as the infliction or threat of violence or humiliation or effect of intoxicating substances. The Crimes Act does not, however, provide any further definition of what constitutes consent. Courts in the ACT therefore refer to the common law position. Establishing sexual intercourse without consent, for example, involves establishing that the sexual intercourse was without the person’s consent and that the defendant knew or was reckless as to whether the person did not consent. Recklessness includes where the defendant did not care about whether the person was consenting, either because they did not stop even though they knew there was a risk that the person did not consent, or had not considered whether the person consented or not.</w:t>
      </w:r>
      <w:r w:rsidRPr="008727FB">
        <w:rPr>
          <w:rStyle w:val="FootnoteReference"/>
        </w:rPr>
        <w:footnoteReference w:id="94"/>
      </w:r>
      <w:r w:rsidRPr="008727FB">
        <w:t xml:space="preserve"> </w:t>
      </w:r>
    </w:p>
    <w:p w:rsidR="0074208F" w:rsidRPr="008727FB" w:rsidRDefault="0074208F" w:rsidP="0074208F">
      <w:pPr>
        <w:widowControl w:val="0"/>
        <w:tabs>
          <w:tab w:val="left" w:pos="1276"/>
        </w:tabs>
      </w:pPr>
      <w:r w:rsidRPr="008727FB">
        <w:t xml:space="preserve">The Bill will amend the current approach in the ACT by defining consent of a person for those various </w:t>
      </w:r>
      <w:r w:rsidRPr="008727FB">
        <w:lastRenderedPageBreak/>
        <w:t xml:space="preserve">sexual offences (as well as the proposed new defence in section 66A applying to young persons of a similar age). A person will consent when they give free and voluntary agreement; and the other person knows the agreement was freely and voluntarily given, or is satisfied on reasonable grounds that the agreement was freely and voluntarily given. The effect of this provision will be that the prosecution can establish the mental element of lack of consent through showing that there were no reasonable grounds open to the defendant to believe that the agreement was freely and voluntarily given. It is intended that the Bill will remove the ability of the defendant to show that they had an honest belief that the other person had consented where that belief was not reasonable in the circumstances. </w:t>
      </w:r>
    </w:p>
    <w:p w:rsidR="0074208F" w:rsidRPr="008727FB" w:rsidRDefault="0074208F" w:rsidP="0074208F">
      <w:pPr>
        <w:widowControl w:val="0"/>
        <w:tabs>
          <w:tab w:val="left" w:pos="1276"/>
        </w:tabs>
      </w:pPr>
      <w:r w:rsidRPr="008727FB">
        <w:t xml:space="preserve">As the Bill increases the evidential burden on the defendant to establish the reasonableness of their belief that the other person was consenting, the Bill will extend the circumstances in which an innocent person may be found guilty because they are unable to meet their evidential burden. The Bill therefore engages the right to the presumption of innocence protected by section 22 of the HRA. </w:t>
      </w:r>
    </w:p>
    <w:p w:rsidR="0074208F" w:rsidRPr="008727FB" w:rsidRDefault="0074208F" w:rsidP="0074208F">
      <w:pPr>
        <w:widowControl w:val="0"/>
        <w:tabs>
          <w:tab w:val="left" w:pos="1276"/>
        </w:tabs>
        <w:spacing w:line="280" w:lineRule="exact"/>
      </w:pPr>
      <w:r w:rsidRPr="008727FB">
        <w:t>The ACT Human Rights Commission, in its submission to the Crimes (Consent) Amendment Bill 2018—Exposure draft, dated 26 March 2018, raised the following concerns:</w:t>
      </w:r>
    </w:p>
    <w:p w:rsidR="0074208F" w:rsidRPr="008727FB" w:rsidRDefault="0074208F" w:rsidP="0074208F">
      <w:pPr>
        <w:widowControl w:val="0"/>
        <w:tabs>
          <w:tab w:val="left" w:pos="1276"/>
        </w:tabs>
        <w:spacing w:line="280" w:lineRule="exact"/>
        <w:ind w:left="360"/>
      </w:pPr>
      <w:r w:rsidRPr="008727FB">
        <w:t>…</w:t>
      </w:r>
    </w:p>
    <w:p w:rsidR="0074208F" w:rsidRPr="008727FB" w:rsidRDefault="0074208F" w:rsidP="0074208F">
      <w:pPr>
        <w:widowControl w:val="0"/>
        <w:tabs>
          <w:tab w:val="left" w:pos="1276"/>
        </w:tabs>
        <w:ind w:left="360"/>
      </w:pPr>
      <w:r w:rsidRPr="008727FB">
        <w:t>It is also welcome that the bill clarifies that, for the offences against ss 64 and 65, the defendant bears only an evidential burden in relation to the relevant matters. As we have previously noted, an evidential burden is more likely to be considered a proportionate limitation on the right to be presumed innocent (s 22(2)), in accordance with the reasonable limits test in s 28 of the HR Act.</w:t>
      </w:r>
    </w:p>
    <w:p w:rsidR="0074208F" w:rsidRPr="008727FB" w:rsidRDefault="0074208F" w:rsidP="0074208F">
      <w:pPr>
        <w:widowControl w:val="0"/>
        <w:tabs>
          <w:tab w:val="left" w:pos="1276"/>
        </w:tabs>
        <w:ind w:left="360"/>
      </w:pPr>
      <w:r w:rsidRPr="008727FB">
        <w:t xml:space="preserve">However, it is not apparent why the bill omits to expressly extend this clarification to the offences in s 66 of the Crimes Act, and it is not clear if the intention is to apply a legal burden instead. Placing a legal burden on the defendant in these circumstances gives rise to a </w:t>
      </w:r>
      <w:r w:rsidRPr="008727FB">
        <w:rPr>
          <w:b/>
          <w:bCs/>
          <w:i/>
          <w:iCs/>
        </w:rPr>
        <w:t>serious risk that a person may be convicted, not because he/she committed the criminal act, but because they were unable to overcome the burden</w:t>
      </w:r>
      <w:r w:rsidRPr="008727FB">
        <w:t xml:space="preserve"> (emphasis added) placed upon them to show they did not. </w:t>
      </w:r>
    </w:p>
    <w:p w:rsidR="0074208F" w:rsidRPr="008727FB" w:rsidRDefault="0074208F" w:rsidP="0074208F">
      <w:pPr>
        <w:widowControl w:val="0"/>
        <w:tabs>
          <w:tab w:val="left" w:pos="1276"/>
        </w:tabs>
        <w:ind w:left="360"/>
      </w:pPr>
      <w:r w:rsidRPr="008727FB">
        <w:t>In our view, absent a clear justification for treating the offences in s 66 differently to the other child pornography offences in ss 64 and 65, the bill should clarify that the defendant has an evidential burden for those matters as well. Consideration could also be given to aligning the similar-age consent defences (that impose a legal burden on the defendant) currently contained in the Crimes Act – including in s 55 (sexual intercourse with a young person) and s 61 (acts of indecency with young people) – with this approach to ensure greater consistency across the Crimes Act…</w:t>
      </w:r>
    </w:p>
    <w:p w:rsidR="0074208F" w:rsidRPr="008727FB" w:rsidRDefault="0074208F" w:rsidP="0074208F">
      <w:pPr>
        <w:widowControl w:val="0"/>
        <w:tabs>
          <w:tab w:val="left" w:pos="1276"/>
        </w:tabs>
        <w:ind w:left="360"/>
      </w:pPr>
      <w:r w:rsidRPr="008727FB">
        <w:t>…</w:t>
      </w:r>
    </w:p>
    <w:p w:rsidR="0074208F" w:rsidRPr="008727FB" w:rsidRDefault="0074208F" w:rsidP="0074208F">
      <w:pPr>
        <w:widowControl w:val="0"/>
        <w:tabs>
          <w:tab w:val="left" w:pos="1276"/>
        </w:tabs>
        <w:ind w:left="360"/>
      </w:pPr>
      <w:r w:rsidRPr="008727FB">
        <w:lastRenderedPageBreak/>
        <w:t xml:space="preserve">While the Commission strongly supports the introduction of a statutory definition of consent that reflects a ‘communicative model’ of consent, we have some concerns about the provisions as currently drafted. Under the bill, the meaning of consent for the purposes of sexual and intimate image abuse offences is defined as requiring both (i) free and voluntary agreement by the person; </w:t>
      </w:r>
      <w:r w:rsidRPr="008727FB">
        <w:rPr>
          <w:u w:val="single"/>
        </w:rPr>
        <w:t>and</w:t>
      </w:r>
      <w:r w:rsidRPr="008727FB">
        <w:t xml:space="preserve"> (ii) either subjective or objective knowledge by the other person that consent was present. The Explanatory Statement to the exposure bill states at page 2 that the objective knowledge requirement of the definition is ‘modelled upon the “reasonable belief” construction of section 273.2 of the Criminal Code (Canada) R.S.C., 1985, c. C-46’. The ‘reasonable belief’ construction in the comparable Canadian legislation, however, is </w:t>
      </w:r>
      <w:r w:rsidRPr="008727FB">
        <w:rPr>
          <w:b/>
          <w:bCs/>
          <w:i/>
          <w:iCs/>
        </w:rPr>
        <w:t>not</w:t>
      </w:r>
      <w:r w:rsidRPr="008727FB">
        <w:t xml:space="preserve"> (emphasis added) included as part of the definition of consent, but is instead set out in a separate provision which addresses various matters where belief in consent is not a defence…</w:t>
      </w:r>
    </w:p>
    <w:p w:rsidR="0074208F" w:rsidRPr="008727FB" w:rsidRDefault="0074208F" w:rsidP="0074208F">
      <w:pPr>
        <w:widowControl w:val="0"/>
        <w:tabs>
          <w:tab w:val="left" w:pos="1276"/>
        </w:tabs>
        <w:ind w:left="360"/>
      </w:pPr>
      <w:r w:rsidRPr="008727FB">
        <w:t>…</w:t>
      </w:r>
    </w:p>
    <w:p w:rsidR="0074208F" w:rsidRPr="008727FB" w:rsidRDefault="0074208F" w:rsidP="0074208F">
      <w:pPr>
        <w:keepLines/>
        <w:widowControl w:val="0"/>
        <w:tabs>
          <w:tab w:val="left" w:pos="1276"/>
        </w:tabs>
        <w:ind w:left="360"/>
      </w:pPr>
      <w:r w:rsidRPr="008727FB">
        <w:t xml:space="preserve">We are concerned that the provisions as currently drafted as </w:t>
      </w:r>
      <w:r w:rsidRPr="008727FB">
        <w:rPr>
          <w:b/>
          <w:bCs/>
          <w:i/>
          <w:iCs/>
        </w:rPr>
        <w:t>likely to result in ambiguity and uncertainty</w:t>
      </w:r>
      <w:r w:rsidRPr="008727FB">
        <w:t xml:space="preserve"> (emphasis added), as they appear to conflate two discrete issues: (i) consent by one person and (ii) the responsibility of the other person to take steps to ascertain consent exists.</w:t>
      </w:r>
    </w:p>
    <w:p w:rsidR="0074208F" w:rsidRPr="008727FB" w:rsidRDefault="0074208F" w:rsidP="0074208F">
      <w:pPr>
        <w:keepLines/>
        <w:widowControl w:val="0"/>
        <w:tabs>
          <w:tab w:val="left" w:pos="1276"/>
        </w:tabs>
        <w:ind w:left="360"/>
      </w:pPr>
      <w:r w:rsidRPr="008727FB">
        <w:t>In our view, it would be preferable to adopt an approach consistent with other jurisdictions, by setting out the meaning of consent (‘free and voluntary agreement’) separately to the objective fault test for belief about consent. The purpose of adopting an objective fault test is to ensure that the person has reasonable grounds for their belief about consent, and that the person seeking consent has the responsibility to take steps to ascertain consent exists. While an objective fault test is central to assessing whether consent was freely and voluntarily given, it is not clear how the relevant offences in the Crimes Act would operate if it were included within the definition of consent itself. Dealing with the definition of consent and knowledge about consent separately does not detract from the objective of promoting a communicative model of consent. The requirement that a person must have reasonable grounds for believing that the agreement was freely and voluntarily given sends a clear message that a person must be certain of consent. This is a step that necessarily involves communication with the other person.</w:t>
      </w:r>
    </w:p>
    <w:p w:rsidR="0074208F" w:rsidRPr="008727FB" w:rsidRDefault="0074208F" w:rsidP="0074208F">
      <w:pPr>
        <w:widowControl w:val="0"/>
        <w:tabs>
          <w:tab w:val="left" w:pos="1276"/>
        </w:tabs>
      </w:pPr>
      <w:r w:rsidRPr="008727FB">
        <w:t>The Committee is concerned that the explanatory statement to the Bill (as tabled) or the revised explanatory statement to the Bill (as available on the legislation register) has not addressed the Human Rights Commission’s concerns and, in the Committee’s view, it should do so.</w:t>
      </w:r>
    </w:p>
    <w:p w:rsidR="0074208F" w:rsidRPr="008727FB" w:rsidRDefault="0074208F" w:rsidP="0074208F">
      <w:pPr>
        <w:widowControl w:val="0"/>
        <w:tabs>
          <w:tab w:val="left" w:pos="1276"/>
        </w:tabs>
      </w:pPr>
      <w:r w:rsidRPr="008727FB">
        <w:t xml:space="preserve">Under the current offences, the unreasonableness of the belief of consent may be an element in establishing the defendant’s lack of belief that the other person had consented. The need for consent to depend on the reasonableness of the grounds on which the defendant believes free and voluntary agreement was given may, therefore, have only a minor impact on how the knowledge of lack of consent is established. It is on this basis that the explanatory statement concludes that any limitation on the innocence is reasonable, considering the objective of the Bill to establish a clearer, affirmative </w:t>
      </w:r>
      <w:r w:rsidRPr="008727FB">
        <w:lastRenderedPageBreak/>
        <w:t xml:space="preserve">definition of consent. </w:t>
      </w:r>
    </w:p>
    <w:p w:rsidR="0074208F" w:rsidRPr="008727FB" w:rsidRDefault="0074208F" w:rsidP="0074208F">
      <w:pPr>
        <w:widowControl w:val="0"/>
        <w:tabs>
          <w:tab w:val="left" w:pos="1276"/>
        </w:tabs>
      </w:pPr>
      <w:r w:rsidRPr="008727FB">
        <w:t>As the explanatory statement suggests, the extent of any limitation of this right is ‘difficult to ascertain at this stage’. The Committee is concerned that the new definition of consent may result in substantial changes to how knowledge or recklessness of the lack of consent is established. In particular, by including the need for an defendant to be satisfied on reasonable grounds within the definition of consent, and applying that definition to a number of offences, it is difficult to determine the extent of the evidential or legal burdens that may be faced by the defendant, such as whether they will need have evidence going both to their state of mind and the reasonableness of that state of mind.  Therefore, the Committee is not satisfied, on the information available to it, that the amendments to the definition of consent will have only a reasonable limitation on the right to the presumption of innocence. The Committee therefore recommends that an inquiry is needed to establish the possible operation and impact of the amendments to the definition of consent included in the Bill.</w:t>
      </w:r>
    </w:p>
    <w:p w:rsidR="0074208F" w:rsidRPr="008727FB" w:rsidRDefault="0074208F" w:rsidP="0074208F">
      <w:pPr>
        <w:widowControl w:val="0"/>
        <w:tabs>
          <w:tab w:val="left" w:pos="1276"/>
        </w:tabs>
      </w:pPr>
      <w:r w:rsidRPr="008727FB">
        <w:rPr>
          <w:b/>
        </w:rPr>
        <w:t>The Committee draws this matter to the attention of the Assembly, and recommends that the Assembly refer the Bill to the Standing Committee on Justice and Community Safety for inquiry and report.</w:t>
      </w:r>
    </w:p>
    <w:p w:rsidR="0074208F" w:rsidRPr="008727FB" w:rsidRDefault="0074208F" w:rsidP="0074208F">
      <w:pPr>
        <w:keepLines/>
        <w:widowControl w:val="0"/>
        <w:tabs>
          <w:tab w:val="left" w:pos="1276"/>
        </w:tabs>
      </w:pPr>
      <w:r w:rsidRPr="008727FB">
        <w:t xml:space="preserve">The Bill also introduces protections for young people who engage in various offences relating to the production and possession of exploitative material (sections 64 and subsection 65(1)), and grooming and depraving young persons (section 66). The Bill will not apply those offences where the young person being exploited or groomed was 10 years or older, there is not more than two years difference between the young person and the defendant, and the young person consented to the acts in question. </w:t>
      </w:r>
    </w:p>
    <w:p w:rsidR="0074208F" w:rsidRPr="008727FB" w:rsidRDefault="0074208F" w:rsidP="0074208F">
      <w:pPr>
        <w:keepLines/>
        <w:widowControl w:val="0"/>
        <w:tabs>
          <w:tab w:val="left" w:pos="1276"/>
        </w:tabs>
        <w:spacing w:line="280" w:lineRule="exact"/>
      </w:pPr>
      <w:r w:rsidRPr="008727FB">
        <w:t xml:space="preserve">As stated in the note to the proposed offences, this exception to the provision generally places an evidential burden on the defendant to show there is a reasonable possibility that the relevant circumstances existed. As stated in section 58 of the </w:t>
      </w:r>
      <w:r w:rsidRPr="008727FB">
        <w:rPr>
          <w:i/>
        </w:rPr>
        <w:t>Criminal Code 2002</w:t>
      </w:r>
      <w:r w:rsidRPr="008727FB">
        <w:t>, where a burden of proof is imposed on a defendant, or the defendant wants to rely on an exception, exemption, excuse, qualification or justification provided by the law creating an offence, only an evidential burden is imposed. As this places a burden on the defendant, it engages the presumption of innocence protected by section 22 of the HRA and should have been addressed in the explanatory statement. However, in the Committee’s view the introduction of the exception in proposed section 66A does not disadvantage the defendant by increasing the burden on them to disprove an element of the offence, and is a reasonable limitation given the Bill’s objective of reducing the risk of inappropriate criminalisation of young people who engage in consensual behaviour.</w:t>
      </w:r>
    </w:p>
    <w:p w:rsidR="0074208F" w:rsidRPr="008727FB" w:rsidRDefault="0074208F" w:rsidP="0074208F">
      <w:pPr>
        <w:widowControl w:val="0"/>
        <w:tabs>
          <w:tab w:val="left" w:pos="1276"/>
        </w:tabs>
        <w:spacing w:line="280" w:lineRule="exact"/>
      </w:pPr>
      <w:r w:rsidRPr="008727FB">
        <w:t xml:space="preserve">However, as referred to above, the note to the proposed section 66A in the Bill only refers to the evidential burden applying to offences against section 64 and subsection 65(1), and does not mention section 66. Subsection 66(2) states that the “Criminal Code, chapter 2 (other than the immediately applied provisions) does not apply to an offence under subsection (1).” Chapter 2 of the Criminal Code includes section 58 relating to evidential burdens. The Committee takes the view that this provision is unlikely to be sufficiently clear to change what would otherwise be the likely </w:t>
      </w:r>
      <w:r w:rsidRPr="008727FB">
        <w:lastRenderedPageBreak/>
        <w:t>interpretation of proposed section 66A to impose only an evidential burden. Any uncertainty as to the inadvertent imposition of a legal burden should be clearly addressed.</w:t>
      </w:r>
    </w:p>
    <w:p w:rsidR="0074208F" w:rsidRPr="008727FB" w:rsidRDefault="0074208F" w:rsidP="0074208F">
      <w:pPr>
        <w:widowControl w:val="0"/>
        <w:tabs>
          <w:tab w:val="left" w:pos="1276"/>
        </w:tabs>
        <w:spacing w:line="280" w:lineRule="exact"/>
      </w:pPr>
      <w:r w:rsidRPr="008727FB">
        <w:t xml:space="preserve">The Committee therefore requests that the Member consider amending the explanatory statement to include consideration of the impact of the proposed section 66A on the right to the presumption of innocence in relation to the offence in section 66, and consider amendment of the proposed section to make it clear whether only an evidential burden is intended. </w:t>
      </w:r>
    </w:p>
    <w:p w:rsidR="0074208F" w:rsidRPr="008727FB" w:rsidRDefault="0074208F" w:rsidP="0074208F">
      <w:pPr>
        <w:widowControl w:val="0"/>
        <w:tabs>
          <w:tab w:val="left" w:pos="1276"/>
        </w:tabs>
        <w:spacing w:line="280" w:lineRule="exact"/>
        <w:rPr>
          <w:lang w:val="en-US"/>
        </w:rPr>
      </w:pPr>
      <w:r w:rsidRPr="008727FB">
        <w:t xml:space="preserve">In addition, if the Committee’s recommendation that an inquiry be held on the impact of the Bill’s amendment to the definition of consent is adopted, and given that the proposed definition of consent will also apply to the proposed section 66A, the Committee recommends that the inquiry should also include consideration of the possible operation and impact </w:t>
      </w:r>
      <w:r w:rsidRPr="008727FB">
        <w:rPr>
          <w:lang w:val="en-US"/>
        </w:rPr>
        <w:t>of the proposed section 66A.</w:t>
      </w:r>
    </w:p>
    <w:p w:rsidR="0074208F" w:rsidRPr="008727FB" w:rsidRDefault="0074208F" w:rsidP="0074208F">
      <w:pPr>
        <w:widowControl w:val="0"/>
        <w:tabs>
          <w:tab w:val="left" w:pos="1276"/>
        </w:tabs>
        <w:spacing w:line="280" w:lineRule="exact"/>
        <w:rPr>
          <w:b/>
        </w:rPr>
      </w:pPr>
      <w:r w:rsidRPr="008727FB">
        <w:rPr>
          <w:b/>
        </w:rPr>
        <w:t>The Committee draws this matter to the attention of the Assembly, and asks the Member to respond.</w:t>
      </w:r>
    </w:p>
    <w:p w:rsidR="0074208F" w:rsidRPr="008727FB" w:rsidRDefault="0074208F" w:rsidP="0074208F">
      <w:pPr>
        <w:pStyle w:val="BodyText"/>
        <w:numPr>
          <w:ilvl w:val="0"/>
          <w:numId w:val="0"/>
        </w:numPr>
        <w:ind w:left="567"/>
      </w:pPr>
    </w:p>
    <w:p w:rsidR="0074208F" w:rsidRPr="008727FB" w:rsidRDefault="0074208F" w:rsidP="00522A5C">
      <w:pPr>
        <w:pStyle w:val="Heading2"/>
        <w:numPr>
          <w:ilvl w:val="0"/>
          <w:numId w:val="0"/>
        </w:numPr>
        <w:ind w:left="567" w:hanging="567"/>
        <w:sectPr w:rsidR="0074208F" w:rsidRPr="008727FB" w:rsidSect="004D2594">
          <w:headerReference w:type="even" r:id="rId37"/>
          <w:footerReference w:type="even" r:id="rId38"/>
          <w:footerReference w:type="default" r:id="rId39"/>
          <w:headerReference w:type="first" r:id="rId40"/>
          <w:type w:val="oddPage"/>
          <w:pgSz w:w="11907" w:h="16840" w:code="9"/>
          <w:pgMar w:top="1588" w:right="1418" w:bottom="1418" w:left="1418" w:header="720" w:footer="851" w:gutter="0"/>
          <w:cols w:space="720"/>
          <w:docGrid w:linePitch="360"/>
        </w:sectPr>
      </w:pPr>
    </w:p>
    <w:p w:rsidR="00522A5C" w:rsidRPr="008727FB" w:rsidRDefault="00522A5C" w:rsidP="00A12AF6">
      <w:pPr>
        <w:pStyle w:val="Heading2"/>
        <w:numPr>
          <w:ilvl w:val="0"/>
          <w:numId w:val="0"/>
        </w:numPr>
        <w:ind w:left="567" w:hanging="567"/>
      </w:pPr>
      <w:bookmarkStart w:id="102" w:name="_Toc528670969"/>
      <w:r w:rsidRPr="008727FB">
        <w:lastRenderedPageBreak/>
        <w:t xml:space="preserve">Appendix </w:t>
      </w:r>
      <w:r w:rsidR="00A12AF6" w:rsidRPr="008727FB">
        <w:t>B</w:t>
      </w:r>
      <w:r w:rsidRPr="008727FB">
        <w:t xml:space="preserve"> – </w:t>
      </w:r>
      <w:r w:rsidR="0060199B" w:rsidRPr="008727FB">
        <w:t>Matters for Inquiry published by the Committee</w:t>
      </w:r>
      <w:bookmarkEnd w:id="102"/>
    </w:p>
    <w:p w:rsidR="00522A5C" w:rsidRPr="008727FB" w:rsidRDefault="00522A5C" w:rsidP="00522A5C">
      <w:pPr>
        <w:pStyle w:val="BodyText"/>
        <w:numPr>
          <w:ilvl w:val="0"/>
          <w:numId w:val="0"/>
        </w:numPr>
        <w:ind w:left="567" w:hanging="567"/>
      </w:pPr>
    </w:p>
    <w:p w:rsidR="005C6E29" w:rsidRPr="008727FB" w:rsidRDefault="005C6E29" w:rsidP="003A4713">
      <w:pPr>
        <w:pStyle w:val="Heading2"/>
        <w:numPr>
          <w:ilvl w:val="0"/>
          <w:numId w:val="0"/>
        </w:numPr>
        <w:ind w:left="567" w:hanging="567"/>
        <w:sectPr w:rsidR="005C6E29" w:rsidRPr="008727FB" w:rsidSect="004D2594">
          <w:type w:val="oddPage"/>
          <w:pgSz w:w="11907" w:h="16840" w:code="9"/>
          <w:pgMar w:top="1588" w:right="1418" w:bottom="1418" w:left="1418" w:header="720" w:footer="851" w:gutter="0"/>
          <w:cols w:space="720"/>
          <w:docGrid w:linePitch="360"/>
        </w:sectPr>
      </w:pPr>
    </w:p>
    <w:p w:rsidR="00E776A0" w:rsidRPr="008727FB" w:rsidRDefault="00E776A0" w:rsidP="00E776A0">
      <w:pPr>
        <w:shd w:val="clear" w:color="auto" w:fill="FFFFFF"/>
        <w:spacing w:after="150"/>
        <w:jc w:val="center"/>
        <w:rPr>
          <w:b/>
          <w:sz w:val="28"/>
          <w:szCs w:val="28"/>
          <w:lang w:eastAsia="en-AU"/>
        </w:rPr>
      </w:pPr>
      <w:r w:rsidRPr="008727FB">
        <w:rPr>
          <w:b/>
          <w:sz w:val="28"/>
          <w:szCs w:val="28"/>
          <w:lang w:eastAsia="en-AU"/>
        </w:rPr>
        <w:lastRenderedPageBreak/>
        <w:t>Crimes (Consent) Amendment Bill 2018</w:t>
      </w:r>
    </w:p>
    <w:p w:rsidR="00E776A0" w:rsidRPr="008727FB" w:rsidRDefault="00E776A0" w:rsidP="00E776A0">
      <w:pPr>
        <w:shd w:val="clear" w:color="auto" w:fill="FFFFFF"/>
        <w:spacing w:after="150"/>
        <w:rPr>
          <w:b/>
          <w:sz w:val="24"/>
          <w:lang w:eastAsia="en-AU"/>
        </w:rPr>
      </w:pPr>
      <w:r w:rsidRPr="008727FB">
        <w:rPr>
          <w:b/>
          <w:sz w:val="24"/>
          <w:lang w:eastAsia="en-AU"/>
        </w:rPr>
        <w:t>Introduction</w:t>
      </w:r>
    </w:p>
    <w:p w:rsidR="00E776A0" w:rsidRPr="008727FB" w:rsidRDefault="00E776A0" w:rsidP="00E776A0">
      <w:pPr>
        <w:shd w:val="clear" w:color="auto" w:fill="FFFFFF"/>
        <w:spacing w:after="150"/>
        <w:rPr>
          <w:sz w:val="24"/>
          <w:lang w:eastAsia="en-AU"/>
        </w:rPr>
      </w:pPr>
      <w:r w:rsidRPr="008727FB">
        <w:rPr>
          <w:sz w:val="24"/>
          <w:lang w:eastAsia="en-AU"/>
        </w:rPr>
        <w:t>The Standing Committee has been referred this Bill by the Legislative Assembly for inquiry and report.</w:t>
      </w:r>
    </w:p>
    <w:p w:rsidR="00E776A0" w:rsidRPr="008727FB" w:rsidRDefault="00E776A0" w:rsidP="00E776A0">
      <w:pPr>
        <w:shd w:val="clear" w:color="auto" w:fill="FFFFFF"/>
        <w:spacing w:after="150"/>
        <w:rPr>
          <w:sz w:val="24"/>
          <w:lang w:eastAsia="en-AU"/>
        </w:rPr>
      </w:pPr>
      <w:r w:rsidRPr="008727FB">
        <w:rPr>
          <w:sz w:val="24"/>
          <w:lang w:eastAsia="en-AU"/>
        </w:rPr>
        <w:t>The Committee is to report to the Assembly on the Bill by the end of October 2018</w:t>
      </w:r>
    </w:p>
    <w:p w:rsidR="00E776A0" w:rsidRPr="008727FB" w:rsidRDefault="00E776A0" w:rsidP="00E776A0">
      <w:pPr>
        <w:shd w:val="clear" w:color="auto" w:fill="FFFFFF"/>
        <w:spacing w:after="150"/>
        <w:rPr>
          <w:sz w:val="24"/>
          <w:lang w:eastAsia="en-AU"/>
        </w:rPr>
      </w:pPr>
      <w:r w:rsidRPr="008727FB">
        <w:rPr>
          <w:sz w:val="24"/>
          <w:lang w:eastAsia="en-AU"/>
        </w:rPr>
        <w:t>The Bill is a Private Member’s Bill (PMB) introduced on 11 April 2018 by Ms Caroline Le Couteur MLA.</w:t>
      </w:r>
    </w:p>
    <w:p w:rsidR="00E776A0" w:rsidRPr="008727FB" w:rsidRDefault="00E776A0" w:rsidP="00E776A0">
      <w:pPr>
        <w:shd w:val="clear" w:color="auto" w:fill="FFFFFF"/>
        <w:spacing w:after="150"/>
        <w:rPr>
          <w:b/>
          <w:sz w:val="24"/>
          <w:lang w:eastAsia="en-AU"/>
        </w:rPr>
      </w:pPr>
      <w:r w:rsidRPr="008727FB">
        <w:rPr>
          <w:b/>
          <w:sz w:val="24"/>
          <w:lang w:eastAsia="en-AU"/>
        </w:rPr>
        <w:t>The Bill</w:t>
      </w:r>
    </w:p>
    <w:p w:rsidR="00E776A0" w:rsidRPr="008727FB" w:rsidRDefault="00E776A0" w:rsidP="00E776A0">
      <w:pPr>
        <w:pStyle w:val="ListParagraph"/>
        <w:numPr>
          <w:ilvl w:val="0"/>
          <w:numId w:val="26"/>
        </w:numPr>
        <w:shd w:val="clear" w:color="auto" w:fill="FFFFFF"/>
        <w:spacing w:before="0" w:after="150" w:line="240" w:lineRule="auto"/>
        <w:contextualSpacing/>
        <w:rPr>
          <w:rFonts w:eastAsia="Times New Roman"/>
          <w:sz w:val="24"/>
          <w:szCs w:val="24"/>
          <w:lang w:eastAsia="en-AU"/>
        </w:rPr>
      </w:pPr>
      <w:r w:rsidRPr="008727FB">
        <w:rPr>
          <w:rFonts w:eastAsia="Times New Roman"/>
          <w:sz w:val="24"/>
          <w:szCs w:val="24"/>
          <w:lang w:eastAsia="en-AU"/>
        </w:rPr>
        <w:t>The Bill link is –</w:t>
      </w:r>
      <w:r w:rsidRPr="008727FB">
        <w:rPr>
          <w:sz w:val="24"/>
          <w:szCs w:val="24"/>
        </w:rPr>
        <w:t xml:space="preserve"> </w:t>
      </w:r>
      <w:hyperlink r:id="rId41" w:history="1">
        <w:r w:rsidRPr="008727FB">
          <w:rPr>
            <w:rStyle w:val="Hyperlink"/>
            <w:rFonts w:eastAsia="Times New Roman"/>
            <w:color w:val="auto"/>
            <w:sz w:val="24"/>
            <w:szCs w:val="24"/>
            <w:lang w:eastAsia="en-AU"/>
          </w:rPr>
          <w:t>http://www.legislation.act.gov.au/b/db_57900/default.asp</w:t>
        </w:r>
      </w:hyperlink>
    </w:p>
    <w:p w:rsidR="00E776A0" w:rsidRPr="008727FB" w:rsidRDefault="00E776A0" w:rsidP="00E776A0">
      <w:pPr>
        <w:pStyle w:val="ListParagraph"/>
        <w:numPr>
          <w:ilvl w:val="0"/>
          <w:numId w:val="26"/>
        </w:numPr>
        <w:shd w:val="clear" w:color="auto" w:fill="FFFFFF"/>
        <w:spacing w:before="0" w:after="150" w:line="240" w:lineRule="auto"/>
        <w:contextualSpacing/>
        <w:rPr>
          <w:rFonts w:eastAsia="Times New Roman"/>
          <w:sz w:val="24"/>
          <w:szCs w:val="24"/>
          <w:lang w:eastAsia="en-AU"/>
        </w:rPr>
      </w:pPr>
      <w:r w:rsidRPr="008727FB">
        <w:rPr>
          <w:rFonts w:eastAsia="Times New Roman"/>
          <w:sz w:val="24"/>
          <w:szCs w:val="24"/>
          <w:lang w:eastAsia="en-AU"/>
        </w:rPr>
        <w:t>The Bill Explanatory Memorandum link is –</w:t>
      </w:r>
      <w:r w:rsidRPr="008727FB">
        <w:rPr>
          <w:sz w:val="24"/>
          <w:szCs w:val="24"/>
        </w:rPr>
        <w:t xml:space="preserve"> </w:t>
      </w:r>
      <w:hyperlink r:id="rId42" w:history="1">
        <w:r w:rsidRPr="008727FB">
          <w:rPr>
            <w:rStyle w:val="Hyperlink"/>
            <w:rFonts w:eastAsia="Times New Roman"/>
            <w:color w:val="auto"/>
            <w:sz w:val="24"/>
            <w:szCs w:val="24"/>
            <w:lang w:eastAsia="en-AU"/>
          </w:rPr>
          <w:t>http://www.legislation.act.gov.au/es/db_57901/default.asp</w:t>
        </w:r>
      </w:hyperlink>
    </w:p>
    <w:p w:rsidR="00E776A0" w:rsidRPr="008727FB" w:rsidRDefault="00E776A0" w:rsidP="00E776A0">
      <w:pPr>
        <w:pStyle w:val="ListParagraph"/>
        <w:numPr>
          <w:ilvl w:val="0"/>
          <w:numId w:val="26"/>
        </w:numPr>
        <w:shd w:val="clear" w:color="auto" w:fill="FFFFFF"/>
        <w:spacing w:before="0" w:after="150" w:line="240" w:lineRule="auto"/>
        <w:contextualSpacing/>
        <w:rPr>
          <w:rFonts w:eastAsia="Times New Roman"/>
          <w:sz w:val="24"/>
          <w:szCs w:val="24"/>
          <w:lang w:eastAsia="en-AU"/>
        </w:rPr>
      </w:pPr>
      <w:r w:rsidRPr="008727FB">
        <w:rPr>
          <w:rFonts w:eastAsia="Times New Roman"/>
          <w:sz w:val="24"/>
          <w:szCs w:val="24"/>
          <w:lang w:eastAsia="en-AU"/>
        </w:rPr>
        <w:t xml:space="preserve">Ms Le Couteur’s speech on introduction of the Bill on 11 April, 2018 link is - </w:t>
      </w:r>
      <w:hyperlink r:id="rId43" w:history="1">
        <w:r w:rsidRPr="008727FB">
          <w:rPr>
            <w:rStyle w:val="Hyperlink"/>
            <w:rFonts w:eastAsia="Times New Roman"/>
            <w:color w:val="auto"/>
            <w:sz w:val="24"/>
            <w:szCs w:val="24"/>
            <w:lang w:eastAsia="en-AU"/>
          </w:rPr>
          <w:t>http://www.hansard.act.gov.au/hansard/2018/pdfs/20180411a.pdf</w:t>
        </w:r>
      </w:hyperlink>
    </w:p>
    <w:p w:rsidR="00E776A0" w:rsidRPr="008727FB" w:rsidRDefault="00E776A0" w:rsidP="00E776A0">
      <w:pPr>
        <w:pStyle w:val="ListParagraph"/>
        <w:numPr>
          <w:ilvl w:val="0"/>
          <w:numId w:val="26"/>
        </w:numPr>
        <w:shd w:val="clear" w:color="auto" w:fill="FFFFFF"/>
        <w:spacing w:before="0" w:after="150" w:line="240" w:lineRule="auto"/>
        <w:contextualSpacing/>
        <w:rPr>
          <w:rFonts w:eastAsia="Times New Roman"/>
          <w:sz w:val="24"/>
          <w:szCs w:val="24"/>
          <w:lang w:eastAsia="en-AU"/>
        </w:rPr>
      </w:pPr>
      <w:r w:rsidRPr="008727FB">
        <w:rPr>
          <w:rFonts w:eastAsia="Times New Roman"/>
          <w:sz w:val="24"/>
          <w:szCs w:val="24"/>
          <w:lang w:eastAsia="en-AU"/>
        </w:rPr>
        <w:t>The Bill, as with all Bills introduced to the Legislative Assembly was subject of comment and report by the Scrutiny of Bills Committee of the Assembly.  The Scrutiny of Bills Committee comment and observations on the Bill are also attached.  These are in Scrutiny of Bills Report of the Assembly in its Report No 17 for the Ninth Assembly.</w:t>
      </w:r>
    </w:p>
    <w:p w:rsidR="00E776A0" w:rsidRPr="008727FB" w:rsidRDefault="00E776A0" w:rsidP="00E776A0">
      <w:pPr>
        <w:pStyle w:val="ListParagraph"/>
        <w:numPr>
          <w:ilvl w:val="0"/>
          <w:numId w:val="26"/>
        </w:numPr>
        <w:shd w:val="clear" w:color="auto" w:fill="FFFFFF"/>
        <w:spacing w:before="0" w:after="150" w:line="240" w:lineRule="auto"/>
        <w:contextualSpacing/>
        <w:rPr>
          <w:rFonts w:eastAsia="Times New Roman"/>
          <w:sz w:val="24"/>
          <w:szCs w:val="24"/>
          <w:lang w:eastAsia="en-AU"/>
        </w:rPr>
      </w:pPr>
      <w:r w:rsidRPr="008727FB">
        <w:rPr>
          <w:rFonts w:eastAsia="Times New Roman"/>
          <w:sz w:val="24"/>
          <w:szCs w:val="24"/>
          <w:lang w:eastAsia="en-AU"/>
        </w:rPr>
        <w:t xml:space="preserve">The link to the Scrutiny of Bills report is – </w:t>
      </w:r>
      <w:hyperlink r:id="rId44" w:history="1">
        <w:r w:rsidRPr="008727FB">
          <w:rPr>
            <w:rStyle w:val="Hyperlink"/>
            <w:rFonts w:eastAsia="Times New Roman"/>
            <w:color w:val="auto"/>
            <w:sz w:val="24"/>
            <w:szCs w:val="24"/>
            <w:lang w:eastAsia="en-AU"/>
          </w:rPr>
          <w:t>https://www.parliament.act.gov.au/__data/assets/pdf_file/0011/1196084/Report-17-Final.pdf</w:t>
        </w:r>
      </w:hyperlink>
    </w:p>
    <w:p w:rsidR="00E776A0" w:rsidRPr="008727FB" w:rsidRDefault="00E776A0" w:rsidP="00E776A0">
      <w:pPr>
        <w:rPr>
          <w:sz w:val="24"/>
          <w:lang w:eastAsia="en-AU"/>
        </w:rPr>
      </w:pPr>
      <w:r w:rsidRPr="008727FB">
        <w:rPr>
          <w:sz w:val="24"/>
          <w:lang w:eastAsia="en-AU"/>
        </w:rPr>
        <w:t>Referral of the Bill to this Committee link is at Minutes of the Assembly, page 804, Tuesday, 8 May 2018.</w:t>
      </w:r>
    </w:p>
    <w:p w:rsidR="00E776A0" w:rsidRPr="008727FB" w:rsidRDefault="00E776A0" w:rsidP="00E776A0">
      <w:pPr>
        <w:jc w:val="center"/>
        <w:rPr>
          <w:sz w:val="24"/>
          <w:lang w:eastAsia="en-AU"/>
        </w:rPr>
      </w:pPr>
    </w:p>
    <w:p w:rsidR="00E776A0" w:rsidRPr="008727FB" w:rsidRDefault="00E776A0" w:rsidP="00E776A0">
      <w:pPr>
        <w:jc w:val="center"/>
        <w:rPr>
          <w:rFonts w:ascii="Arial" w:hAnsi="Arial" w:cs="Arial"/>
          <w:b/>
          <w:lang w:eastAsia="en-AU"/>
        </w:rPr>
      </w:pPr>
      <w:r w:rsidRPr="008727FB">
        <w:rPr>
          <w:rFonts w:ascii="Arial" w:hAnsi="Arial" w:cs="Arial"/>
          <w:b/>
          <w:lang w:eastAsia="en-AU"/>
        </w:rPr>
        <w:t>Matters to be considered by the Committee</w:t>
      </w:r>
    </w:p>
    <w:p w:rsidR="00E776A0" w:rsidRPr="008727FB" w:rsidRDefault="00E776A0" w:rsidP="00E776A0">
      <w:pPr>
        <w:rPr>
          <w:rFonts w:ascii="Arial" w:hAnsi="Arial" w:cs="Arial"/>
          <w:b/>
          <w:lang w:eastAsia="en-AU"/>
        </w:rPr>
      </w:pPr>
    </w:p>
    <w:p w:rsidR="00E776A0" w:rsidRPr="008727FB" w:rsidRDefault="00E776A0" w:rsidP="00E776A0">
      <w:pPr>
        <w:shd w:val="clear" w:color="auto" w:fill="FFFFFF"/>
        <w:spacing w:after="150"/>
        <w:ind w:left="360"/>
        <w:rPr>
          <w:rFonts w:ascii="Arial" w:hAnsi="Arial" w:cs="Arial"/>
          <w:u w:val="single"/>
          <w:lang w:eastAsia="en-AU"/>
        </w:rPr>
      </w:pPr>
      <w:r w:rsidRPr="008727FB">
        <w:rPr>
          <w:rFonts w:ascii="Arial" w:hAnsi="Arial" w:cs="Arial"/>
          <w:lang w:eastAsia="en-AU"/>
        </w:rPr>
        <w:t xml:space="preserve">A relevant reference in the inquiry is the ALRC Report on family violence: </w:t>
      </w:r>
      <w:hyperlink r:id="rId45" w:history="1">
        <w:r w:rsidRPr="008727FB">
          <w:rPr>
            <w:rStyle w:val="Hyperlink"/>
            <w:rFonts w:ascii="Arial" w:hAnsi="Arial" w:cs="Arial"/>
            <w:color w:val="auto"/>
            <w:lang w:eastAsia="en-AU"/>
          </w:rPr>
          <w:t>https://www.alrc.gov.au/publications/27.%20Evidence%20in%20Sexual%20Assault%20Proceedings/relevance-and-consent</w:t>
        </w:r>
      </w:hyperlink>
    </w:p>
    <w:p w:rsidR="00E776A0" w:rsidRPr="008727FB" w:rsidRDefault="00E776A0" w:rsidP="00E776A0">
      <w:pPr>
        <w:shd w:val="clear" w:color="auto" w:fill="FFFFFF"/>
        <w:spacing w:after="150"/>
        <w:ind w:left="360"/>
        <w:rPr>
          <w:rFonts w:ascii="Arial" w:hAnsi="Arial" w:cs="Arial"/>
          <w:lang w:eastAsia="en-AU"/>
        </w:rPr>
      </w:pPr>
      <w:r w:rsidRPr="008727FB">
        <w:rPr>
          <w:rFonts w:ascii="Arial" w:hAnsi="Arial" w:cs="Arial"/>
          <w:lang w:eastAsia="en-AU"/>
        </w:rPr>
        <w:t xml:space="preserve">Another is to the current NSW LRC reference on Consent in Criminal Matters, which has received a number of preliminary submissions: </w:t>
      </w:r>
      <w:hyperlink r:id="rId46" w:history="1">
        <w:r w:rsidRPr="008727FB">
          <w:rPr>
            <w:rStyle w:val="Hyperlink"/>
            <w:rFonts w:ascii="Arial" w:hAnsi="Arial" w:cs="Arial"/>
            <w:color w:val="auto"/>
            <w:lang w:eastAsia="en-AU"/>
          </w:rPr>
          <w:t>http://www.lawreform.justice.nsw.gov.au/Pages/lrc/lrc_current_projects/Consent/Preliminary-submissions.aspx</w:t>
        </w:r>
      </w:hyperlink>
    </w:p>
    <w:p w:rsidR="00E776A0" w:rsidRPr="008727FB" w:rsidRDefault="00E776A0" w:rsidP="00E776A0">
      <w:pPr>
        <w:shd w:val="clear" w:color="auto" w:fill="FFFFFF"/>
        <w:spacing w:after="150"/>
        <w:ind w:left="360"/>
        <w:rPr>
          <w:rFonts w:ascii="Arial" w:hAnsi="Arial" w:cs="Arial"/>
          <w:lang w:eastAsia="en-AU"/>
        </w:rPr>
      </w:pPr>
      <w:r w:rsidRPr="008727FB">
        <w:rPr>
          <w:rFonts w:ascii="Arial" w:hAnsi="Arial" w:cs="Arial"/>
          <w:lang w:eastAsia="en-AU"/>
        </w:rPr>
        <w:t xml:space="preserve">There are a number of points the Committee wants to further consider, and is seeking views on these points. They relate to clauses 5 to 9 of the Bill which seek to amend parts of sections 66 Section 67 of the </w:t>
      </w:r>
      <w:r w:rsidRPr="008727FB">
        <w:rPr>
          <w:rFonts w:ascii="Arial" w:hAnsi="Arial" w:cs="Arial"/>
          <w:i/>
          <w:lang w:eastAsia="en-AU"/>
        </w:rPr>
        <w:t>Crimes Act 1900</w:t>
      </w:r>
      <w:r w:rsidRPr="008727FB">
        <w:rPr>
          <w:rFonts w:ascii="Arial" w:hAnsi="Arial" w:cs="Arial"/>
          <w:lang w:eastAsia="en-AU"/>
        </w:rPr>
        <w:t xml:space="preserve"> (ACT).</w:t>
      </w:r>
    </w:p>
    <w:p w:rsidR="00E776A0" w:rsidRPr="008727FB" w:rsidRDefault="00E776A0" w:rsidP="00E776A0">
      <w:pPr>
        <w:rPr>
          <w:rFonts w:ascii="Arial" w:hAnsi="Arial" w:cs="Arial"/>
        </w:rPr>
      </w:pPr>
    </w:p>
    <w:p w:rsidR="00E776A0" w:rsidRPr="008727FB" w:rsidRDefault="00E776A0" w:rsidP="00E776A0">
      <w:pPr>
        <w:jc w:val="center"/>
        <w:rPr>
          <w:rFonts w:ascii="Arial" w:hAnsi="Arial" w:cs="Arial"/>
          <w:b/>
        </w:rPr>
      </w:pPr>
      <w:r w:rsidRPr="008727FB">
        <w:rPr>
          <w:rFonts w:ascii="Arial" w:hAnsi="Arial" w:cs="Arial"/>
          <w:b/>
        </w:rPr>
        <w:t>Detailed questions to be considered by the Committee</w:t>
      </w:r>
    </w:p>
    <w:p w:rsidR="00E776A0" w:rsidRPr="008727FB" w:rsidRDefault="00E776A0" w:rsidP="00E776A0">
      <w:pPr>
        <w:rPr>
          <w:rFonts w:ascii="Arial" w:hAnsi="Arial" w:cs="Arial"/>
        </w:rPr>
      </w:pPr>
    </w:p>
    <w:p w:rsidR="00E776A0" w:rsidRPr="008727FB" w:rsidRDefault="00E776A0" w:rsidP="00E776A0">
      <w:pPr>
        <w:pStyle w:val="ListParagraph"/>
        <w:numPr>
          <w:ilvl w:val="0"/>
          <w:numId w:val="44"/>
        </w:numPr>
        <w:spacing w:before="0" w:after="160" w:line="252" w:lineRule="auto"/>
        <w:contextualSpacing/>
        <w:rPr>
          <w:rFonts w:ascii="Arial" w:hAnsi="Arial" w:cs="Arial"/>
        </w:rPr>
      </w:pPr>
      <w:r w:rsidRPr="008727FB">
        <w:rPr>
          <w:rFonts w:ascii="Arial" w:hAnsi="Arial" w:cs="Arial"/>
        </w:rPr>
        <w:t xml:space="preserve">What will be the effect of the proposed definition (as drafted) of consent applying under the sexual offence provisions of the </w:t>
      </w:r>
      <w:r w:rsidRPr="008727FB">
        <w:rPr>
          <w:rFonts w:ascii="Arial" w:hAnsi="Arial" w:cs="Arial"/>
          <w:i/>
        </w:rPr>
        <w:t xml:space="preserve">Crimes Act 1900 </w:t>
      </w:r>
      <w:r w:rsidRPr="008727FB">
        <w:rPr>
          <w:rFonts w:ascii="Arial" w:hAnsi="Arial" w:cs="Arial"/>
        </w:rPr>
        <w:t>(ACT)?</w:t>
      </w:r>
    </w:p>
    <w:p w:rsidR="00E776A0" w:rsidRPr="008727FB" w:rsidRDefault="00E776A0" w:rsidP="00E776A0">
      <w:pPr>
        <w:pStyle w:val="ListParagraph"/>
        <w:rPr>
          <w:rFonts w:ascii="Arial" w:hAnsi="Arial" w:cs="Arial"/>
        </w:rPr>
      </w:pPr>
    </w:p>
    <w:p w:rsidR="00E776A0" w:rsidRPr="008727FB" w:rsidRDefault="00E776A0" w:rsidP="00E776A0">
      <w:pPr>
        <w:pStyle w:val="ListParagraph"/>
        <w:numPr>
          <w:ilvl w:val="0"/>
          <w:numId w:val="45"/>
        </w:numPr>
        <w:spacing w:before="0" w:after="160" w:line="252" w:lineRule="auto"/>
        <w:contextualSpacing/>
        <w:rPr>
          <w:rFonts w:ascii="Arial" w:hAnsi="Arial" w:cs="Arial"/>
        </w:rPr>
      </w:pPr>
      <w:r w:rsidRPr="008727FB">
        <w:rPr>
          <w:rFonts w:ascii="Arial" w:hAnsi="Arial" w:cs="Arial"/>
        </w:rPr>
        <w:t xml:space="preserve">How will a standard definition of consent operate with regard to each applicable sexual offence? </w:t>
      </w:r>
    </w:p>
    <w:p w:rsidR="00E776A0" w:rsidRPr="008727FB" w:rsidRDefault="00E776A0" w:rsidP="00E776A0">
      <w:pPr>
        <w:pStyle w:val="ListParagraph"/>
        <w:numPr>
          <w:ilvl w:val="0"/>
          <w:numId w:val="45"/>
        </w:numPr>
        <w:spacing w:before="0" w:after="160" w:line="252" w:lineRule="auto"/>
        <w:contextualSpacing/>
        <w:rPr>
          <w:rFonts w:ascii="Arial" w:hAnsi="Arial" w:cs="Arial"/>
        </w:rPr>
      </w:pPr>
      <w:r w:rsidRPr="008727FB">
        <w:rPr>
          <w:rFonts w:ascii="Arial" w:hAnsi="Arial" w:cs="Arial"/>
        </w:rPr>
        <w:t xml:space="preserve">Is this definition of consent preferable to the current statutory/common law formulations, in particular s67 of the </w:t>
      </w:r>
      <w:r w:rsidRPr="008727FB">
        <w:rPr>
          <w:rFonts w:ascii="Arial" w:hAnsi="Arial" w:cs="Arial"/>
          <w:i/>
        </w:rPr>
        <w:t>Crimes Act 1900 (ACT)</w:t>
      </w:r>
      <w:r w:rsidRPr="008727FB">
        <w:rPr>
          <w:rFonts w:ascii="Arial" w:hAnsi="Arial" w:cs="Arial"/>
        </w:rPr>
        <w:t>?</w:t>
      </w:r>
    </w:p>
    <w:p w:rsidR="00E776A0" w:rsidRPr="008727FB" w:rsidRDefault="00E776A0" w:rsidP="00E776A0">
      <w:pPr>
        <w:pStyle w:val="ListParagraph"/>
        <w:rPr>
          <w:rFonts w:ascii="Arial" w:hAnsi="Arial" w:cs="Arial"/>
        </w:rPr>
      </w:pPr>
    </w:p>
    <w:p w:rsidR="00E776A0" w:rsidRPr="008727FB" w:rsidRDefault="00E776A0" w:rsidP="00E776A0">
      <w:pPr>
        <w:pStyle w:val="ListParagraph"/>
        <w:numPr>
          <w:ilvl w:val="0"/>
          <w:numId w:val="44"/>
        </w:numPr>
        <w:spacing w:before="0" w:after="160" w:line="252" w:lineRule="auto"/>
        <w:contextualSpacing/>
        <w:rPr>
          <w:rFonts w:ascii="Arial" w:hAnsi="Arial" w:cs="Arial"/>
        </w:rPr>
      </w:pPr>
      <w:r w:rsidRPr="008727FB">
        <w:rPr>
          <w:rFonts w:ascii="Arial" w:hAnsi="Arial" w:cs="Arial"/>
        </w:rPr>
        <w:t xml:space="preserve">The Committee understands that one of the intentions of the Bill is to propose an ‘affirmative community model’ for consent. Will the Bill effectively deliver this model, and are there any preferred alternatives to achieve the same intended outcome? </w:t>
      </w:r>
    </w:p>
    <w:p w:rsidR="00E776A0" w:rsidRPr="008727FB" w:rsidRDefault="00E776A0" w:rsidP="00E776A0">
      <w:pPr>
        <w:pStyle w:val="ListParagraph"/>
        <w:ind w:left="1440"/>
        <w:rPr>
          <w:rFonts w:ascii="Arial" w:hAnsi="Arial" w:cs="Arial"/>
        </w:rPr>
      </w:pPr>
    </w:p>
    <w:p w:rsidR="00E776A0" w:rsidRPr="008727FB" w:rsidRDefault="00E776A0" w:rsidP="00E776A0">
      <w:pPr>
        <w:pStyle w:val="ListParagraph"/>
        <w:numPr>
          <w:ilvl w:val="0"/>
          <w:numId w:val="44"/>
        </w:numPr>
        <w:shd w:val="clear" w:color="auto" w:fill="FFFFFF"/>
        <w:spacing w:before="0" w:after="150" w:line="240" w:lineRule="auto"/>
        <w:contextualSpacing/>
        <w:rPr>
          <w:rFonts w:ascii="Arial" w:hAnsi="Arial" w:cs="Arial"/>
        </w:rPr>
      </w:pPr>
      <w:r w:rsidRPr="008727FB">
        <w:rPr>
          <w:rFonts w:ascii="Arial" w:hAnsi="Arial" w:cs="Arial"/>
        </w:rPr>
        <w:t xml:space="preserve">The Committee has been advised that the Bill, as currently drafted, effectively </w:t>
      </w:r>
      <w:r w:rsidRPr="008727FB">
        <w:rPr>
          <w:rFonts w:ascii="Arial" w:hAnsi="Arial" w:cs="Arial"/>
          <w:i/>
          <w:iCs/>
        </w:rPr>
        <w:t>reverses the onus of proof</w:t>
      </w:r>
      <w:r w:rsidRPr="008727FB">
        <w:rPr>
          <w:rFonts w:ascii="Arial" w:hAnsi="Arial" w:cs="Arial"/>
        </w:rPr>
        <w:t xml:space="preserve">. This places an onus upon the person accused (rather than the prosecution), not just to prove an honest belief that consent was given, but to prove a higher standard of proof; that the accused either </w:t>
      </w:r>
      <w:r w:rsidRPr="008727FB">
        <w:rPr>
          <w:rFonts w:ascii="Arial" w:hAnsi="Arial" w:cs="Arial"/>
          <w:i/>
          <w:iCs/>
        </w:rPr>
        <w:t>knows</w:t>
      </w:r>
      <w:r w:rsidRPr="008727FB">
        <w:rPr>
          <w:rFonts w:ascii="Arial" w:hAnsi="Arial" w:cs="Arial"/>
        </w:rPr>
        <w:t xml:space="preserve"> or ‘is </w:t>
      </w:r>
      <w:r w:rsidRPr="008727FB">
        <w:rPr>
          <w:rFonts w:ascii="Arial" w:hAnsi="Arial" w:cs="Arial"/>
          <w:i/>
          <w:iCs/>
        </w:rPr>
        <w:t xml:space="preserve">satisfied </w:t>
      </w:r>
      <w:r w:rsidRPr="008727FB">
        <w:rPr>
          <w:rFonts w:ascii="Arial" w:hAnsi="Arial" w:cs="Arial"/>
        </w:rPr>
        <w:t xml:space="preserve">on </w:t>
      </w:r>
      <w:r w:rsidRPr="008727FB">
        <w:rPr>
          <w:rFonts w:ascii="Arial" w:hAnsi="Arial" w:cs="Arial"/>
          <w:i/>
          <w:iCs/>
        </w:rPr>
        <w:t>reasonable grounds</w:t>
      </w:r>
      <w:r w:rsidRPr="008727FB">
        <w:rPr>
          <w:rFonts w:ascii="Arial" w:hAnsi="Arial" w:cs="Arial"/>
        </w:rPr>
        <w:t xml:space="preserve"> that the agreement was freely and voluntarily given’.</w:t>
      </w:r>
    </w:p>
    <w:p w:rsidR="00E776A0" w:rsidRPr="008727FB" w:rsidRDefault="00E776A0" w:rsidP="00E776A0">
      <w:pPr>
        <w:pStyle w:val="ListParagraph"/>
        <w:rPr>
          <w:rFonts w:ascii="Arial" w:hAnsi="Arial" w:cs="Arial"/>
        </w:rPr>
      </w:pPr>
    </w:p>
    <w:p w:rsidR="00E776A0" w:rsidRPr="008727FB" w:rsidRDefault="00E776A0" w:rsidP="00E776A0">
      <w:pPr>
        <w:pStyle w:val="ListParagraph"/>
        <w:numPr>
          <w:ilvl w:val="0"/>
          <w:numId w:val="46"/>
        </w:numPr>
        <w:spacing w:before="0" w:after="160" w:line="252" w:lineRule="auto"/>
        <w:contextualSpacing/>
        <w:rPr>
          <w:rFonts w:ascii="Arial" w:hAnsi="Arial" w:cs="Arial"/>
        </w:rPr>
      </w:pPr>
      <w:r w:rsidRPr="008727FB">
        <w:rPr>
          <w:rFonts w:ascii="Arial" w:hAnsi="Arial" w:cs="Arial"/>
        </w:rPr>
        <w:t xml:space="preserve">Does the Bill reverse the onus of proof, and what is the effect of the </w:t>
      </w:r>
      <w:r w:rsidRPr="008727FB">
        <w:rPr>
          <w:rFonts w:ascii="Arial" w:hAnsi="Arial" w:cs="Arial"/>
          <w:i/>
          <w:iCs/>
        </w:rPr>
        <w:t>reverse onus of proof</w:t>
      </w:r>
      <w:r w:rsidRPr="008727FB">
        <w:rPr>
          <w:rFonts w:ascii="Arial" w:hAnsi="Arial" w:cs="Arial"/>
        </w:rPr>
        <w:t xml:space="preserve">? </w:t>
      </w:r>
    </w:p>
    <w:p w:rsidR="00E776A0" w:rsidRPr="008727FB" w:rsidRDefault="00E776A0" w:rsidP="00E776A0">
      <w:pPr>
        <w:pStyle w:val="ListParagraph"/>
        <w:numPr>
          <w:ilvl w:val="0"/>
          <w:numId w:val="46"/>
        </w:numPr>
        <w:spacing w:before="0" w:after="160" w:line="252" w:lineRule="auto"/>
        <w:contextualSpacing/>
        <w:rPr>
          <w:rFonts w:ascii="Arial" w:hAnsi="Arial" w:cs="Arial"/>
        </w:rPr>
      </w:pPr>
      <w:r w:rsidRPr="008727FB">
        <w:rPr>
          <w:rFonts w:ascii="Arial" w:hAnsi="Arial" w:cs="Arial"/>
        </w:rPr>
        <w:t>Does the Bill raise the burden of the onus of proof to a standard that is too high?</w:t>
      </w:r>
    </w:p>
    <w:p w:rsidR="00E776A0" w:rsidRPr="008727FB" w:rsidRDefault="00E776A0" w:rsidP="00E776A0">
      <w:pPr>
        <w:pStyle w:val="ListParagraph"/>
        <w:numPr>
          <w:ilvl w:val="0"/>
          <w:numId w:val="46"/>
        </w:numPr>
        <w:spacing w:before="0" w:after="160" w:line="252" w:lineRule="auto"/>
        <w:contextualSpacing/>
        <w:rPr>
          <w:rFonts w:ascii="Arial" w:hAnsi="Arial" w:cs="Arial"/>
        </w:rPr>
      </w:pPr>
      <w:r w:rsidRPr="008727FB">
        <w:rPr>
          <w:rFonts w:ascii="Arial" w:hAnsi="Arial" w:cs="Arial"/>
        </w:rPr>
        <w:t xml:space="preserve">What is the effect of a higher standard of proof that the accused </w:t>
      </w:r>
      <w:r w:rsidRPr="008727FB">
        <w:rPr>
          <w:rFonts w:ascii="Arial" w:hAnsi="Arial" w:cs="Arial"/>
          <w:i/>
          <w:iCs/>
        </w:rPr>
        <w:t>knows</w:t>
      </w:r>
      <w:r w:rsidRPr="008727FB">
        <w:rPr>
          <w:rFonts w:ascii="Arial" w:hAnsi="Arial" w:cs="Arial"/>
        </w:rPr>
        <w:t xml:space="preserve"> or ‘is </w:t>
      </w:r>
      <w:r w:rsidRPr="008727FB">
        <w:rPr>
          <w:rFonts w:ascii="Arial" w:hAnsi="Arial" w:cs="Arial"/>
          <w:iCs/>
        </w:rPr>
        <w:t xml:space="preserve">satisfied </w:t>
      </w:r>
      <w:r w:rsidRPr="008727FB">
        <w:rPr>
          <w:rFonts w:ascii="Arial" w:hAnsi="Arial" w:cs="Arial"/>
        </w:rPr>
        <w:t xml:space="preserve">on </w:t>
      </w:r>
      <w:r w:rsidRPr="008727FB">
        <w:rPr>
          <w:rFonts w:ascii="Arial" w:hAnsi="Arial" w:cs="Arial"/>
          <w:i/>
          <w:iCs/>
        </w:rPr>
        <w:t>reasonable grounds</w:t>
      </w:r>
      <w:r w:rsidRPr="008727FB">
        <w:rPr>
          <w:rFonts w:ascii="Arial" w:hAnsi="Arial" w:cs="Arial"/>
        </w:rPr>
        <w:t xml:space="preserve"> that the agreement was freely and voluntarily given’? </w:t>
      </w:r>
    </w:p>
    <w:p w:rsidR="00E776A0" w:rsidRPr="008727FB" w:rsidRDefault="00E776A0" w:rsidP="00E776A0">
      <w:pPr>
        <w:pStyle w:val="ListParagraph"/>
        <w:numPr>
          <w:ilvl w:val="0"/>
          <w:numId w:val="46"/>
        </w:numPr>
        <w:spacing w:before="0" w:after="160" w:line="252" w:lineRule="auto"/>
        <w:contextualSpacing/>
        <w:rPr>
          <w:rFonts w:ascii="Arial" w:hAnsi="Arial" w:cs="Arial"/>
        </w:rPr>
      </w:pPr>
      <w:r w:rsidRPr="008727FB">
        <w:rPr>
          <w:rFonts w:ascii="Arial" w:hAnsi="Arial" w:cs="Arial"/>
        </w:rPr>
        <w:t xml:space="preserve">What is the effect of the test </w:t>
      </w:r>
      <w:r w:rsidRPr="008727FB">
        <w:rPr>
          <w:rFonts w:ascii="Arial" w:hAnsi="Arial" w:cs="Arial"/>
          <w:i/>
          <w:iCs/>
        </w:rPr>
        <w:t xml:space="preserve">of reasonableness; </w:t>
      </w:r>
      <w:r w:rsidRPr="008727FB">
        <w:rPr>
          <w:rFonts w:ascii="Arial" w:hAnsi="Arial" w:cs="Arial"/>
        </w:rPr>
        <w:t xml:space="preserve">that the accused is </w:t>
      </w:r>
      <w:r w:rsidRPr="008727FB">
        <w:rPr>
          <w:rFonts w:ascii="Arial" w:hAnsi="Arial" w:cs="Arial"/>
          <w:i/>
          <w:iCs/>
        </w:rPr>
        <w:t xml:space="preserve">satisfied </w:t>
      </w:r>
      <w:r w:rsidRPr="008727FB">
        <w:rPr>
          <w:rFonts w:ascii="Arial" w:hAnsi="Arial" w:cs="Arial"/>
        </w:rPr>
        <w:t xml:space="preserve">on </w:t>
      </w:r>
      <w:r w:rsidRPr="008727FB">
        <w:rPr>
          <w:rFonts w:ascii="Arial" w:hAnsi="Arial" w:cs="Arial"/>
          <w:i/>
          <w:iCs/>
        </w:rPr>
        <w:t>reasonable grounds</w:t>
      </w:r>
      <w:r w:rsidRPr="008727FB">
        <w:rPr>
          <w:rFonts w:ascii="Arial" w:hAnsi="Arial" w:cs="Arial"/>
        </w:rPr>
        <w:t xml:space="preserve"> that the agreement was freely and voluntarily given?</w:t>
      </w:r>
      <w:r w:rsidRPr="008727FB">
        <w:rPr>
          <w:rFonts w:ascii="Arial" w:hAnsi="Arial" w:cs="Arial"/>
          <w:i/>
          <w:iCs/>
        </w:rPr>
        <w:t xml:space="preserve"> </w:t>
      </w:r>
      <w:r w:rsidRPr="008727FB">
        <w:rPr>
          <w:rFonts w:ascii="Arial" w:hAnsi="Arial" w:cs="Arial"/>
        </w:rPr>
        <w:t>Is this objective approach appropriate or is a subjective approach to consent preferred?</w:t>
      </w:r>
    </w:p>
    <w:p w:rsidR="00E776A0" w:rsidRPr="008727FB" w:rsidRDefault="00E776A0" w:rsidP="00E776A0">
      <w:pPr>
        <w:pStyle w:val="ListParagraph"/>
        <w:numPr>
          <w:ilvl w:val="0"/>
          <w:numId w:val="46"/>
        </w:numPr>
        <w:spacing w:before="0" w:after="160" w:line="252" w:lineRule="auto"/>
        <w:contextualSpacing/>
        <w:rPr>
          <w:rFonts w:ascii="Arial" w:hAnsi="Arial" w:cs="Arial"/>
        </w:rPr>
      </w:pPr>
      <w:r w:rsidRPr="008727FB">
        <w:rPr>
          <w:rFonts w:ascii="Arial" w:hAnsi="Arial" w:cs="Arial"/>
        </w:rPr>
        <w:t>In relation to the separate or combined effect of the above, what are the implications for the victim and the accused, including the human rights implications, such as the presumption of innocence?</w:t>
      </w:r>
    </w:p>
    <w:p w:rsidR="00E776A0" w:rsidRPr="008727FB" w:rsidRDefault="00E776A0" w:rsidP="00E776A0">
      <w:pPr>
        <w:pStyle w:val="ListParagraph"/>
        <w:ind w:left="1440"/>
        <w:rPr>
          <w:rFonts w:ascii="Arial" w:hAnsi="Arial" w:cs="Arial"/>
        </w:rPr>
      </w:pPr>
    </w:p>
    <w:p w:rsidR="00E776A0" w:rsidRPr="008727FB" w:rsidRDefault="00E776A0" w:rsidP="00E776A0">
      <w:pPr>
        <w:pStyle w:val="ListParagraph"/>
        <w:numPr>
          <w:ilvl w:val="0"/>
          <w:numId w:val="44"/>
        </w:numPr>
        <w:spacing w:before="0" w:after="160" w:line="252" w:lineRule="auto"/>
        <w:contextualSpacing/>
        <w:rPr>
          <w:rFonts w:ascii="Arial" w:hAnsi="Arial" w:cs="Arial"/>
        </w:rPr>
      </w:pPr>
      <w:r w:rsidRPr="008727FB">
        <w:rPr>
          <w:rFonts w:ascii="Arial" w:hAnsi="Arial" w:cs="Arial"/>
        </w:rPr>
        <w:t>What are the implications of the Bill in prosecuting sexual offences and conviction rates in the ACT?</w:t>
      </w:r>
    </w:p>
    <w:p w:rsidR="00E776A0" w:rsidRPr="008727FB" w:rsidRDefault="00E776A0" w:rsidP="00E776A0">
      <w:pPr>
        <w:pStyle w:val="ListParagraph"/>
        <w:rPr>
          <w:rFonts w:ascii="Arial" w:hAnsi="Arial" w:cs="Arial"/>
        </w:rPr>
      </w:pPr>
    </w:p>
    <w:p w:rsidR="00E776A0" w:rsidRPr="008727FB" w:rsidRDefault="00E776A0" w:rsidP="00E776A0">
      <w:pPr>
        <w:pStyle w:val="ListParagraph"/>
        <w:numPr>
          <w:ilvl w:val="0"/>
          <w:numId w:val="44"/>
        </w:numPr>
        <w:spacing w:before="0" w:after="160" w:line="252" w:lineRule="auto"/>
        <w:contextualSpacing/>
        <w:rPr>
          <w:rFonts w:ascii="Arial" w:hAnsi="Arial" w:cs="Arial"/>
        </w:rPr>
      </w:pPr>
      <w:r w:rsidRPr="008727FB">
        <w:rPr>
          <w:rFonts w:ascii="Arial" w:hAnsi="Arial" w:cs="Arial"/>
        </w:rPr>
        <w:lastRenderedPageBreak/>
        <w:t xml:space="preserve">In 2010 the Family Violence - A National Legal Response (ALRC Report 114) recommended: </w:t>
      </w:r>
    </w:p>
    <w:p w:rsidR="00E776A0" w:rsidRPr="008727FB" w:rsidRDefault="00E776A0" w:rsidP="00E776A0">
      <w:pPr>
        <w:ind w:left="720"/>
        <w:rPr>
          <w:rFonts w:ascii="Arial" w:hAnsi="Arial" w:cs="Arial"/>
          <w:i/>
        </w:rPr>
      </w:pPr>
      <w:r w:rsidRPr="008727FB">
        <w:rPr>
          <w:rFonts w:ascii="Arial" w:hAnsi="Arial" w:cs="Arial"/>
          <w:i/>
        </w:rPr>
        <w:t>Recommendation 25–4 Federal, state and territory sexual offence provisions should include a statutory definition of consent based on the concept of free and voluntary agreement.</w:t>
      </w:r>
    </w:p>
    <w:p w:rsidR="00E776A0" w:rsidRPr="008727FB" w:rsidRDefault="00E776A0" w:rsidP="00E776A0">
      <w:pPr>
        <w:pStyle w:val="ListParagraph"/>
        <w:rPr>
          <w:rFonts w:ascii="Arial" w:hAnsi="Arial" w:cs="Arial"/>
        </w:rPr>
      </w:pPr>
    </w:p>
    <w:p w:rsidR="00E776A0" w:rsidRPr="008727FB" w:rsidRDefault="00E776A0" w:rsidP="00E776A0">
      <w:pPr>
        <w:pStyle w:val="ListParagraph"/>
        <w:rPr>
          <w:rFonts w:ascii="Arial" w:hAnsi="Arial" w:cs="Arial"/>
        </w:rPr>
      </w:pPr>
      <w:r w:rsidRPr="008727FB">
        <w:rPr>
          <w:rFonts w:ascii="Arial" w:hAnsi="Arial" w:cs="Arial"/>
        </w:rPr>
        <w:t xml:space="preserve">Does the Bill successfully implement the recommendation of the ALRC and are there any preferred alternatives which may also implement the recommendation? </w:t>
      </w:r>
    </w:p>
    <w:p w:rsidR="00E776A0" w:rsidRPr="008727FB" w:rsidRDefault="00E776A0" w:rsidP="00E776A0">
      <w:pPr>
        <w:pStyle w:val="ListParagraph"/>
        <w:rPr>
          <w:rFonts w:ascii="Arial" w:hAnsi="Arial" w:cs="Arial"/>
        </w:rPr>
      </w:pPr>
    </w:p>
    <w:p w:rsidR="00E776A0" w:rsidRPr="008727FB" w:rsidRDefault="00E776A0" w:rsidP="00E776A0">
      <w:pPr>
        <w:pStyle w:val="ListParagraph"/>
        <w:numPr>
          <w:ilvl w:val="0"/>
          <w:numId w:val="44"/>
        </w:numPr>
        <w:spacing w:before="0" w:after="160" w:line="252" w:lineRule="auto"/>
        <w:contextualSpacing/>
        <w:rPr>
          <w:rFonts w:ascii="Arial" w:hAnsi="Arial" w:cs="Arial"/>
        </w:rPr>
      </w:pPr>
      <w:r w:rsidRPr="008727FB">
        <w:rPr>
          <w:rFonts w:ascii="Arial" w:hAnsi="Arial" w:cs="Arial"/>
        </w:rPr>
        <w:t>The Committee notes the Tasmanian model and the New South Wales model (and the current NSW Law Reform Commission Review into consent for sexual offences). What can we learn from other jurisdictions in legislating for consent?</w:t>
      </w:r>
    </w:p>
    <w:p w:rsidR="00E776A0" w:rsidRPr="008727FB" w:rsidRDefault="00E776A0" w:rsidP="00E776A0">
      <w:pPr>
        <w:pStyle w:val="ListParagraph"/>
        <w:rPr>
          <w:rFonts w:ascii="Arial" w:hAnsi="Arial" w:cs="Arial"/>
        </w:rPr>
      </w:pPr>
    </w:p>
    <w:p w:rsidR="00E776A0" w:rsidRPr="008727FB" w:rsidRDefault="00E776A0" w:rsidP="00E776A0">
      <w:pPr>
        <w:pStyle w:val="ListParagraph"/>
        <w:numPr>
          <w:ilvl w:val="0"/>
          <w:numId w:val="44"/>
        </w:numPr>
        <w:shd w:val="clear" w:color="auto" w:fill="FFFFFF"/>
        <w:spacing w:before="0" w:after="150" w:line="240" w:lineRule="auto"/>
        <w:contextualSpacing/>
        <w:rPr>
          <w:rFonts w:ascii="Arial" w:hAnsi="Arial" w:cs="Arial"/>
        </w:rPr>
      </w:pPr>
      <w:r w:rsidRPr="008727FB">
        <w:rPr>
          <w:rFonts w:ascii="Arial" w:hAnsi="Arial" w:cs="Arial"/>
        </w:rPr>
        <w:t>What are the social implications of the Bill?</w:t>
      </w:r>
    </w:p>
    <w:p w:rsidR="00E776A0" w:rsidRPr="008727FB" w:rsidRDefault="00E776A0" w:rsidP="00E776A0">
      <w:pPr>
        <w:pStyle w:val="ListParagraph"/>
        <w:numPr>
          <w:ilvl w:val="0"/>
          <w:numId w:val="47"/>
        </w:numPr>
        <w:spacing w:before="0" w:after="160" w:line="252" w:lineRule="auto"/>
        <w:contextualSpacing/>
        <w:rPr>
          <w:rFonts w:ascii="Arial" w:hAnsi="Arial" w:cs="Arial"/>
        </w:rPr>
      </w:pPr>
      <w:r w:rsidRPr="008727FB">
        <w:rPr>
          <w:rFonts w:ascii="Arial" w:hAnsi="Arial" w:cs="Arial"/>
        </w:rPr>
        <w:t xml:space="preserve">What measures may be required to effectively implement the intentions of the Bill in addition to a change to the law? </w:t>
      </w:r>
    </w:p>
    <w:p w:rsidR="00E776A0" w:rsidRPr="008727FB" w:rsidRDefault="00E776A0" w:rsidP="00E776A0">
      <w:pPr>
        <w:pStyle w:val="ListParagraph"/>
        <w:numPr>
          <w:ilvl w:val="0"/>
          <w:numId w:val="47"/>
        </w:numPr>
        <w:spacing w:before="0" w:after="160" w:line="252" w:lineRule="auto"/>
        <w:contextualSpacing/>
        <w:rPr>
          <w:rFonts w:ascii="Arial" w:hAnsi="Arial" w:cs="Arial"/>
        </w:rPr>
      </w:pPr>
      <w:r w:rsidRPr="008727FB">
        <w:rPr>
          <w:rFonts w:ascii="Arial" w:hAnsi="Arial" w:cs="Arial"/>
        </w:rPr>
        <w:t>How will the Bill impact personal and sexual relationships?</w:t>
      </w:r>
    </w:p>
    <w:p w:rsidR="00E776A0" w:rsidRPr="008727FB" w:rsidRDefault="00E776A0" w:rsidP="00E776A0">
      <w:pPr>
        <w:pStyle w:val="ListParagraph"/>
        <w:rPr>
          <w:rFonts w:ascii="Arial" w:hAnsi="Arial" w:cs="Arial"/>
        </w:rPr>
      </w:pPr>
    </w:p>
    <w:p w:rsidR="00E776A0" w:rsidRPr="008727FB" w:rsidRDefault="00E776A0" w:rsidP="00E776A0">
      <w:pPr>
        <w:pStyle w:val="ListParagraph"/>
        <w:numPr>
          <w:ilvl w:val="0"/>
          <w:numId w:val="44"/>
        </w:numPr>
        <w:spacing w:before="0" w:after="160" w:line="252" w:lineRule="auto"/>
        <w:contextualSpacing/>
        <w:rPr>
          <w:rFonts w:ascii="Arial" w:hAnsi="Arial" w:cs="Arial"/>
          <w:lang w:eastAsia="en-AU"/>
        </w:rPr>
      </w:pPr>
      <w:r w:rsidRPr="008727FB">
        <w:rPr>
          <w:rFonts w:ascii="Arial" w:hAnsi="Arial" w:cs="Arial"/>
        </w:rPr>
        <w:t>Are there any other matters the Committee should be aware of?</w:t>
      </w:r>
    </w:p>
    <w:p w:rsidR="00E776A0" w:rsidRPr="008727FB" w:rsidRDefault="00E776A0" w:rsidP="00E776A0">
      <w:pPr>
        <w:rPr>
          <w:rFonts w:ascii="Arial" w:hAnsi="Arial" w:cs="Arial"/>
          <w:lang w:eastAsia="en-AU"/>
        </w:rPr>
      </w:pPr>
      <w:r w:rsidRPr="008727FB">
        <w:rPr>
          <w:rFonts w:ascii="Arial" w:hAnsi="Arial" w:cs="Arial"/>
          <w:lang w:eastAsia="en-AU"/>
        </w:rPr>
        <w:t>August 2018</w:t>
      </w:r>
    </w:p>
    <w:p w:rsidR="00E776A0" w:rsidRPr="008727FB" w:rsidRDefault="00E776A0" w:rsidP="003A4713">
      <w:pPr>
        <w:pStyle w:val="Heading2"/>
        <w:numPr>
          <w:ilvl w:val="0"/>
          <w:numId w:val="0"/>
        </w:numPr>
        <w:ind w:left="567" w:hanging="567"/>
        <w:sectPr w:rsidR="00E776A0" w:rsidRPr="008727FB" w:rsidSect="004D2594">
          <w:type w:val="oddPage"/>
          <w:pgSz w:w="11907" w:h="16840" w:code="9"/>
          <w:pgMar w:top="1588" w:right="1418" w:bottom="1418" w:left="1418" w:header="720" w:footer="851" w:gutter="0"/>
          <w:cols w:space="720"/>
          <w:docGrid w:linePitch="360"/>
        </w:sectPr>
      </w:pPr>
    </w:p>
    <w:p w:rsidR="003A4713" w:rsidRPr="008727FB" w:rsidRDefault="003A4713" w:rsidP="003A4713">
      <w:pPr>
        <w:pStyle w:val="Heading2"/>
        <w:numPr>
          <w:ilvl w:val="0"/>
          <w:numId w:val="0"/>
        </w:numPr>
        <w:ind w:left="567" w:hanging="567"/>
      </w:pPr>
      <w:bookmarkStart w:id="103" w:name="_Toc528670970"/>
      <w:r w:rsidRPr="008727FB">
        <w:lastRenderedPageBreak/>
        <w:t xml:space="preserve">Appendix </w:t>
      </w:r>
      <w:r w:rsidR="00A12AF6" w:rsidRPr="008727FB">
        <w:t>C</w:t>
      </w:r>
      <w:r w:rsidRPr="008727FB">
        <w:t xml:space="preserve"> – Submissions received by the Committee</w:t>
      </w:r>
      <w:bookmarkEnd w:id="103"/>
    </w:p>
    <w:tbl>
      <w:tblPr>
        <w:tblStyle w:val="CommitteeTable"/>
        <w:tblW w:w="8222" w:type="dxa"/>
        <w:tblInd w:w="-5" w:type="dxa"/>
        <w:tblLook w:val="04A0" w:firstRow="1" w:lastRow="0" w:firstColumn="1" w:lastColumn="0" w:noHBand="0" w:noVBand="1"/>
      </w:tblPr>
      <w:tblGrid>
        <w:gridCol w:w="1701"/>
        <w:gridCol w:w="6521"/>
      </w:tblGrid>
      <w:tr w:rsidR="008727FB" w:rsidRPr="008727FB" w:rsidTr="00A12AF6">
        <w:trPr>
          <w:cnfStyle w:val="100000000000" w:firstRow="1" w:lastRow="0" w:firstColumn="0" w:lastColumn="0" w:oddVBand="0" w:evenVBand="0" w:oddHBand="0" w:evenHBand="0" w:firstRowFirstColumn="0" w:firstRowLastColumn="0" w:lastRowFirstColumn="0" w:lastRowLastColumn="0"/>
        </w:trPr>
        <w:tc>
          <w:tcPr>
            <w:tcW w:w="1701" w:type="dxa"/>
          </w:tcPr>
          <w:p w:rsidR="00A12AF6" w:rsidRPr="008727FB" w:rsidRDefault="00A12AF6" w:rsidP="00196F0A">
            <w:pPr>
              <w:pStyle w:val="TableHeading"/>
              <w:jc w:val="center"/>
              <w:rPr>
                <w:b/>
                <w:szCs w:val="22"/>
              </w:rPr>
            </w:pPr>
            <w:r w:rsidRPr="008727FB">
              <w:rPr>
                <w:b/>
              </w:rPr>
              <w:t>Submission Number</w:t>
            </w:r>
          </w:p>
        </w:tc>
        <w:tc>
          <w:tcPr>
            <w:tcW w:w="6521" w:type="dxa"/>
          </w:tcPr>
          <w:p w:rsidR="00A12AF6" w:rsidRPr="008727FB" w:rsidRDefault="00A12AF6" w:rsidP="00196F0A">
            <w:pPr>
              <w:pStyle w:val="TableHeading"/>
              <w:jc w:val="center"/>
              <w:rPr>
                <w:b/>
              </w:rPr>
            </w:pPr>
            <w:r w:rsidRPr="008727FB">
              <w:rPr>
                <w:b/>
              </w:rPr>
              <w:t>Submitter</w:t>
            </w:r>
            <w:bookmarkStart w:id="104" w:name="ColumnTitle_Submissions"/>
            <w:bookmarkEnd w:id="104"/>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Patricia Easteal</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Caroline Le Couteur MLA</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ACT Bar Association</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Greg Tannahill</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Lauryn Roberts</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Diane Call</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Alan Cory and Janet Gibson</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Joel Dignam</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t>ANUSA</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ACT DPP</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YWCA Canberra</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 xml:space="preserve">Aoife Herrick (Individual) </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Confidential</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Karen Blake (Individual)</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Rebecca Solomon (Individual)</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ACT AIDS Council</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Civil Liberties Australia</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Women With Disabilities ACT</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Sexual Health and Family Planning ACT</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Rape &amp; Domestic Violence Services Australia</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Sienna Aguilar (Individual)</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ACT Law Society</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Caroline Le Couteur MLA (Second submission)</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ACTCOSS</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Women’s Centre for Health Matters</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Young Women Speak Out</w:t>
            </w:r>
          </w:p>
        </w:tc>
      </w:tr>
      <w:tr w:rsidR="008727FB" w:rsidRPr="008727FB" w:rsidTr="00A12AF6">
        <w:trPr>
          <w:cnfStyle w:val="000000100000" w:firstRow="0" w:lastRow="0" w:firstColumn="0" w:lastColumn="0" w:oddVBand="0" w:evenVBand="0" w:oddHBand="1" w:evenHBand="0" w:firstRowFirstColumn="0" w:firstRowLastColumn="0" w:lastRowFirstColumn="0" w:lastRowLastColumn="0"/>
        </w:trPr>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ACT Youth Coalition</w:t>
            </w:r>
          </w:p>
        </w:tc>
      </w:tr>
      <w:tr w:rsidR="008727FB" w:rsidRPr="008727FB" w:rsidTr="00A12AF6">
        <w:tc>
          <w:tcPr>
            <w:tcW w:w="1701" w:type="dxa"/>
          </w:tcPr>
          <w:p w:rsidR="00A12AF6" w:rsidRPr="008727FB" w:rsidRDefault="00A12AF6" w:rsidP="007979CC">
            <w:pPr>
              <w:pStyle w:val="TableText"/>
              <w:numPr>
                <w:ilvl w:val="0"/>
                <w:numId w:val="31"/>
              </w:numPr>
            </w:pPr>
          </w:p>
        </w:tc>
        <w:tc>
          <w:tcPr>
            <w:tcW w:w="6521" w:type="dxa"/>
            <w:vAlign w:val="top"/>
          </w:tcPr>
          <w:p w:rsidR="00A12AF6" w:rsidRPr="008727FB" w:rsidRDefault="00A12AF6" w:rsidP="007979CC">
            <w:pPr>
              <w:ind w:left="284"/>
              <w:rPr>
                <w:iCs/>
              </w:rPr>
            </w:pPr>
            <w:r w:rsidRPr="008727FB">
              <w:rPr>
                <w:iCs/>
              </w:rPr>
              <w:t>Advocacy for Inclusion</w:t>
            </w:r>
          </w:p>
        </w:tc>
      </w:tr>
    </w:tbl>
    <w:p w:rsidR="003A4713" w:rsidRPr="008727FB" w:rsidRDefault="003A4713" w:rsidP="00522A5C">
      <w:pPr>
        <w:pStyle w:val="BodyText"/>
        <w:numPr>
          <w:ilvl w:val="0"/>
          <w:numId w:val="0"/>
        </w:numPr>
        <w:ind w:left="567"/>
      </w:pPr>
    </w:p>
    <w:p w:rsidR="005C6E29" w:rsidRPr="008727FB" w:rsidRDefault="005C6E29" w:rsidP="007104A7">
      <w:pPr>
        <w:pStyle w:val="Heading2"/>
        <w:numPr>
          <w:ilvl w:val="0"/>
          <w:numId w:val="0"/>
        </w:numPr>
        <w:ind w:left="567" w:hanging="567"/>
        <w:sectPr w:rsidR="005C6E29" w:rsidRPr="008727FB" w:rsidSect="004D2594">
          <w:type w:val="oddPage"/>
          <w:pgSz w:w="11907" w:h="16840" w:code="9"/>
          <w:pgMar w:top="1588" w:right="1418" w:bottom="1418" w:left="1418" w:header="720" w:footer="851" w:gutter="0"/>
          <w:cols w:space="720"/>
          <w:docGrid w:linePitch="360"/>
        </w:sectPr>
      </w:pPr>
    </w:p>
    <w:p w:rsidR="0061344F" w:rsidRPr="008727FB" w:rsidRDefault="003A4713" w:rsidP="007104A7">
      <w:pPr>
        <w:pStyle w:val="Heading2"/>
        <w:numPr>
          <w:ilvl w:val="0"/>
          <w:numId w:val="0"/>
        </w:numPr>
        <w:ind w:left="567" w:hanging="567"/>
      </w:pPr>
      <w:bookmarkStart w:id="105" w:name="_Toc528670971"/>
      <w:r w:rsidRPr="008727FB">
        <w:lastRenderedPageBreak/>
        <w:t xml:space="preserve">Appendix </w:t>
      </w:r>
      <w:r w:rsidR="00A12AF6" w:rsidRPr="008727FB">
        <w:t>D</w:t>
      </w:r>
      <w:r w:rsidR="0061344F" w:rsidRPr="008727FB">
        <w:t xml:space="preserve"> – </w:t>
      </w:r>
      <w:r w:rsidRPr="008727FB">
        <w:t>Hearings and Witnesses</w:t>
      </w:r>
      <w:bookmarkEnd w:id="105"/>
    </w:p>
    <w:p w:rsidR="00F5253F" w:rsidRPr="008727FB" w:rsidRDefault="00F5253F" w:rsidP="003A4713">
      <w:pPr>
        <w:rPr>
          <w:b/>
        </w:rPr>
      </w:pPr>
      <w:r w:rsidRPr="008727FB">
        <w:rPr>
          <w:b/>
        </w:rPr>
        <w:t>28 September 2018</w:t>
      </w:r>
    </w:p>
    <w:p w:rsidR="00F5253F" w:rsidRPr="008727FB" w:rsidRDefault="00A80826" w:rsidP="00F5253F">
      <w:pPr>
        <w:pStyle w:val="ListBullet"/>
      </w:pPr>
      <w:r w:rsidRPr="008727FB">
        <w:t>Barry</w:t>
      </w:r>
      <w:r w:rsidR="00F5253F" w:rsidRPr="008727FB">
        <w:t>,</w:t>
      </w:r>
      <w:r w:rsidRPr="008727FB">
        <w:t xml:space="preserve"> Ms Erin</w:t>
      </w:r>
      <w:r w:rsidR="00F5253F" w:rsidRPr="008727FB">
        <w:t>, Director of Policy, Youth Coalition of the ACT</w:t>
      </w:r>
    </w:p>
    <w:p w:rsidR="00F5253F" w:rsidRPr="008727FB" w:rsidRDefault="00A80826" w:rsidP="00F5253F">
      <w:pPr>
        <w:pStyle w:val="ListBullet"/>
      </w:pPr>
      <w:r w:rsidRPr="008727FB">
        <w:t>Chowdry</w:t>
      </w:r>
      <w:r w:rsidR="00F5253F" w:rsidRPr="008727FB">
        <w:t xml:space="preserve">, </w:t>
      </w:r>
      <w:r w:rsidRPr="008727FB">
        <w:t>Mr Kieran</w:t>
      </w:r>
      <w:r w:rsidR="00F5253F" w:rsidRPr="008727FB">
        <w:t>, Policy and Development Officer, Youth Coalition of the ACT</w:t>
      </w:r>
    </w:p>
    <w:p w:rsidR="00F5253F" w:rsidRPr="008727FB" w:rsidRDefault="00A80826" w:rsidP="00F5253F">
      <w:pPr>
        <w:pStyle w:val="ListBullet"/>
      </w:pPr>
      <w:r w:rsidRPr="008727FB">
        <w:t>Crimmins, Ms Frances</w:t>
      </w:r>
      <w:r w:rsidR="00F5253F" w:rsidRPr="008727FB">
        <w:t>, Chief Executive Officer, YWCA Canberra</w:t>
      </w:r>
    </w:p>
    <w:p w:rsidR="00F5253F" w:rsidRPr="008727FB" w:rsidRDefault="00A80826" w:rsidP="00F5253F">
      <w:pPr>
        <w:pStyle w:val="ListBullet"/>
      </w:pPr>
      <w:r w:rsidRPr="008727FB">
        <w:t>Klugman, Dr Kristine</w:t>
      </w:r>
      <w:r w:rsidR="00F5253F" w:rsidRPr="008727FB">
        <w:t xml:space="preserve"> OAM, Civil Liberties Australia</w:t>
      </w:r>
    </w:p>
    <w:p w:rsidR="00F5253F" w:rsidRPr="008727FB" w:rsidRDefault="00A80826" w:rsidP="00F5253F">
      <w:pPr>
        <w:pStyle w:val="ListBullet"/>
      </w:pPr>
      <w:r w:rsidRPr="008727FB">
        <w:t>Machalias, Ms Helen</w:t>
      </w:r>
      <w:r w:rsidR="00F5253F" w:rsidRPr="008727FB">
        <w:t xml:space="preserve">, Director, Communication, Advocacy </w:t>
      </w:r>
      <w:r w:rsidRPr="008727FB">
        <w:t>and Fundraising, YWCA Canberra</w:t>
      </w:r>
    </w:p>
    <w:p w:rsidR="00F5253F" w:rsidRPr="008727FB" w:rsidRDefault="00A80826" w:rsidP="00F5253F">
      <w:pPr>
        <w:pStyle w:val="ListBullet"/>
      </w:pPr>
      <w:r w:rsidRPr="008727FB">
        <w:t>Mclean, Ms Elly</w:t>
      </w:r>
      <w:r w:rsidR="00F5253F" w:rsidRPr="008727FB">
        <w:t>, Civil Liberties Australia</w:t>
      </w:r>
    </w:p>
    <w:p w:rsidR="00F5253F" w:rsidRPr="008727FB" w:rsidRDefault="00A80826" w:rsidP="00F5253F">
      <w:pPr>
        <w:pStyle w:val="ListBullet"/>
      </w:pPr>
      <w:r w:rsidRPr="008727FB">
        <w:t>Moinkhah, Ms Zahra</w:t>
      </w:r>
      <w:r w:rsidR="00F5253F" w:rsidRPr="008727FB">
        <w:t>, Young Women Speak Out</w:t>
      </w:r>
    </w:p>
    <w:p w:rsidR="00F5253F" w:rsidRPr="008727FB" w:rsidRDefault="00A80826" w:rsidP="00F5253F">
      <w:pPr>
        <w:pStyle w:val="ListBullet"/>
      </w:pPr>
      <w:r w:rsidRPr="008727FB">
        <w:t>Nangrani, Ms Tanvi</w:t>
      </w:r>
      <w:r w:rsidR="00F5253F" w:rsidRPr="008727FB">
        <w:t>, Young Women Speak Out</w:t>
      </w:r>
    </w:p>
    <w:p w:rsidR="00F5253F" w:rsidRPr="008727FB" w:rsidRDefault="00A80826" w:rsidP="00F5253F">
      <w:pPr>
        <w:pStyle w:val="ListBullet"/>
      </w:pPr>
      <w:r w:rsidRPr="008727FB">
        <w:t xml:space="preserve">White, Mr Jon </w:t>
      </w:r>
      <w:r w:rsidR="00F5253F" w:rsidRPr="008727FB">
        <w:t>SC, Director of Public Prosecutions, Justice and Community Safety Directorate</w:t>
      </w:r>
    </w:p>
    <w:p w:rsidR="003A4713" w:rsidRPr="008727FB" w:rsidRDefault="00634782" w:rsidP="003A4713">
      <w:pPr>
        <w:rPr>
          <w:b/>
        </w:rPr>
      </w:pPr>
      <w:r w:rsidRPr="008727FB">
        <w:rPr>
          <w:b/>
        </w:rPr>
        <w:t>2 October 2018</w:t>
      </w:r>
    </w:p>
    <w:p w:rsidR="003A4713" w:rsidRPr="008727FB" w:rsidRDefault="00A80826" w:rsidP="003A4713">
      <w:pPr>
        <w:pStyle w:val="ListBullet"/>
      </w:pPr>
      <w:r w:rsidRPr="008727FB">
        <w:t>Bavinton, Mr Tim</w:t>
      </w:r>
      <w:r w:rsidR="00634782" w:rsidRPr="008727FB">
        <w:t>, Executive Director, Sexual Health and Family Planning ACT</w:t>
      </w:r>
    </w:p>
    <w:p w:rsidR="003A4713" w:rsidRPr="008727FB" w:rsidRDefault="00A80826" w:rsidP="003A4713">
      <w:pPr>
        <w:pStyle w:val="ListBullet"/>
      </w:pPr>
      <w:r w:rsidRPr="008727FB">
        <w:t>Davidson, Ms Emma</w:t>
      </w:r>
      <w:r w:rsidR="00634782" w:rsidRPr="008727FB">
        <w:t>, Deputy CEO, Women’s Centre for Health Matters</w:t>
      </w:r>
    </w:p>
    <w:p w:rsidR="003A4713" w:rsidRPr="008727FB" w:rsidRDefault="00634782" w:rsidP="003A4713">
      <w:pPr>
        <w:rPr>
          <w:b/>
        </w:rPr>
      </w:pPr>
      <w:r w:rsidRPr="008727FB">
        <w:rPr>
          <w:b/>
        </w:rPr>
        <w:t>9 October 2018</w:t>
      </w:r>
    </w:p>
    <w:p w:rsidR="00F5253F" w:rsidRPr="008727FB" w:rsidRDefault="00A80826" w:rsidP="00F5253F">
      <w:pPr>
        <w:pStyle w:val="ListBullet"/>
      </w:pPr>
      <w:r w:rsidRPr="008727FB">
        <w:t>Del Piero, Ms Natasha</w:t>
      </w:r>
      <w:r w:rsidR="00F5253F" w:rsidRPr="008727FB">
        <w:t xml:space="preserve">, ACT </w:t>
      </w:r>
      <w:r w:rsidRPr="008727FB">
        <w:t>Law Society</w:t>
      </w:r>
    </w:p>
    <w:p w:rsidR="00F5253F" w:rsidRPr="008727FB" w:rsidRDefault="00A80826" w:rsidP="00F5253F">
      <w:pPr>
        <w:pStyle w:val="ListBullet"/>
      </w:pPr>
      <w:r w:rsidRPr="008727FB">
        <w:t>Hopkins, Dr Anthony, ACT Bar Association</w:t>
      </w:r>
    </w:p>
    <w:p w:rsidR="00F5253F" w:rsidRPr="008727FB" w:rsidRDefault="00A80826" w:rsidP="00F5253F">
      <w:pPr>
        <w:pStyle w:val="ListBullet"/>
      </w:pPr>
      <w:r w:rsidRPr="008727FB">
        <w:t>Kukulies-Smith, Mr Michael, ACT Law Society</w:t>
      </w:r>
    </w:p>
    <w:p w:rsidR="00F5253F" w:rsidRPr="008727FB" w:rsidRDefault="00A80826" w:rsidP="00F5253F">
      <w:pPr>
        <w:pStyle w:val="ListBullet"/>
      </w:pPr>
      <w:r w:rsidRPr="008727FB">
        <w:t>Mcintyre, Ms Kajhal, Legal Researcher and Project Worker, Rape And Domestic Violence Services Australia</w:t>
      </w:r>
    </w:p>
    <w:p w:rsidR="00F5253F" w:rsidRPr="008727FB" w:rsidRDefault="00A80826" w:rsidP="00F5253F">
      <w:pPr>
        <w:pStyle w:val="ListBullet"/>
      </w:pPr>
      <w:r w:rsidRPr="008727FB">
        <w:t>Millen, Ms Bonnie, Policy Officer, Advocacy for Inclusion</w:t>
      </w:r>
    </w:p>
    <w:p w:rsidR="00F5253F" w:rsidRPr="008727FB" w:rsidRDefault="00A80826" w:rsidP="00F5253F">
      <w:pPr>
        <w:pStyle w:val="ListBullet"/>
      </w:pPr>
      <w:r w:rsidRPr="008727FB">
        <w:t>Moore, Ms Clare, Chief Executive Officer, Women with Disabilities ACT</w:t>
      </w:r>
    </w:p>
    <w:p w:rsidR="00F5253F" w:rsidRPr="008727FB" w:rsidRDefault="00A80826" w:rsidP="00F5253F">
      <w:pPr>
        <w:pStyle w:val="ListBullet"/>
      </w:pPr>
      <w:r w:rsidRPr="008727FB">
        <w:t>Salthouse, Ms Susan, Chair, Women with Disabilities ACT</w:t>
      </w:r>
    </w:p>
    <w:p w:rsidR="00F5253F" w:rsidRPr="008727FB" w:rsidRDefault="00A80826" w:rsidP="00F5253F">
      <w:pPr>
        <w:pStyle w:val="ListBullet"/>
      </w:pPr>
      <w:r w:rsidRPr="008727FB">
        <w:t>Thilagaratnam, Ms Renuka, Legal Adviser, ACT Human Rights Commission</w:t>
      </w:r>
    </w:p>
    <w:p w:rsidR="00F5253F" w:rsidRPr="008727FB" w:rsidRDefault="00A80826" w:rsidP="00F5253F">
      <w:pPr>
        <w:pStyle w:val="ListBullet"/>
      </w:pPr>
      <w:r w:rsidRPr="008727FB">
        <w:t>Watchirs, Dr Helen, OAM, President, ACT Human Rights Commission and ACT Human Rights Commissioner</w:t>
      </w:r>
    </w:p>
    <w:p w:rsidR="000E4E41" w:rsidRPr="008727FB" w:rsidRDefault="000E4E41" w:rsidP="003A4713">
      <w:pPr>
        <w:sectPr w:rsidR="000E4E41" w:rsidRPr="008727FB" w:rsidSect="004D2594">
          <w:type w:val="oddPage"/>
          <w:pgSz w:w="11907" w:h="16840" w:code="9"/>
          <w:pgMar w:top="1588" w:right="1418" w:bottom="1418" w:left="1418" w:header="720" w:footer="851" w:gutter="0"/>
          <w:cols w:space="720"/>
          <w:docGrid w:linePitch="360"/>
        </w:sectPr>
      </w:pPr>
    </w:p>
    <w:p w:rsidR="000E4E41" w:rsidRPr="008727FB" w:rsidRDefault="000E4E41" w:rsidP="000E4E41">
      <w:pPr>
        <w:pStyle w:val="Heading2"/>
        <w:numPr>
          <w:ilvl w:val="0"/>
          <w:numId w:val="0"/>
        </w:numPr>
        <w:ind w:left="567" w:hanging="567"/>
      </w:pPr>
      <w:bookmarkStart w:id="106" w:name="_Toc528670972"/>
      <w:r w:rsidRPr="008727FB">
        <w:lastRenderedPageBreak/>
        <w:t xml:space="preserve">Appendix </w:t>
      </w:r>
      <w:r w:rsidR="00A12AF6" w:rsidRPr="008727FB">
        <w:t>E</w:t>
      </w:r>
      <w:r w:rsidRPr="008727FB">
        <w:t xml:space="preserve"> – Crimes (Consent) Amendment Bill and Explanatory Statement</w:t>
      </w:r>
      <w:bookmarkEnd w:id="106"/>
    </w:p>
    <w:sectPr w:rsidR="000E4E41" w:rsidRPr="008727FB" w:rsidSect="008727FB">
      <w:footerReference w:type="default" r:id="rId47"/>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666" w:rsidRDefault="00FF0666">
      <w:r>
        <w:separator/>
      </w:r>
    </w:p>
    <w:p w:rsidR="00FF0666" w:rsidRDefault="00FF0666"/>
    <w:p w:rsidR="00FF0666" w:rsidRDefault="00FF0666"/>
    <w:p w:rsidR="00FF0666" w:rsidRDefault="00FF0666"/>
    <w:p w:rsidR="00FF0666" w:rsidRDefault="00FF0666"/>
  </w:endnote>
  <w:endnote w:type="continuationSeparator" w:id="0">
    <w:p w:rsidR="00FF0666" w:rsidRDefault="00FF0666">
      <w:r>
        <w:continuationSeparator/>
      </w:r>
    </w:p>
    <w:p w:rsidR="00FF0666" w:rsidRDefault="00FF0666"/>
    <w:p w:rsidR="00FF0666" w:rsidRDefault="00FF0666"/>
    <w:p w:rsidR="00FF0666" w:rsidRDefault="00FF0666"/>
    <w:p w:rsidR="00FF0666" w:rsidRDefault="00FF0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ADBF07E-5271-4615-8CFD-9BAE128EA475}"/>
    <w:embedBold r:id="rId2" w:fontKey="{E2698E4C-4A93-4B54-90D0-005EFB94A012}"/>
  </w:font>
  <w:font w:name="Calibri">
    <w:panose1 w:val="020F0502020204030204"/>
    <w:charset w:val="00"/>
    <w:family w:val="swiss"/>
    <w:pitch w:val="variable"/>
    <w:sig w:usb0="E00002FF" w:usb1="4000ACFF" w:usb2="00000001" w:usb3="00000000" w:csb0="0000019F" w:csb1="00000000"/>
    <w:embedRegular r:id="rId3" w:fontKey="{8E86FC04-46BC-4DA2-9F1B-1B6F01F45A59}"/>
    <w:embedBold r:id="rId4" w:fontKey="{B342D554-375D-4AC8-A96C-5B486BF17411}"/>
    <w:embedItalic r:id="rId5" w:fontKey="{1CD507C9-9301-47EC-A374-AB044D2AD573}"/>
    <w:embedBoldItalic r:id="rId6" w:fontKey="{996A577C-CE73-4AB4-A5A1-9EF7976825EB}"/>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FontAwesome">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1)">
    <w:altName w:val="Arial"/>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ZWAdobeF">
    <w:panose1 w:val="00000000000000000000"/>
    <w:charset w:val="00"/>
    <w:family w:val="auto"/>
    <w:pitch w:val="variable"/>
    <w:sig w:usb0="20002A87" w:usb1="00000000" w:usb2="00000000" w:usb3="00000000" w:csb0="000001FF" w:csb1="00000000"/>
    <w:embedRegular r:id="rId7" w:subsetted="1" w:fontKey="{A6476C80-DD2D-4114-AC2E-016F067E2C16}"/>
  </w:font>
  <w:font w:name="Source Sans Pro">
    <w:panose1 w:val="00000000000000000000"/>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Footer"/>
    </w:pPr>
    <w:r>
      <w:fldChar w:fldCharType="begin"/>
    </w:r>
    <w:r>
      <w:instrText xml:space="preserve"> PAGE   \* MERGEFORMAT </w:instrText>
    </w:r>
    <w:r>
      <w:fldChar w:fldCharType="separate"/>
    </w:r>
    <w:r w:rsidR="00102753">
      <w:rPr>
        <w:noProof/>
      </w:rPr>
      <w:t>xii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3" w:rsidRDefault="001027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3" w:rsidRDefault="001027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Footer"/>
      <w:jc w:val="right"/>
    </w:pPr>
    <w:r>
      <w:fldChar w:fldCharType="begin"/>
    </w:r>
    <w:r>
      <w:instrText xml:space="preserve"> PAGE   \* MERGEFORMAT </w:instrText>
    </w:r>
    <w:r>
      <w:fldChar w:fldCharType="separate"/>
    </w:r>
    <w:r w:rsidR="00102753">
      <w:rPr>
        <w:noProof/>
      </w:rPr>
      <w:t>ix</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Footer"/>
      <w:jc w:val="right"/>
    </w:pPr>
    <w:r>
      <w:fldChar w:fldCharType="begin"/>
    </w:r>
    <w:r>
      <w:instrText xml:space="preserve"> PAGE   \* MERGEFORMAT </w:instrText>
    </w:r>
    <w:r>
      <w:fldChar w:fldCharType="separate"/>
    </w:r>
    <w:r w:rsidR="00102753">
      <w:rPr>
        <w:noProof/>
      </w:rPr>
      <w:t>xi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Footer"/>
      <w:jc w:val="right"/>
    </w:pPr>
    <w:r>
      <w:fldChar w:fldCharType="begin"/>
    </w:r>
    <w:r>
      <w:instrText xml:space="preserve"> PAGE   \* MERGEFORMAT </w:instrText>
    </w:r>
    <w:r>
      <w:fldChar w:fldCharType="separate"/>
    </w:r>
    <w:r w:rsidR="00102753">
      <w:rPr>
        <w:noProof/>
      </w:rPr>
      <w:t>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Pr="004D2594" w:rsidRDefault="00FF0666" w:rsidP="004D2594">
    <w:pPr>
      <w:pStyle w:val="Footer"/>
    </w:pPr>
    <w:r>
      <w:fldChar w:fldCharType="begin"/>
    </w:r>
    <w:r>
      <w:instrText xml:space="preserve"> PAGE   \* MERGEFORMAT </w:instrText>
    </w:r>
    <w:r>
      <w:fldChar w:fldCharType="separate"/>
    </w:r>
    <w:r w:rsidR="00102753">
      <w:rPr>
        <w:noProof/>
      </w:rPr>
      <w:t>50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Footer"/>
      <w:jc w:val="right"/>
    </w:pPr>
    <w:r>
      <w:fldChar w:fldCharType="begin"/>
    </w:r>
    <w:r>
      <w:instrText xml:space="preserve"> PAGE   \* MERGEFORMAT </w:instrText>
    </w:r>
    <w:r>
      <w:fldChar w:fldCharType="separate"/>
    </w:r>
    <w:r w:rsidR="00102753">
      <w:rPr>
        <w:noProof/>
      </w:rPr>
      <w:t>53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Footer"/>
      <w:jc w:val="right"/>
    </w:pPr>
    <w:r>
      <w:fldChar w:fldCharType="begin"/>
    </w:r>
    <w:r>
      <w:instrText xml:space="preserve"> PAGE   \* MERGEFORMAT </w:instrText>
    </w:r>
    <w:r>
      <w:fldChar w:fldCharType="separate"/>
    </w:r>
    <w:r w:rsidR="00102753">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666" w:rsidRDefault="00FF0666">
      <w:r>
        <w:separator/>
      </w:r>
    </w:p>
  </w:footnote>
  <w:footnote w:type="continuationSeparator" w:id="0">
    <w:p w:rsidR="00FF0666" w:rsidRDefault="00FF0666">
      <w:r>
        <w:continuationSeparator/>
      </w:r>
    </w:p>
    <w:p w:rsidR="00FF0666" w:rsidRDefault="00FF0666"/>
    <w:p w:rsidR="00FF0666" w:rsidRDefault="00FF0666"/>
    <w:p w:rsidR="00FF0666" w:rsidRDefault="00FF0666"/>
    <w:p w:rsidR="00FF0666" w:rsidRDefault="00FF0666"/>
  </w:footnote>
  <w:footnote w:id="1">
    <w:p w:rsidR="00FF0666" w:rsidRDefault="00FF0666" w:rsidP="00F712A2">
      <w:pPr>
        <w:pStyle w:val="FootnoteText"/>
      </w:pPr>
      <w:r>
        <w:rPr>
          <w:rStyle w:val="FootnoteReference"/>
          <w:rFonts w:eastAsiaTheme="majorEastAsia"/>
        </w:rPr>
        <w:footnoteRef/>
      </w:r>
      <w:r>
        <w:t xml:space="preserve"> ACT Legislative Assembly, </w:t>
      </w:r>
      <w:r w:rsidRPr="007E1CED">
        <w:rPr>
          <w:i/>
        </w:rPr>
        <w:t>Minutes of Proceedings</w:t>
      </w:r>
      <w:r>
        <w:t xml:space="preserve">, No. 51, 21 March 2018, pp. 738; </w:t>
      </w:r>
      <w:r w:rsidRPr="00E3464B">
        <w:rPr>
          <w:i/>
        </w:rPr>
        <w:t>Hansard</w:t>
      </w:r>
      <w:r>
        <w:t>, 21 March 2018, p. 839.</w:t>
      </w:r>
    </w:p>
  </w:footnote>
  <w:footnote w:id="2">
    <w:p w:rsidR="00FF0666" w:rsidRDefault="00FF0666" w:rsidP="00F712A2">
      <w:pPr>
        <w:pStyle w:val="FootnoteText"/>
      </w:pPr>
      <w:r>
        <w:rPr>
          <w:rStyle w:val="FootnoteReference"/>
          <w:rFonts w:eastAsiaTheme="majorEastAsia"/>
        </w:rPr>
        <w:footnoteRef/>
      </w:r>
      <w:r>
        <w:t xml:space="preserve"> </w:t>
      </w:r>
      <w:r w:rsidRPr="0092798A">
        <w:rPr>
          <w:szCs w:val="18"/>
        </w:rPr>
        <w:t xml:space="preserve">ACT Legislative Assembly, </w:t>
      </w:r>
      <w:r w:rsidRPr="0092798A">
        <w:rPr>
          <w:i/>
          <w:szCs w:val="18"/>
        </w:rPr>
        <w:t>Minutes of Proceedings</w:t>
      </w:r>
      <w:r w:rsidRPr="0092798A">
        <w:rPr>
          <w:szCs w:val="18"/>
        </w:rPr>
        <w:t>, No. 2, 13 December 2016, pp. 13–16.</w:t>
      </w:r>
    </w:p>
  </w:footnote>
  <w:footnote w:id="3">
    <w:p w:rsidR="00FF0666" w:rsidRDefault="00FF0666">
      <w:pPr>
        <w:pStyle w:val="FootnoteText"/>
      </w:pPr>
      <w:r>
        <w:rPr>
          <w:rStyle w:val="FootnoteReference"/>
        </w:rPr>
        <w:footnoteRef/>
      </w:r>
      <w:r>
        <w:t xml:space="preserve"> </w:t>
      </w:r>
      <w:r w:rsidRPr="0092798A">
        <w:rPr>
          <w:szCs w:val="18"/>
        </w:rPr>
        <w:t xml:space="preserve">ACT Legislative Assembly, </w:t>
      </w:r>
      <w:r w:rsidRPr="0092798A">
        <w:rPr>
          <w:i/>
          <w:szCs w:val="18"/>
        </w:rPr>
        <w:t>Minutes of Proceedings</w:t>
      </w:r>
      <w:r>
        <w:rPr>
          <w:szCs w:val="18"/>
        </w:rPr>
        <w:t>, No. 73</w:t>
      </w:r>
      <w:r w:rsidRPr="0092798A">
        <w:rPr>
          <w:szCs w:val="18"/>
        </w:rPr>
        <w:t xml:space="preserve">, </w:t>
      </w:r>
      <w:r>
        <w:rPr>
          <w:szCs w:val="18"/>
        </w:rPr>
        <w:t>20 September 2018, p. 1028.</w:t>
      </w:r>
    </w:p>
  </w:footnote>
  <w:footnote w:id="4">
    <w:p w:rsidR="00FF0666" w:rsidRDefault="00FF0666" w:rsidP="00F712A2">
      <w:pPr>
        <w:pStyle w:val="FootnoteText"/>
      </w:pPr>
      <w:r>
        <w:rPr>
          <w:rStyle w:val="FootnoteReference"/>
        </w:rPr>
        <w:footnoteRef/>
      </w:r>
      <w:r>
        <w:t xml:space="preserve"> ACT Legislative Assembly, </w:t>
      </w:r>
      <w:r w:rsidRPr="00385712">
        <w:rPr>
          <w:i/>
        </w:rPr>
        <w:t>Minutes</w:t>
      </w:r>
      <w:r>
        <w:t>, 8 May 2018, p. 804.</w:t>
      </w:r>
    </w:p>
  </w:footnote>
  <w:footnote w:id="5">
    <w:p w:rsidR="00FF0666" w:rsidRDefault="00FF0666">
      <w:pPr>
        <w:pStyle w:val="FootnoteText"/>
      </w:pPr>
      <w:r>
        <w:rPr>
          <w:rStyle w:val="FootnoteReference"/>
        </w:rPr>
        <w:footnoteRef/>
      </w:r>
      <w:r>
        <w:t xml:space="preserve"> ACT Legislative Assembly, </w:t>
      </w:r>
      <w:r w:rsidRPr="00385712">
        <w:rPr>
          <w:i/>
        </w:rPr>
        <w:t>Minutes</w:t>
      </w:r>
      <w:r>
        <w:t>, 8 May 2018, p. 804.</w:t>
      </w:r>
    </w:p>
  </w:footnote>
  <w:footnote w:id="6">
    <w:p w:rsidR="00FF0666" w:rsidRDefault="00FF0666">
      <w:pPr>
        <w:pStyle w:val="FootnoteText"/>
      </w:pPr>
      <w:r>
        <w:rPr>
          <w:rStyle w:val="FootnoteReference"/>
        </w:rPr>
        <w:footnoteRef/>
      </w:r>
      <w:r>
        <w:t xml:space="preserve"> ACT Legislative Assembly, </w:t>
      </w:r>
      <w:r w:rsidRPr="00A10992">
        <w:rPr>
          <w:i/>
        </w:rPr>
        <w:t>Minutes of Proceedings No. 54</w:t>
      </w:r>
      <w:r>
        <w:t>, 11 April 2018, p. 769.</w:t>
      </w:r>
    </w:p>
  </w:footnote>
  <w:footnote w:id="7">
    <w:p w:rsidR="00FF0666" w:rsidRDefault="00FF0666">
      <w:pPr>
        <w:pStyle w:val="FootnoteText"/>
      </w:pPr>
      <w:r>
        <w:rPr>
          <w:rStyle w:val="FootnoteReference"/>
        </w:rPr>
        <w:footnoteRef/>
      </w:r>
      <w:r>
        <w:t xml:space="preserve"> ACT Legislative Assembly, Justice and Safety Committee (Legislation Scrutiny Role) , </w:t>
      </w:r>
      <w:r w:rsidRPr="00670BE3">
        <w:rPr>
          <w:i/>
        </w:rPr>
        <w:t>Report no. 17</w:t>
      </w:r>
      <w:r>
        <w:t>, 4 May 2018</w:t>
      </w:r>
    </w:p>
  </w:footnote>
  <w:footnote w:id="8">
    <w:p w:rsidR="00FF0666" w:rsidRDefault="00FF0666">
      <w:pPr>
        <w:pStyle w:val="FootnoteText"/>
      </w:pPr>
      <w:r>
        <w:rPr>
          <w:rStyle w:val="FootnoteReference"/>
        </w:rPr>
        <w:footnoteRef/>
      </w:r>
      <w:r>
        <w:t xml:space="preserve"> Letter from ACT Attorney-General, Gordon Ramsay MLA dated 27 September 2018</w:t>
      </w:r>
    </w:p>
  </w:footnote>
  <w:footnote w:id="9">
    <w:p w:rsidR="00FF0666" w:rsidRDefault="00FF0666">
      <w:pPr>
        <w:pStyle w:val="FootnoteText"/>
      </w:pPr>
      <w:r>
        <w:rPr>
          <w:rStyle w:val="FootnoteReference"/>
        </w:rPr>
        <w:footnoteRef/>
      </w:r>
      <w:r>
        <w:t xml:space="preserve"> Explanatory Statement, p. 1.</w:t>
      </w:r>
    </w:p>
  </w:footnote>
  <w:footnote w:id="10">
    <w:p w:rsidR="00FF0666" w:rsidRDefault="00FF0666">
      <w:pPr>
        <w:pStyle w:val="FootnoteText"/>
      </w:pPr>
      <w:r>
        <w:rPr>
          <w:rStyle w:val="FootnoteReference"/>
        </w:rPr>
        <w:footnoteRef/>
      </w:r>
      <w:r>
        <w:t xml:space="preserve"> Explanatory Statement, pp 2-3.</w:t>
      </w:r>
    </w:p>
  </w:footnote>
  <w:footnote w:id="11">
    <w:p w:rsidR="00FF0666" w:rsidRDefault="00FF0666">
      <w:pPr>
        <w:pStyle w:val="FootnoteText"/>
      </w:pPr>
      <w:r>
        <w:rPr>
          <w:rStyle w:val="FootnoteReference"/>
        </w:rPr>
        <w:footnoteRef/>
      </w:r>
      <w:r>
        <w:t xml:space="preserve"> </w:t>
      </w:r>
    </w:p>
  </w:footnote>
  <w:footnote w:id="12">
    <w:p w:rsidR="00FF0666" w:rsidRDefault="00FF0666">
      <w:pPr>
        <w:pStyle w:val="FootnoteText"/>
      </w:pPr>
      <w:r>
        <w:rPr>
          <w:rStyle w:val="FootnoteReference"/>
        </w:rPr>
        <w:footnoteRef/>
      </w:r>
      <w:r>
        <w:t xml:space="preserve"> </w:t>
      </w:r>
      <w:r w:rsidRPr="0063785D">
        <w:rPr>
          <w:i/>
        </w:rPr>
        <w:t xml:space="preserve">Explanatory </w:t>
      </w:r>
      <w:r>
        <w:rPr>
          <w:i/>
        </w:rPr>
        <w:t>Statement</w:t>
      </w:r>
      <w:r>
        <w:t>, p. 3.</w:t>
      </w:r>
    </w:p>
  </w:footnote>
  <w:footnote w:id="13">
    <w:p w:rsidR="00FF0666" w:rsidRDefault="00FF0666">
      <w:pPr>
        <w:pStyle w:val="FootnoteText"/>
      </w:pPr>
      <w:r>
        <w:rPr>
          <w:rStyle w:val="FootnoteReference"/>
        </w:rPr>
        <w:footnoteRef/>
      </w:r>
      <w:r>
        <w:t xml:space="preserve"> Explanatory Statement, pp. 4-5.</w:t>
      </w:r>
    </w:p>
  </w:footnote>
  <w:footnote w:id="14">
    <w:p w:rsidR="00FF0666" w:rsidRDefault="00FF0666">
      <w:pPr>
        <w:pStyle w:val="FootnoteText"/>
      </w:pPr>
      <w:r>
        <w:rPr>
          <w:rStyle w:val="FootnoteReference"/>
        </w:rPr>
        <w:footnoteRef/>
      </w:r>
      <w:r>
        <w:t xml:space="preserve"> Explanatory Statement, p. 5.</w:t>
      </w:r>
    </w:p>
  </w:footnote>
  <w:footnote w:id="15">
    <w:p w:rsidR="00FF0666" w:rsidRDefault="00FF0666">
      <w:pPr>
        <w:pStyle w:val="FootnoteText"/>
      </w:pPr>
      <w:r>
        <w:rPr>
          <w:rStyle w:val="FootnoteReference"/>
        </w:rPr>
        <w:footnoteRef/>
      </w:r>
      <w:r>
        <w:t xml:space="preserve"> ACT Legislative Assembly, </w:t>
      </w:r>
      <w:r w:rsidRPr="00DF7253">
        <w:rPr>
          <w:i/>
        </w:rPr>
        <w:t>Hansard</w:t>
      </w:r>
      <w:r>
        <w:t>, 11 April 2018, p. 1212.</w:t>
      </w:r>
    </w:p>
  </w:footnote>
  <w:footnote w:id="16">
    <w:p w:rsidR="00FF0666" w:rsidRDefault="00FF0666">
      <w:pPr>
        <w:pStyle w:val="FootnoteText"/>
      </w:pPr>
      <w:r>
        <w:rPr>
          <w:rStyle w:val="FootnoteReference"/>
        </w:rPr>
        <w:footnoteRef/>
      </w:r>
      <w:r>
        <w:t xml:space="preserve"> ACT Legislative Assembly, Justice and Community Safety Committee, (Legislation Scrutiny), </w:t>
      </w:r>
      <w:r w:rsidRPr="00AE284F">
        <w:rPr>
          <w:i/>
        </w:rPr>
        <w:t>Scrutiny Report No 17</w:t>
      </w:r>
      <w:r>
        <w:t>, 4 May 2018, p. 2</w:t>
      </w:r>
    </w:p>
  </w:footnote>
  <w:footnote w:id="17">
    <w:p w:rsidR="00FF0666" w:rsidRDefault="00FF0666">
      <w:pPr>
        <w:pStyle w:val="FootnoteText"/>
      </w:pPr>
      <w:r>
        <w:rPr>
          <w:rStyle w:val="FootnoteReference"/>
        </w:rPr>
        <w:footnoteRef/>
      </w:r>
      <w:r>
        <w:t xml:space="preserve"> ACT Legislative Assembly, Justice and Community Safety Committee, (Legislation Scrutiny), </w:t>
      </w:r>
      <w:r w:rsidRPr="00AE284F">
        <w:rPr>
          <w:i/>
        </w:rPr>
        <w:t>Scrutiny Report No 17</w:t>
      </w:r>
      <w:r>
        <w:t>, 4 May 2018, p. 2</w:t>
      </w:r>
    </w:p>
  </w:footnote>
  <w:footnote w:id="18">
    <w:p w:rsidR="00FF0666" w:rsidRDefault="00FF0666">
      <w:pPr>
        <w:pStyle w:val="FootnoteText"/>
      </w:pPr>
      <w:r>
        <w:rPr>
          <w:rStyle w:val="FootnoteReference"/>
        </w:rPr>
        <w:footnoteRef/>
      </w:r>
      <w:r>
        <w:t xml:space="preserve"> ACT Legislative Assembly, Justice and Community Safety Committee, (Legislation Scrutiny), </w:t>
      </w:r>
      <w:r w:rsidRPr="00AE284F">
        <w:rPr>
          <w:i/>
        </w:rPr>
        <w:t>Scrutiny Report No 17</w:t>
      </w:r>
      <w:r>
        <w:t>, 4 May 2018, p. 3.</w:t>
      </w:r>
    </w:p>
  </w:footnote>
  <w:footnote w:id="19">
    <w:p w:rsidR="00FF0666" w:rsidRDefault="00FF0666">
      <w:pPr>
        <w:pStyle w:val="FootnoteText"/>
      </w:pPr>
      <w:r>
        <w:rPr>
          <w:rStyle w:val="FootnoteReference"/>
        </w:rPr>
        <w:footnoteRef/>
      </w:r>
      <w:r>
        <w:t xml:space="preserve"> ACT Legislative Assembly, Justice and Community Safety Committee, (Legislation Scrutiny), </w:t>
      </w:r>
      <w:r w:rsidRPr="00AE284F">
        <w:rPr>
          <w:i/>
        </w:rPr>
        <w:t>Scrutiny Report No 17</w:t>
      </w:r>
      <w:r>
        <w:t>, 4 May 2018, p. 3.</w:t>
      </w:r>
    </w:p>
  </w:footnote>
  <w:footnote w:id="20">
    <w:p w:rsidR="00FF0666" w:rsidRDefault="00FF0666">
      <w:pPr>
        <w:pStyle w:val="FootnoteText"/>
      </w:pPr>
      <w:r>
        <w:rPr>
          <w:rStyle w:val="FootnoteReference"/>
        </w:rPr>
        <w:footnoteRef/>
      </w:r>
      <w:r>
        <w:t xml:space="preserve"> Caroline Le Couteur MLA</w:t>
      </w:r>
      <w:r w:rsidRPr="00196F0A">
        <w:rPr>
          <w:i/>
        </w:rPr>
        <w:t>, Submission 2</w:t>
      </w:r>
      <w:r>
        <w:rPr>
          <w:i/>
        </w:rPr>
        <w:t>3</w:t>
      </w:r>
      <w:r>
        <w:t>, p, 1.</w:t>
      </w:r>
    </w:p>
  </w:footnote>
  <w:footnote w:id="21">
    <w:p w:rsidR="00FF0666" w:rsidRDefault="00FF0666">
      <w:pPr>
        <w:pStyle w:val="FootnoteText"/>
      </w:pPr>
      <w:r>
        <w:rPr>
          <w:rStyle w:val="FootnoteReference"/>
        </w:rPr>
        <w:footnoteRef/>
      </w:r>
      <w:r>
        <w:t xml:space="preserve"> Caroline Le Couteur MLA</w:t>
      </w:r>
      <w:r w:rsidRPr="00196F0A">
        <w:rPr>
          <w:i/>
        </w:rPr>
        <w:t>, Submission 2</w:t>
      </w:r>
      <w:r>
        <w:t xml:space="preserve">, pp. 1-2 (particularly the list of attachments to the submission, pp. 3 following). See also Caroline Le Couteur MLA, </w:t>
      </w:r>
      <w:r w:rsidRPr="00196F0A">
        <w:rPr>
          <w:i/>
        </w:rPr>
        <w:t>Submission 23.</w:t>
      </w:r>
    </w:p>
  </w:footnote>
  <w:footnote w:id="22">
    <w:p w:rsidR="00FF0666" w:rsidRDefault="00FF0666">
      <w:pPr>
        <w:pStyle w:val="FootnoteText"/>
      </w:pPr>
      <w:r>
        <w:rPr>
          <w:rStyle w:val="FootnoteReference"/>
        </w:rPr>
        <w:footnoteRef/>
      </w:r>
      <w:r>
        <w:t xml:space="preserve"> Caroline Le Couteur MLA, </w:t>
      </w:r>
      <w:r w:rsidRPr="00B14015">
        <w:rPr>
          <w:i/>
        </w:rPr>
        <w:t>Submission 23</w:t>
      </w:r>
      <w:r>
        <w:t>, p. 1.</w:t>
      </w:r>
    </w:p>
  </w:footnote>
  <w:footnote w:id="23">
    <w:p w:rsidR="00FF0666" w:rsidRDefault="00FF0666" w:rsidP="00E87093">
      <w:pPr>
        <w:pStyle w:val="FootnoteText"/>
      </w:pPr>
      <w:r>
        <w:rPr>
          <w:rStyle w:val="FootnoteReference"/>
        </w:rPr>
        <w:footnoteRef/>
      </w:r>
      <w:r>
        <w:t xml:space="preserve"> Caroline Le Couteur MLA, </w:t>
      </w:r>
      <w:r w:rsidRPr="00B14015">
        <w:rPr>
          <w:i/>
        </w:rPr>
        <w:t>Submission 23</w:t>
      </w:r>
      <w:r>
        <w:t>, p. 1.</w:t>
      </w:r>
    </w:p>
  </w:footnote>
  <w:footnote w:id="24">
    <w:p w:rsidR="00FF0666" w:rsidRDefault="00FF0666">
      <w:pPr>
        <w:pStyle w:val="FootnoteText"/>
      </w:pPr>
      <w:r>
        <w:rPr>
          <w:rStyle w:val="FootnoteReference"/>
        </w:rPr>
        <w:footnoteRef/>
      </w:r>
      <w:r>
        <w:t xml:space="preserve"> Caroline Le Couteur MLA, </w:t>
      </w:r>
      <w:r w:rsidRPr="00B14015">
        <w:rPr>
          <w:i/>
        </w:rPr>
        <w:t>Submission 23</w:t>
      </w:r>
      <w:r>
        <w:t>, p. 4.</w:t>
      </w:r>
    </w:p>
  </w:footnote>
  <w:footnote w:id="25">
    <w:p w:rsidR="00FF0666" w:rsidRDefault="00FF0666" w:rsidP="00211168">
      <w:pPr>
        <w:pStyle w:val="FootnoteText"/>
      </w:pPr>
      <w:r>
        <w:rPr>
          <w:rStyle w:val="FootnoteReference"/>
        </w:rPr>
        <w:footnoteRef/>
      </w:r>
      <w:r>
        <w:t xml:space="preserve"> Caroline Le Couteur MLA, </w:t>
      </w:r>
      <w:r w:rsidRPr="00B14015">
        <w:rPr>
          <w:i/>
        </w:rPr>
        <w:t>Submission 23</w:t>
      </w:r>
      <w:r>
        <w:t>, p. 5.</w:t>
      </w:r>
    </w:p>
    <w:p w:rsidR="00FF0666" w:rsidRDefault="00FF0666">
      <w:pPr>
        <w:pStyle w:val="FootnoteText"/>
      </w:pPr>
    </w:p>
  </w:footnote>
  <w:footnote w:id="26">
    <w:p w:rsidR="00FF0666" w:rsidRDefault="00FF0666">
      <w:pPr>
        <w:pStyle w:val="FootnoteText"/>
      </w:pPr>
      <w:r>
        <w:rPr>
          <w:rStyle w:val="FootnoteReference"/>
        </w:rPr>
        <w:footnoteRef/>
      </w:r>
      <w:r>
        <w:t xml:space="preserve"> ACT DPP, </w:t>
      </w:r>
      <w:r w:rsidRPr="000B15A4">
        <w:rPr>
          <w:i/>
        </w:rPr>
        <w:t>Submission 10</w:t>
      </w:r>
      <w:r>
        <w:t>, p. 1</w:t>
      </w:r>
    </w:p>
  </w:footnote>
  <w:footnote w:id="27">
    <w:p w:rsidR="00FF0666" w:rsidRDefault="00FF0666">
      <w:pPr>
        <w:pStyle w:val="FootnoteText"/>
      </w:pPr>
      <w:r>
        <w:rPr>
          <w:rStyle w:val="FootnoteReference"/>
        </w:rPr>
        <w:footnoteRef/>
      </w:r>
      <w:r>
        <w:t xml:space="preserve"> ACT DPP, </w:t>
      </w:r>
      <w:r w:rsidRPr="000B15A4">
        <w:rPr>
          <w:i/>
        </w:rPr>
        <w:t>Submission 10</w:t>
      </w:r>
      <w:r>
        <w:t>, pp. 2-3.</w:t>
      </w:r>
    </w:p>
  </w:footnote>
  <w:footnote w:id="28">
    <w:p w:rsidR="00FF0666" w:rsidRDefault="00FF0666">
      <w:pPr>
        <w:pStyle w:val="FootnoteText"/>
      </w:pPr>
      <w:r>
        <w:rPr>
          <w:rStyle w:val="FootnoteReference"/>
        </w:rPr>
        <w:footnoteRef/>
      </w:r>
      <w:r>
        <w:t xml:space="preserve"> ACT DPP, </w:t>
      </w:r>
      <w:r w:rsidRPr="000B15A4">
        <w:rPr>
          <w:i/>
        </w:rPr>
        <w:t>Submission 10</w:t>
      </w:r>
      <w:r>
        <w:t xml:space="preserve">, p. 4. </w:t>
      </w:r>
    </w:p>
  </w:footnote>
  <w:footnote w:id="29">
    <w:p w:rsidR="00FF0666" w:rsidRDefault="00FF0666">
      <w:pPr>
        <w:pStyle w:val="FootnoteText"/>
      </w:pPr>
      <w:r>
        <w:rPr>
          <w:rStyle w:val="FootnoteReference"/>
        </w:rPr>
        <w:footnoteRef/>
      </w:r>
      <w:r>
        <w:t xml:space="preserve"> DPP, </w:t>
      </w:r>
      <w:r w:rsidRPr="004E5897">
        <w:rPr>
          <w:i/>
        </w:rPr>
        <w:t>Transcript of Evidence</w:t>
      </w:r>
      <w:r>
        <w:t>, 28 September 2018, p. 21.</w:t>
      </w:r>
    </w:p>
  </w:footnote>
  <w:footnote w:id="30">
    <w:p w:rsidR="00FF0666" w:rsidRDefault="00FF0666">
      <w:pPr>
        <w:pStyle w:val="FootnoteText"/>
      </w:pPr>
      <w:r>
        <w:rPr>
          <w:rStyle w:val="FootnoteReference"/>
        </w:rPr>
        <w:footnoteRef/>
      </w:r>
      <w:r>
        <w:t xml:space="preserve"> DPP, </w:t>
      </w:r>
      <w:r w:rsidRPr="004E5897">
        <w:rPr>
          <w:i/>
        </w:rPr>
        <w:t>Transcript of Evidence</w:t>
      </w:r>
      <w:r>
        <w:t>, 28 September 2018, p. 21.</w:t>
      </w:r>
    </w:p>
  </w:footnote>
  <w:footnote w:id="31">
    <w:p w:rsidR="00FF0666" w:rsidRDefault="00FF0666">
      <w:pPr>
        <w:pStyle w:val="FootnoteText"/>
      </w:pPr>
      <w:r>
        <w:rPr>
          <w:rStyle w:val="FootnoteReference"/>
        </w:rPr>
        <w:footnoteRef/>
      </w:r>
      <w:r>
        <w:t xml:space="preserve"> DPP, </w:t>
      </w:r>
      <w:r w:rsidRPr="004E5897">
        <w:rPr>
          <w:i/>
        </w:rPr>
        <w:t>Transcript of Evidence</w:t>
      </w:r>
      <w:r>
        <w:t>, 28 September 2018, p. 22.</w:t>
      </w:r>
    </w:p>
  </w:footnote>
  <w:footnote w:id="32">
    <w:p w:rsidR="00FF0666" w:rsidRDefault="00FF0666">
      <w:pPr>
        <w:pStyle w:val="FootnoteText"/>
      </w:pPr>
      <w:r>
        <w:rPr>
          <w:rStyle w:val="FootnoteReference"/>
        </w:rPr>
        <w:footnoteRef/>
      </w:r>
      <w:r>
        <w:t xml:space="preserve"> DPP, </w:t>
      </w:r>
      <w:r w:rsidRPr="004E5897">
        <w:rPr>
          <w:i/>
        </w:rPr>
        <w:t>Transcript of Evidence</w:t>
      </w:r>
      <w:r>
        <w:t>, 28 September 2018, p. 24.</w:t>
      </w:r>
    </w:p>
  </w:footnote>
  <w:footnote w:id="33">
    <w:p w:rsidR="00FF0666" w:rsidRDefault="00FF0666">
      <w:pPr>
        <w:pStyle w:val="FootnoteText"/>
      </w:pPr>
      <w:r>
        <w:rPr>
          <w:rStyle w:val="FootnoteReference"/>
        </w:rPr>
        <w:footnoteRef/>
      </w:r>
      <w:r>
        <w:t xml:space="preserve"> ACT Bar Association, </w:t>
      </w:r>
      <w:r w:rsidRPr="00EB25B2">
        <w:rPr>
          <w:i/>
        </w:rPr>
        <w:t>Submission 3</w:t>
      </w:r>
      <w:r>
        <w:t xml:space="preserve">, pp. 3-4 </w:t>
      </w:r>
    </w:p>
  </w:footnote>
  <w:footnote w:id="34">
    <w:p w:rsidR="00FF0666" w:rsidRDefault="00FF0666" w:rsidP="00EB25B2">
      <w:pPr>
        <w:pStyle w:val="FootnoteText"/>
      </w:pPr>
      <w:r>
        <w:rPr>
          <w:rStyle w:val="FootnoteReference"/>
        </w:rPr>
        <w:footnoteRef/>
      </w:r>
      <w:r>
        <w:t xml:space="preserve"> ACT Bar Association, </w:t>
      </w:r>
      <w:r w:rsidRPr="00EB25B2">
        <w:rPr>
          <w:i/>
        </w:rPr>
        <w:t>Submission 3</w:t>
      </w:r>
      <w:r>
        <w:t xml:space="preserve">, pp. 3-4 </w:t>
      </w:r>
    </w:p>
    <w:p w:rsidR="00FF0666" w:rsidRDefault="00FF0666">
      <w:pPr>
        <w:pStyle w:val="FootnoteText"/>
      </w:pPr>
    </w:p>
  </w:footnote>
  <w:footnote w:id="35">
    <w:p w:rsidR="00FF0666" w:rsidRDefault="00FF0666">
      <w:pPr>
        <w:pStyle w:val="FootnoteText"/>
      </w:pPr>
      <w:r>
        <w:rPr>
          <w:rStyle w:val="FootnoteReference"/>
        </w:rPr>
        <w:footnoteRef/>
      </w:r>
      <w:r>
        <w:t xml:space="preserve"> ACT Bar Association,</w:t>
      </w:r>
      <w:r w:rsidRPr="0044228F">
        <w:rPr>
          <w:i/>
        </w:rPr>
        <w:t xml:space="preserve"> Transcript of Evidence</w:t>
      </w:r>
      <w:r>
        <w:t>, 9 October 2018, p. 52.</w:t>
      </w:r>
    </w:p>
  </w:footnote>
  <w:footnote w:id="36">
    <w:p w:rsidR="00FF0666" w:rsidRDefault="00FF0666">
      <w:pPr>
        <w:pStyle w:val="FootnoteText"/>
      </w:pPr>
      <w:r>
        <w:rPr>
          <w:rStyle w:val="FootnoteReference"/>
        </w:rPr>
        <w:footnoteRef/>
      </w:r>
      <w:r>
        <w:t xml:space="preserve"> ACT Bar Association,</w:t>
      </w:r>
      <w:r w:rsidRPr="0044228F">
        <w:rPr>
          <w:i/>
        </w:rPr>
        <w:t xml:space="preserve"> Transcript of Evidence</w:t>
      </w:r>
      <w:r>
        <w:t>, 9 October 2018, p. 52.</w:t>
      </w:r>
    </w:p>
  </w:footnote>
  <w:footnote w:id="37">
    <w:p w:rsidR="00FF0666" w:rsidRDefault="00FF0666">
      <w:pPr>
        <w:pStyle w:val="FootnoteText"/>
      </w:pPr>
      <w:r>
        <w:rPr>
          <w:rStyle w:val="FootnoteReference"/>
        </w:rPr>
        <w:footnoteRef/>
      </w:r>
      <w:r>
        <w:t xml:space="preserve"> ACT Bar Association,</w:t>
      </w:r>
      <w:r w:rsidRPr="0044228F">
        <w:rPr>
          <w:i/>
        </w:rPr>
        <w:t xml:space="preserve"> Transcript of Evidence</w:t>
      </w:r>
      <w:r>
        <w:t>, 9 October 2018, p. 53.</w:t>
      </w:r>
    </w:p>
  </w:footnote>
  <w:footnote w:id="38">
    <w:p w:rsidR="00FF0666" w:rsidRDefault="00FF0666">
      <w:pPr>
        <w:pStyle w:val="FootnoteText"/>
      </w:pPr>
      <w:r>
        <w:rPr>
          <w:rStyle w:val="FootnoteReference"/>
        </w:rPr>
        <w:footnoteRef/>
      </w:r>
      <w:r>
        <w:t xml:space="preserve"> ACT Bar Association,</w:t>
      </w:r>
      <w:r w:rsidRPr="0044228F">
        <w:rPr>
          <w:i/>
        </w:rPr>
        <w:t xml:space="preserve"> Transcript of Evidence</w:t>
      </w:r>
      <w:r>
        <w:t>, 9 October 2018, p. 55.</w:t>
      </w:r>
    </w:p>
  </w:footnote>
  <w:footnote w:id="39">
    <w:p w:rsidR="00FF0666" w:rsidRDefault="00FF0666">
      <w:pPr>
        <w:pStyle w:val="FootnoteText"/>
      </w:pPr>
      <w:r>
        <w:rPr>
          <w:rStyle w:val="FootnoteReference"/>
        </w:rPr>
        <w:footnoteRef/>
      </w:r>
      <w:r>
        <w:t xml:space="preserve"> ACT Law Society, </w:t>
      </w:r>
      <w:r w:rsidRPr="00B91F26">
        <w:rPr>
          <w:i/>
        </w:rPr>
        <w:t>Submission 22</w:t>
      </w:r>
      <w:r>
        <w:t>, p. 1</w:t>
      </w:r>
    </w:p>
  </w:footnote>
  <w:footnote w:id="40">
    <w:p w:rsidR="00FF0666" w:rsidRDefault="00FF0666">
      <w:pPr>
        <w:pStyle w:val="FootnoteText"/>
      </w:pPr>
      <w:r>
        <w:rPr>
          <w:rStyle w:val="FootnoteReference"/>
        </w:rPr>
        <w:footnoteRef/>
      </w:r>
      <w:r>
        <w:t xml:space="preserve"> ACT Law Society, </w:t>
      </w:r>
      <w:r w:rsidRPr="00B91F26">
        <w:rPr>
          <w:i/>
        </w:rPr>
        <w:t>Submission 22</w:t>
      </w:r>
      <w:r>
        <w:t>, p. 2</w:t>
      </w:r>
    </w:p>
  </w:footnote>
  <w:footnote w:id="41">
    <w:p w:rsidR="00FF0666" w:rsidRDefault="00FF0666">
      <w:pPr>
        <w:pStyle w:val="FootnoteText"/>
      </w:pPr>
      <w:r>
        <w:rPr>
          <w:rStyle w:val="FootnoteReference"/>
        </w:rPr>
        <w:footnoteRef/>
      </w:r>
      <w:r>
        <w:t xml:space="preserve"> ACT Law Society, </w:t>
      </w:r>
      <w:r w:rsidRPr="00B91F26">
        <w:rPr>
          <w:i/>
        </w:rPr>
        <w:t>Submission 22</w:t>
      </w:r>
      <w:r>
        <w:t>, p. 3</w:t>
      </w:r>
    </w:p>
  </w:footnote>
  <w:footnote w:id="42">
    <w:p w:rsidR="00FF0666" w:rsidRDefault="00FF0666">
      <w:pPr>
        <w:pStyle w:val="FootnoteText"/>
      </w:pPr>
      <w:r>
        <w:rPr>
          <w:rStyle w:val="FootnoteReference"/>
        </w:rPr>
        <w:footnoteRef/>
      </w:r>
      <w:r>
        <w:t xml:space="preserve"> ACT Law Society, </w:t>
      </w:r>
      <w:r w:rsidRPr="00B91F26">
        <w:rPr>
          <w:i/>
        </w:rPr>
        <w:t>Submission 22</w:t>
      </w:r>
      <w:r>
        <w:t>, p. 3</w:t>
      </w:r>
    </w:p>
  </w:footnote>
  <w:footnote w:id="43">
    <w:p w:rsidR="00FF0666" w:rsidRDefault="00FF0666">
      <w:pPr>
        <w:pStyle w:val="FootnoteText"/>
      </w:pPr>
      <w:r>
        <w:rPr>
          <w:rStyle w:val="FootnoteReference"/>
        </w:rPr>
        <w:footnoteRef/>
      </w:r>
      <w:r>
        <w:t xml:space="preserve"> ACT Law Society, </w:t>
      </w:r>
      <w:r w:rsidRPr="00B91F26">
        <w:rPr>
          <w:i/>
        </w:rPr>
        <w:t>Submission 22</w:t>
      </w:r>
      <w:r>
        <w:t>, p. 3</w:t>
      </w:r>
    </w:p>
  </w:footnote>
  <w:footnote w:id="44">
    <w:p w:rsidR="00FF0666" w:rsidRDefault="00FF0666">
      <w:pPr>
        <w:pStyle w:val="FootnoteText"/>
      </w:pPr>
      <w:r>
        <w:rPr>
          <w:rStyle w:val="FootnoteReference"/>
        </w:rPr>
        <w:footnoteRef/>
      </w:r>
      <w:r>
        <w:t xml:space="preserve"> ACT Law Society, </w:t>
      </w:r>
      <w:r w:rsidRPr="00B91F26">
        <w:rPr>
          <w:i/>
        </w:rPr>
        <w:t>Submission 22</w:t>
      </w:r>
      <w:r>
        <w:t>, p. 3</w:t>
      </w:r>
    </w:p>
  </w:footnote>
  <w:footnote w:id="45">
    <w:p w:rsidR="00FF0666" w:rsidRDefault="00FF0666">
      <w:pPr>
        <w:pStyle w:val="FootnoteText"/>
      </w:pPr>
      <w:r>
        <w:rPr>
          <w:rStyle w:val="FootnoteReference"/>
        </w:rPr>
        <w:footnoteRef/>
      </w:r>
      <w:r>
        <w:t xml:space="preserve"> ACT Law Society, </w:t>
      </w:r>
      <w:r w:rsidRPr="006F47DF">
        <w:rPr>
          <w:i/>
        </w:rPr>
        <w:t>Transcript of Evidence</w:t>
      </w:r>
      <w:r>
        <w:t>, 9 October 2018, p. 59.</w:t>
      </w:r>
    </w:p>
  </w:footnote>
  <w:footnote w:id="46">
    <w:p w:rsidR="00FF0666" w:rsidRDefault="00FF0666">
      <w:pPr>
        <w:pStyle w:val="FootnoteText"/>
      </w:pPr>
      <w:r>
        <w:rPr>
          <w:rStyle w:val="FootnoteReference"/>
        </w:rPr>
        <w:footnoteRef/>
      </w:r>
      <w:r>
        <w:t xml:space="preserve"> ACT Law Society, </w:t>
      </w:r>
      <w:r w:rsidRPr="006F47DF">
        <w:rPr>
          <w:i/>
        </w:rPr>
        <w:t>Transcript of Evidence</w:t>
      </w:r>
      <w:r>
        <w:t>, 9 October 2018, p. 60</w:t>
      </w:r>
    </w:p>
  </w:footnote>
  <w:footnote w:id="47">
    <w:p w:rsidR="00FF0666" w:rsidRDefault="00FF0666">
      <w:pPr>
        <w:pStyle w:val="FootnoteText"/>
      </w:pPr>
      <w:r>
        <w:rPr>
          <w:rStyle w:val="FootnoteReference"/>
        </w:rPr>
        <w:footnoteRef/>
      </w:r>
      <w:r>
        <w:t xml:space="preserve"> ACT Law Society, </w:t>
      </w:r>
      <w:r w:rsidRPr="006F47DF">
        <w:rPr>
          <w:i/>
        </w:rPr>
        <w:t>Transcript of Evidence</w:t>
      </w:r>
      <w:r>
        <w:t>, 9 October 2018, p. 60</w:t>
      </w:r>
    </w:p>
  </w:footnote>
  <w:footnote w:id="48">
    <w:p w:rsidR="00FF0666" w:rsidRDefault="00FF0666">
      <w:pPr>
        <w:pStyle w:val="FootnoteText"/>
      </w:pPr>
      <w:r>
        <w:rPr>
          <w:rStyle w:val="FootnoteReference"/>
        </w:rPr>
        <w:footnoteRef/>
      </w:r>
      <w:r>
        <w:t xml:space="preserve"> ACT Law Society, </w:t>
      </w:r>
      <w:r w:rsidRPr="006F47DF">
        <w:rPr>
          <w:i/>
        </w:rPr>
        <w:t>Transcript of Evidence</w:t>
      </w:r>
      <w:r>
        <w:t>, 9 October 2018, pp. 60-61</w:t>
      </w:r>
    </w:p>
  </w:footnote>
  <w:footnote w:id="49">
    <w:p w:rsidR="00FF0666" w:rsidRDefault="00FF0666" w:rsidP="00396B9A">
      <w:pPr>
        <w:pStyle w:val="FootnoteText"/>
      </w:pPr>
      <w:r>
        <w:rPr>
          <w:rStyle w:val="FootnoteReference"/>
        </w:rPr>
        <w:footnoteRef/>
      </w:r>
      <w:r>
        <w:t xml:space="preserve"> ACT Law Society, </w:t>
      </w:r>
      <w:r w:rsidRPr="006F47DF">
        <w:rPr>
          <w:i/>
        </w:rPr>
        <w:t>Transcript of Evidence</w:t>
      </w:r>
      <w:r>
        <w:t>, 9 October 2018, p. 63.</w:t>
      </w:r>
    </w:p>
  </w:footnote>
  <w:footnote w:id="50">
    <w:p w:rsidR="00FF0666" w:rsidRDefault="00FF0666">
      <w:pPr>
        <w:pStyle w:val="FootnoteText"/>
      </w:pPr>
      <w:r>
        <w:rPr>
          <w:rStyle w:val="FootnoteReference"/>
        </w:rPr>
        <w:footnoteRef/>
      </w:r>
      <w:r>
        <w:t xml:space="preserve"> </w:t>
      </w:r>
      <w:r w:rsidRPr="004E234A">
        <w:rPr>
          <w:i/>
        </w:rPr>
        <w:t>See</w:t>
      </w:r>
      <w:r>
        <w:t xml:space="preserve">, Caroline Le Couteur MLA, </w:t>
      </w:r>
      <w:r w:rsidRPr="004E234A">
        <w:rPr>
          <w:i/>
        </w:rPr>
        <w:t>Submission 2,</w:t>
      </w:r>
      <w:r>
        <w:t xml:space="preserve"> </w:t>
      </w:r>
      <w:r w:rsidRPr="004E234A">
        <w:rPr>
          <w:i/>
        </w:rPr>
        <w:t>(Attachment 9)</w:t>
      </w:r>
      <w:r>
        <w:t xml:space="preserve"> ACT Human Rights Commission.</w:t>
      </w:r>
    </w:p>
  </w:footnote>
  <w:footnote w:id="51">
    <w:p w:rsidR="00FF0666" w:rsidRDefault="00FF0666">
      <w:pPr>
        <w:pStyle w:val="FootnoteText"/>
      </w:pPr>
      <w:r>
        <w:rPr>
          <w:rStyle w:val="FootnoteReference"/>
        </w:rPr>
        <w:footnoteRef/>
      </w:r>
      <w:r>
        <w:t xml:space="preserve"> ACT HRC, </w:t>
      </w:r>
      <w:r w:rsidRPr="00BC2218">
        <w:rPr>
          <w:i/>
        </w:rPr>
        <w:t>Transcript of Evidence</w:t>
      </w:r>
      <w:r>
        <w:t>, 9 October 2018, p. 75.</w:t>
      </w:r>
    </w:p>
  </w:footnote>
  <w:footnote w:id="52">
    <w:p w:rsidR="00FF0666" w:rsidRDefault="00FF0666">
      <w:pPr>
        <w:pStyle w:val="FootnoteText"/>
      </w:pPr>
      <w:r>
        <w:rPr>
          <w:rStyle w:val="FootnoteReference"/>
        </w:rPr>
        <w:footnoteRef/>
      </w:r>
      <w:r>
        <w:t xml:space="preserve"> ACT HRC, </w:t>
      </w:r>
      <w:r w:rsidRPr="00BC2218">
        <w:rPr>
          <w:i/>
        </w:rPr>
        <w:t>Transcript of Evidence</w:t>
      </w:r>
      <w:r>
        <w:t>, 9 October 2018, p. 77.</w:t>
      </w:r>
    </w:p>
  </w:footnote>
  <w:footnote w:id="53">
    <w:p w:rsidR="00FF0666" w:rsidRDefault="00FF0666">
      <w:pPr>
        <w:pStyle w:val="FootnoteText"/>
      </w:pPr>
      <w:r>
        <w:rPr>
          <w:rStyle w:val="FootnoteReference"/>
        </w:rPr>
        <w:footnoteRef/>
      </w:r>
      <w:r>
        <w:t xml:space="preserve"> ACT HRC, </w:t>
      </w:r>
      <w:r w:rsidRPr="00BC2218">
        <w:rPr>
          <w:i/>
        </w:rPr>
        <w:t>Transcript of Evidence</w:t>
      </w:r>
      <w:r>
        <w:t>, 9 October 2018, p. 77.</w:t>
      </w:r>
    </w:p>
  </w:footnote>
  <w:footnote w:id="54">
    <w:p w:rsidR="00FF0666" w:rsidRDefault="00FF0666">
      <w:pPr>
        <w:pStyle w:val="FootnoteText"/>
      </w:pPr>
      <w:r>
        <w:rPr>
          <w:rStyle w:val="FootnoteReference"/>
        </w:rPr>
        <w:footnoteRef/>
      </w:r>
      <w:r>
        <w:t xml:space="preserve"> ACT HRC, </w:t>
      </w:r>
      <w:r w:rsidRPr="00BC2218">
        <w:rPr>
          <w:i/>
        </w:rPr>
        <w:t>Transcript of Evidence</w:t>
      </w:r>
      <w:r>
        <w:t>, 9 October 2018, p. 80.</w:t>
      </w:r>
    </w:p>
  </w:footnote>
  <w:footnote w:id="55">
    <w:p w:rsidR="00FF0666" w:rsidRDefault="00FF0666">
      <w:pPr>
        <w:pStyle w:val="FootnoteText"/>
      </w:pPr>
      <w:r>
        <w:rPr>
          <w:rStyle w:val="FootnoteReference"/>
        </w:rPr>
        <w:footnoteRef/>
      </w:r>
      <w:r>
        <w:t xml:space="preserve"> ACT Legal Aid, </w:t>
      </w:r>
      <w:r w:rsidRPr="00144554">
        <w:rPr>
          <w:i/>
        </w:rPr>
        <w:t>Transcript Of Evidence</w:t>
      </w:r>
      <w:r>
        <w:t>, 9 October 2018, pp. 88-89.</w:t>
      </w:r>
    </w:p>
  </w:footnote>
  <w:footnote w:id="56">
    <w:p w:rsidR="00FF0666" w:rsidRDefault="00FF0666">
      <w:pPr>
        <w:pStyle w:val="FootnoteText"/>
      </w:pPr>
      <w:r>
        <w:rPr>
          <w:rStyle w:val="FootnoteReference"/>
        </w:rPr>
        <w:footnoteRef/>
      </w:r>
      <w:r>
        <w:t xml:space="preserve"> </w:t>
      </w:r>
      <w:r w:rsidRPr="009B4AE9">
        <w:rPr>
          <w:i/>
        </w:rPr>
        <w:t>Submission 24</w:t>
      </w:r>
      <w:r>
        <w:t>.</w:t>
      </w:r>
    </w:p>
  </w:footnote>
  <w:footnote w:id="57">
    <w:p w:rsidR="00FF0666" w:rsidRDefault="00FF0666">
      <w:pPr>
        <w:pStyle w:val="FootnoteText"/>
      </w:pPr>
      <w:r>
        <w:rPr>
          <w:rStyle w:val="FootnoteReference"/>
        </w:rPr>
        <w:footnoteRef/>
      </w:r>
      <w:r>
        <w:t xml:space="preserve"> </w:t>
      </w:r>
      <w:r w:rsidRPr="009B4AE9">
        <w:rPr>
          <w:i/>
        </w:rPr>
        <w:t>Submission 25.</w:t>
      </w:r>
    </w:p>
  </w:footnote>
  <w:footnote w:id="58">
    <w:p w:rsidR="00FF0666" w:rsidRDefault="00FF0666" w:rsidP="009B4AE9">
      <w:pPr>
        <w:pStyle w:val="FootnoteText"/>
      </w:pPr>
      <w:r>
        <w:rPr>
          <w:rStyle w:val="FootnoteReference"/>
        </w:rPr>
        <w:footnoteRef/>
      </w:r>
      <w:r>
        <w:t xml:space="preserve"> </w:t>
      </w:r>
      <w:r>
        <w:rPr>
          <w:i/>
        </w:rPr>
        <w:t>Submission 18.</w:t>
      </w:r>
    </w:p>
  </w:footnote>
  <w:footnote w:id="59">
    <w:p w:rsidR="00FF0666" w:rsidRDefault="00FF0666" w:rsidP="009B4AE9">
      <w:pPr>
        <w:pStyle w:val="FootnoteText"/>
      </w:pPr>
      <w:r>
        <w:rPr>
          <w:rStyle w:val="FootnoteReference"/>
        </w:rPr>
        <w:footnoteRef/>
      </w:r>
      <w:r>
        <w:t xml:space="preserve"> </w:t>
      </w:r>
      <w:r>
        <w:rPr>
          <w:i/>
        </w:rPr>
        <w:t>Submission 27.</w:t>
      </w:r>
    </w:p>
  </w:footnote>
  <w:footnote w:id="60">
    <w:p w:rsidR="00FF0666" w:rsidRDefault="00FF0666" w:rsidP="009B4AE9">
      <w:pPr>
        <w:pStyle w:val="FootnoteText"/>
      </w:pPr>
      <w:r>
        <w:rPr>
          <w:rStyle w:val="FootnoteReference"/>
        </w:rPr>
        <w:footnoteRef/>
      </w:r>
      <w:r>
        <w:t xml:space="preserve"> </w:t>
      </w:r>
      <w:r>
        <w:rPr>
          <w:i/>
        </w:rPr>
        <w:t>Submission 11.</w:t>
      </w:r>
    </w:p>
  </w:footnote>
  <w:footnote w:id="61">
    <w:p w:rsidR="00FF0666" w:rsidRDefault="00FF0666" w:rsidP="009B4AE9">
      <w:pPr>
        <w:pStyle w:val="FootnoteText"/>
      </w:pPr>
      <w:r>
        <w:rPr>
          <w:rStyle w:val="FootnoteReference"/>
        </w:rPr>
        <w:footnoteRef/>
      </w:r>
      <w:r>
        <w:t xml:space="preserve"> </w:t>
      </w:r>
      <w:r>
        <w:rPr>
          <w:i/>
        </w:rPr>
        <w:t>Submission 18.</w:t>
      </w:r>
    </w:p>
  </w:footnote>
  <w:footnote w:id="62">
    <w:p w:rsidR="00FF0666" w:rsidRDefault="00FF0666" w:rsidP="009B4AE9">
      <w:pPr>
        <w:pStyle w:val="FootnoteText"/>
      </w:pPr>
      <w:r>
        <w:rPr>
          <w:rStyle w:val="FootnoteReference"/>
        </w:rPr>
        <w:footnoteRef/>
      </w:r>
      <w:r>
        <w:t xml:space="preserve"> </w:t>
      </w:r>
      <w:r>
        <w:rPr>
          <w:i/>
        </w:rPr>
        <w:t>Submission 26.</w:t>
      </w:r>
    </w:p>
  </w:footnote>
  <w:footnote w:id="63">
    <w:p w:rsidR="00FF0666" w:rsidRDefault="00FF0666" w:rsidP="009B4AE9">
      <w:pPr>
        <w:pStyle w:val="FootnoteText"/>
      </w:pPr>
      <w:r>
        <w:rPr>
          <w:rStyle w:val="FootnoteReference"/>
        </w:rPr>
        <w:footnoteRef/>
      </w:r>
      <w:r>
        <w:t xml:space="preserve"> </w:t>
      </w:r>
      <w:r>
        <w:rPr>
          <w:i/>
        </w:rPr>
        <w:t>Submission 28.</w:t>
      </w:r>
    </w:p>
  </w:footnote>
  <w:footnote w:id="64">
    <w:p w:rsidR="00FF0666" w:rsidRDefault="00FF0666" w:rsidP="009B4AE9">
      <w:pPr>
        <w:pStyle w:val="FootnoteText"/>
      </w:pPr>
      <w:r>
        <w:rPr>
          <w:rStyle w:val="FootnoteReference"/>
        </w:rPr>
        <w:footnoteRef/>
      </w:r>
      <w:r>
        <w:t xml:space="preserve"> </w:t>
      </w:r>
      <w:r>
        <w:rPr>
          <w:i/>
        </w:rPr>
        <w:t>Submission 20.</w:t>
      </w:r>
    </w:p>
  </w:footnote>
  <w:footnote w:id="65">
    <w:p w:rsidR="00FF0666" w:rsidRDefault="00FF0666" w:rsidP="007721CD">
      <w:pPr>
        <w:pStyle w:val="FootnoteText"/>
      </w:pPr>
      <w:r>
        <w:rPr>
          <w:rStyle w:val="FootnoteReference"/>
        </w:rPr>
        <w:footnoteRef/>
      </w:r>
      <w:r>
        <w:t xml:space="preserve"> </w:t>
      </w:r>
      <w:r>
        <w:rPr>
          <w:i/>
        </w:rPr>
        <w:t>Submission 19.</w:t>
      </w:r>
    </w:p>
  </w:footnote>
  <w:footnote w:id="66">
    <w:p w:rsidR="00FF0666" w:rsidRDefault="00FF0666" w:rsidP="007721CD">
      <w:pPr>
        <w:pStyle w:val="FootnoteText"/>
      </w:pPr>
      <w:r>
        <w:rPr>
          <w:rStyle w:val="FootnoteReference"/>
        </w:rPr>
        <w:footnoteRef/>
      </w:r>
      <w:r>
        <w:t xml:space="preserve"> </w:t>
      </w:r>
      <w:r>
        <w:rPr>
          <w:i/>
        </w:rPr>
        <w:t>Submission 16.</w:t>
      </w:r>
    </w:p>
  </w:footnote>
  <w:footnote w:id="67">
    <w:p w:rsidR="00FF0666" w:rsidRDefault="00FF0666" w:rsidP="00E87093">
      <w:pPr>
        <w:pStyle w:val="FootnoteText"/>
      </w:pPr>
      <w:r>
        <w:rPr>
          <w:rStyle w:val="FootnoteReference"/>
        </w:rPr>
        <w:footnoteRef/>
      </w:r>
      <w:r>
        <w:t xml:space="preserve"> </w:t>
      </w:r>
      <w:r>
        <w:rPr>
          <w:i/>
        </w:rPr>
        <w:t>Submission 17.</w:t>
      </w:r>
    </w:p>
  </w:footnote>
  <w:footnote w:id="68">
    <w:p w:rsidR="00FF0666" w:rsidRDefault="00FF0666">
      <w:pPr>
        <w:pStyle w:val="FootnoteText"/>
      </w:pPr>
      <w:r>
        <w:rPr>
          <w:rStyle w:val="FootnoteReference"/>
        </w:rPr>
        <w:footnoteRef/>
      </w:r>
      <w:r>
        <w:t xml:space="preserve"> YWCA Canberra, </w:t>
      </w:r>
      <w:r w:rsidRPr="00621EFB">
        <w:rPr>
          <w:i/>
        </w:rPr>
        <w:t>Transcript of Evidence</w:t>
      </w:r>
      <w:r>
        <w:t>, 28 September 2018, p.28.</w:t>
      </w:r>
    </w:p>
  </w:footnote>
  <w:footnote w:id="69">
    <w:p w:rsidR="00FF0666" w:rsidRDefault="00FF0666">
      <w:pPr>
        <w:pStyle w:val="FootnoteText"/>
      </w:pPr>
      <w:r>
        <w:rPr>
          <w:rStyle w:val="FootnoteReference"/>
        </w:rPr>
        <w:footnoteRef/>
      </w:r>
      <w:r>
        <w:t xml:space="preserve"> YWCA Canberra, </w:t>
      </w:r>
      <w:r w:rsidRPr="00621EFB">
        <w:rPr>
          <w:i/>
        </w:rPr>
        <w:t>Transcript of Evidence</w:t>
      </w:r>
      <w:r>
        <w:t>, 28 September 2018, p.30.</w:t>
      </w:r>
    </w:p>
  </w:footnote>
  <w:footnote w:id="70">
    <w:p w:rsidR="00FF0666" w:rsidRDefault="00FF0666">
      <w:pPr>
        <w:pStyle w:val="FootnoteText"/>
      </w:pPr>
      <w:r>
        <w:rPr>
          <w:rStyle w:val="FootnoteReference"/>
        </w:rPr>
        <w:footnoteRef/>
      </w:r>
      <w:r>
        <w:t xml:space="preserve"> Young Women Speak Out, </w:t>
      </w:r>
      <w:r w:rsidRPr="00384C12">
        <w:rPr>
          <w:i/>
        </w:rPr>
        <w:t>Tran</w:t>
      </w:r>
      <w:r>
        <w:rPr>
          <w:i/>
        </w:rPr>
        <w:t xml:space="preserve">script of </w:t>
      </w:r>
      <w:r w:rsidRPr="00384C12">
        <w:rPr>
          <w:i/>
        </w:rPr>
        <w:t>Evidence</w:t>
      </w:r>
      <w:r>
        <w:t>, 28 September 2018, p. 35.</w:t>
      </w:r>
    </w:p>
  </w:footnote>
  <w:footnote w:id="71">
    <w:p w:rsidR="00FF0666" w:rsidRDefault="00FF0666">
      <w:pPr>
        <w:pStyle w:val="FootnoteText"/>
      </w:pPr>
      <w:r>
        <w:rPr>
          <w:rStyle w:val="FootnoteReference"/>
        </w:rPr>
        <w:footnoteRef/>
      </w:r>
      <w:r>
        <w:t xml:space="preserve"> Youth Coalition of the ACT, </w:t>
      </w:r>
      <w:r w:rsidRPr="00384C12">
        <w:rPr>
          <w:i/>
        </w:rPr>
        <w:t>Transcript of Evidence</w:t>
      </w:r>
      <w:r>
        <w:t>, 28 September 2018, p. 43.</w:t>
      </w:r>
    </w:p>
  </w:footnote>
  <w:footnote w:id="72">
    <w:p w:rsidR="00FF0666" w:rsidRDefault="00FF0666">
      <w:pPr>
        <w:pStyle w:val="FootnoteText"/>
      </w:pPr>
      <w:r>
        <w:rPr>
          <w:rStyle w:val="FootnoteReference"/>
        </w:rPr>
        <w:footnoteRef/>
      </w:r>
      <w:r>
        <w:t xml:space="preserve"> Sexual Health and Family Planning ACT, </w:t>
      </w:r>
      <w:r w:rsidRPr="00E25764">
        <w:rPr>
          <w:i/>
        </w:rPr>
        <w:t>Transcript of Eviden</w:t>
      </w:r>
      <w:r>
        <w:rPr>
          <w:i/>
        </w:rPr>
        <w:t>ce</w:t>
      </w:r>
      <w:r>
        <w:t xml:space="preserve">, 2 October 2018, pp. 35-36... </w:t>
      </w:r>
    </w:p>
  </w:footnote>
  <w:footnote w:id="73">
    <w:p w:rsidR="00FF0666" w:rsidRDefault="00FF0666">
      <w:pPr>
        <w:pStyle w:val="FootnoteText"/>
      </w:pPr>
      <w:r>
        <w:rPr>
          <w:rStyle w:val="FootnoteReference"/>
        </w:rPr>
        <w:footnoteRef/>
      </w:r>
      <w:r>
        <w:t xml:space="preserve"> Sexual Health and Family Planning ACT, </w:t>
      </w:r>
      <w:r w:rsidRPr="009143AF">
        <w:rPr>
          <w:i/>
        </w:rPr>
        <w:t>Transcript of Evidence</w:t>
      </w:r>
      <w:r>
        <w:t>, 2 October 2018, pp. 40-41.</w:t>
      </w:r>
    </w:p>
  </w:footnote>
  <w:footnote w:id="74">
    <w:p w:rsidR="00FF0666" w:rsidRDefault="00FF0666">
      <w:pPr>
        <w:pStyle w:val="FootnoteText"/>
      </w:pPr>
      <w:r>
        <w:rPr>
          <w:rStyle w:val="FootnoteReference"/>
        </w:rPr>
        <w:footnoteRef/>
      </w:r>
      <w:r>
        <w:t xml:space="preserve"> Women’s centre for Health matters, </w:t>
      </w:r>
      <w:r w:rsidRPr="009143AF">
        <w:rPr>
          <w:i/>
        </w:rPr>
        <w:t>Transcript of Evidence</w:t>
      </w:r>
      <w:r>
        <w:t xml:space="preserve">, 2 October 2018, pp. 43-44. </w:t>
      </w:r>
    </w:p>
  </w:footnote>
  <w:footnote w:id="75">
    <w:p w:rsidR="00FF0666" w:rsidRDefault="00FF0666">
      <w:pPr>
        <w:pStyle w:val="FootnoteText"/>
      </w:pPr>
      <w:r>
        <w:rPr>
          <w:rStyle w:val="FootnoteReference"/>
        </w:rPr>
        <w:footnoteRef/>
      </w:r>
      <w:r>
        <w:t xml:space="preserve"> Women’s Centre for Health matters, </w:t>
      </w:r>
      <w:r w:rsidRPr="009143AF">
        <w:rPr>
          <w:i/>
        </w:rPr>
        <w:t>Transcript of Evidence</w:t>
      </w:r>
      <w:r>
        <w:t>, 2 October 2018, p. 45.</w:t>
      </w:r>
    </w:p>
  </w:footnote>
  <w:footnote w:id="76">
    <w:p w:rsidR="00FF0666" w:rsidRDefault="00FF0666">
      <w:pPr>
        <w:pStyle w:val="FootnoteText"/>
      </w:pPr>
      <w:r>
        <w:rPr>
          <w:rStyle w:val="FootnoteReference"/>
        </w:rPr>
        <w:footnoteRef/>
      </w:r>
      <w:r>
        <w:t xml:space="preserve"> Women With Disabilities ACT, </w:t>
      </w:r>
      <w:r w:rsidRPr="0073174D">
        <w:rPr>
          <w:i/>
        </w:rPr>
        <w:t>Transcript of Evidence</w:t>
      </w:r>
      <w:r>
        <w:t>, 9 October 2018, p. 67.</w:t>
      </w:r>
    </w:p>
  </w:footnote>
  <w:footnote w:id="77">
    <w:p w:rsidR="00FF0666" w:rsidRDefault="00FF0666">
      <w:pPr>
        <w:pStyle w:val="FootnoteText"/>
      </w:pPr>
      <w:r>
        <w:rPr>
          <w:rStyle w:val="FootnoteReference"/>
        </w:rPr>
        <w:footnoteRef/>
      </w:r>
      <w:r>
        <w:t xml:space="preserve"> Women With Disabilities ACT, </w:t>
      </w:r>
      <w:r w:rsidRPr="0073174D">
        <w:rPr>
          <w:i/>
        </w:rPr>
        <w:t>Transcript of Evidence</w:t>
      </w:r>
      <w:r>
        <w:t>, 9 October 2018, p. 69.</w:t>
      </w:r>
    </w:p>
  </w:footnote>
  <w:footnote w:id="78">
    <w:p w:rsidR="00FF0666" w:rsidRDefault="00FF0666">
      <w:pPr>
        <w:pStyle w:val="FootnoteText"/>
      </w:pPr>
      <w:r>
        <w:rPr>
          <w:rStyle w:val="FootnoteReference"/>
        </w:rPr>
        <w:footnoteRef/>
      </w:r>
      <w:r>
        <w:t xml:space="preserve"> Advocacy for Inclusion, </w:t>
      </w:r>
      <w:r w:rsidRPr="00F43418">
        <w:rPr>
          <w:i/>
        </w:rPr>
        <w:t>Transcript of Evidence</w:t>
      </w:r>
      <w:r>
        <w:t>, 9 October 2018, p. 74.</w:t>
      </w:r>
    </w:p>
  </w:footnote>
  <w:footnote w:id="79">
    <w:p w:rsidR="00FF0666" w:rsidRDefault="00FF0666">
      <w:pPr>
        <w:pStyle w:val="FootnoteText"/>
      </w:pPr>
      <w:r>
        <w:rPr>
          <w:rStyle w:val="FootnoteReference"/>
        </w:rPr>
        <w:footnoteRef/>
      </w:r>
      <w:r>
        <w:t xml:space="preserve"> Rape and Domestic Violence Service Australia, </w:t>
      </w:r>
      <w:r w:rsidRPr="00F43418">
        <w:rPr>
          <w:i/>
        </w:rPr>
        <w:t>Transcript of Evidence</w:t>
      </w:r>
      <w:r>
        <w:t xml:space="preserve">, 9 October 2018, p. </w:t>
      </w:r>
    </w:p>
  </w:footnote>
  <w:footnote w:id="80">
    <w:p w:rsidR="00FF0666" w:rsidRDefault="00FF0666">
      <w:pPr>
        <w:pStyle w:val="FootnoteText"/>
      </w:pPr>
      <w:r>
        <w:rPr>
          <w:rStyle w:val="FootnoteReference"/>
        </w:rPr>
        <w:footnoteRef/>
      </w:r>
      <w:r>
        <w:t xml:space="preserve"> ACT DPP, </w:t>
      </w:r>
      <w:r w:rsidRPr="00A7335C">
        <w:rPr>
          <w:i/>
        </w:rPr>
        <w:t>Submission 10</w:t>
      </w:r>
      <w:r>
        <w:t>, pp. 4-5.</w:t>
      </w:r>
    </w:p>
  </w:footnote>
  <w:footnote w:id="81">
    <w:p w:rsidR="00FF0666" w:rsidRDefault="00FF0666">
      <w:pPr>
        <w:pStyle w:val="FootnoteText"/>
      </w:pPr>
      <w:r>
        <w:rPr>
          <w:rStyle w:val="FootnoteReference"/>
        </w:rPr>
        <w:footnoteRef/>
      </w:r>
      <w:r>
        <w:t xml:space="preserve"> ACT DPP, </w:t>
      </w:r>
      <w:r w:rsidRPr="00A40866">
        <w:rPr>
          <w:i/>
        </w:rPr>
        <w:t>Submission 10</w:t>
      </w:r>
      <w:r>
        <w:t>, p. 4</w:t>
      </w:r>
    </w:p>
  </w:footnote>
  <w:footnote w:id="82">
    <w:p w:rsidR="00FF0666" w:rsidRDefault="00FF0666">
      <w:pPr>
        <w:pStyle w:val="FootnoteText"/>
      </w:pPr>
      <w:r>
        <w:rPr>
          <w:rStyle w:val="FootnoteReference"/>
        </w:rPr>
        <w:footnoteRef/>
      </w:r>
      <w:r>
        <w:t xml:space="preserve"> Attorney-General for NSW, Media Release, </w:t>
      </w:r>
      <w:r w:rsidRPr="00503186">
        <w:rPr>
          <w:i/>
        </w:rPr>
        <w:t>‘</w:t>
      </w:r>
      <w:r>
        <w:rPr>
          <w:i/>
        </w:rPr>
        <w:t>Sexual Consent Laws to be reviewed</w:t>
      </w:r>
      <w:r w:rsidRPr="00503186">
        <w:rPr>
          <w:i/>
        </w:rPr>
        <w:t>’</w:t>
      </w:r>
      <w:r>
        <w:t xml:space="preserve">, 8 May 2018. </w:t>
      </w:r>
      <w:hyperlink r:id="rId1" w:history="1">
        <w:r w:rsidRPr="00CB4DA6">
          <w:rPr>
            <w:rStyle w:val="Hyperlink"/>
          </w:rPr>
          <w:t>https://www.justice.nsw.gov.au/Pages/media-news/media-releases/2018/sexual-consent-laws-to-be-reviewed.aspx</w:t>
        </w:r>
      </w:hyperlink>
    </w:p>
  </w:footnote>
  <w:footnote w:id="83">
    <w:p w:rsidR="00FF0666" w:rsidRDefault="00FF0666" w:rsidP="009A4BCD">
      <w:pPr>
        <w:spacing w:before="0" w:after="0" w:line="240" w:lineRule="auto"/>
      </w:pPr>
      <w:r>
        <w:rPr>
          <w:rStyle w:val="FootnoteReference"/>
        </w:rPr>
        <w:footnoteRef/>
      </w:r>
      <w:r>
        <w:t xml:space="preserve"> </w:t>
      </w:r>
      <w:r w:rsidRPr="00722ECB">
        <w:rPr>
          <w:sz w:val="18"/>
          <w:szCs w:val="18"/>
        </w:rPr>
        <w:t>See</w:t>
      </w:r>
      <w:r w:rsidRPr="00722ECB">
        <w:rPr>
          <w:i/>
          <w:sz w:val="18"/>
          <w:szCs w:val="18"/>
        </w:rPr>
        <w:t>, R v Lazarus</w:t>
      </w:r>
      <w:r w:rsidRPr="00722ECB">
        <w:rPr>
          <w:sz w:val="18"/>
          <w:szCs w:val="18"/>
        </w:rPr>
        <w:t>, [2017], NSWCCA, 279</w:t>
      </w:r>
      <w:r>
        <w:t>.</w:t>
      </w:r>
    </w:p>
  </w:footnote>
  <w:footnote w:id="84">
    <w:p w:rsidR="00FF0666" w:rsidRDefault="00FF0666">
      <w:pPr>
        <w:pStyle w:val="FootnoteText"/>
      </w:pPr>
      <w:r>
        <w:rPr>
          <w:rStyle w:val="FootnoteReference"/>
        </w:rPr>
        <w:footnoteRef/>
      </w:r>
      <w:r>
        <w:t xml:space="preserve"> NSW Law Reform Commission, </w:t>
      </w:r>
      <w:r w:rsidRPr="005017CF">
        <w:rPr>
          <w:i/>
        </w:rPr>
        <w:t>Consu</w:t>
      </w:r>
      <w:r>
        <w:rPr>
          <w:i/>
        </w:rPr>
        <w:t>ltation P</w:t>
      </w:r>
      <w:r w:rsidRPr="005017CF">
        <w:rPr>
          <w:i/>
        </w:rPr>
        <w:t>aper 21</w:t>
      </w:r>
      <w:r>
        <w:t>,’ Consent in relation to sexual offences’, October 2018,</w:t>
      </w:r>
    </w:p>
    <w:p w:rsidR="00FF0666" w:rsidRDefault="00FF0666">
      <w:pPr>
        <w:pStyle w:val="FootnoteText"/>
      </w:pPr>
      <w:r>
        <w:t>,</w:t>
      </w:r>
      <w:hyperlink r:id="rId2" w:history="1">
        <w:r w:rsidRPr="00EC7622">
          <w:rPr>
            <w:rStyle w:val="Hyperlink"/>
          </w:rPr>
          <w:t>https://www.lawreform.justice.nsw.gov.au/Documents/Publications/Consultation-Papers/CP21.pdf</w:t>
        </w:r>
      </w:hyperlink>
    </w:p>
    <w:p w:rsidR="00FF0666" w:rsidRDefault="00FF0666">
      <w:pPr>
        <w:pStyle w:val="FootnoteText"/>
      </w:pPr>
    </w:p>
  </w:footnote>
  <w:footnote w:id="85">
    <w:p w:rsidR="00FF0666" w:rsidRDefault="00FF0666">
      <w:pPr>
        <w:pStyle w:val="FootnoteText"/>
      </w:pPr>
      <w:r>
        <w:rPr>
          <w:rStyle w:val="FootnoteReference"/>
        </w:rPr>
        <w:footnoteRef/>
      </w:r>
      <w:r>
        <w:t xml:space="preserve"> Cockburn, Helen, </w:t>
      </w:r>
      <w:r w:rsidRPr="004C3009">
        <w:rPr>
          <w:i/>
        </w:rPr>
        <w:t>The Impact of Introducing an Affirmative Model of Consent and Changes to the Defence of Mistake in Tasmanian Rape Trials</w:t>
      </w:r>
      <w:r>
        <w:t>, PH. D Thesis, Univ. of Tasmania, June 2012.</w:t>
      </w:r>
      <w:r w:rsidRPr="004C3009">
        <w:t xml:space="preserve"> </w:t>
      </w:r>
      <w:hyperlink r:id="rId3" w:history="1">
        <w:r w:rsidRPr="00CB4DA6">
          <w:rPr>
            <w:rStyle w:val="Hyperlink"/>
          </w:rPr>
          <w:t>https://eprints.utas.edu.au/14748/2/whole-cockburn-thesis.pdfSee</w:t>
        </w:r>
      </w:hyperlink>
      <w:r>
        <w:t xml:space="preserve">, </w:t>
      </w:r>
    </w:p>
  </w:footnote>
  <w:footnote w:id="86">
    <w:p w:rsidR="00FF0666" w:rsidRDefault="00FF0666">
      <w:pPr>
        <w:pStyle w:val="FootnoteText"/>
      </w:pPr>
      <w:r>
        <w:rPr>
          <w:rStyle w:val="FootnoteReference"/>
        </w:rPr>
        <w:footnoteRef/>
      </w:r>
      <w:r>
        <w:t xml:space="preserve"> Cockburn, ibid., </w:t>
      </w:r>
      <w:r w:rsidRPr="00CF1B56">
        <w:rPr>
          <w:i/>
        </w:rPr>
        <w:t>Abstract</w:t>
      </w:r>
      <w:r>
        <w:rPr>
          <w:i/>
        </w:rPr>
        <w:t xml:space="preserve">, </w:t>
      </w:r>
      <w:r w:rsidRPr="00CF1B56">
        <w:t>p. iii.</w:t>
      </w:r>
    </w:p>
  </w:footnote>
  <w:footnote w:id="87">
    <w:p w:rsidR="00FF0666" w:rsidRDefault="00FF0666">
      <w:pPr>
        <w:pStyle w:val="FootnoteText"/>
      </w:pPr>
      <w:r>
        <w:rPr>
          <w:rStyle w:val="FootnoteReference"/>
        </w:rPr>
        <w:footnoteRef/>
      </w:r>
      <w:r>
        <w:t xml:space="preserve"> </w:t>
      </w:r>
      <w:r w:rsidRPr="000A5DDF">
        <w:rPr>
          <w:i/>
        </w:rPr>
        <w:t>Transcript of Evidence</w:t>
      </w:r>
      <w:r>
        <w:t>, 28 September 2018, pp. 19-20.</w:t>
      </w:r>
    </w:p>
  </w:footnote>
  <w:footnote w:id="88">
    <w:p w:rsidR="00FF0666" w:rsidRDefault="00FF0666">
      <w:pPr>
        <w:pStyle w:val="FootnoteText"/>
      </w:pPr>
      <w:r>
        <w:rPr>
          <w:rStyle w:val="FootnoteReference"/>
        </w:rPr>
        <w:footnoteRef/>
      </w:r>
      <w:r>
        <w:t xml:space="preserve"> Ms Caroline Le Couteur MLA, </w:t>
      </w:r>
      <w:r w:rsidRPr="00F72935">
        <w:rPr>
          <w:i/>
        </w:rPr>
        <w:t>Submission 23</w:t>
      </w:r>
      <w:r>
        <w:t>, p. 2</w:t>
      </w:r>
    </w:p>
  </w:footnote>
  <w:footnote w:id="89">
    <w:p w:rsidR="00FF0666" w:rsidRPr="00873200" w:rsidRDefault="00FF0666">
      <w:pPr>
        <w:pStyle w:val="FootnoteText"/>
      </w:pPr>
      <w:r w:rsidRPr="00873200">
        <w:rPr>
          <w:rStyle w:val="FootnoteReference"/>
        </w:rPr>
        <w:footnoteRef/>
      </w:r>
      <w:r w:rsidRPr="00873200">
        <w:t xml:space="preserve"> Ms Caroline Le Couteur MLA, </w:t>
      </w:r>
      <w:r w:rsidRPr="00873200">
        <w:rPr>
          <w:i/>
        </w:rPr>
        <w:t>Submission 23</w:t>
      </w:r>
      <w:r w:rsidRPr="00873200">
        <w:t>, p. 2</w:t>
      </w:r>
    </w:p>
  </w:footnote>
  <w:footnote w:id="90">
    <w:p w:rsidR="00FF0666" w:rsidRPr="00873200" w:rsidRDefault="00FF0666">
      <w:pPr>
        <w:pStyle w:val="FootnoteText"/>
      </w:pPr>
      <w:r w:rsidRPr="00873200">
        <w:rPr>
          <w:rStyle w:val="FootnoteReference"/>
        </w:rPr>
        <w:footnoteRef/>
      </w:r>
      <w:r w:rsidRPr="00873200">
        <w:t xml:space="preserve"> ACT DPP, </w:t>
      </w:r>
      <w:r w:rsidRPr="00873200">
        <w:rPr>
          <w:i/>
        </w:rPr>
        <w:t>Submission 10</w:t>
      </w:r>
      <w:r w:rsidRPr="00873200">
        <w:t>, p. 2</w:t>
      </w:r>
    </w:p>
  </w:footnote>
  <w:footnote w:id="91">
    <w:p w:rsidR="00FF0666" w:rsidRDefault="00FF0666">
      <w:pPr>
        <w:pStyle w:val="FootnoteText"/>
      </w:pPr>
      <w:r w:rsidRPr="00873200">
        <w:rPr>
          <w:rStyle w:val="FootnoteReference"/>
        </w:rPr>
        <w:footnoteRef/>
      </w:r>
      <w:r w:rsidRPr="00873200">
        <w:t xml:space="preserve"> ACT DPP, </w:t>
      </w:r>
      <w:r w:rsidRPr="00873200">
        <w:rPr>
          <w:i/>
        </w:rPr>
        <w:t>Submission 10</w:t>
      </w:r>
      <w:r w:rsidRPr="00873200">
        <w:t>, p. 2</w:t>
      </w:r>
    </w:p>
  </w:footnote>
  <w:footnote w:id="92">
    <w:p w:rsidR="00FF0666" w:rsidRDefault="00FF0666">
      <w:pPr>
        <w:pStyle w:val="FootnoteText"/>
      </w:pPr>
      <w:r>
        <w:rPr>
          <w:rStyle w:val="FootnoteReference"/>
        </w:rPr>
        <w:footnoteRef/>
      </w:r>
      <w:r>
        <w:t xml:space="preserve"> Ms Caroline Le Couteur MLA, </w:t>
      </w:r>
      <w:r w:rsidRPr="0048368A">
        <w:rPr>
          <w:i/>
        </w:rPr>
        <w:t>Submission 23,</w:t>
      </w:r>
      <w:r>
        <w:t xml:space="preserve"> p. 4</w:t>
      </w:r>
    </w:p>
  </w:footnote>
  <w:footnote w:id="93">
    <w:p w:rsidR="00FF0666" w:rsidRDefault="00FF0666">
      <w:pPr>
        <w:pStyle w:val="FootnoteText"/>
      </w:pPr>
      <w:r>
        <w:rPr>
          <w:rStyle w:val="FootnoteReference"/>
        </w:rPr>
        <w:footnoteRef/>
      </w:r>
      <w:r>
        <w:t xml:space="preserve"> Ms Caroline Le Couteur MLA, </w:t>
      </w:r>
      <w:r w:rsidRPr="0048368A">
        <w:rPr>
          <w:i/>
        </w:rPr>
        <w:t>Submission 23,</w:t>
      </w:r>
      <w:r>
        <w:t xml:space="preserve"> p. 7.</w:t>
      </w:r>
    </w:p>
  </w:footnote>
  <w:footnote w:id="94">
    <w:p w:rsidR="00FF0666" w:rsidRDefault="00FF0666" w:rsidP="0074208F">
      <w:pPr>
        <w:pStyle w:val="FootnoteText"/>
      </w:pPr>
      <w:r>
        <w:rPr>
          <w:rStyle w:val="FootnoteReference"/>
        </w:rPr>
        <w:footnoteRef/>
      </w:r>
      <w:r>
        <w:t xml:space="preserve"> See </w:t>
      </w:r>
      <w:r w:rsidRPr="00E0006D">
        <w:rPr>
          <w:i/>
        </w:rPr>
        <w:t>Sims v Drewson</w:t>
      </w:r>
      <w:r>
        <w:t xml:space="preserve"> [2008] ACTSC 91, as approved in </w:t>
      </w:r>
      <w:r w:rsidRPr="00E0006D">
        <w:rPr>
          <w:i/>
        </w:rPr>
        <w:t>Director of Public Prosecutions v Walker</w:t>
      </w:r>
      <w:r>
        <w:t xml:space="preserve"> [2011] ACTCA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Pr="002046E5" w:rsidRDefault="00FF0666" w:rsidP="004207A6">
    <w:pPr>
      <w:pStyle w:val="Header"/>
      <w:pBdr>
        <w:bottom w:val="single" w:sz="4" w:space="1" w:color="A6A6A6"/>
      </w:pBdr>
      <w:tabs>
        <w:tab w:val="clear" w:pos="8640"/>
        <w:tab w:val="left" w:pos="7454"/>
      </w:tabs>
      <w:rPr>
        <w:caps w:val="0"/>
        <w:smallCaps/>
      </w:rPr>
    </w:pPr>
    <w:r>
      <w:rPr>
        <w:caps w:val="0"/>
        <w:smallCaps/>
      </w:rPr>
      <w:t>Standing Committee on Justice and Community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3" w:rsidRDefault="001027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3" w:rsidRDefault="001027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Pr="002046E5" w:rsidRDefault="00FF0666"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102753">
      <w:rPr>
        <w:caps w:val="0"/>
        <w:smallCaps/>
        <w:noProof/>
      </w:rPr>
      <w:t>Report on inquiry into the Crimes (Consent) Amendment Bill 2018</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Pr="002046E5" w:rsidRDefault="00FF0666" w:rsidP="00DE7BDD">
    <w:pPr>
      <w:pStyle w:val="Header"/>
      <w:pBdr>
        <w:bottom w:val="single" w:sz="4" w:space="1" w:color="A6A6A6"/>
      </w:pBdr>
      <w:tabs>
        <w:tab w:val="clear" w:pos="8640"/>
        <w:tab w:val="left" w:pos="7454"/>
      </w:tabs>
      <w:rPr>
        <w:caps w:val="0"/>
        <w:smallCaps/>
      </w:rPr>
    </w:pPr>
    <w:r>
      <w:rPr>
        <w:caps w:val="0"/>
        <w:smallCaps/>
      </w:rPr>
      <w:t>Standing Committee on Justice and Community Safety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666" w:rsidRDefault="00FF06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3D00EBC"/>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1C17561"/>
    <w:multiLevelType w:val="multilevel"/>
    <w:tmpl w:val="0C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030038F3"/>
    <w:multiLevelType w:val="hybridMultilevel"/>
    <w:tmpl w:val="1B1E9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5B1318"/>
    <w:multiLevelType w:val="hybridMultilevel"/>
    <w:tmpl w:val="7D22EFF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D3C6C4B"/>
    <w:multiLevelType w:val="hybridMultilevel"/>
    <w:tmpl w:val="A6547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78046D"/>
    <w:multiLevelType w:val="multilevel"/>
    <w:tmpl w:val="0C09001D"/>
    <w:numStyleLink w:val="CommitteeNumberedPara"/>
  </w:abstractNum>
  <w:abstractNum w:abstractNumId="1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BEA22C0"/>
    <w:multiLevelType w:val="hybridMultilevel"/>
    <w:tmpl w:val="BDCE0C96"/>
    <w:lvl w:ilvl="0" w:tplc="1B8C177C">
      <w:start w:val="8"/>
      <w:numFmt w:val="decimal"/>
      <w:lvlText w:val="%1"/>
      <w:lvlJc w:val="left"/>
      <w:pPr>
        <w:ind w:left="1800" w:hanging="1550"/>
      </w:pPr>
      <w:rPr>
        <w:rFonts w:ascii="Arial" w:eastAsia="Arial" w:hAnsi="Arial" w:cs="Arial" w:hint="default"/>
        <w:w w:val="99"/>
        <w:sz w:val="16"/>
        <w:szCs w:val="16"/>
      </w:rPr>
    </w:lvl>
    <w:lvl w:ilvl="1" w:tplc="3B86E2D2">
      <w:start w:val="1"/>
      <w:numFmt w:val="decimal"/>
      <w:lvlText w:val="%2"/>
      <w:lvlJc w:val="left"/>
      <w:pPr>
        <w:ind w:left="1399" w:hanging="700"/>
      </w:pPr>
      <w:rPr>
        <w:rFonts w:ascii="Arial" w:eastAsia="Arial" w:hAnsi="Arial" w:cs="Arial" w:hint="default"/>
        <w:b/>
        <w:bCs/>
        <w:w w:val="100"/>
        <w:sz w:val="20"/>
        <w:szCs w:val="20"/>
      </w:rPr>
    </w:lvl>
    <w:lvl w:ilvl="2" w:tplc="5792F462">
      <w:numFmt w:val="bullet"/>
      <w:lvlText w:val="•"/>
      <w:lvlJc w:val="left"/>
      <w:pPr>
        <w:ind w:left="2558" w:hanging="700"/>
      </w:pPr>
      <w:rPr>
        <w:rFonts w:hint="default"/>
      </w:rPr>
    </w:lvl>
    <w:lvl w:ilvl="3" w:tplc="DAC4534E">
      <w:numFmt w:val="bullet"/>
      <w:lvlText w:val="•"/>
      <w:lvlJc w:val="left"/>
      <w:pPr>
        <w:ind w:left="3316" w:hanging="700"/>
      </w:pPr>
      <w:rPr>
        <w:rFonts w:hint="default"/>
      </w:rPr>
    </w:lvl>
    <w:lvl w:ilvl="4" w:tplc="535429B0">
      <w:numFmt w:val="bullet"/>
      <w:lvlText w:val="•"/>
      <w:lvlJc w:val="left"/>
      <w:pPr>
        <w:ind w:left="4074" w:hanging="700"/>
      </w:pPr>
      <w:rPr>
        <w:rFonts w:hint="default"/>
      </w:rPr>
    </w:lvl>
    <w:lvl w:ilvl="5" w:tplc="AC502372">
      <w:numFmt w:val="bullet"/>
      <w:lvlText w:val="•"/>
      <w:lvlJc w:val="left"/>
      <w:pPr>
        <w:ind w:left="4833" w:hanging="700"/>
      </w:pPr>
      <w:rPr>
        <w:rFonts w:hint="default"/>
      </w:rPr>
    </w:lvl>
    <w:lvl w:ilvl="6" w:tplc="47249E2A">
      <w:numFmt w:val="bullet"/>
      <w:lvlText w:val="•"/>
      <w:lvlJc w:val="left"/>
      <w:pPr>
        <w:ind w:left="5591" w:hanging="700"/>
      </w:pPr>
      <w:rPr>
        <w:rFonts w:hint="default"/>
      </w:rPr>
    </w:lvl>
    <w:lvl w:ilvl="7" w:tplc="1DDE52B4">
      <w:numFmt w:val="bullet"/>
      <w:lvlText w:val="•"/>
      <w:lvlJc w:val="left"/>
      <w:pPr>
        <w:ind w:left="6349" w:hanging="700"/>
      </w:pPr>
      <w:rPr>
        <w:rFonts w:hint="default"/>
      </w:rPr>
    </w:lvl>
    <w:lvl w:ilvl="8" w:tplc="383265EA">
      <w:numFmt w:val="bullet"/>
      <w:lvlText w:val="•"/>
      <w:lvlJc w:val="left"/>
      <w:pPr>
        <w:ind w:left="7107" w:hanging="700"/>
      </w:pPr>
      <w:rPr>
        <w:rFonts w:hint="default"/>
      </w:rPr>
    </w:lvl>
  </w:abstractNum>
  <w:abstractNum w:abstractNumId="19" w15:restartNumberingAfterBreak="0">
    <w:nsid w:val="1F8F6427"/>
    <w:multiLevelType w:val="hybridMultilevel"/>
    <w:tmpl w:val="FD789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001768"/>
    <w:multiLevelType w:val="hybridMultilevel"/>
    <w:tmpl w:val="3DFA2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F23F5C"/>
    <w:multiLevelType w:val="hybridMultilevel"/>
    <w:tmpl w:val="3F68FA9C"/>
    <w:lvl w:ilvl="0" w:tplc="D772EFA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22" w15:restartNumberingAfterBreak="0">
    <w:nsid w:val="31AD76E2"/>
    <w:multiLevelType w:val="hybridMultilevel"/>
    <w:tmpl w:val="789C63D4"/>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3"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4"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5777ED"/>
    <w:multiLevelType w:val="hybridMultilevel"/>
    <w:tmpl w:val="36E8DFAC"/>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7"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7B417E9"/>
    <w:multiLevelType w:val="hybridMultilevel"/>
    <w:tmpl w:val="00284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3A5497"/>
    <w:multiLevelType w:val="hybridMultilevel"/>
    <w:tmpl w:val="DF2AE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9230C2"/>
    <w:multiLevelType w:val="hybridMultilevel"/>
    <w:tmpl w:val="93467FB8"/>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59D170E4"/>
    <w:multiLevelType w:val="hybridMultilevel"/>
    <w:tmpl w:val="7C181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044B61"/>
    <w:multiLevelType w:val="hybridMultilevel"/>
    <w:tmpl w:val="8CFC085E"/>
    <w:lvl w:ilvl="0" w:tplc="C5A62DAC">
      <w:start w:val="1"/>
      <w:numFmt w:val="decimal"/>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33" w15:restartNumberingAfterBreak="0">
    <w:nsid w:val="669B0DCF"/>
    <w:multiLevelType w:val="hybridMultilevel"/>
    <w:tmpl w:val="DA744C8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74F81884"/>
    <w:multiLevelType w:val="hybridMultilevel"/>
    <w:tmpl w:val="86F6231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5" w15:restartNumberingAfterBreak="0">
    <w:nsid w:val="752D05B7"/>
    <w:multiLevelType w:val="hybridMultilevel"/>
    <w:tmpl w:val="6A9AFC70"/>
    <w:lvl w:ilvl="0" w:tplc="47645468">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7F8257B"/>
    <w:multiLevelType w:val="hybridMultilevel"/>
    <w:tmpl w:val="1D2ED62C"/>
    <w:lvl w:ilvl="0" w:tplc="0C090017">
      <w:start w:val="1"/>
      <w:numFmt w:val="lowerLetter"/>
      <w:lvlText w:val="%1)"/>
      <w:lvlJc w:val="left"/>
      <w:pPr>
        <w:ind w:left="1713" w:hanging="360"/>
      </w:pPr>
      <w:rPr>
        <w:rFonts w:cs="Times New Roman"/>
      </w:rPr>
    </w:lvl>
    <w:lvl w:ilvl="1" w:tplc="0C090019" w:tentative="1">
      <w:start w:val="1"/>
      <w:numFmt w:val="lowerLetter"/>
      <w:lvlText w:val="%2."/>
      <w:lvlJc w:val="left"/>
      <w:pPr>
        <w:ind w:left="2433" w:hanging="360"/>
      </w:pPr>
      <w:rPr>
        <w:rFonts w:cs="Times New Roman"/>
      </w:rPr>
    </w:lvl>
    <w:lvl w:ilvl="2" w:tplc="0C09001B" w:tentative="1">
      <w:start w:val="1"/>
      <w:numFmt w:val="lowerRoman"/>
      <w:lvlText w:val="%3."/>
      <w:lvlJc w:val="right"/>
      <w:pPr>
        <w:ind w:left="3153" w:hanging="180"/>
      </w:pPr>
      <w:rPr>
        <w:rFonts w:cs="Times New Roman"/>
      </w:rPr>
    </w:lvl>
    <w:lvl w:ilvl="3" w:tplc="0C09000F" w:tentative="1">
      <w:start w:val="1"/>
      <w:numFmt w:val="decimal"/>
      <w:lvlText w:val="%4."/>
      <w:lvlJc w:val="left"/>
      <w:pPr>
        <w:ind w:left="3873" w:hanging="360"/>
      </w:pPr>
      <w:rPr>
        <w:rFonts w:cs="Times New Roman"/>
      </w:rPr>
    </w:lvl>
    <w:lvl w:ilvl="4" w:tplc="0C090019" w:tentative="1">
      <w:start w:val="1"/>
      <w:numFmt w:val="lowerLetter"/>
      <w:lvlText w:val="%5."/>
      <w:lvlJc w:val="left"/>
      <w:pPr>
        <w:ind w:left="4593" w:hanging="360"/>
      </w:pPr>
      <w:rPr>
        <w:rFonts w:cs="Times New Roman"/>
      </w:rPr>
    </w:lvl>
    <w:lvl w:ilvl="5" w:tplc="0C09001B" w:tentative="1">
      <w:start w:val="1"/>
      <w:numFmt w:val="lowerRoman"/>
      <w:lvlText w:val="%6."/>
      <w:lvlJc w:val="right"/>
      <w:pPr>
        <w:ind w:left="5313" w:hanging="180"/>
      </w:pPr>
      <w:rPr>
        <w:rFonts w:cs="Times New Roman"/>
      </w:rPr>
    </w:lvl>
    <w:lvl w:ilvl="6" w:tplc="0C09000F" w:tentative="1">
      <w:start w:val="1"/>
      <w:numFmt w:val="decimal"/>
      <w:lvlText w:val="%7."/>
      <w:lvlJc w:val="left"/>
      <w:pPr>
        <w:ind w:left="6033" w:hanging="360"/>
      </w:pPr>
      <w:rPr>
        <w:rFonts w:cs="Times New Roman"/>
      </w:rPr>
    </w:lvl>
    <w:lvl w:ilvl="7" w:tplc="0C090019" w:tentative="1">
      <w:start w:val="1"/>
      <w:numFmt w:val="lowerLetter"/>
      <w:lvlText w:val="%8."/>
      <w:lvlJc w:val="left"/>
      <w:pPr>
        <w:ind w:left="6753" w:hanging="360"/>
      </w:pPr>
      <w:rPr>
        <w:rFonts w:cs="Times New Roman"/>
      </w:rPr>
    </w:lvl>
    <w:lvl w:ilvl="8" w:tplc="0C09001B" w:tentative="1">
      <w:start w:val="1"/>
      <w:numFmt w:val="lowerRoman"/>
      <w:lvlText w:val="%9."/>
      <w:lvlJc w:val="right"/>
      <w:pPr>
        <w:ind w:left="7473" w:hanging="180"/>
      </w:pPr>
      <w:rPr>
        <w:rFonts w:cs="Times New Roman"/>
      </w:rPr>
    </w:lvl>
  </w:abstractNum>
  <w:abstractNum w:abstractNumId="38" w15:restartNumberingAfterBreak="0">
    <w:nsid w:val="782F7A71"/>
    <w:multiLevelType w:val="hybridMultilevel"/>
    <w:tmpl w:val="288012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8"/>
  </w:num>
  <w:num w:numId="3">
    <w:abstractNumId w:val="6"/>
  </w:num>
  <w:num w:numId="4">
    <w:abstractNumId w:val="17"/>
  </w:num>
  <w:num w:numId="5">
    <w:abstractNumId w:val="5"/>
  </w:num>
  <w:num w:numId="6">
    <w:abstractNumId w:val="7"/>
  </w:num>
  <w:num w:numId="7">
    <w:abstractNumId w:val="12"/>
  </w:num>
  <w:num w:numId="8">
    <w:abstractNumId w:val="25"/>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2"/>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24"/>
  </w:num>
  <w:num w:numId="21">
    <w:abstractNumId w:val="16"/>
  </w:num>
  <w:num w:numId="22">
    <w:abstractNumId w:val="13"/>
  </w:num>
  <w:num w:numId="23">
    <w:abstractNumId w:val="27"/>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21"/>
  </w:num>
  <w:num w:numId="28">
    <w:abstractNumId w:val="27"/>
  </w:num>
  <w:num w:numId="29">
    <w:abstractNumId w:val="27"/>
  </w:num>
  <w:num w:numId="30">
    <w:abstractNumId w:val="32"/>
  </w:num>
  <w:num w:numId="31">
    <w:abstractNumId w:val="38"/>
  </w:num>
  <w:num w:numId="32">
    <w:abstractNumId w:val="8"/>
  </w:num>
  <w:num w:numId="33">
    <w:abstractNumId w:val="11"/>
  </w:num>
  <w:num w:numId="34">
    <w:abstractNumId w:val="15"/>
  </w:num>
  <w:num w:numId="35">
    <w:abstractNumId w:val="29"/>
  </w:num>
  <w:num w:numId="36">
    <w:abstractNumId w:val="9"/>
  </w:num>
  <w:num w:numId="37">
    <w:abstractNumId w:val="20"/>
  </w:num>
  <w:num w:numId="38">
    <w:abstractNumId w:val="19"/>
  </w:num>
  <w:num w:numId="39">
    <w:abstractNumId w:val="28"/>
  </w:num>
  <w:num w:numId="40">
    <w:abstractNumId w:val="33"/>
  </w:num>
  <w:num w:numId="41">
    <w:abstractNumId w:val="37"/>
  </w:num>
  <w:num w:numId="42">
    <w:abstractNumId w:val="30"/>
  </w:num>
  <w:num w:numId="43">
    <w:abstractNumId w:val="31"/>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TrueTypeFonts/>
  <w:saveSubset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0BB"/>
    <w:rsid w:val="00001C7E"/>
    <w:rsid w:val="00002730"/>
    <w:rsid w:val="0000580C"/>
    <w:rsid w:val="000100C7"/>
    <w:rsid w:val="000110B2"/>
    <w:rsid w:val="000135E9"/>
    <w:rsid w:val="000161FB"/>
    <w:rsid w:val="00017D52"/>
    <w:rsid w:val="00020BB5"/>
    <w:rsid w:val="00022DFF"/>
    <w:rsid w:val="00024729"/>
    <w:rsid w:val="00024877"/>
    <w:rsid w:val="000253AB"/>
    <w:rsid w:val="00026B43"/>
    <w:rsid w:val="00027148"/>
    <w:rsid w:val="00027612"/>
    <w:rsid w:val="0002797A"/>
    <w:rsid w:val="00031054"/>
    <w:rsid w:val="00033BFE"/>
    <w:rsid w:val="00035401"/>
    <w:rsid w:val="000358C7"/>
    <w:rsid w:val="00036BBF"/>
    <w:rsid w:val="00037305"/>
    <w:rsid w:val="0004226A"/>
    <w:rsid w:val="00042ACA"/>
    <w:rsid w:val="00050927"/>
    <w:rsid w:val="00052887"/>
    <w:rsid w:val="000557F4"/>
    <w:rsid w:val="0005687D"/>
    <w:rsid w:val="00060FD0"/>
    <w:rsid w:val="0006130C"/>
    <w:rsid w:val="000627B3"/>
    <w:rsid w:val="00062E9F"/>
    <w:rsid w:val="0007080E"/>
    <w:rsid w:val="00073A7D"/>
    <w:rsid w:val="000801E9"/>
    <w:rsid w:val="0008221E"/>
    <w:rsid w:val="00084BF4"/>
    <w:rsid w:val="000869A1"/>
    <w:rsid w:val="0008705A"/>
    <w:rsid w:val="000919E1"/>
    <w:rsid w:val="00092955"/>
    <w:rsid w:val="00092EA3"/>
    <w:rsid w:val="00096E3A"/>
    <w:rsid w:val="000A01F2"/>
    <w:rsid w:val="000A0363"/>
    <w:rsid w:val="000A59B6"/>
    <w:rsid w:val="000A5DDF"/>
    <w:rsid w:val="000B15A4"/>
    <w:rsid w:val="000B2B62"/>
    <w:rsid w:val="000B4094"/>
    <w:rsid w:val="000B6D71"/>
    <w:rsid w:val="000C4038"/>
    <w:rsid w:val="000C4EFA"/>
    <w:rsid w:val="000D2651"/>
    <w:rsid w:val="000D2895"/>
    <w:rsid w:val="000D29D7"/>
    <w:rsid w:val="000D3E58"/>
    <w:rsid w:val="000D4434"/>
    <w:rsid w:val="000D583A"/>
    <w:rsid w:val="000E242F"/>
    <w:rsid w:val="000E2EF4"/>
    <w:rsid w:val="000E4741"/>
    <w:rsid w:val="000E4E41"/>
    <w:rsid w:val="000E7567"/>
    <w:rsid w:val="000F617F"/>
    <w:rsid w:val="000F7D8A"/>
    <w:rsid w:val="00102753"/>
    <w:rsid w:val="00110499"/>
    <w:rsid w:val="001108DC"/>
    <w:rsid w:val="00110FA4"/>
    <w:rsid w:val="00111850"/>
    <w:rsid w:val="00113E77"/>
    <w:rsid w:val="00116A67"/>
    <w:rsid w:val="0011795D"/>
    <w:rsid w:val="00120BF9"/>
    <w:rsid w:val="0012342E"/>
    <w:rsid w:val="00123676"/>
    <w:rsid w:val="00123C42"/>
    <w:rsid w:val="00124F8D"/>
    <w:rsid w:val="00125E8B"/>
    <w:rsid w:val="0013212B"/>
    <w:rsid w:val="00133F1B"/>
    <w:rsid w:val="00141665"/>
    <w:rsid w:val="0014298A"/>
    <w:rsid w:val="00144554"/>
    <w:rsid w:val="001511D4"/>
    <w:rsid w:val="00151F03"/>
    <w:rsid w:val="00156E0B"/>
    <w:rsid w:val="0015794F"/>
    <w:rsid w:val="001609A2"/>
    <w:rsid w:val="001647BE"/>
    <w:rsid w:val="00167854"/>
    <w:rsid w:val="00167D31"/>
    <w:rsid w:val="00170C6B"/>
    <w:rsid w:val="001716E4"/>
    <w:rsid w:val="00171CA7"/>
    <w:rsid w:val="00172E87"/>
    <w:rsid w:val="001752DC"/>
    <w:rsid w:val="00176AAA"/>
    <w:rsid w:val="001805BA"/>
    <w:rsid w:val="00181E64"/>
    <w:rsid w:val="001824F3"/>
    <w:rsid w:val="00182AC2"/>
    <w:rsid w:val="00182DF1"/>
    <w:rsid w:val="00183FBF"/>
    <w:rsid w:val="00191255"/>
    <w:rsid w:val="0019591D"/>
    <w:rsid w:val="00196F0A"/>
    <w:rsid w:val="001A04A6"/>
    <w:rsid w:val="001A0DBE"/>
    <w:rsid w:val="001A526F"/>
    <w:rsid w:val="001A5DB1"/>
    <w:rsid w:val="001A7941"/>
    <w:rsid w:val="001B21D7"/>
    <w:rsid w:val="001B2548"/>
    <w:rsid w:val="001B2B71"/>
    <w:rsid w:val="001B4B71"/>
    <w:rsid w:val="001B5F6D"/>
    <w:rsid w:val="001C239F"/>
    <w:rsid w:val="001C2D1C"/>
    <w:rsid w:val="001C3FDA"/>
    <w:rsid w:val="001C49DC"/>
    <w:rsid w:val="001C690A"/>
    <w:rsid w:val="001C746F"/>
    <w:rsid w:val="001C75D2"/>
    <w:rsid w:val="001D009F"/>
    <w:rsid w:val="001D17CF"/>
    <w:rsid w:val="001E2D30"/>
    <w:rsid w:val="001E3A56"/>
    <w:rsid w:val="001E7219"/>
    <w:rsid w:val="001F2C9B"/>
    <w:rsid w:val="001F3FA1"/>
    <w:rsid w:val="001F44E7"/>
    <w:rsid w:val="001F4D20"/>
    <w:rsid w:val="001F58CC"/>
    <w:rsid w:val="002019EC"/>
    <w:rsid w:val="00203982"/>
    <w:rsid w:val="0020415F"/>
    <w:rsid w:val="002046E5"/>
    <w:rsid w:val="00206460"/>
    <w:rsid w:val="0020656E"/>
    <w:rsid w:val="0020680D"/>
    <w:rsid w:val="0020794F"/>
    <w:rsid w:val="00211075"/>
    <w:rsid w:val="00211168"/>
    <w:rsid w:val="00211DBE"/>
    <w:rsid w:val="00217DDC"/>
    <w:rsid w:val="0022524E"/>
    <w:rsid w:val="00227472"/>
    <w:rsid w:val="002334BD"/>
    <w:rsid w:val="0023499F"/>
    <w:rsid w:val="0023663C"/>
    <w:rsid w:val="0023711A"/>
    <w:rsid w:val="002404A2"/>
    <w:rsid w:val="00242D02"/>
    <w:rsid w:val="00243BBE"/>
    <w:rsid w:val="002507A1"/>
    <w:rsid w:val="00260F29"/>
    <w:rsid w:val="002634A3"/>
    <w:rsid w:val="00264D80"/>
    <w:rsid w:val="00265F91"/>
    <w:rsid w:val="00267A9B"/>
    <w:rsid w:val="00272906"/>
    <w:rsid w:val="00277C39"/>
    <w:rsid w:val="002868FF"/>
    <w:rsid w:val="00297AA8"/>
    <w:rsid w:val="002A3B3E"/>
    <w:rsid w:val="002A5610"/>
    <w:rsid w:val="002A64FA"/>
    <w:rsid w:val="002B1F09"/>
    <w:rsid w:val="002B324F"/>
    <w:rsid w:val="002B5C68"/>
    <w:rsid w:val="002B5D24"/>
    <w:rsid w:val="002C4E6E"/>
    <w:rsid w:val="002C5082"/>
    <w:rsid w:val="002D0BC9"/>
    <w:rsid w:val="002D1347"/>
    <w:rsid w:val="002D1F26"/>
    <w:rsid w:val="002D4A62"/>
    <w:rsid w:val="002D5959"/>
    <w:rsid w:val="002D5FCE"/>
    <w:rsid w:val="002E1A91"/>
    <w:rsid w:val="002E2276"/>
    <w:rsid w:val="002E676A"/>
    <w:rsid w:val="002F2404"/>
    <w:rsid w:val="002F4276"/>
    <w:rsid w:val="002F515C"/>
    <w:rsid w:val="002F52BB"/>
    <w:rsid w:val="002F608D"/>
    <w:rsid w:val="00300A7C"/>
    <w:rsid w:val="00301919"/>
    <w:rsid w:val="0030629F"/>
    <w:rsid w:val="003107C6"/>
    <w:rsid w:val="00312658"/>
    <w:rsid w:val="003161A0"/>
    <w:rsid w:val="00317D55"/>
    <w:rsid w:val="00320141"/>
    <w:rsid w:val="00327492"/>
    <w:rsid w:val="00327F83"/>
    <w:rsid w:val="00331C8D"/>
    <w:rsid w:val="00333FFD"/>
    <w:rsid w:val="0033446E"/>
    <w:rsid w:val="003351B4"/>
    <w:rsid w:val="003373BB"/>
    <w:rsid w:val="003374BA"/>
    <w:rsid w:val="00337FA5"/>
    <w:rsid w:val="0034044B"/>
    <w:rsid w:val="003458D1"/>
    <w:rsid w:val="003460F0"/>
    <w:rsid w:val="00347AF5"/>
    <w:rsid w:val="003536AD"/>
    <w:rsid w:val="003555E7"/>
    <w:rsid w:val="003557A9"/>
    <w:rsid w:val="00355CF2"/>
    <w:rsid w:val="00357967"/>
    <w:rsid w:val="003606E5"/>
    <w:rsid w:val="00366566"/>
    <w:rsid w:val="0036659D"/>
    <w:rsid w:val="00370C68"/>
    <w:rsid w:val="0037690F"/>
    <w:rsid w:val="00377F17"/>
    <w:rsid w:val="003808DA"/>
    <w:rsid w:val="00380BCF"/>
    <w:rsid w:val="0038248A"/>
    <w:rsid w:val="00383D4E"/>
    <w:rsid w:val="00383DFC"/>
    <w:rsid w:val="00384C12"/>
    <w:rsid w:val="00385DA2"/>
    <w:rsid w:val="003860BC"/>
    <w:rsid w:val="0038667F"/>
    <w:rsid w:val="00386782"/>
    <w:rsid w:val="0038734F"/>
    <w:rsid w:val="00391CF6"/>
    <w:rsid w:val="00392FBF"/>
    <w:rsid w:val="003948CE"/>
    <w:rsid w:val="003957E9"/>
    <w:rsid w:val="00396B9A"/>
    <w:rsid w:val="003A4417"/>
    <w:rsid w:val="003A4713"/>
    <w:rsid w:val="003B13F7"/>
    <w:rsid w:val="003B3093"/>
    <w:rsid w:val="003B5A9F"/>
    <w:rsid w:val="003B7E6A"/>
    <w:rsid w:val="003C4E99"/>
    <w:rsid w:val="003E0CF7"/>
    <w:rsid w:val="003E17DE"/>
    <w:rsid w:val="003E282C"/>
    <w:rsid w:val="003E346B"/>
    <w:rsid w:val="003E60E7"/>
    <w:rsid w:val="003E694F"/>
    <w:rsid w:val="003E7EED"/>
    <w:rsid w:val="003F0417"/>
    <w:rsid w:val="003F1B9A"/>
    <w:rsid w:val="003F3F57"/>
    <w:rsid w:val="003F679A"/>
    <w:rsid w:val="003F7136"/>
    <w:rsid w:val="003F72B7"/>
    <w:rsid w:val="004001FB"/>
    <w:rsid w:val="004115ED"/>
    <w:rsid w:val="004115F9"/>
    <w:rsid w:val="00415731"/>
    <w:rsid w:val="00415CDF"/>
    <w:rsid w:val="00415EF1"/>
    <w:rsid w:val="00416520"/>
    <w:rsid w:val="004207A6"/>
    <w:rsid w:val="00424B6E"/>
    <w:rsid w:val="00425367"/>
    <w:rsid w:val="004260D7"/>
    <w:rsid w:val="004271FC"/>
    <w:rsid w:val="00435291"/>
    <w:rsid w:val="00436631"/>
    <w:rsid w:val="0043728E"/>
    <w:rsid w:val="00440232"/>
    <w:rsid w:val="00441202"/>
    <w:rsid w:val="0044222A"/>
    <w:rsid w:val="0044228F"/>
    <w:rsid w:val="00443F2D"/>
    <w:rsid w:val="00450878"/>
    <w:rsid w:val="00452EB2"/>
    <w:rsid w:val="00455C80"/>
    <w:rsid w:val="00457D9B"/>
    <w:rsid w:val="00461387"/>
    <w:rsid w:val="00462F49"/>
    <w:rsid w:val="0046502A"/>
    <w:rsid w:val="004669D4"/>
    <w:rsid w:val="0046748B"/>
    <w:rsid w:val="00467835"/>
    <w:rsid w:val="00470CE9"/>
    <w:rsid w:val="00472519"/>
    <w:rsid w:val="0047345C"/>
    <w:rsid w:val="00474F70"/>
    <w:rsid w:val="00475450"/>
    <w:rsid w:val="00477251"/>
    <w:rsid w:val="0048368A"/>
    <w:rsid w:val="0048571A"/>
    <w:rsid w:val="00496209"/>
    <w:rsid w:val="00496E6D"/>
    <w:rsid w:val="004A01A5"/>
    <w:rsid w:val="004A31E4"/>
    <w:rsid w:val="004A5322"/>
    <w:rsid w:val="004B11C8"/>
    <w:rsid w:val="004B4B9C"/>
    <w:rsid w:val="004B55FE"/>
    <w:rsid w:val="004B5708"/>
    <w:rsid w:val="004B5BCD"/>
    <w:rsid w:val="004B618B"/>
    <w:rsid w:val="004C001F"/>
    <w:rsid w:val="004C2C01"/>
    <w:rsid w:val="004C3009"/>
    <w:rsid w:val="004C30A4"/>
    <w:rsid w:val="004C33BD"/>
    <w:rsid w:val="004C4692"/>
    <w:rsid w:val="004C52C9"/>
    <w:rsid w:val="004C71BD"/>
    <w:rsid w:val="004D0974"/>
    <w:rsid w:val="004D2594"/>
    <w:rsid w:val="004D2CD2"/>
    <w:rsid w:val="004D30E2"/>
    <w:rsid w:val="004D3265"/>
    <w:rsid w:val="004D5217"/>
    <w:rsid w:val="004D78CE"/>
    <w:rsid w:val="004E234A"/>
    <w:rsid w:val="004E4EE8"/>
    <w:rsid w:val="004E518B"/>
    <w:rsid w:val="004E5897"/>
    <w:rsid w:val="004E6B4A"/>
    <w:rsid w:val="004E78B4"/>
    <w:rsid w:val="004F0E1B"/>
    <w:rsid w:val="00500D4E"/>
    <w:rsid w:val="005017CF"/>
    <w:rsid w:val="00501F01"/>
    <w:rsid w:val="00503186"/>
    <w:rsid w:val="00504394"/>
    <w:rsid w:val="00505904"/>
    <w:rsid w:val="005072C5"/>
    <w:rsid w:val="0051124B"/>
    <w:rsid w:val="00513F0F"/>
    <w:rsid w:val="00514BC3"/>
    <w:rsid w:val="00515229"/>
    <w:rsid w:val="00522A5C"/>
    <w:rsid w:val="005249A8"/>
    <w:rsid w:val="00526A4B"/>
    <w:rsid w:val="0052783F"/>
    <w:rsid w:val="00532B83"/>
    <w:rsid w:val="00535F36"/>
    <w:rsid w:val="0053709F"/>
    <w:rsid w:val="00540D7C"/>
    <w:rsid w:val="00541D2F"/>
    <w:rsid w:val="00542FA6"/>
    <w:rsid w:val="00543F27"/>
    <w:rsid w:val="005501A6"/>
    <w:rsid w:val="00554C7C"/>
    <w:rsid w:val="005563BB"/>
    <w:rsid w:val="0056020D"/>
    <w:rsid w:val="00563F71"/>
    <w:rsid w:val="00563FEB"/>
    <w:rsid w:val="00566897"/>
    <w:rsid w:val="00566B91"/>
    <w:rsid w:val="00571C50"/>
    <w:rsid w:val="005731A8"/>
    <w:rsid w:val="00575DAA"/>
    <w:rsid w:val="00576CA6"/>
    <w:rsid w:val="00581C99"/>
    <w:rsid w:val="005829E8"/>
    <w:rsid w:val="005834B1"/>
    <w:rsid w:val="00584492"/>
    <w:rsid w:val="00585337"/>
    <w:rsid w:val="00587509"/>
    <w:rsid w:val="005876D5"/>
    <w:rsid w:val="005917B3"/>
    <w:rsid w:val="00592771"/>
    <w:rsid w:val="005973EA"/>
    <w:rsid w:val="00597C27"/>
    <w:rsid w:val="005A1168"/>
    <w:rsid w:val="005A306F"/>
    <w:rsid w:val="005A50D4"/>
    <w:rsid w:val="005A50F3"/>
    <w:rsid w:val="005A5A90"/>
    <w:rsid w:val="005A5E60"/>
    <w:rsid w:val="005A74F5"/>
    <w:rsid w:val="005B17C1"/>
    <w:rsid w:val="005B424B"/>
    <w:rsid w:val="005B60C2"/>
    <w:rsid w:val="005C15BE"/>
    <w:rsid w:val="005C1855"/>
    <w:rsid w:val="005C1AF5"/>
    <w:rsid w:val="005C24B5"/>
    <w:rsid w:val="005C5E86"/>
    <w:rsid w:val="005C6A2D"/>
    <w:rsid w:val="005C6E29"/>
    <w:rsid w:val="005D087B"/>
    <w:rsid w:val="005D3E94"/>
    <w:rsid w:val="005D5AB2"/>
    <w:rsid w:val="005D5ADE"/>
    <w:rsid w:val="005E1C4F"/>
    <w:rsid w:val="005E5D53"/>
    <w:rsid w:val="005E670D"/>
    <w:rsid w:val="005E70D6"/>
    <w:rsid w:val="005E7576"/>
    <w:rsid w:val="005F2C11"/>
    <w:rsid w:val="005F3356"/>
    <w:rsid w:val="005F7102"/>
    <w:rsid w:val="0060199B"/>
    <w:rsid w:val="00601ABF"/>
    <w:rsid w:val="006027F0"/>
    <w:rsid w:val="00606F3D"/>
    <w:rsid w:val="00610B5E"/>
    <w:rsid w:val="00611074"/>
    <w:rsid w:val="00612C03"/>
    <w:rsid w:val="0061344F"/>
    <w:rsid w:val="00615144"/>
    <w:rsid w:val="006156C0"/>
    <w:rsid w:val="00617196"/>
    <w:rsid w:val="00617C19"/>
    <w:rsid w:val="00621267"/>
    <w:rsid w:val="00621EFB"/>
    <w:rsid w:val="006257F6"/>
    <w:rsid w:val="00626168"/>
    <w:rsid w:val="0063087D"/>
    <w:rsid w:val="00630E27"/>
    <w:rsid w:val="00631F14"/>
    <w:rsid w:val="006322FD"/>
    <w:rsid w:val="00633C4C"/>
    <w:rsid w:val="00634782"/>
    <w:rsid w:val="00635F9E"/>
    <w:rsid w:val="00635FB2"/>
    <w:rsid w:val="0063785D"/>
    <w:rsid w:val="0064020A"/>
    <w:rsid w:val="00640E82"/>
    <w:rsid w:val="0064133C"/>
    <w:rsid w:val="00641378"/>
    <w:rsid w:val="00642EE7"/>
    <w:rsid w:val="00643B5E"/>
    <w:rsid w:val="006464A3"/>
    <w:rsid w:val="006510E2"/>
    <w:rsid w:val="006534B0"/>
    <w:rsid w:val="00663486"/>
    <w:rsid w:val="006667B9"/>
    <w:rsid w:val="00670BE3"/>
    <w:rsid w:val="00672013"/>
    <w:rsid w:val="00672199"/>
    <w:rsid w:val="00677813"/>
    <w:rsid w:val="006818B7"/>
    <w:rsid w:val="006860C0"/>
    <w:rsid w:val="00687244"/>
    <w:rsid w:val="0069016B"/>
    <w:rsid w:val="006916BE"/>
    <w:rsid w:val="006923AA"/>
    <w:rsid w:val="00693538"/>
    <w:rsid w:val="00697906"/>
    <w:rsid w:val="006A1774"/>
    <w:rsid w:val="006A5D41"/>
    <w:rsid w:val="006A63E6"/>
    <w:rsid w:val="006A6AC0"/>
    <w:rsid w:val="006A743F"/>
    <w:rsid w:val="006B485B"/>
    <w:rsid w:val="006B5616"/>
    <w:rsid w:val="006B66F4"/>
    <w:rsid w:val="006B793D"/>
    <w:rsid w:val="006C1295"/>
    <w:rsid w:val="006C34AD"/>
    <w:rsid w:val="006C4242"/>
    <w:rsid w:val="006C4CF7"/>
    <w:rsid w:val="006D174C"/>
    <w:rsid w:val="006D1CF4"/>
    <w:rsid w:val="006E2C4E"/>
    <w:rsid w:val="006E50CD"/>
    <w:rsid w:val="006E6470"/>
    <w:rsid w:val="006F01F3"/>
    <w:rsid w:val="006F0A69"/>
    <w:rsid w:val="006F1579"/>
    <w:rsid w:val="006F2DA4"/>
    <w:rsid w:val="006F4495"/>
    <w:rsid w:val="006F47DF"/>
    <w:rsid w:val="006F5B1D"/>
    <w:rsid w:val="006F7292"/>
    <w:rsid w:val="00704737"/>
    <w:rsid w:val="00705F08"/>
    <w:rsid w:val="00706A13"/>
    <w:rsid w:val="007104A7"/>
    <w:rsid w:val="00711F2C"/>
    <w:rsid w:val="00712289"/>
    <w:rsid w:val="007136B6"/>
    <w:rsid w:val="00715A96"/>
    <w:rsid w:val="007160C4"/>
    <w:rsid w:val="0071763B"/>
    <w:rsid w:val="00720BD1"/>
    <w:rsid w:val="00720CE9"/>
    <w:rsid w:val="00722ECB"/>
    <w:rsid w:val="007236BF"/>
    <w:rsid w:val="00723F7F"/>
    <w:rsid w:val="007242F0"/>
    <w:rsid w:val="0073174D"/>
    <w:rsid w:val="00732092"/>
    <w:rsid w:val="00735810"/>
    <w:rsid w:val="00735B32"/>
    <w:rsid w:val="00735D41"/>
    <w:rsid w:val="00737D66"/>
    <w:rsid w:val="00740688"/>
    <w:rsid w:val="007415C3"/>
    <w:rsid w:val="0074208F"/>
    <w:rsid w:val="00742132"/>
    <w:rsid w:val="00744725"/>
    <w:rsid w:val="00744CF0"/>
    <w:rsid w:val="00746271"/>
    <w:rsid w:val="00746A72"/>
    <w:rsid w:val="007511CC"/>
    <w:rsid w:val="00752458"/>
    <w:rsid w:val="00757881"/>
    <w:rsid w:val="00761E48"/>
    <w:rsid w:val="0076272E"/>
    <w:rsid w:val="007629D1"/>
    <w:rsid w:val="00763611"/>
    <w:rsid w:val="007636DE"/>
    <w:rsid w:val="00764425"/>
    <w:rsid w:val="0076515C"/>
    <w:rsid w:val="0076701E"/>
    <w:rsid w:val="0077130C"/>
    <w:rsid w:val="007721CD"/>
    <w:rsid w:val="00774ABA"/>
    <w:rsid w:val="00775065"/>
    <w:rsid w:val="007758F6"/>
    <w:rsid w:val="0077668C"/>
    <w:rsid w:val="00776E29"/>
    <w:rsid w:val="007807E9"/>
    <w:rsid w:val="00780B47"/>
    <w:rsid w:val="0078230A"/>
    <w:rsid w:val="00783489"/>
    <w:rsid w:val="00790965"/>
    <w:rsid w:val="00795AC9"/>
    <w:rsid w:val="007979CC"/>
    <w:rsid w:val="007A042D"/>
    <w:rsid w:val="007A0441"/>
    <w:rsid w:val="007A2AEF"/>
    <w:rsid w:val="007A3A48"/>
    <w:rsid w:val="007A3BDC"/>
    <w:rsid w:val="007A5047"/>
    <w:rsid w:val="007A598F"/>
    <w:rsid w:val="007A5CB5"/>
    <w:rsid w:val="007B0E50"/>
    <w:rsid w:val="007B31F6"/>
    <w:rsid w:val="007B394F"/>
    <w:rsid w:val="007B5AD9"/>
    <w:rsid w:val="007B6567"/>
    <w:rsid w:val="007B6AF4"/>
    <w:rsid w:val="007B7771"/>
    <w:rsid w:val="007C1C4A"/>
    <w:rsid w:val="007D13B2"/>
    <w:rsid w:val="007D297B"/>
    <w:rsid w:val="007D5577"/>
    <w:rsid w:val="007D661C"/>
    <w:rsid w:val="007D663F"/>
    <w:rsid w:val="007D684F"/>
    <w:rsid w:val="007D78BD"/>
    <w:rsid w:val="007D7931"/>
    <w:rsid w:val="007E0F3A"/>
    <w:rsid w:val="007E12EF"/>
    <w:rsid w:val="007E1531"/>
    <w:rsid w:val="007E51BD"/>
    <w:rsid w:val="007E6B58"/>
    <w:rsid w:val="007F0FEB"/>
    <w:rsid w:val="007F218C"/>
    <w:rsid w:val="007F2475"/>
    <w:rsid w:val="007F2DDA"/>
    <w:rsid w:val="007F5E40"/>
    <w:rsid w:val="00801BCE"/>
    <w:rsid w:val="00801F1B"/>
    <w:rsid w:val="00802EF1"/>
    <w:rsid w:val="008134A6"/>
    <w:rsid w:val="00817255"/>
    <w:rsid w:val="00817D23"/>
    <w:rsid w:val="00820B3C"/>
    <w:rsid w:val="0082177F"/>
    <w:rsid w:val="00821AF5"/>
    <w:rsid w:val="008273AC"/>
    <w:rsid w:val="00831008"/>
    <w:rsid w:val="0083184F"/>
    <w:rsid w:val="00833FB2"/>
    <w:rsid w:val="0083652D"/>
    <w:rsid w:val="00841B06"/>
    <w:rsid w:val="00842854"/>
    <w:rsid w:val="00843602"/>
    <w:rsid w:val="00843B7D"/>
    <w:rsid w:val="00843F6D"/>
    <w:rsid w:val="00853119"/>
    <w:rsid w:val="00853964"/>
    <w:rsid w:val="00854C80"/>
    <w:rsid w:val="008551B6"/>
    <w:rsid w:val="00855B19"/>
    <w:rsid w:val="00860758"/>
    <w:rsid w:val="0086143C"/>
    <w:rsid w:val="00861734"/>
    <w:rsid w:val="00864654"/>
    <w:rsid w:val="008654B3"/>
    <w:rsid w:val="00867483"/>
    <w:rsid w:val="008718D9"/>
    <w:rsid w:val="008727FB"/>
    <w:rsid w:val="00872B07"/>
    <w:rsid w:val="00873200"/>
    <w:rsid w:val="00876181"/>
    <w:rsid w:val="00876CFE"/>
    <w:rsid w:val="008815F9"/>
    <w:rsid w:val="008868E0"/>
    <w:rsid w:val="00887D19"/>
    <w:rsid w:val="008909CB"/>
    <w:rsid w:val="0089358F"/>
    <w:rsid w:val="008941BD"/>
    <w:rsid w:val="008A0235"/>
    <w:rsid w:val="008A302B"/>
    <w:rsid w:val="008A3298"/>
    <w:rsid w:val="008A519F"/>
    <w:rsid w:val="008A726E"/>
    <w:rsid w:val="008B01FE"/>
    <w:rsid w:val="008B0BF1"/>
    <w:rsid w:val="008B2935"/>
    <w:rsid w:val="008B35C5"/>
    <w:rsid w:val="008B493D"/>
    <w:rsid w:val="008C06E9"/>
    <w:rsid w:val="008C5FB0"/>
    <w:rsid w:val="008D0018"/>
    <w:rsid w:val="008D03EB"/>
    <w:rsid w:val="008D0AFB"/>
    <w:rsid w:val="008D0BC6"/>
    <w:rsid w:val="008E1246"/>
    <w:rsid w:val="008E25DC"/>
    <w:rsid w:val="008F0C8D"/>
    <w:rsid w:val="008F0E1A"/>
    <w:rsid w:val="00902413"/>
    <w:rsid w:val="00910431"/>
    <w:rsid w:val="00910A9B"/>
    <w:rsid w:val="00912E06"/>
    <w:rsid w:val="009143A0"/>
    <w:rsid w:val="009143AF"/>
    <w:rsid w:val="00914807"/>
    <w:rsid w:val="009174E4"/>
    <w:rsid w:val="00917543"/>
    <w:rsid w:val="009216BA"/>
    <w:rsid w:val="00923EA4"/>
    <w:rsid w:val="00923FFF"/>
    <w:rsid w:val="009276BF"/>
    <w:rsid w:val="00930625"/>
    <w:rsid w:val="009316F7"/>
    <w:rsid w:val="0094226B"/>
    <w:rsid w:val="00942670"/>
    <w:rsid w:val="00945888"/>
    <w:rsid w:val="009458A5"/>
    <w:rsid w:val="00946CE1"/>
    <w:rsid w:val="00950900"/>
    <w:rsid w:val="00954592"/>
    <w:rsid w:val="00955B14"/>
    <w:rsid w:val="00957111"/>
    <w:rsid w:val="009576B6"/>
    <w:rsid w:val="00957E75"/>
    <w:rsid w:val="0096033A"/>
    <w:rsid w:val="00962807"/>
    <w:rsid w:val="00965741"/>
    <w:rsid w:val="0096601D"/>
    <w:rsid w:val="00967112"/>
    <w:rsid w:val="009674C6"/>
    <w:rsid w:val="00970178"/>
    <w:rsid w:val="00970A0B"/>
    <w:rsid w:val="00970AC4"/>
    <w:rsid w:val="00974CEB"/>
    <w:rsid w:val="009753E0"/>
    <w:rsid w:val="0097543C"/>
    <w:rsid w:val="00975594"/>
    <w:rsid w:val="00975AF0"/>
    <w:rsid w:val="00981335"/>
    <w:rsid w:val="00981CB7"/>
    <w:rsid w:val="00983E3C"/>
    <w:rsid w:val="0098407F"/>
    <w:rsid w:val="00985703"/>
    <w:rsid w:val="00987EF6"/>
    <w:rsid w:val="00993F9F"/>
    <w:rsid w:val="0099659D"/>
    <w:rsid w:val="00997027"/>
    <w:rsid w:val="0099723D"/>
    <w:rsid w:val="009A0D34"/>
    <w:rsid w:val="009A2091"/>
    <w:rsid w:val="009A2191"/>
    <w:rsid w:val="009A34FC"/>
    <w:rsid w:val="009A40EF"/>
    <w:rsid w:val="009A4BCD"/>
    <w:rsid w:val="009A58FC"/>
    <w:rsid w:val="009B3F14"/>
    <w:rsid w:val="009B4AE9"/>
    <w:rsid w:val="009B4FB7"/>
    <w:rsid w:val="009C1563"/>
    <w:rsid w:val="009C20F3"/>
    <w:rsid w:val="009C3565"/>
    <w:rsid w:val="009C77AA"/>
    <w:rsid w:val="009D10D6"/>
    <w:rsid w:val="009D1FD5"/>
    <w:rsid w:val="009D3A95"/>
    <w:rsid w:val="009D46B6"/>
    <w:rsid w:val="009D66E3"/>
    <w:rsid w:val="009F28C6"/>
    <w:rsid w:val="009F2BEB"/>
    <w:rsid w:val="009F3646"/>
    <w:rsid w:val="009F3F0E"/>
    <w:rsid w:val="009F4581"/>
    <w:rsid w:val="009F48F3"/>
    <w:rsid w:val="009F73F4"/>
    <w:rsid w:val="00A01019"/>
    <w:rsid w:val="00A018EF"/>
    <w:rsid w:val="00A10992"/>
    <w:rsid w:val="00A12AF6"/>
    <w:rsid w:val="00A20F27"/>
    <w:rsid w:val="00A24687"/>
    <w:rsid w:val="00A27ECA"/>
    <w:rsid w:val="00A35BA9"/>
    <w:rsid w:val="00A36E0A"/>
    <w:rsid w:val="00A36F88"/>
    <w:rsid w:val="00A40866"/>
    <w:rsid w:val="00A41754"/>
    <w:rsid w:val="00A44CF3"/>
    <w:rsid w:val="00A52EF8"/>
    <w:rsid w:val="00A5331D"/>
    <w:rsid w:val="00A54473"/>
    <w:rsid w:val="00A54482"/>
    <w:rsid w:val="00A55C73"/>
    <w:rsid w:val="00A60093"/>
    <w:rsid w:val="00A60CA3"/>
    <w:rsid w:val="00A60E22"/>
    <w:rsid w:val="00A618D1"/>
    <w:rsid w:val="00A6538C"/>
    <w:rsid w:val="00A6741D"/>
    <w:rsid w:val="00A70D25"/>
    <w:rsid w:val="00A713ED"/>
    <w:rsid w:val="00A7335C"/>
    <w:rsid w:val="00A74266"/>
    <w:rsid w:val="00A77A10"/>
    <w:rsid w:val="00A80826"/>
    <w:rsid w:val="00A81194"/>
    <w:rsid w:val="00A816C1"/>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12D7"/>
    <w:rsid w:val="00AB1BE4"/>
    <w:rsid w:val="00AC0996"/>
    <w:rsid w:val="00AC1D5E"/>
    <w:rsid w:val="00AC22A0"/>
    <w:rsid w:val="00AD2420"/>
    <w:rsid w:val="00AD3BBD"/>
    <w:rsid w:val="00AD4279"/>
    <w:rsid w:val="00AD4821"/>
    <w:rsid w:val="00AD6F11"/>
    <w:rsid w:val="00AE284F"/>
    <w:rsid w:val="00AE4148"/>
    <w:rsid w:val="00AE44A6"/>
    <w:rsid w:val="00AF336A"/>
    <w:rsid w:val="00AF3E9A"/>
    <w:rsid w:val="00AF784F"/>
    <w:rsid w:val="00AF7D15"/>
    <w:rsid w:val="00B00C16"/>
    <w:rsid w:val="00B0496F"/>
    <w:rsid w:val="00B04EA9"/>
    <w:rsid w:val="00B0630B"/>
    <w:rsid w:val="00B0632B"/>
    <w:rsid w:val="00B0702E"/>
    <w:rsid w:val="00B10EFC"/>
    <w:rsid w:val="00B1191A"/>
    <w:rsid w:val="00B14015"/>
    <w:rsid w:val="00B14D90"/>
    <w:rsid w:val="00B15DC4"/>
    <w:rsid w:val="00B20F81"/>
    <w:rsid w:val="00B214A7"/>
    <w:rsid w:val="00B21589"/>
    <w:rsid w:val="00B26098"/>
    <w:rsid w:val="00B27424"/>
    <w:rsid w:val="00B27489"/>
    <w:rsid w:val="00B32FFB"/>
    <w:rsid w:val="00B34900"/>
    <w:rsid w:val="00B34C0A"/>
    <w:rsid w:val="00B35B46"/>
    <w:rsid w:val="00B37C79"/>
    <w:rsid w:val="00B4193C"/>
    <w:rsid w:val="00B441C4"/>
    <w:rsid w:val="00B464F0"/>
    <w:rsid w:val="00B472F6"/>
    <w:rsid w:val="00B500BA"/>
    <w:rsid w:val="00B5198C"/>
    <w:rsid w:val="00B57A95"/>
    <w:rsid w:val="00B6001D"/>
    <w:rsid w:val="00B604DE"/>
    <w:rsid w:val="00B61251"/>
    <w:rsid w:val="00B66ECA"/>
    <w:rsid w:val="00B73144"/>
    <w:rsid w:val="00B765B7"/>
    <w:rsid w:val="00B77D37"/>
    <w:rsid w:val="00B80F7D"/>
    <w:rsid w:val="00B831AD"/>
    <w:rsid w:val="00B8388A"/>
    <w:rsid w:val="00B84113"/>
    <w:rsid w:val="00B8439D"/>
    <w:rsid w:val="00B85C8B"/>
    <w:rsid w:val="00B91F26"/>
    <w:rsid w:val="00B92315"/>
    <w:rsid w:val="00B941DB"/>
    <w:rsid w:val="00B94284"/>
    <w:rsid w:val="00B949B4"/>
    <w:rsid w:val="00B970A8"/>
    <w:rsid w:val="00B9717D"/>
    <w:rsid w:val="00BA1A8C"/>
    <w:rsid w:val="00BA375D"/>
    <w:rsid w:val="00BA405E"/>
    <w:rsid w:val="00BA5175"/>
    <w:rsid w:val="00BA5EFD"/>
    <w:rsid w:val="00BA6331"/>
    <w:rsid w:val="00BA73F8"/>
    <w:rsid w:val="00BB11B4"/>
    <w:rsid w:val="00BB24EC"/>
    <w:rsid w:val="00BB4DEA"/>
    <w:rsid w:val="00BB6351"/>
    <w:rsid w:val="00BB6A15"/>
    <w:rsid w:val="00BB78B5"/>
    <w:rsid w:val="00BC1175"/>
    <w:rsid w:val="00BC2218"/>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E6BCA"/>
    <w:rsid w:val="00BF146D"/>
    <w:rsid w:val="00BF2F50"/>
    <w:rsid w:val="00BF4832"/>
    <w:rsid w:val="00BF526E"/>
    <w:rsid w:val="00C0130C"/>
    <w:rsid w:val="00C01738"/>
    <w:rsid w:val="00C03A8C"/>
    <w:rsid w:val="00C07222"/>
    <w:rsid w:val="00C10F49"/>
    <w:rsid w:val="00C13DB5"/>
    <w:rsid w:val="00C148DF"/>
    <w:rsid w:val="00C17285"/>
    <w:rsid w:val="00C21448"/>
    <w:rsid w:val="00C2280E"/>
    <w:rsid w:val="00C23420"/>
    <w:rsid w:val="00C236C3"/>
    <w:rsid w:val="00C2492A"/>
    <w:rsid w:val="00C25335"/>
    <w:rsid w:val="00C25516"/>
    <w:rsid w:val="00C25B73"/>
    <w:rsid w:val="00C26D42"/>
    <w:rsid w:val="00C30124"/>
    <w:rsid w:val="00C33A2A"/>
    <w:rsid w:val="00C34791"/>
    <w:rsid w:val="00C40448"/>
    <w:rsid w:val="00C41A27"/>
    <w:rsid w:val="00C4202D"/>
    <w:rsid w:val="00C4574C"/>
    <w:rsid w:val="00C47818"/>
    <w:rsid w:val="00C53EEF"/>
    <w:rsid w:val="00C5534C"/>
    <w:rsid w:val="00C55D23"/>
    <w:rsid w:val="00C618E9"/>
    <w:rsid w:val="00C61C69"/>
    <w:rsid w:val="00C62052"/>
    <w:rsid w:val="00C652FF"/>
    <w:rsid w:val="00C702A5"/>
    <w:rsid w:val="00C715C2"/>
    <w:rsid w:val="00C73C7F"/>
    <w:rsid w:val="00C8029B"/>
    <w:rsid w:val="00C81064"/>
    <w:rsid w:val="00C879C1"/>
    <w:rsid w:val="00C91DC4"/>
    <w:rsid w:val="00C9409C"/>
    <w:rsid w:val="00C968DA"/>
    <w:rsid w:val="00CA32D5"/>
    <w:rsid w:val="00CA3442"/>
    <w:rsid w:val="00CA771C"/>
    <w:rsid w:val="00CB0A6F"/>
    <w:rsid w:val="00CB0EAE"/>
    <w:rsid w:val="00CB1E60"/>
    <w:rsid w:val="00CB2BA9"/>
    <w:rsid w:val="00CB5935"/>
    <w:rsid w:val="00CB6FA7"/>
    <w:rsid w:val="00CB7851"/>
    <w:rsid w:val="00CC03D8"/>
    <w:rsid w:val="00CC381F"/>
    <w:rsid w:val="00CC44A4"/>
    <w:rsid w:val="00CC4B3E"/>
    <w:rsid w:val="00CC59DE"/>
    <w:rsid w:val="00CC5C64"/>
    <w:rsid w:val="00CC6D80"/>
    <w:rsid w:val="00CC77FD"/>
    <w:rsid w:val="00CD03EC"/>
    <w:rsid w:val="00CD1CA7"/>
    <w:rsid w:val="00CD1D61"/>
    <w:rsid w:val="00CD2FD8"/>
    <w:rsid w:val="00CD5700"/>
    <w:rsid w:val="00CD7F25"/>
    <w:rsid w:val="00CE0B94"/>
    <w:rsid w:val="00CF0101"/>
    <w:rsid w:val="00CF07EB"/>
    <w:rsid w:val="00CF0C82"/>
    <w:rsid w:val="00CF1B56"/>
    <w:rsid w:val="00CF20CD"/>
    <w:rsid w:val="00CF347D"/>
    <w:rsid w:val="00CF3CA4"/>
    <w:rsid w:val="00D000AD"/>
    <w:rsid w:val="00D0012A"/>
    <w:rsid w:val="00D01952"/>
    <w:rsid w:val="00D075F0"/>
    <w:rsid w:val="00D14F93"/>
    <w:rsid w:val="00D23930"/>
    <w:rsid w:val="00D254E7"/>
    <w:rsid w:val="00D275E7"/>
    <w:rsid w:val="00D31B32"/>
    <w:rsid w:val="00D33F96"/>
    <w:rsid w:val="00D344CA"/>
    <w:rsid w:val="00D3626E"/>
    <w:rsid w:val="00D37A0C"/>
    <w:rsid w:val="00D42485"/>
    <w:rsid w:val="00D430A9"/>
    <w:rsid w:val="00D43221"/>
    <w:rsid w:val="00D462C7"/>
    <w:rsid w:val="00D4706C"/>
    <w:rsid w:val="00D47416"/>
    <w:rsid w:val="00D50878"/>
    <w:rsid w:val="00D50ADD"/>
    <w:rsid w:val="00D52025"/>
    <w:rsid w:val="00D5213A"/>
    <w:rsid w:val="00D532AE"/>
    <w:rsid w:val="00D532F2"/>
    <w:rsid w:val="00D54AFE"/>
    <w:rsid w:val="00D561BC"/>
    <w:rsid w:val="00D628ED"/>
    <w:rsid w:val="00D67727"/>
    <w:rsid w:val="00D722CB"/>
    <w:rsid w:val="00D731EE"/>
    <w:rsid w:val="00D73442"/>
    <w:rsid w:val="00D740C8"/>
    <w:rsid w:val="00D76B52"/>
    <w:rsid w:val="00D805A7"/>
    <w:rsid w:val="00D842B2"/>
    <w:rsid w:val="00D84AF7"/>
    <w:rsid w:val="00D84FCF"/>
    <w:rsid w:val="00D8576F"/>
    <w:rsid w:val="00D857FE"/>
    <w:rsid w:val="00D85ABF"/>
    <w:rsid w:val="00D86534"/>
    <w:rsid w:val="00D870CD"/>
    <w:rsid w:val="00D87101"/>
    <w:rsid w:val="00D92782"/>
    <w:rsid w:val="00D93EF3"/>
    <w:rsid w:val="00DA020B"/>
    <w:rsid w:val="00DA4A78"/>
    <w:rsid w:val="00DA7832"/>
    <w:rsid w:val="00DB2045"/>
    <w:rsid w:val="00DB2A52"/>
    <w:rsid w:val="00DB31A9"/>
    <w:rsid w:val="00DB4812"/>
    <w:rsid w:val="00DB6926"/>
    <w:rsid w:val="00DB76C0"/>
    <w:rsid w:val="00DC5BB9"/>
    <w:rsid w:val="00DC6155"/>
    <w:rsid w:val="00DC7B74"/>
    <w:rsid w:val="00DD1260"/>
    <w:rsid w:val="00DD507C"/>
    <w:rsid w:val="00DD76D8"/>
    <w:rsid w:val="00DE04A6"/>
    <w:rsid w:val="00DE2D3D"/>
    <w:rsid w:val="00DE2F43"/>
    <w:rsid w:val="00DE7BDD"/>
    <w:rsid w:val="00DF1A09"/>
    <w:rsid w:val="00DF23BC"/>
    <w:rsid w:val="00DF2927"/>
    <w:rsid w:val="00DF38D5"/>
    <w:rsid w:val="00DF7253"/>
    <w:rsid w:val="00DF7362"/>
    <w:rsid w:val="00E01818"/>
    <w:rsid w:val="00E061AE"/>
    <w:rsid w:val="00E10059"/>
    <w:rsid w:val="00E10D31"/>
    <w:rsid w:val="00E1181E"/>
    <w:rsid w:val="00E132CC"/>
    <w:rsid w:val="00E13F34"/>
    <w:rsid w:val="00E156A6"/>
    <w:rsid w:val="00E15716"/>
    <w:rsid w:val="00E15D75"/>
    <w:rsid w:val="00E165E2"/>
    <w:rsid w:val="00E177AE"/>
    <w:rsid w:val="00E25764"/>
    <w:rsid w:val="00E33D97"/>
    <w:rsid w:val="00E415CA"/>
    <w:rsid w:val="00E43E4E"/>
    <w:rsid w:val="00E4504E"/>
    <w:rsid w:val="00E47CFB"/>
    <w:rsid w:val="00E53BF3"/>
    <w:rsid w:val="00E54C10"/>
    <w:rsid w:val="00E55AFF"/>
    <w:rsid w:val="00E56811"/>
    <w:rsid w:val="00E57CD5"/>
    <w:rsid w:val="00E60E9D"/>
    <w:rsid w:val="00E627E9"/>
    <w:rsid w:val="00E629E2"/>
    <w:rsid w:val="00E635B5"/>
    <w:rsid w:val="00E63D31"/>
    <w:rsid w:val="00E7218C"/>
    <w:rsid w:val="00E73487"/>
    <w:rsid w:val="00E77661"/>
    <w:rsid w:val="00E776A0"/>
    <w:rsid w:val="00E77FCE"/>
    <w:rsid w:val="00E8651F"/>
    <w:rsid w:val="00E87093"/>
    <w:rsid w:val="00E87CDB"/>
    <w:rsid w:val="00E93518"/>
    <w:rsid w:val="00E93717"/>
    <w:rsid w:val="00EA1C40"/>
    <w:rsid w:val="00EA3423"/>
    <w:rsid w:val="00EA4D2A"/>
    <w:rsid w:val="00EA5FD8"/>
    <w:rsid w:val="00EA7C66"/>
    <w:rsid w:val="00EB25B2"/>
    <w:rsid w:val="00EB287C"/>
    <w:rsid w:val="00EB2FDC"/>
    <w:rsid w:val="00EB4D32"/>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44F7"/>
    <w:rsid w:val="00EE57C8"/>
    <w:rsid w:val="00EF6EF5"/>
    <w:rsid w:val="00F0612C"/>
    <w:rsid w:val="00F07B03"/>
    <w:rsid w:val="00F128C9"/>
    <w:rsid w:val="00F13995"/>
    <w:rsid w:val="00F13BC1"/>
    <w:rsid w:val="00F14364"/>
    <w:rsid w:val="00F15E74"/>
    <w:rsid w:val="00F167CC"/>
    <w:rsid w:val="00F22201"/>
    <w:rsid w:val="00F2226E"/>
    <w:rsid w:val="00F3021D"/>
    <w:rsid w:val="00F33739"/>
    <w:rsid w:val="00F33795"/>
    <w:rsid w:val="00F343E5"/>
    <w:rsid w:val="00F357E3"/>
    <w:rsid w:val="00F360BB"/>
    <w:rsid w:val="00F40579"/>
    <w:rsid w:val="00F43418"/>
    <w:rsid w:val="00F43B6C"/>
    <w:rsid w:val="00F46C52"/>
    <w:rsid w:val="00F5122C"/>
    <w:rsid w:val="00F51354"/>
    <w:rsid w:val="00F5253F"/>
    <w:rsid w:val="00F54101"/>
    <w:rsid w:val="00F5682F"/>
    <w:rsid w:val="00F600F6"/>
    <w:rsid w:val="00F61E65"/>
    <w:rsid w:val="00F6426A"/>
    <w:rsid w:val="00F654C0"/>
    <w:rsid w:val="00F65FEB"/>
    <w:rsid w:val="00F6625A"/>
    <w:rsid w:val="00F6676A"/>
    <w:rsid w:val="00F712A2"/>
    <w:rsid w:val="00F7155F"/>
    <w:rsid w:val="00F72935"/>
    <w:rsid w:val="00F74C60"/>
    <w:rsid w:val="00F74FFB"/>
    <w:rsid w:val="00F761CF"/>
    <w:rsid w:val="00F8511C"/>
    <w:rsid w:val="00F8783E"/>
    <w:rsid w:val="00F91CE4"/>
    <w:rsid w:val="00F95A52"/>
    <w:rsid w:val="00FA06D3"/>
    <w:rsid w:val="00FA18A1"/>
    <w:rsid w:val="00FA18F8"/>
    <w:rsid w:val="00FA2E6B"/>
    <w:rsid w:val="00FA4ECE"/>
    <w:rsid w:val="00FB1AAA"/>
    <w:rsid w:val="00FB1D3A"/>
    <w:rsid w:val="00FB2672"/>
    <w:rsid w:val="00FB3D31"/>
    <w:rsid w:val="00FB4C03"/>
    <w:rsid w:val="00FB4C16"/>
    <w:rsid w:val="00FB668B"/>
    <w:rsid w:val="00FC3F61"/>
    <w:rsid w:val="00FD1862"/>
    <w:rsid w:val="00FD43C9"/>
    <w:rsid w:val="00FD509B"/>
    <w:rsid w:val="00FE3985"/>
    <w:rsid w:val="00FF0666"/>
    <w:rsid w:val="00FF0FEE"/>
    <w:rsid w:val="00FF1B50"/>
    <w:rsid w:val="00FF1F81"/>
    <w:rsid w:val="00FF4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828512B5-FBE4-491C-8771-F82F8F31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uiPriority w:val="1"/>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uiPriority w:val="9"/>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uiPriority w:val="9"/>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qFormat/>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qFormat/>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uiPriority w:val="99"/>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aliases w:val="Footnote number,Footnotes refss"/>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FontAwesome" w:hAnsi="FontAwesome"/>
        <w:b/>
        <w:sz w:val="22"/>
      </w:rPr>
      <w:tblPr/>
      <w:trPr>
        <w:tblHeader/>
      </w:trPr>
    </w:tblStylePr>
    <w:tblStylePr w:type="band1Horz">
      <w:rPr>
        <w:rFonts w:ascii="FontAwesome" w:hAnsi="FontAwesome"/>
        <w:sz w:val="20"/>
      </w:rPr>
      <w:tblPr/>
      <w:tcPr>
        <w:shd w:val="clear" w:color="auto" w:fill="F2F2F2"/>
      </w:tcPr>
    </w:tblStylePr>
  </w:style>
  <w:style w:type="character" w:customStyle="1" w:styleId="Heading1Char">
    <w:name w:val="Heading 1 Char"/>
    <w:link w:val="Heading1"/>
    <w:uiPriority w:val="9"/>
    <w:rsid w:val="004001FB"/>
    <w:rPr>
      <w:rFonts w:ascii="Arial Narrow" w:hAnsi="Arial Narrow"/>
      <w:smallCaps/>
      <w:spacing w:val="4"/>
      <w:kern w:val="42"/>
      <w:sz w:val="42"/>
      <w:szCs w:val="36"/>
      <w:lang w:eastAsia="en-US"/>
    </w:rPr>
  </w:style>
  <w:style w:type="character" w:customStyle="1" w:styleId="Heading2Char">
    <w:name w:val="Heading 2 Char"/>
    <w:link w:val="Heading2"/>
    <w:uiPriority w:val="9"/>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uiPriority w:val="9"/>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iPriority w:val="1"/>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1"/>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Committeename0">
    <w:name w:val="Committee name"/>
    <w:rsid w:val="00F712A2"/>
    <w:pPr>
      <w:spacing w:before="600" w:after="600" w:line="480" w:lineRule="exact"/>
      <w:jc w:val="right"/>
    </w:pPr>
    <w:rPr>
      <w:rFonts w:ascii="Arial Narrow" w:hAnsi="Arial Narrow"/>
      <w:smallCaps/>
      <w:spacing w:val="40"/>
      <w:sz w:val="28"/>
      <w:szCs w:val="28"/>
      <w:lang w:eastAsia="en-US"/>
    </w:rPr>
  </w:style>
  <w:style w:type="paragraph" w:customStyle="1" w:styleId="Bodytextnonumbering">
    <w:name w:val="Body text no numbering"/>
    <w:basedOn w:val="Normal"/>
    <w:rsid w:val="00F712A2"/>
    <w:pPr>
      <w:keepNext/>
      <w:spacing w:before="160" w:after="80" w:line="288" w:lineRule="auto"/>
      <w:outlineLvl w:val="1"/>
    </w:pPr>
    <w:rPr>
      <w:rFonts w:cs="Arial"/>
      <w:iC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F712A2"/>
    <w:rPr>
      <w:rFonts w:ascii="Calibri" w:hAnsi="Calibri"/>
      <w:sz w:val="18"/>
      <w:lang w:eastAsia="en-US"/>
    </w:rPr>
  </w:style>
  <w:style w:type="paragraph" w:customStyle="1" w:styleId="TOCHeading1">
    <w:name w:val="TOC Heading1"/>
    <w:basedOn w:val="Normal"/>
    <w:rsid w:val="00F712A2"/>
    <w:pPr>
      <w:keepNext/>
      <w:pageBreakBefore/>
      <w:widowControl w:val="0"/>
      <w:tabs>
        <w:tab w:val="left" w:pos="567"/>
      </w:tabs>
      <w:spacing w:before="360" w:after="720"/>
      <w:ind w:left="680"/>
      <w:outlineLvl w:val="0"/>
    </w:pPr>
    <w:rPr>
      <w:rFonts w:ascii="Arial Narrow" w:hAnsi="Arial Narrow" w:cs="Arial"/>
      <w:bCs/>
      <w:smallCaps/>
      <w:spacing w:val="20"/>
      <w:kern w:val="32"/>
      <w:sz w:val="34"/>
      <w:szCs w:val="46"/>
    </w:rPr>
  </w:style>
  <w:style w:type="paragraph" w:styleId="NormalWeb">
    <w:name w:val="Normal (Web)"/>
    <w:basedOn w:val="Normal"/>
    <w:uiPriority w:val="99"/>
    <w:semiHidden/>
    <w:unhideWhenUsed/>
    <w:rsid w:val="00BF526E"/>
    <w:pPr>
      <w:spacing w:before="100" w:beforeAutospacing="1" w:afterAutospacing="1" w:line="240" w:lineRule="auto"/>
    </w:pPr>
    <w:rPr>
      <w:rFonts w:ascii="Times New Roman" w:eastAsiaTheme="minorHAnsi" w:hAnsi="Times New Roman"/>
      <w:sz w:val="24"/>
      <w:lang w:eastAsia="en-AU"/>
    </w:rPr>
  </w:style>
  <w:style w:type="paragraph" w:customStyle="1" w:styleId="DPSEntryDetail">
    <w:name w:val="DPSEntryDetail"/>
    <w:link w:val="DPSEntryDetailChar"/>
    <w:rsid w:val="003555E7"/>
    <w:pPr>
      <w:tabs>
        <w:tab w:val="left" w:pos="1197"/>
        <w:tab w:val="left" w:pos="1767"/>
      </w:tabs>
      <w:spacing w:before="120"/>
      <w:ind w:left="720"/>
      <w:jc w:val="both"/>
    </w:pPr>
    <w:rPr>
      <w:rFonts w:ascii="Calibri" w:hAnsi="Calibri"/>
      <w:sz w:val="24"/>
    </w:rPr>
  </w:style>
  <w:style w:type="paragraph" w:customStyle="1" w:styleId="DPSNoticeIndent2">
    <w:name w:val="DPSNoticeIndent2"/>
    <w:basedOn w:val="Normal"/>
    <w:link w:val="DPSNoticeIndent2Char"/>
    <w:rsid w:val="003555E7"/>
    <w:pPr>
      <w:tabs>
        <w:tab w:val="left" w:pos="567"/>
      </w:tabs>
      <w:spacing w:before="60" w:after="60" w:line="240" w:lineRule="auto"/>
      <w:ind w:left="2268" w:hanging="567"/>
    </w:pPr>
    <w:rPr>
      <w:rFonts w:ascii="Times New Roman" w:hAnsi="Times New Roman"/>
      <w:sz w:val="24"/>
      <w:szCs w:val="20"/>
    </w:rPr>
  </w:style>
  <w:style w:type="paragraph" w:customStyle="1" w:styleId="DPSNoticeIndent3">
    <w:name w:val="DPSNoticeIndent3"/>
    <w:link w:val="DPSNoticeIndent3Char"/>
    <w:rsid w:val="003555E7"/>
    <w:pPr>
      <w:spacing w:before="60" w:after="60"/>
      <w:ind w:left="2835" w:hanging="567"/>
    </w:pPr>
    <w:rPr>
      <w:sz w:val="24"/>
      <w:lang w:eastAsia="en-US"/>
    </w:rPr>
  </w:style>
  <w:style w:type="character" w:customStyle="1" w:styleId="DPSNoticeIndent2Char">
    <w:name w:val="DPSNoticeIndent2 Char"/>
    <w:basedOn w:val="DefaultParagraphFont"/>
    <w:link w:val="DPSNoticeIndent2"/>
    <w:rsid w:val="003555E7"/>
    <w:rPr>
      <w:sz w:val="24"/>
      <w:lang w:eastAsia="en-US"/>
    </w:rPr>
  </w:style>
  <w:style w:type="character" w:customStyle="1" w:styleId="DPSNoticeIndent3Char">
    <w:name w:val="DPSNoticeIndent3 Char"/>
    <w:basedOn w:val="DefaultParagraphFont"/>
    <w:link w:val="DPSNoticeIndent3"/>
    <w:rsid w:val="003555E7"/>
    <w:rPr>
      <w:sz w:val="24"/>
      <w:lang w:eastAsia="en-US"/>
    </w:rPr>
  </w:style>
  <w:style w:type="character" w:customStyle="1" w:styleId="DPSEntryDetailChar">
    <w:name w:val="DPSEntryDetail Char"/>
    <w:basedOn w:val="DefaultParagraphFont"/>
    <w:link w:val="DPSEntryDetail"/>
    <w:rsid w:val="003555E7"/>
    <w:rPr>
      <w:rFonts w:ascii="Calibri" w:hAnsi="Calibri"/>
      <w:sz w:val="24"/>
    </w:rPr>
  </w:style>
  <w:style w:type="paragraph" w:customStyle="1" w:styleId="headingparagraph">
    <w:name w:val="headingparagraph"/>
    <w:basedOn w:val="Normal"/>
    <w:rsid w:val="00F343E5"/>
    <w:pPr>
      <w:spacing w:before="100" w:beforeAutospacing="1" w:afterAutospacing="1" w:line="240" w:lineRule="auto"/>
    </w:pPr>
    <w:rPr>
      <w:rFonts w:ascii="Times New Roman" w:hAnsi="Times New Roman"/>
      <w:sz w:val="24"/>
      <w:lang w:eastAsia="en-AU"/>
    </w:rPr>
  </w:style>
  <w:style w:type="character" w:customStyle="1" w:styleId="Quote1">
    <w:name w:val="Quote1"/>
    <w:basedOn w:val="DefaultParagraphFont"/>
    <w:rsid w:val="00F343E5"/>
  </w:style>
  <w:style w:type="paragraph" w:customStyle="1" w:styleId="02Text">
    <w:name w:val="02Text"/>
    <w:basedOn w:val="Normal"/>
    <w:rsid w:val="000E4E41"/>
    <w:pPr>
      <w:tabs>
        <w:tab w:val="left" w:pos="0"/>
      </w:tabs>
      <w:spacing w:before="0" w:after="0" w:line="240" w:lineRule="auto"/>
    </w:pPr>
    <w:rPr>
      <w:rFonts w:ascii="Times New Roman" w:hAnsi="Times New Roman"/>
      <w:sz w:val="24"/>
      <w:szCs w:val="20"/>
    </w:rPr>
  </w:style>
  <w:style w:type="paragraph" w:customStyle="1" w:styleId="EnactingWords">
    <w:name w:val="EnactingWords"/>
    <w:basedOn w:val="Normal"/>
    <w:rsid w:val="000E4E41"/>
    <w:pPr>
      <w:spacing w:before="120" w:after="0" w:line="240" w:lineRule="auto"/>
      <w:jc w:val="both"/>
    </w:pPr>
    <w:rPr>
      <w:rFonts w:ascii="Times New Roman" w:hAnsi="Times New Roman"/>
      <w:sz w:val="24"/>
      <w:szCs w:val="20"/>
    </w:rPr>
  </w:style>
  <w:style w:type="paragraph" w:customStyle="1" w:styleId="Amainreturn">
    <w:name w:val="A main return"/>
    <w:basedOn w:val="Normal"/>
    <w:link w:val="AmainreturnChar"/>
    <w:rsid w:val="000E4E41"/>
    <w:pPr>
      <w:spacing w:before="140" w:after="0" w:line="240" w:lineRule="auto"/>
      <w:ind w:left="1100"/>
      <w:jc w:val="both"/>
    </w:pPr>
    <w:rPr>
      <w:rFonts w:ascii="Times New Roman" w:hAnsi="Times New Roman"/>
      <w:sz w:val="24"/>
      <w:szCs w:val="20"/>
    </w:rPr>
  </w:style>
  <w:style w:type="paragraph" w:customStyle="1" w:styleId="aDef">
    <w:name w:val="aDef"/>
    <w:basedOn w:val="Normal"/>
    <w:link w:val="aDefChar"/>
    <w:rsid w:val="000E4E41"/>
    <w:pPr>
      <w:spacing w:before="140" w:after="0" w:line="240" w:lineRule="auto"/>
      <w:ind w:left="1100"/>
      <w:jc w:val="both"/>
    </w:pPr>
    <w:rPr>
      <w:rFonts w:ascii="Times New Roman" w:hAnsi="Times New Roman"/>
      <w:sz w:val="24"/>
      <w:szCs w:val="20"/>
    </w:rPr>
  </w:style>
  <w:style w:type="paragraph" w:customStyle="1" w:styleId="aNote">
    <w:name w:val="aNote"/>
    <w:basedOn w:val="Normal"/>
    <w:link w:val="aNoteChar"/>
    <w:rsid w:val="000E4E41"/>
    <w:pPr>
      <w:spacing w:before="140" w:after="0" w:line="240" w:lineRule="auto"/>
      <w:ind w:left="1900" w:hanging="800"/>
      <w:jc w:val="both"/>
    </w:pPr>
    <w:rPr>
      <w:rFonts w:ascii="Times New Roman" w:hAnsi="Times New Roman"/>
      <w:sz w:val="20"/>
      <w:szCs w:val="20"/>
    </w:rPr>
  </w:style>
  <w:style w:type="paragraph" w:customStyle="1" w:styleId="HeaderEven">
    <w:name w:val="HeaderEven"/>
    <w:basedOn w:val="Normal"/>
    <w:rsid w:val="000E4E41"/>
    <w:pPr>
      <w:tabs>
        <w:tab w:val="left" w:pos="0"/>
      </w:tabs>
      <w:spacing w:before="0" w:after="0" w:line="240" w:lineRule="auto"/>
    </w:pPr>
    <w:rPr>
      <w:rFonts w:ascii="Arial" w:hAnsi="Arial"/>
      <w:sz w:val="18"/>
      <w:szCs w:val="20"/>
    </w:rPr>
  </w:style>
  <w:style w:type="paragraph" w:customStyle="1" w:styleId="HeaderEven6">
    <w:name w:val="HeaderEven6"/>
    <w:basedOn w:val="HeaderEven"/>
    <w:rsid w:val="000E4E41"/>
    <w:pPr>
      <w:spacing w:before="120" w:after="60"/>
    </w:pPr>
  </w:style>
  <w:style w:type="paragraph" w:customStyle="1" w:styleId="HeaderOdd6">
    <w:name w:val="HeaderOdd6"/>
    <w:basedOn w:val="HeaderEven6"/>
    <w:rsid w:val="000E4E41"/>
    <w:pPr>
      <w:jc w:val="right"/>
    </w:pPr>
  </w:style>
  <w:style w:type="paragraph" w:customStyle="1" w:styleId="HeaderOdd">
    <w:name w:val="HeaderOdd"/>
    <w:basedOn w:val="HeaderEven"/>
    <w:rsid w:val="000E4E41"/>
    <w:pPr>
      <w:jc w:val="right"/>
    </w:pPr>
  </w:style>
  <w:style w:type="paragraph" w:customStyle="1" w:styleId="N-line3">
    <w:name w:val="N-line3"/>
    <w:basedOn w:val="Normal"/>
    <w:next w:val="Normal"/>
    <w:rsid w:val="000E4E41"/>
    <w:pPr>
      <w:pBdr>
        <w:bottom w:val="single" w:sz="12" w:space="1" w:color="auto"/>
      </w:pBdr>
      <w:spacing w:before="60" w:after="0" w:line="240" w:lineRule="auto"/>
      <w:jc w:val="both"/>
    </w:pPr>
    <w:rPr>
      <w:rFonts w:ascii="Times New Roman" w:hAnsi="Times New Roman"/>
      <w:sz w:val="24"/>
      <w:szCs w:val="20"/>
    </w:rPr>
  </w:style>
  <w:style w:type="paragraph" w:customStyle="1" w:styleId="AH5Sec">
    <w:name w:val="A H5 Sec"/>
    <w:basedOn w:val="Normal"/>
    <w:next w:val="Normal"/>
    <w:link w:val="AH5SecChar"/>
    <w:rsid w:val="000E4E41"/>
    <w:pPr>
      <w:keepNext/>
      <w:tabs>
        <w:tab w:val="left" w:pos="1100"/>
      </w:tabs>
      <w:spacing w:after="0" w:line="240" w:lineRule="auto"/>
      <w:ind w:left="1100" w:hanging="1100"/>
      <w:outlineLvl w:val="4"/>
    </w:pPr>
    <w:rPr>
      <w:rFonts w:ascii="Arial" w:hAnsi="Arial"/>
      <w:b/>
      <w:sz w:val="24"/>
      <w:szCs w:val="20"/>
    </w:rPr>
  </w:style>
  <w:style w:type="paragraph" w:customStyle="1" w:styleId="direction">
    <w:name w:val="direction"/>
    <w:basedOn w:val="Normal"/>
    <w:next w:val="Normal"/>
    <w:rsid w:val="000E4E41"/>
    <w:pPr>
      <w:keepNext/>
      <w:spacing w:before="140" w:after="0" w:line="240" w:lineRule="auto"/>
      <w:ind w:left="1100"/>
      <w:jc w:val="both"/>
    </w:pPr>
    <w:rPr>
      <w:rFonts w:ascii="Times New Roman" w:hAnsi="Times New Roman"/>
      <w:i/>
      <w:sz w:val="24"/>
      <w:szCs w:val="20"/>
    </w:rPr>
  </w:style>
  <w:style w:type="paragraph" w:customStyle="1" w:styleId="IH5Sec">
    <w:name w:val="I H5 Sec"/>
    <w:basedOn w:val="Normal"/>
    <w:next w:val="Normal"/>
    <w:rsid w:val="000E4E41"/>
    <w:pPr>
      <w:keepNext/>
      <w:tabs>
        <w:tab w:val="left" w:pos="1100"/>
      </w:tabs>
      <w:spacing w:after="0" w:line="240" w:lineRule="auto"/>
      <w:ind w:left="1100" w:hanging="1100"/>
    </w:pPr>
    <w:rPr>
      <w:rFonts w:ascii="Arial" w:hAnsi="Arial"/>
      <w:b/>
      <w:sz w:val="24"/>
      <w:szCs w:val="20"/>
    </w:rPr>
  </w:style>
  <w:style w:type="paragraph" w:customStyle="1" w:styleId="PageBreak">
    <w:name w:val="PageBreak"/>
    <w:basedOn w:val="Normal"/>
    <w:rsid w:val="000E4E41"/>
    <w:pPr>
      <w:tabs>
        <w:tab w:val="left" w:pos="0"/>
      </w:tabs>
      <w:spacing w:before="0" w:after="0" w:line="240" w:lineRule="auto"/>
    </w:pPr>
    <w:rPr>
      <w:rFonts w:ascii="Times New Roman" w:hAnsi="Times New Roman"/>
      <w:sz w:val="4"/>
      <w:szCs w:val="20"/>
    </w:rPr>
  </w:style>
  <w:style w:type="paragraph" w:customStyle="1" w:styleId="N-line1">
    <w:name w:val="N-line1"/>
    <w:basedOn w:val="Normal"/>
    <w:rsid w:val="000E4E41"/>
    <w:pPr>
      <w:pBdr>
        <w:bottom w:val="single" w:sz="4" w:space="0" w:color="auto"/>
      </w:pBdr>
      <w:spacing w:before="100" w:after="0" w:line="240" w:lineRule="auto"/>
      <w:ind w:left="2980" w:right="3020"/>
      <w:jc w:val="center"/>
    </w:pPr>
    <w:rPr>
      <w:rFonts w:ascii="Times New Roman" w:hAnsi="Times New Roman"/>
      <w:sz w:val="24"/>
      <w:szCs w:val="20"/>
    </w:rPr>
  </w:style>
  <w:style w:type="paragraph" w:customStyle="1" w:styleId="N-line2">
    <w:name w:val="N-line2"/>
    <w:basedOn w:val="Normal"/>
    <w:rsid w:val="000E4E41"/>
    <w:pPr>
      <w:pBdr>
        <w:bottom w:val="single" w:sz="8" w:space="0" w:color="auto"/>
      </w:pBdr>
      <w:tabs>
        <w:tab w:val="left" w:pos="0"/>
      </w:tabs>
      <w:spacing w:before="0" w:after="0" w:line="240" w:lineRule="auto"/>
    </w:pPr>
    <w:rPr>
      <w:rFonts w:ascii="Times New Roman" w:hAnsi="Times New Roman"/>
      <w:sz w:val="24"/>
      <w:szCs w:val="20"/>
    </w:rPr>
  </w:style>
  <w:style w:type="paragraph" w:customStyle="1" w:styleId="EndNoteHeading">
    <w:name w:val="EndNoteHeading"/>
    <w:basedOn w:val="Normal"/>
    <w:rsid w:val="000E4E41"/>
    <w:pPr>
      <w:keepNext/>
      <w:tabs>
        <w:tab w:val="left" w:pos="700"/>
        <w:tab w:val="left" w:pos="2600"/>
      </w:tabs>
      <w:spacing w:before="160" w:after="0" w:line="240" w:lineRule="auto"/>
      <w:ind w:left="700" w:hanging="700"/>
    </w:pPr>
    <w:rPr>
      <w:rFonts w:ascii="Arial (W1)" w:hAnsi="Arial (W1)"/>
      <w:b/>
      <w:sz w:val="24"/>
      <w:szCs w:val="20"/>
    </w:rPr>
  </w:style>
  <w:style w:type="paragraph" w:customStyle="1" w:styleId="05EndNote">
    <w:name w:val="05EndNote"/>
    <w:basedOn w:val="Normal"/>
    <w:rsid w:val="000E4E41"/>
    <w:pPr>
      <w:tabs>
        <w:tab w:val="left" w:pos="0"/>
      </w:tabs>
      <w:spacing w:before="0" w:after="0" w:line="240" w:lineRule="auto"/>
    </w:pPr>
    <w:rPr>
      <w:rFonts w:ascii="Times New Roman" w:hAnsi="Times New Roman"/>
      <w:sz w:val="24"/>
      <w:szCs w:val="20"/>
    </w:rPr>
  </w:style>
  <w:style w:type="paragraph" w:customStyle="1" w:styleId="IMain">
    <w:name w:val="I Main"/>
    <w:basedOn w:val="Normal"/>
    <w:rsid w:val="000E4E41"/>
    <w:pPr>
      <w:tabs>
        <w:tab w:val="right" w:pos="900"/>
        <w:tab w:val="left" w:pos="1100"/>
      </w:tabs>
      <w:spacing w:before="140" w:after="0" w:line="240" w:lineRule="auto"/>
      <w:ind w:left="1100" w:hanging="1100"/>
      <w:jc w:val="both"/>
      <w:outlineLvl w:val="5"/>
    </w:pPr>
    <w:rPr>
      <w:rFonts w:ascii="Times New Roman" w:hAnsi="Times New Roman"/>
      <w:sz w:val="24"/>
      <w:szCs w:val="20"/>
    </w:rPr>
  </w:style>
  <w:style w:type="paragraph" w:customStyle="1" w:styleId="Ipara">
    <w:name w:val="I para"/>
    <w:basedOn w:val="Normal"/>
    <w:rsid w:val="000E4E41"/>
    <w:pPr>
      <w:tabs>
        <w:tab w:val="right" w:pos="1400"/>
        <w:tab w:val="left" w:pos="1600"/>
      </w:tabs>
      <w:spacing w:before="140" w:after="0" w:line="240" w:lineRule="auto"/>
      <w:ind w:left="1600" w:hanging="1600"/>
      <w:jc w:val="both"/>
    </w:pPr>
    <w:rPr>
      <w:rFonts w:ascii="Times New Roman" w:hAnsi="Times New Roman"/>
      <w:sz w:val="24"/>
      <w:szCs w:val="20"/>
    </w:rPr>
  </w:style>
  <w:style w:type="paragraph" w:customStyle="1" w:styleId="Isubpara">
    <w:name w:val="I subpara"/>
    <w:basedOn w:val="Normal"/>
    <w:rsid w:val="000E4E41"/>
    <w:pPr>
      <w:tabs>
        <w:tab w:val="right" w:pos="1940"/>
        <w:tab w:val="left" w:pos="2140"/>
      </w:tabs>
      <w:spacing w:before="140" w:after="0" w:line="240" w:lineRule="auto"/>
      <w:ind w:left="2140" w:hanging="2140"/>
      <w:jc w:val="both"/>
    </w:pPr>
    <w:rPr>
      <w:rFonts w:ascii="Times New Roman" w:hAnsi="Times New Roman"/>
      <w:sz w:val="24"/>
      <w:szCs w:val="20"/>
    </w:rPr>
  </w:style>
  <w:style w:type="character" w:customStyle="1" w:styleId="CharSectNo">
    <w:name w:val="CharSectNo"/>
    <w:basedOn w:val="DefaultParagraphFont"/>
    <w:rsid w:val="000E4E41"/>
    <w:rPr>
      <w:rFonts w:cs="Times New Roman"/>
    </w:rPr>
  </w:style>
  <w:style w:type="character" w:customStyle="1" w:styleId="CharDivNo">
    <w:name w:val="CharDivNo"/>
    <w:basedOn w:val="DefaultParagraphFont"/>
    <w:rsid w:val="000E4E41"/>
    <w:rPr>
      <w:rFonts w:cs="Times New Roman"/>
    </w:rPr>
  </w:style>
  <w:style w:type="character" w:customStyle="1" w:styleId="CharDivText">
    <w:name w:val="CharDivText"/>
    <w:basedOn w:val="DefaultParagraphFont"/>
    <w:rsid w:val="000E4E41"/>
    <w:rPr>
      <w:rFonts w:cs="Times New Roman"/>
    </w:rPr>
  </w:style>
  <w:style w:type="character" w:customStyle="1" w:styleId="CharPartNo">
    <w:name w:val="CharPartNo"/>
    <w:basedOn w:val="DefaultParagraphFont"/>
    <w:rsid w:val="000E4E41"/>
    <w:rPr>
      <w:rFonts w:cs="Times New Roman"/>
    </w:rPr>
  </w:style>
  <w:style w:type="paragraph" w:customStyle="1" w:styleId="Placeholder">
    <w:name w:val="Placeholder"/>
    <w:basedOn w:val="Normal"/>
    <w:rsid w:val="000E4E41"/>
    <w:pPr>
      <w:tabs>
        <w:tab w:val="left" w:pos="0"/>
      </w:tabs>
      <w:spacing w:before="0" w:after="0" w:line="240" w:lineRule="auto"/>
    </w:pPr>
    <w:rPr>
      <w:rFonts w:ascii="Times New Roman" w:hAnsi="Times New Roman"/>
      <w:sz w:val="10"/>
      <w:szCs w:val="20"/>
    </w:rPr>
  </w:style>
  <w:style w:type="character" w:customStyle="1" w:styleId="CharChapNo">
    <w:name w:val="CharChapNo"/>
    <w:basedOn w:val="DefaultParagraphFont"/>
    <w:rsid w:val="000E4E41"/>
    <w:rPr>
      <w:rFonts w:cs="Times New Roman"/>
    </w:rPr>
  </w:style>
  <w:style w:type="character" w:customStyle="1" w:styleId="CharChapText">
    <w:name w:val="CharChapText"/>
    <w:basedOn w:val="DefaultParagraphFont"/>
    <w:rsid w:val="000E4E41"/>
    <w:rPr>
      <w:rFonts w:cs="Times New Roman"/>
    </w:rPr>
  </w:style>
  <w:style w:type="character" w:customStyle="1" w:styleId="CharPartText">
    <w:name w:val="CharPartText"/>
    <w:basedOn w:val="DefaultParagraphFont"/>
    <w:rsid w:val="000E4E41"/>
    <w:rPr>
      <w:rFonts w:cs="Times New Roman"/>
    </w:rPr>
  </w:style>
  <w:style w:type="paragraph" w:customStyle="1" w:styleId="ActNo">
    <w:name w:val="ActNo"/>
    <w:basedOn w:val="Normal"/>
    <w:rsid w:val="000E4E41"/>
    <w:pPr>
      <w:spacing w:before="220" w:after="0" w:line="240" w:lineRule="auto"/>
    </w:pPr>
    <w:rPr>
      <w:rFonts w:ascii="Arial" w:hAnsi="Arial"/>
      <w:b/>
      <w:sz w:val="24"/>
      <w:szCs w:val="20"/>
    </w:rPr>
  </w:style>
  <w:style w:type="paragraph" w:customStyle="1" w:styleId="LongTitle">
    <w:name w:val="LongTitle"/>
    <w:basedOn w:val="Normal"/>
    <w:rsid w:val="000E4E41"/>
    <w:pPr>
      <w:spacing w:before="300" w:after="0" w:line="240" w:lineRule="auto"/>
      <w:jc w:val="both"/>
    </w:pPr>
    <w:rPr>
      <w:rFonts w:ascii="Times New Roman" w:hAnsi="Times New Roman"/>
      <w:sz w:val="24"/>
      <w:szCs w:val="20"/>
    </w:rPr>
  </w:style>
  <w:style w:type="paragraph" w:customStyle="1" w:styleId="EndNoteSubHeading">
    <w:name w:val="EndNoteSubHeading"/>
    <w:basedOn w:val="Normal"/>
    <w:next w:val="EndNoteText"/>
    <w:rsid w:val="000E4E41"/>
    <w:pPr>
      <w:keepNext/>
      <w:tabs>
        <w:tab w:val="left" w:pos="0"/>
        <w:tab w:val="left" w:pos="700"/>
      </w:tabs>
      <w:spacing w:after="0" w:line="240" w:lineRule="auto"/>
      <w:ind w:left="700" w:hanging="700"/>
    </w:pPr>
    <w:rPr>
      <w:rFonts w:ascii="Arial" w:hAnsi="Arial"/>
      <w:b/>
      <w:sz w:val="20"/>
      <w:szCs w:val="20"/>
    </w:rPr>
  </w:style>
  <w:style w:type="paragraph" w:customStyle="1" w:styleId="EndNoteText">
    <w:name w:val="EndNoteText"/>
    <w:basedOn w:val="Normal"/>
    <w:rsid w:val="000E4E41"/>
    <w:pPr>
      <w:tabs>
        <w:tab w:val="left" w:pos="700"/>
        <w:tab w:val="right" w:pos="6160"/>
      </w:tabs>
      <w:spacing w:before="80" w:after="0" w:line="240" w:lineRule="auto"/>
      <w:ind w:left="700" w:hanging="700"/>
      <w:jc w:val="both"/>
    </w:pPr>
    <w:rPr>
      <w:rFonts w:ascii="Times New Roman" w:hAnsi="Times New Roman"/>
      <w:sz w:val="20"/>
      <w:szCs w:val="20"/>
    </w:rPr>
  </w:style>
  <w:style w:type="paragraph" w:customStyle="1" w:styleId="BillFor">
    <w:name w:val="BillFor"/>
    <w:basedOn w:val="Normal"/>
    <w:rsid w:val="000E4E41"/>
    <w:pPr>
      <w:tabs>
        <w:tab w:val="left" w:pos="2600"/>
      </w:tabs>
      <w:spacing w:before="320" w:after="0" w:line="240" w:lineRule="auto"/>
      <w:jc w:val="both"/>
    </w:pPr>
    <w:rPr>
      <w:rFonts w:ascii="Arial" w:hAnsi="Arial"/>
      <w:b/>
      <w:sz w:val="28"/>
      <w:szCs w:val="20"/>
    </w:rPr>
  </w:style>
  <w:style w:type="paragraph" w:customStyle="1" w:styleId="Idefpara">
    <w:name w:val="I def para"/>
    <w:basedOn w:val="Ipara"/>
    <w:rsid w:val="000E4E41"/>
  </w:style>
  <w:style w:type="paragraph" w:customStyle="1" w:styleId="Notified">
    <w:name w:val="Notified"/>
    <w:basedOn w:val="Normal"/>
    <w:rsid w:val="000E4E41"/>
    <w:pPr>
      <w:spacing w:before="360" w:after="0" w:line="240" w:lineRule="auto"/>
      <w:jc w:val="right"/>
    </w:pPr>
    <w:rPr>
      <w:rFonts w:ascii="Times New Roman" w:hAnsi="Times New Roman"/>
      <w:i/>
      <w:sz w:val="24"/>
      <w:szCs w:val="20"/>
    </w:rPr>
  </w:style>
  <w:style w:type="character" w:customStyle="1" w:styleId="charBoldItals">
    <w:name w:val="charBoldItals"/>
    <w:basedOn w:val="DefaultParagraphFont"/>
    <w:rsid w:val="000E4E41"/>
    <w:rPr>
      <w:rFonts w:cs="Times New Roman"/>
      <w:b/>
      <w:i/>
    </w:rPr>
  </w:style>
  <w:style w:type="character" w:customStyle="1" w:styleId="charItals">
    <w:name w:val="charItals"/>
    <w:basedOn w:val="DefaultParagraphFont"/>
    <w:rsid w:val="000E4E41"/>
    <w:rPr>
      <w:rFonts w:cs="Times New Roman"/>
      <w:i/>
    </w:rPr>
  </w:style>
  <w:style w:type="paragraph" w:customStyle="1" w:styleId="Billname1">
    <w:name w:val="Billname1"/>
    <w:basedOn w:val="Normal"/>
    <w:rsid w:val="000E4E41"/>
    <w:pPr>
      <w:tabs>
        <w:tab w:val="left" w:pos="0"/>
        <w:tab w:val="left" w:pos="2400"/>
      </w:tabs>
      <w:spacing w:before="1220" w:after="0" w:line="240" w:lineRule="auto"/>
    </w:pPr>
    <w:rPr>
      <w:rFonts w:ascii="Arial" w:hAnsi="Arial"/>
      <w:b/>
      <w:sz w:val="40"/>
      <w:szCs w:val="20"/>
    </w:rPr>
  </w:style>
  <w:style w:type="character" w:customStyle="1" w:styleId="charContents">
    <w:name w:val="charContents"/>
    <w:basedOn w:val="DefaultParagraphFont"/>
    <w:rsid w:val="000E4E41"/>
    <w:rPr>
      <w:rFonts w:cs="Times New Roman"/>
    </w:rPr>
  </w:style>
  <w:style w:type="character" w:customStyle="1" w:styleId="charPage">
    <w:name w:val="charPage"/>
    <w:basedOn w:val="DefaultParagraphFont"/>
    <w:rsid w:val="000E4E41"/>
    <w:rPr>
      <w:rFonts w:cs="Times New Roman"/>
    </w:rPr>
  </w:style>
  <w:style w:type="character" w:customStyle="1" w:styleId="aNoteChar">
    <w:name w:val="aNote Char"/>
    <w:basedOn w:val="DefaultParagraphFont"/>
    <w:link w:val="aNote"/>
    <w:locked/>
    <w:rsid w:val="000E4E41"/>
    <w:rPr>
      <w:lang w:eastAsia="en-US"/>
    </w:rPr>
  </w:style>
  <w:style w:type="character" w:customStyle="1" w:styleId="charCitHyperlinkAbbrev">
    <w:name w:val="charCitHyperlinkAbbrev"/>
    <w:basedOn w:val="Hyperlink"/>
    <w:uiPriority w:val="1"/>
    <w:rsid w:val="000E4E41"/>
    <w:rPr>
      <w:rFonts w:cs="Times New Roman"/>
      <w:color w:val="0000FF" w:themeColor="hyperlink"/>
      <w:u w:val="none"/>
    </w:rPr>
  </w:style>
  <w:style w:type="character" w:customStyle="1" w:styleId="charCitHyperlinkItal">
    <w:name w:val="charCitHyperlinkItal"/>
    <w:basedOn w:val="Hyperlink"/>
    <w:uiPriority w:val="1"/>
    <w:rsid w:val="000E4E41"/>
    <w:rPr>
      <w:rFonts w:cs="Times New Roman"/>
      <w:i/>
      <w:color w:val="0000FF" w:themeColor="hyperlink"/>
      <w:u w:val="none"/>
    </w:rPr>
  </w:style>
  <w:style w:type="character" w:customStyle="1" w:styleId="AH5SecChar">
    <w:name w:val="A H5 Sec Char"/>
    <w:basedOn w:val="DefaultParagraphFont"/>
    <w:link w:val="AH5Sec"/>
    <w:locked/>
    <w:rsid w:val="000E4E41"/>
    <w:rPr>
      <w:rFonts w:ascii="Arial" w:hAnsi="Arial"/>
      <w:b/>
      <w:sz w:val="24"/>
      <w:lang w:eastAsia="en-US"/>
    </w:rPr>
  </w:style>
  <w:style w:type="paragraph" w:customStyle="1" w:styleId="Status">
    <w:name w:val="Status"/>
    <w:basedOn w:val="Normal"/>
    <w:rsid w:val="000E4E41"/>
    <w:pPr>
      <w:tabs>
        <w:tab w:val="left" w:pos="0"/>
      </w:tabs>
      <w:spacing w:before="280" w:after="0" w:line="240" w:lineRule="auto"/>
      <w:jc w:val="center"/>
    </w:pPr>
    <w:rPr>
      <w:rFonts w:ascii="Arial" w:hAnsi="Arial"/>
      <w:sz w:val="14"/>
      <w:szCs w:val="20"/>
    </w:rPr>
  </w:style>
  <w:style w:type="paragraph" w:customStyle="1" w:styleId="FooterInfoCentre">
    <w:name w:val="FooterInfoCentre"/>
    <w:basedOn w:val="Normal"/>
    <w:rsid w:val="000E4E41"/>
    <w:pPr>
      <w:tabs>
        <w:tab w:val="left" w:pos="0"/>
        <w:tab w:val="right" w:pos="7707"/>
      </w:tabs>
      <w:spacing w:before="60" w:after="0" w:line="240" w:lineRule="auto"/>
      <w:jc w:val="center"/>
    </w:pPr>
    <w:rPr>
      <w:rFonts w:ascii="Arial" w:hAnsi="Arial"/>
      <w:sz w:val="18"/>
      <w:szCs w:val="20"/>
    </w:rPr>
  </w:style>
  <w:style w:type="character" w:customStyle="1" w:styleId="aDefChar">
    <w:name w:val="aDef Char"/>
    <w:basedOn w:val="DefaultParagraphFont"/>
    <w:link w:val="aDef"/>
    <w:locked/>
    <w:rsid w:val="000E4E41"/>
    <w:rPr>
      <w:sz w:val="24"/>
      <w:lang w:eastAsia="en-US"/>
    </w:rPr>
  </w:style>
  <w:style w:type="character" w:customStyle="1" w:styleId="AmainreturnChar">
    <w:name w:val="A main return Char"/>
    <w:basedOn w:val="DefaultParagraphFont"/>
    <w:link w:val="Amainreturn"/>
    <w:locked/>
    <w:rsid w:val="000E4E41"/>
    <w:rPr>
      <w:sz w:val="24"/>
      <w:lang w:eastAsia="en-US"/>
    </w:rPr>
  </w:style>
  <w:style w:type="paragraph" w:customStyle="1" w:styleId="Customheader">
    <w:name w:val="Custom header"/>
    <w:rsid w:val="00E776A0"/>
    <w:pPr>
      <w:keepNext/>
      <w:widowControl w:val="0"/>
      <w:jc w:val="both"/>
    </w:pPr>
    <w:rPr>
      <w:rFonts w:ascii="Cambria" w:hAnsi="Cambria" w:cs="Calibri"/>
      <w:smallCaps/>
      <w:sz w:val="28"/>
      <w:szCs w:val="28"/>
      <w:lang w:eastAsia="en-US"/>
    </w:rPr>
  </w:style>
  <w:style w:type="paragraph" w:customStyle="1" w:styleId="TableParagraph">
    <w:name w:val="Table Paragraph"/>
    <w:basedOn w:val="Normal"/>
    <w:uiPriority w:val="1"/>
    <w:qFormat/>
    <w:rsid w:val="00A36F88"/>
    <w:pPr>
      <w:widowControl w:val="0"/>
      <w:autoSpaceDE w:val="0"/>
      <w:autoSpaceDN w:val="0"/>
      <w:spacing w:before="0" w:after="0" w:line="240" w:lineRule="auto"/>
    </w:pPr>
    <w:rPr>
      <w:rFonts w:ascii="Times New Roman" w:hAnsi="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65461">
      <w:bodyDiv w:val="1"/>
      <w:marLeft w:val="0"/>
      <w:marRight w:val="0"/>
      <w:marTop w:val="0"/>
      <w:marBottom w:val="0"/>
      <w:divBdr>
        <w:top w:val="none" w:sz="0" w:space="0" w:color="auto"/>
        <w:left w:val="none" w:sz="0" w:space="0" w:color="auto"/>
        <w:bottom w:val="none" w:sz="0" w:space="0" w:color="auto"/>
        <w:right w:val="none" w:sz="0" w:space="0" w:color="auto"/>
      </w:divBdr>
      <w:divsChild>
        <w:div w:id="955793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306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853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740110">
              <w:blockQuote w:val="1"/>
              <w:marLeft w:val="720"/>
              <w:marRight w:val="720"/>
              <w:marTop w:val="100"/>
              <w:marBottom w:val="100"/>
              <w:divBdr>
                <w:top w:val="none" w:sz="0" w:space="0" w:color="auto"/>
                <w:left w:val="none" w:sz="0" w:space="0" w:color="auto"/>
                <w:bottom w:val="none" w:sz="0" w:space="0" w:color="auto"/>
                <w:right w:val="none" w:sz="0" w:space="0" w:color="auto"/>
              </w:divBdr>
            </w:div>
            <w:div w:id="48424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07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953611">
              <w:blockQuote w:val="1"/>
              <w:marLeft w:val="720"/>
              <w:marRight w:val="720"/>
              <w:marTop w:val="100"/>
              <w:marBottom w:val="100"/>
              <w:divBdr>
                <w:top w:val="none" w:sz="0" w:space="0" w:color="auto"/>
                <w:left w:val="none" w:sz="0" w:space="0" w:color="auto"/>
                <w:bottom w:val="none" w:sz="0" w:space="0" w:color="auto"/>
                <w:right w:val="none" w:sz="0" w:space="0" w:color="auto"/>
              </w:divBdr>
            </w:div>
            <w:div w:id="981278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17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3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545526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188269">
              <w:blockQuote w:val="1"/>
              <w:marLeft w:val="720"/>
              <w:marRight w:val="720"/>
              <w:marTop w:val="100"/>
              <w:marBottom w:val="100"/>
              <w:divBdr>
                <w:top w:val="none" w:sz="0" w:space="0" w:color="auto"/>
                <w:left w:val="none" w:sz="0" w:space="0" w:color="auto"/>
                <w:bottom w:val="none" w:sz="0" w:space="0" w:color="auto"/>
                <w:right w:val="none" w:sz="0" w:space="0" w:color="auto"/>
              </w:divBdr>
            </w:div>
            <w:div w:id="346445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260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045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555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390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8882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155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31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06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73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293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753907">
      <w:bodyDiv w:val="1"/>
      <w:marLeft w:val="0"/>
      <w:marRight w:val="0"/>
      <w:marTop w:val="0"/>
      <w:marBottom w:val="0"/>
      <w:divBdr>
        <w:top w:val="none" w:sz="0" w:space="0" w:color="auto"/>
        <w:left w:val="none" w:sz="0" w:space="0" w:color="auto"/>
        <w:bottom w:val="none" w:sz="0" w:space="0" w:color="auto"/>
        <w:right w:val="none" w:sz="0" w:space="0" w:color="auto"/>
      </w:divBdr>
    </w:div>
    <w:div w:id="323318598">
      <w:bodyDiv w:val="1"/>
      <w:marLeft w:val="0"/>
      <w:marRight w:val="0"/>
      <w:marTop w:val="0"/>
      <w:marBottom w:val="0"/>
      <w:divBdr>
        <w:top w:val="none" w:sz="0" w:space="0" w:color="auto"/>
        <w:left w:val="none" w:sz="0" w:space="0" w:color="auto"/>
        <w:bottom w:val="none" w:sz="0" w:space="0" w:color="auto"/>
        <w:right w:val="none" w:sz="0" w:space="0" w:color="auto"/>
      </w:divBdr>
    </w:div>
    <w:div w:id="410464939">
      <w:bodyDiv w:val="1"/>
      <w:marLeft w:val="0"/>
      <w:marRight w:val="0"/>
      <w:marTop w:val="0"/>
      <w:marBottom w:val="0"/>
      <w:divBdr>
        <w:top w:val="none" w:sz="0" w:space="0" w:color="auto"/>
        <w:left w:val="none" w:sz="0" w:space="0" w:color="auto"/>
        <w:bottom w:val="none" w:sz="0" w:space="0" w:color="auto"/>
        <w:right w:val="none" w:sz="0" w:space="0" w:color="auto"/>
      </w:divBdr>
    </w:div>
    <w:div w:id="439376993">
      <w:bodyDiv w:val="1"/>
      <w:marLeft w:val="0"/>
      <w:marRight w:val="0"/>
      <w:marTop w:val="0"/>
      <w:marBottom w:val="0"/>
      <w:divBdr>
        <w:top w:val="none" w:sz="0" w:space="0" w:color="auto"/>
        <w:left w:val="none" w:sz="0" w:space="0" w:color="auto"/>
        <w:bottom w:val="none" w:sz="0" w:space="0" w:color="auto"/>
        <w:right w:val="none" w:sz="0" w:space="0" w:color="auto"/>
      </w:divBdr>
    </w:div>
    <w:div w:id="527840710">
      <w:bodyDiv w:val="1"/>
      <w:marLeft w:val="0"/>
      <w:marRight w:val="0"/>
      <w:marTop w:val="0"/>
      <w:marBottom w:val="0"/>
      <w:divBdr>
        <w:top w:val="none" w:sz="0" w:space="0" w:color="auto"/>
        <w:left w:val="none" w:sz="0" w:space="0" w:color="auto"/>
        <w:bottom w:val="none" w:sz="0" w:space="0" w:color="auto"/>
        <w:right w:val="none" w:sz="0" w:space="0" w:color="auto"/>
      </w:divBdr>
      <w:divsChild>
        <w:div w:id="864488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52530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02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456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238202">
                      <w:blockQuote w:val="1"/>
                      <w:marLeft w:val="720"/>
                      <w:marRight w:val="720"/>
                      <w:marTop w:val="100"/>
                      <w:marBottom w:val="100"/>
                      <w:divBdr>
                        <w:top w:val="none" w:sz="0" w:space="0" w:color="auto"/>
                        <w:left w:val="none" w:sz="0" w:space="0" w:color="auto"/>
                        <w:bottom w:val="none" w:sz="0" w:space="0" w:color="auto"/>
                        <w:right w:val="none" w:sz="0" w:space="0" w:color="auto"/>
                      </w:divBdr>
                    </w:div>
                    <w:div w:id="639655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214756">
                      <w:blockQuote w:val="1"/>
                      <w:marLeft w:val="720"/>
                      <w:marRight w:val="720"/>
                      <w:marTop w:val="100"/>
                      <w:marBottom w:val="100"/>
                      <w:divBdr>
                        <w:top w:val="none" w:sz="0" w:space="0" w:color="auto"/>
                        <w:left w:val="none" w:sz="0" w:space="0" w:color="auto"/>
                        <w:bottom w:val="none" w:sz="0" w:space="0" w:color="auto"/>
                        <w:right w:val="none" w:sz="0" w:space="0" w:color="auto"/>
                      </w:divBdr>
                    </w:div>
                    <w:div w:id="316997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013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1232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474804">
                      <w:blockQuote w:val="1"/>
                      <w:marLeft w:val="720"/>
                      <w:marRight w:val="720"/>
                      <w:marTop w:val="100"/>
                      <w:marBottom w:val="100"/>
                      <w:divBdr>
                        <w:top w:val="none" w:sz="0" w:space="0" w:color="auto"/>
                        <w:left w:val="none" w:sz="0" w:space="0" w:color="auto"/>
                        <w:bottom w:val="none" w:sz="0" w:space="0" w:color="auto"/>
                        <w:right w:val="none" w:sz="0" w:space="0" w:color="auto"/>
                      </w:divBdr>
                    </w:div>
                    <w:div w:id="581258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744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1661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596419">
      <w:bodyDiv w:val="1"/>
      <w:marLeft w:val="0"/>
      <w:marRight w:val="0"/>
      <w:marTop w:val="0"/>
      <w:marBottom w:val="0"/>
      <w:divBdr>
        <w:top w:val="none" w:sz="0" w:space="0" w:color="auto"/>
        <w:left w:val="none" w:sz="0" w:space="0" w:color="auto"/>
        <w:bottom w:val="none" w:sz="0" w:space="0" w:color="auto"/>
        <w:right w:val="none" w:sz="0" w:space="0" w:color="auto"/>
      </w:divBdr>
    </w:div>
    <w:div w:id="745492605">
      <w:bodyDiv w:val="1"/>
      <w:marLeft w:val="0"/>
      <w:marRight w:val="0"/>
      <w:marTop w:val="0"/>
      <w:marBottom w:val="0"/>
      <w:divBdr>
        <w:top w:val="none" w:sz="0" w:space="0" w:color="auto"/>
        <w:left w:val="none" w:sz="0" w:space="0" w:color="auto"/>
        <w:bottom w:val="none" w:sz="0" w:space="0" w:color="auto"/>
        <w:right w:val="none" w:sz="0" w:space="0" w:color="auto"/>
      </w:divBdr>
    </w:div>
    <w:div w:id="1002465814">
      <w:bodyDiv w:val="1"/>
      <w:marLeft w:val="0"/>
      <w:marRight w:val="0"/>
      <w:marTop w:val="0"/>
      <w:marBottom w:val="0"/>
      <w:divBdr>
        <w:top w:val="none" w:sz="0" w:space="0" w:color="auto"/>
        <w:left w:val="none" w:sz="0" w:space="0" w:color="auto"/>
        <w:bottom w:val="none" w:sz="0" w:space="0" w:color="auto"/>
        <w:right w:val="none" w:sz="0" w:space="0" w:color="auto"/>
      </w:divBdr>
    </w:div>
    <w:div w:id="1380470558">
      <w:bodyDiv w:val="1"/>
      <w:marLeft w:val="0"/>
      <w:marRight w:val="0"/>
      <w:marTop w:val="0"/>
      <w:marBottom w:val="0"/>
      <w:divBdr>
        <w:top w:val="none" w:sz="0" w:space="0" w:color="auto"/>
        <w:left w:val="none" w:sz="0" w:space="0" w:color="auto"/>
        <w:bottom w:val="none" w:sz="0" w:space="0" w:color="auto"/>
        <w:right w:val="none" w:sz="0" w:space="0" w:color="auto"/>
      </w:divBdr>
      <w:divsChild>
        <w:div w:id="394359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4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160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34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198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04195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26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193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261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006953">
                      <w:blockQuote w:val="1"/>
                      <w:marLeft w:val="720"/>
                      <w:marRight w:val="720"/>
                      <w:marTop w:val="100"/>
                      <w:marBottom w:val="100"/>
                      <w:divBdr>
                        <w:top w:val="none" w:sz="0" w:space="0" w:color="auto"/>
                        <w:left w:val="none" w:sz="0" w:space="0" w:color="auto"/>
                        <w:bottom w:val="none" w:sz="0" w:space="0" w:color="auto"/>
                        <w:right w:val="none" w:sz="0" w:space="0" w:color="auto"/>
                      </w:divBdr>
                    </w:div>
                    <w:div w:id="310446592">
                      <w:blockQuote w:val="1"/>
                      <w:marLeft w:val="720"/>
                      <w:marRight w:val="720"/>
                      <w:marTop w:val="100"/>
                      <w:marBottom w:val="100"/>
                      <w:divBdr>
                        <w:top w:val="none" w:sz="0" w:space="0" w:color="auto"/>
                        <w:left w:val="none" w:sz="0" w:space="0" w:color="auto"/>
                        <w:bottom w:val="none" w:sz="0" w:space="0" w:color="auto"/>
                        <w:right w:val="none" w:sz="0" w:space="0" w:color="auto"/>
                      </w:divBdr>
                    </w:div>
                    <w:div w:id="85492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180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7194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6780672">
      <w:bodyDiv w:val="1"/>
      <w:marLeft w:val="0"/>
      <w:marRight w:val="0"/>
      <w:marTop w:val="0"/>
      <w:marBottom w:val="0"/>
      <w:divBdr>
        <w:top w:val="none" w:sz="0" w:space="0" w:color="auto"/>
        <w:left w:val="none" w:sz="0" w:space="0" w:color="auto"/>
        <w:bottom w:val="none" w:sz="0" w:space="0" w:color="auto"/>
        <w:right w:val="none" w:sz="0" w:space="0" w:color="auto"/>
      </w:divBdr>
    </w:div>
    <w:div w:id="1479876933">
      <w:bodyDiv w:val="1"/>
      <w:marLeft w:val="0"/>
      <w:marRight w:val="0"/>
      <w:marTop w:val="0"/>
      <w:marBottom w:val="0"/>
      <w:divBdr>
        <w:top w:val="none" w:sz="0" w:space="0" w:color="auto"/>
        <w:left w:val="none" w:sz="0" w:space="0" w:color="auto"/>
        <w:bottom w:val="none" w:sz="0" w:space="0" w:color="auto"/>
        <w:right w:val="none" w:sz="0" w:space="0" w:color="auto"/>
      </w:divBdr>
    </w:div>
    <w:div w:id="1496801172">
      <w:bodyDiv w:val="1"/>
      <w:marLeft w:val="0"/>
      <w:marRight w:val="0"/>
      <w:marTop w:val="0"/>
      <w:marBottom w:val="0"/>
      <w:divBdr>
        <w:top w:val="none" w:sz="0" w:space="0" w:color="auto"/>
        <w:left w:val="none" w:sz="0" w:space="0" w:color="auto"/>
        <w:bottom w:val="none" w:sz="0" w:space="0" w:color="auto"/>
        <w:right w:val="none" w:sz="0" w:space="0" w:color="auto"/>
      </w:divBdr>
    </w:div>
    <w:div w:id="1612086017">
      <w:bodyDiv w:val="1"/>
      <w:marLeft w:val="0"/>
      <w:marRight w:val="0"/>
      <w:marTop w:val="0"/>
      <w:marBottom w:val="0"/>
      <w:divBdr>
        <w:top w:val="none" w:sz="0" w:space="0" w:color="auto"/>
        <w:left w:val="none" w:sz="0" w:space="0" w:color="auto"/>
        <w:bottom w:val="none" w:sz="0" w:space="0" w:color="auto"/>
        <w:right w:val="none" w:sz="0" w:space="0" w:color="auto"/>
      </w:divBdr>
    </w:div>
    <w:div w:id="1648050756">
      <w:bodyDiv w:val="1"/>
      <w:marLeft w:val="0"/>
      <w:marRight w:val="0"/>
      <w:marTop w:val="0"/>
      <w:marBottom w:val="0"/>
      <w:divBdr>
        <w:top w:val="none" w:sz="0" w:space="0" w:color="auto"/>
        <w:left w:val="none" w:sz="0" w:space="0" w:color="auto"/>
        <w:bottom w:val="none" w:sz="0" w:space="0" w:color="auto"/>
        <w:right w:val="none" w:sz="0" w:space="0" w:color="auto"/>
      </w:divBdr>
    </w:div>
    <w:div w:id="1725173861">
      <w:bodyDiv w:val="1"/>
      <w:marLeft w:val="0"/>
      <w:marRight w:val="0"/>
      <w:marTop w:val="0"/>
      <w:marBottom w:val="0"/>
      <w:divBdr>
        <w:top w:val="none" w:sz="0" w:space="0" w:color="auto"/>
        <w:left w:val="none" w:sz="0" w:space="0" w:color="auto"/>
        <w:bottom w:val="none" w:sz="0" w:space="0" w:color="auto"/>
        <w:right w:val="none" w:sz="0" w:space="0" w:color="auto"/>
      </w:divBdr>
    </w:div>
    <w:div w:id="1793938270">
      <w:bodyDiv w:val="1"/>
      <w:marLeft w:val="0"/>
      <w:marRight w:val="0"/>
      <w:marTop w:val="0"/>
      <w:marBottom w:val="0"/>
      <w:divBdr>
        <w:top w:val="none" w:sz="0" w:space="0" w:color="auto"/>
        <w:left w:val="none" w:sz="0" w:space="0" w:color="auto"/>
        <w:bottom w:val="none" w:sz="0" w:space="0" w:color="auto"/>
        <w:right w:val="none" w:sz="0" w:space="0" w:color="auto"/>
      </w:divBdr>
    </w:div>
    <w:div w:id="1892692383">
      <w:bodyDiv w:val="1"/>
      <w:marLeft w:val="0"/>
      <w:marRight w:val="0"/>
      <w:marTop w:val="0"/>
      <w:marBottom w:val="0"/>
      <w:divBdr>
        <w:top w:val="none" w:sz="0" w:space="0" w:color="auto"/>
        <w:left w:val="none" w:sz="0" w:space="0" w:color="auto"/>
        <w:bottom w:val="none" w:sz="0" w:space="0" w:color="auto"/>
        <w:right w:val="none" w:sz="0" w:space="0" w:color="auto"/>
      </w:divBdr>
    </w:div>
    <w:div w:id="1939175423">
      <w:bodyDiv w:val="1"/>
      <w:marLeft w:val="0"/>
      <w:marRight w:val="0"/>
      <w:marTop w:val="0"/>
      <w:marBottom w:val="0"/>
      <w:divBdr>
        <w:top w:val="none" w:sz="0" w:space="0" w:color="auto"/>
        <w:left w:val="none" w:sz="0" w:space="0" w:color="auto"/>
        <w:bottom w:val="none" w:sz="0" w:space="0" w:color="auto"/>
        <w:right w:val="none" w:sz="0" w:space="0" w:color="auto"/>
      </w:divBdr>
      <w:divsChild>
        <w:div w:id="48748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7623339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958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114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673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4842708">
              <w:blockQuote w:val="1"/>
              <w:marLeft w:val="720"/>
              <w:marRight w:val="720"/>
              <w:marTop w:val="100"/>
              <w:marBottom w:val="100"/>
              <w:divBdr>
                <w:top w:val="none" w:sz="0" w:space="0" w:color="auto"/>
                <w:left w:val="none" w:sz="0" w:space="0" w:color="auto"/>
                <w:bottom w:val="none" w:sz="0" w:space="0" w:color="auto"/>
                <w:right w:val="none" w:sz="0" w:space="0" w:color="auto"/>
              </w:divBdr>
            </w:div>
            <w:div w:id="990256048">
              <w:blockQuote w:val="1"/>
              <w:marLeft w:val="720"/>
              <w:marRight w:val="720"/>
              <w:marTop w:val="100"/>
              <w:marBottom w:val="100"/>
              <w:divBdr>
                <w:top w:val="none" w:sz="0" w:space="0" w:color="auto"/>
                <w:left w:val="none" w:sz="0" w:space="0" w:color="auto"/>
                <w:bottom w:val="none" w:sz="0" w:space="0" w:color="auto"/>
                <w:right w:val="none" w:sz="0" w:space="0" w:color="auto"/>
              </w:divBdr>
            </w:div>
            <w:div w:id="832451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754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48160">
              <w:blockQuote w:val="1"/>
              <w:marLeft w:val="720"/>
              <w:marRight w:val="720"/>
              <w:marTop w:val="100"/>
              <w:marBottom w:val="100"/>
              <w:divBdr>
                <w:top w:val="none" w:sz="0" w:space="0" w:color="auto"/>
                <w:left w:val="none" w:sz="0" w:space="0" w:color="auto"/>
                <w:bottom w:val="none" w:sz="0" w:space="0" w:color="auto"/>
                <w:right w:val="none" w:sz="0" w:space="0" w:color="auto"/>
              </w:divBdr>
            </w:div>
            <w:div w:id="518666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14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51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2807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541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62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53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323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1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317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260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679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449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01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arliament.act.gov.au" TargetMode="External"/><Relationship Id="rId26" Type="http://schemas.openxmlformats.org/officeDocument/2006/relationships/hyperlink" Target="http://www6.austlii.edu.au/cgi-bin/viewdoc/au/legis/nsw/consol_act/ca190082/s4.html" TargetMode="External"/><Relationship Id="rId39"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yperlink" Target="http://www6.austlii.edu.au/cgi-bin/viewdoc/au/legis/nsw/consol_act/ca190082/s61ha.html" TargetMode="External"/><Relationship Id="rId42" Type="http://schemas.openxmlformats.org/officeDocument/2006/relationships/hyperlink" Target="http://www.legislation.act.gov.au/es/db_57901/default.asp" TargetMode="External"/><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6.austlii.edu.au/cgi-bin/viewdoc/au/legis/nsw/consol_act/ca190082/s4.html" TargetMode="External"/><Relationship Id="rId33" Type="http://schemas.openxmlformats.org/officeDocument/2006/relationships/hyperlink" Target="http://www6.austlii.edu.au/cgi-bin/viewdoc/au/legis/nsw/consol_act/ca190082/s4.html" TargetMode="External"/><Relationship Id="rId38" Type="http://schemas.openxmlformats.org/officeDocument/2006/relationships/footer" Target="footer7.xml"/><Relationship Id="rId46" Type="http://schemas.openxmlformats.org/officeDocument/2006/relationships/hyperlink" Target="http://www.lawreform.justice.nsw.gov.au/Pages/lrc/lrc_current_projects/Consent/Preliminary-submissions.aspx"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yperlink" Target="http://www6.austlii.edu.au/cgi-bin/viewdoc/au/legis/nsw/consol_act/ca190082/s4.html" TargetMode="External"/><Relationship Id="rId41" Type="http://schemas.openxmlformats.org/officeDocument/2006/relationships/hyperlink" Target="http://www.legislation.act.gov.au/b/db_57900/default.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6.austlii.edu.au/cgi-bin/viewdoc/au/legis/nsw/consol_act/ca190082/s4.html" TargetMode="External"/><Relationship Id="rId32" Type="http://schemas.openxmlformats.org/officeDocument/2006/relationships/hyperlink" Target="http://www6.austlii.edu.au/cgi-bin/viewdoc/au/legis/nsw/consol_act/ca190082/s4.html" TargetMode="Externa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s://www.alrc.gov.au/publications/27.%20Evidence%20in%20Sexual%20Assault%20Proceedings/relevance-and-consent" TargetMode="Externa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eader" Target="header6.xml"/><Relationship Id="rId28" Type="http://schemas.openxmlformats.org/officeDocument/2006/relationships/hyperlink" Target="http://www6.austlii.edu.au/cgi-bin/viewdoc/au/legis/nsw/consol_act/ca190082/s4.html" TargetMode="External"/><Relationship Id="rId36" Type="http://schemas.openxmlformats.org/officeDocument/2006/relationships/hyperlink" Target="http://www6.austlii.edu.au/cgi-bin/viewdoc/au/legis/nsw/consol_act/ca190082/s4.html"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legislation.act.gov.au/b/db_57900/default.asp" TargetMode="External"/><Relationship Id="rId31" Type="http://schemas.openxmlformats.org/officeDocument/2006/relationships/hyperlink" Target="http://www6.austlii.edu.au/cgi-bin/viewdoc/au/legis/nsw/consol_act/ca190082/s4.html" TargetMode="External"/><Relationship Id="rId44" Type="http://schemas.openxmlformats.org/officeDocument/2006/relationships/hyperlink" Target="https://www.parliament.act.gov.au/__data/assets/pdf_file/0011/1196084/Report-17-Final.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www6.austlii.edu.au/cgi-bin/viewdoc/au/legis/nsw/consol_act/ca190082/s4.html" TargetMode="External"/><Relationship Id="rId30" Type="http://schemas.openxmlformats.org/officeDocument/2006/relationships/hyperlink" Target="http://www6.austlii.edu.au/cgi-bin/viewdoc/au/legis/nsw/consol_act/ca190082/s4.html" TargetMode="External"/><Relationship Id="rId35" Type="http://schemas.openxmlformats.org/officeDocument/2006/relationships/hyperlink" Target="http://www6.austlii.edu.au/cgi-bin/viewdoc/au/legis/nsw/consol_act/ca190082/s4.html" TargetMode="External"/><Relationship Id="rId43" Type="http://schemas.openxmlformats.org/officeDocument/2006/relationships/hyperlink" Target="http://www.hansard.act.gov.au/hansard/2018/pdfs/20180411a.pdf" TargetMode="External"/><Relationship Id="rId48"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prints.utas.edu.au/14748/2/whole-cockburn-thesis.pdfSee" TargetMode="External"/><Relationship Id="rId2" Type="http://schemas.openxmlformats.org/officeDocument/2006/relationships/hyperlink" Target="https://www.lawreform.justice.nsw.gov.au/Documents/Publications/Consultation-Papers/CP21.pdf" TargetMode="External"/><Relationship Id="rId1" Type="http://schemas.openxmlformats.org/officeDocument/2006/relationships/hyperlink" Target="https://www.justice.nsw.gov.au/Pages/media-news/media-releases/2018/sexual-consent-laws-to-be-reviewe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67801-441B-48F6-AD5E-1CD765896CF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0DBFFDE-6193-4C9B-90D5-E6FA9552D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20113</Words>
  <Characters>106959</Characters>
  <Application>Microsoft Office Word</Application>
  <DocSecurity>0</DocSecurity>
  <Lines>2890</Lines>
  <Paragraphs>1144</Paragraphs>
  <ScaleCrop>false</ScaleCrop>
  <HeadingPairs>
    <vt:vector size="2" baseType="variant">
      <vt:variant>
        <vt:lpstr>Title</vt:lpstr>
      </vt:variant>
      <vt:variant>
        <vt:i4>1</vt:i4>
      </vt:variant>
    </vt:vector>
  </HeadingPairs>
  <TitlesOfParts>
    <vt:vector size="1" baseType="lpstr">
      <vt:lpstr>Committee Report</vt:lpstr>
    </vt:vector>
  </TitlesOfParts>
  <Company>OCTAVO</Company>
  <LinksUpToDate>false</LinksUpToDate>
  <CharactersWithSpaces>125928</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Report 3 - Report on Inquiry into the Crimes (Consent) Amendment Bill 2018</dc:subject>
  <dc:creator>Snedden, Andrew</dc:creator>
  <cp:keywords/>
  <dc:description/>
  <cp:lastModifiedBy>Chung, Lydia</cp:lastModifiedBy>
  <cp:revision>2</cp:revision>
  <cp:lastPrinted>2018-10-30T02:54:00Z</cp:lastPrinted>
  <dcterms:created xsi:type="dcterms:W3CDTF">2018-10-31T23:34:00Z</dcterms:created>
  <dcterms:modified xsi:type="dcterms:W3CDTF">2018-10-31T23:34:00Z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14e77fb2-b8ed-4d34-9662-5e64c0a64a28</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