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9F2948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ab/>
      </w:r>
    </w:p>
    <w:p w:rsidR="00505205" w:rsidRDefault="00505205" w:rsidP="002B649E">
      <w:pPr>
        <w:spacing w:after="0" w:line="240" w:lineRule="auto"/>
        <w:rPr>
          <w:sz w:val="24"/>
          <w:szCs w:val="24"/>
        </w:rPr>
      </w:pPr>
    </w:p>
    <w:p w:rsidR="002B649E" w:rsidRPr="00496CCB" w:rsidRDefault="002B649E" w:rsidP="002B6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Giulia Jones MLA</w:t>
      </w:r>
    </w:p>
    <w:p w:rsidR="002B649E" w:rsidRPr="00496CCB" w:rsidRDefault="002B649E" w:rsidP="002B6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2B649E" w:rsidRPr="001E77F4" w:rsidRDefault="002B649E" w:rsidP="002B649E">
      <w:pPr>
        <w:tabs>
          <w:tab w:val="left" w:pos="3420"/>
        </w:tabs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>Standing Committee on Justice and Community Safety</w:t>
      </w:r>
    </w:p>
    <w:p w:rsidR="002B649E" w:rsidRPr="001E77F4" w:rsidRDefault="002B649E" w:rsidP="002B649E">
      <w:pPr>
        <w:tabs>
          <w:tab w:val="left" w:pos="3420"/>
        </w:tabs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>ACT Legislative Assembly</w:t>
      </w:r>
    </w:p>
    <w:p w:rsidR="002B649E" w:rsidRPr="001E77F4" w:rsidRDefault="002B649E" w:rsidP="002B649E">
      <w:pPr>
        <w:tabs>
          <w:tab w:val="left" w:pos="3420"/>
        </w:tabs>
        <w:spacing w:after="0" w:line="240" w:lineRule="auto"/>
        <w:rPr>
          <w:sz w:val="24"/>
          <w:szCs w:val="24"/>
          <w:lang w:val="en-US"/>
        </w:rPr>
      </w:pPr>
      <w:r w:rsidRPr="001E77F4">
        <w:rPr>
          <w:sz w:val="24"/>
          <w:szCs w:val="24"/>
        </w:rPr>
        <w:t>GPO Box 1020</w:t>
      </w:r>
    </w:p>
    <w:p w:rsidR="002B649E" w:rsidRDefault="002B649E" w:rsidP="002B649E">
      <w:pPr>
        <w:tabs>
          <w:tab w:val="left" w:pos="3420"/>
        </w:tabs>
        <w:spacing w:after="0" w:line="240" w:lineRule="auto"/>
        <w:rPr>
          <w:sz w:val="24"/>
          <w:szCs w:val="24"/>
        </w:rPr>
      </w:pPr>
      <w:proofErr w:type="gramStart"/>
      <w:r w:rsidRPr="001E77F4">
        <w:rPr>
          <w:sz w:val="24"/>
          <w:szCs w:val="24"/>
        </w:rPr>
        <w:t>CANBERRA  ACT</w:t>
      </w:r>
      <w:proofErr w:type="gramEnd"/>
      <w:r w:rsidRPr="001E77F4">
        <w:rPr>
          <w:sz w:val="24"/>
          <w:szCs w:val="24"/>
        </w:rPr>
        <w:t xml:space="preserve"> 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5205" w:rsidRDefault="00505205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  <w:lang w:val="en-US"/>
        </w:rPr>
        <w:t xml:space="preserve">Dear </w:t>
      </w:r>
      <w:r w:rsidR="002B649E">
        <w:rPr>
          <w:rFonts w:ascii="Calibri" w:hAnsi="Calibri"/>
          <w:sz w:val="24"/>
          <w:szCs w:val="24"/>
          <w:lang w:val="en-US"/>
        </w:rPr>
        <w:t>Ms Jones</w:t>
      </w:r>
    </w:p>
    <w:p w:rsidR="00AD7D31" w:rsidRPr="009F2948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2B649E" w:rsidRDefault="002B649E" w:rsidP="002B649E">
      <w:pPr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 xml:space="preserve">I refer to the Scrutiny Report No </w:t>
      </w:r>
      <w:r>
        <w:rPr>
          <w:sz w:val="24"/>
          <w:szCs w:val="24"/>
        </w:rPr>
        <w:t>14</w:t>
      </w:r>
      <w:r w:rsidRPr="001E77F4">
        <w:rPr>
          <w:sz w:val="24"/>
          <w:szCs w:val="24"/>
        </w:rPr>
        <w:t xml:space="preserve"> dated </w:t>
      </w:r>
      <w:r w:rsidR="002C61B0">
        <w:rPr>
          <w:sz w:val="24"/>
          <w:szCs w:val="24"/>
        </w:rPr>
        <w:t xml:space="preserve">19 </w:t>
      </w:r>
      <w:r>
        <w:rPr>
          <w:sz w:val="24"/>
          <w:szCs w:val="24"/>
        </w:rPr>
        <w:t>February 2018</w:t>
      </w:r>
      <w:r w:rsidRPr="001E77F4">
        <w:rPr>
          <w:sz w:val="24"/>
          <w:szCs w:val="24"/>
        </w:rPr>
        <w:t xml:space="preserve"> in which the Committee raised </w:t>
      </w:r>
      <w:r>
        <w:rPr>
          <w:sz w:val="24"/>
          <w:szCs w:val="24"/>
        </w:rPr>
        <w:t>the question on five Disallowable Instruments (as listed below) as to why the fees determined by these instruments were being increased. The five Disallowable Instruments are as follows:</w:t>
      </w: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2B649E" w:rsidRPr="002B649E" w:rsidRDefault="002B649E" w:rsidP="002B649E">
      <w:pPr>
        <w:rPr>
          <w:color w:val="000000"/>
          <w:sz w:val="24"/>
        </w:rPr>
      </w:pPr>
      <w:r w:rsidRPr="002B649E">
        <w:rPr>
          <w:bCs/>
          <w:color w:val="000000"/>
          <w:sz w:val="24"/>
        </w:rPr>
        <w:t xml:space="preserve">Disallowable Instrument DI2017-272 being the Food (Fees) Determination 2017 (No 1) made under section 150 of the </w:t>
      </w:r>
      <w:r w:rsidRPr="002B649E">
        <w:rPr>
          <w:i/>
          <w:iCs/>
          <w:color w:val="000000"/>
          <w:sz w:val="24"/>
        </w:rPr>
        <w:t xml:space="preserve">Food Act 2001 </w:t>
      </w:r>
      <w:r w:rsidRPr="002B649E">
        <w:rPr>
          <w:bCs/>
          <w:color w:val="000000"/>
          <w:sz w:val="24"/>
        </w:rPr>
        <w:t xml:space="preserve">revokes DI2016-288 and determines fees payable for the purposes of the Act. </w:t>
      </w:r>
    </w:p>
    <w:p w:rsidR="002B649E" w:rsidRPr="002B649E" w:rsidRDefault="002B649E" w:rsidP="002B649E">
      <w:pPr>
        <w:rPr>
          <w:color w:val="000000"/>
          <w:sz w:val="24"/>
        </w:rPr>
      </w:pPr>
      <w:r w:rsidRPr="002B649E">
        <w:rPr>
          <w:bCs/>
          <w:color w:val="000000"/>
          <w:sz w:val="24"/>
        </w:rPr>
        <w:t xml:space="preserve">Disallowable Instrument DI2017-273 being the Medicines, Poisons and Therapeutic Goods (Fees) Determination 2017 (No 1) made under section 197 of the </w:t>
      </w:r>
      <w:r w:rsidRPr="002B649E">
        <w:rPr>
          <w:i/>
          <w:iCs/>
          <w:color w:val="000000"/>
          <w:sz w:val="24"/>
        </w:rPr>
        <w:t xml:space="preserve">Medicines, Poisons and Therapeutic Goods Act 2008 </w:t>
      </w:r>
      <w:r w:rsidRPr="002B649E">
        <w:rPr>
          <w:bCs/>
          <w:color w:val="000000"/>
          <w:sz w:val="24"/>
        </w:rPr>
        <w:t>revokes DI2016-286 and determines fees payable for the purposes of the Act.</w:t>
      </w:r>
    </w:p>
    <w:p w:rsidR="002B649E" w:rsidRPr="002B649E" w:rsidRDefault="002B649E" w:rsidP="002B649E">
      <w:pPr>
        <w:rPr>
          <w:color w:val="000000"/>
          <w:sz w:val="24"/>
        </w:rPr>
      </w:pPr>
      <w:r w:rsidRPr="002B649E">
        <w:rPr>
          <w:bCs/>
          <w:color w:val="000000"/>
          <w:sz w:val="24"/>
        </w:rPr>
        <w:t xml:space="preserve">Disallowable Instrument DI2017-274 being the Public Health (Fees) Determination 2017 (No 1) made under section 137 of the </w:t>
      </w:r>
      <w:r w:rsidRPr="002B649E">
        <w:rPr>
          <w:i/>
          <w:iCs/>
          <w:color w:val="000000"/>
          <w:sz w:val="24"/>
        </w:rPr>
        <w:t xml:space="preserve">Public Health Act 1997 </w:t>
      </w:r>
      <w:r w:rsidRPr="002B649E">
        <w:rPr>
          <w:bCs/>
          <w:color w:val="000000"/>
          <w:sz w:val="24"/>
        </w:rPr>
        <w:t xml:space="preserve">revokes DI2016-285 and determines fees payable for the purposes of the act. </w:t>
      </w:r>
    </w:p>
    <w:p w:rsidR="002B649E" w:rsidRPr="002B649E" w:rsidRDefault="002B649E" w:rsidP="002B649E">
      <w:pPr>
        <w:rPr>
          <w:color w:val="000000"/>
          <w:sz w:val="24"/>
        </w:rPr>
      </w:pPr>
      <w:r w:rsidRPr="002B649E">
        <w:rPr>
          <w:bCs/>
          <w:color w:val="000000"/>
          <w:sz w:val="24"/>
        </w:rPr>
        <w:t xml:space="preserve">Disallowable Instrument DI2017-275 being the Radiation Protection (Fees) Determination 2017 </w:t>
      </w:r>
      <w:r>
        <w:rPr>
          <w:bCs/>
          <w:color w:val="000000"/>
          <w:sz w:val="24"/>
        </w:rPr>
        <w:br/>
      </w:r>
      <w:r w:rsidRPr="002B649E">
        <w:rPr>
          <w:bCs/>
          <w:color w:val="000000"/>
          <w:sz w:val="24"/>
        </w:rPr>
        <w:t xml:space="preserve">(No 1) made under section 120 of the </w:t>
      </w:r>
      <w:r w:rsidRPr="002B649E">
        <w:rPr>
          <w:i/>
          <w:iCs/>
          <w:color w:val="000000"/>
          <w:sz w:val="24"/>
        </w:rPr>
        <w:t xml:space="preserve">Radiation Protection Act 2006 </w:t>
      </w:r>
      <w:r w:rsidRPr="002B649E">
        <w:rPr>
          <w:bCs/>
          <w:color w:val="000000"/>
          <w:sz w:val="24"/>
        </w:rPr>
        <w:t xml:space="preserve">revokes DI2016-289 and determines fees payable for the purposes of the Act. </w:t>
      </w:r>
    </w:p>
    <w:p w:rsidR="002B649E" w:rsidRPr="002B649E" w:rsidRDefault="002B649E" w:rsidP="002B649E">
      <w:pPr>
        <w:rPr>
          <w:color w:val="000000"/>
          <w:sz w:val="24"/>
        </w:rPr>
      </w:pPr>
      <w:r w:rsidRPr="002B649E">
        <w:rPr>
          <w:bCs/>
          <w:color w:val="000000"/>
          <w:sz w:val="24"/>
        </w:rPr>
        <w:t xml:space="preserve">Disallowable Instrument DI2017-286 being the Health Records (Privacy and Access) (Fees) Determination 2017 (No 1) made under section 34 of the </w:t>
      </w:r>
      <w:r w:rsidRPr="002B649E">
        <w:rPr>
          <w:i/>
          <w:iCs/>
          <w:color w:val="000000"/>
          <w:sz w:val="24"/>
        </w:rPr>
        <w:t xml:space="preserve">Health Records (Privacy and Access) Act 1997 </w:t>
      </w:r>
      <w:r w:rsidRPr="002B649E">
        <w:rPr>
          <w:bCs/>
          <w:color w:val="000000"/>
          <w:sz w:val="24"/>
        </w:rPr>
        <w:t xml:space="preserve">revokes DI2016-287 and determines fees payable for the purposes of the Act. </w:t>
      </w:r>
    </w:p>
    <w:p w:rsidR="00AD7D31" w:rsidRDefault="002B649E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</w:p>
    <w:p w:rsidR="002B649E" w:rsidRPr="009F2948" w:rsidRDefault="002B649E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5205" w:rsidRDefault="005052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49E" w:rsidRDefault="002B649E" w:rsidP="002B649E">
      <w:pPr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lastRenderedPageBreak/>
        <w:t xml:space="preserve">I offer the following in response to the matters raised by the Committee. </w:t>
      </w:r>
    </w:p>
    <w:p w:rsidR="002B649E" w:rsidRDefault="002B649E" w:rsidP="002B649E">
      <w:pPr>
        <w:spacing w:after="0" w:line="240" w:lineRule="auto"/>
        <w:rPr>
          <w:sz w:val="24"/>
          <w:szCs w:val="24"/>
        </w:rPr>
      </w:pPr>
    </w:p>
    <w:p w:rsidR="002B649E" w:rsidRPr="00A414E6" w:rsidRDefault="002B649E" w:rsidP="002B6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Fees are increased annually to reflect inflation, which is commonplace for all States and Territory Governments in respect of regulatory and other fees. </w:t>
      </w:r>
    </w:p>
    <w:p w:rsidR="002B649E" w:rsidRDefault="002B649E" w:rsidP="002B649E">
      <w:pPr>
        <w:spacing w:after="0" w:line="240" w:lineRule="auto"/>
        <w:rPr>
          <w:sz w:val="24"/>
          <w:szCs w:val="24"/>
        </w:rPr>
      </w:pPr>
    </w:p>
    <w:p w:rsidR="002B649E" w:rsidRDefault="002B649E" w:rsidP="002B6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respect </w:t>
      </w:r>
      <w:r w:rsidRPr="00672056">
        <w:rPr>
          <w:sz w:val="24"/>
          <w:szCs w:val="24"/>
        </w:rPr>
        <w:t xml:space="preserve">of the </w:t>
      </w:r>
      <w:r w:rsidRPr="00672056">
        <w:rPr>
          <w:i/>
          <w:sz w:val="24"/>
          <w:szCs w:val="24"/>
        </w:rPr>
        <w:t>Legislation Act 2001</w:t>
      </w:r>
      <w:r w:rsidRPr="00672056">
        <w:rPr>
          <w:sz w:val="24"/>
          <w:szCs w:val="24"/>
        </w:rPr>
        <w:t>, I note that providing a reason for the increase of fees in a Disallowable Instrument is not listed</w:t>
      </w:r>
      <w:r>
        <w:rPr>
          <w:sz w:val="24"/>
          <w:szCs w:val="24"/>
        </w:rPr>
        <w:t xml:space="preserve"> in the mandatory requirements of </w:t>
      </w:r>
      <w:r w:rsidRPr="00672056">
        <w:rPr>
          <w:sz w:val="24"/>
          <w:szCs w:val="24"/>
        </w:rPr>
        <w:t>subsection 56(5).</w:t>
      </w:r>
    </w:p>
    <w:p w:rsidR="002B649E" w:rsidRPr="00496CCB" w:rsidRDefault="002B649E" w:rsidP="002B649E">
      <w:pPr>
        <w:spacing w:after="0" w:line="240" w:lineRule="auto"/>
        <w:rPr>
          <w:sz w:val="24"/>
          <w:szCs w:val="24"/>
        </w:rPr>
      </w:pPr>
    </w:p>
    <w:p w:rsidR="002B649E" w:rsidRPr="00A414E6" w:rsidRDefault="002B649E" w:rsidP="002B649E">
      <w:pPr>
        <w:spacing w:after="0" w:line="240" w:lineRule="auto"/>
        <w:rPr>
          <w:sz w:val="24"/>
          <w:szCs w:val="24"/>
        </w:rPr>
      </w:pPr>
      <w:r w:rsidRPr="00A414E6">
        <w:rPr>
          <w:sz w:val="24"/>
          <w:szCs w:val="24"/>
        </w:rPr>
        <w:t xml:space="preserve">I hope </w:t>
      </w:r>
      <w:r>
        <w:rPr>
          <w:sz w:val="24"/>
          <w:szCs w:val="24"/>
        </w:rPr>
        <w:t>this response</w:t>
      </w:r>
      <w:r w:rsidRPr="00A414E6">
        <w:rPr>
          <w:sz w:val="24"/>
          <w:szCs w:val="24"/>
        </w:rPr>
        <w:t xml:space="preserve"> address</w:t>
      </w:r>
      <w:r>
        <w:rPr>
          <w:sz w:val="24"/>
          <w:szCs w:val="24"/>
        </w:rPr>
        <w:t>es</w:t>
      </w:r>
      <w:r w:rsidRPr="00A414E6">
        <w:rPr>
          <w:sz w:val="24"/>
          <w:szCs w:val="24"/>
        </w:rPr>
        <w:t xml:space="preserve"> your concerns and thank you for raising this</w:t>
      </w:r>
      <w:bookmarkStart w:id="0" w:name="_GoBack"/>
      <w:bookmarkEnd w:id="0"/>
      <w:r w:rsidRPr="00A414E6">
        <w:rPr>
          <w:sz w:val="24"/>
          <w:szCs w:val="24"/>
        </w:rPr>
        <w:t xml:space="preserve"> issue with me.</w:t>
      </w: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</w:rPr>
        <w:t>Yours sincerely</w:t>
      </w:r>
    </w:p>
    <w:p w:rsidR="002B649E" w:rsidRDefault="002B649E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834846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</w:rPr>
        <w:br/>
      </w:r>
    </w:p>
    <w:p w:rsidR="00AD7D31" w:rsidRDefault="001D354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</w:rPr>
        <w:t>Meegan Fitzharris</w:t>
      </w:r>
      <w:r w:rsidR="00AD7D31" w:rsidRPr="009F2948">
        <w:rPr>
          <w:rFonts w:ascii="Calibri" w:hAnsi="Calibri"/>
          <w:sz w:val="24"/>
          <w:szCs w:val="24"/>
        </w:rPr>
        <w:t xml:space="preserve"> MLA</w:t>
      </w:r>
    </w:p>
    <w:p w:rsidR="00505205" w:rsidRPr="009F2948" w:rsidRDefault="00505205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Minister for Health and Wellbeing </w:t>
      </w:r>
    </w:p>
    <w:p w:rsidR="00AD7D31" w:rsidRPr="009F2948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9F2948">
        <w:rPr>
          <w:sz w:val="24"/>
          <w:szCs w:val="24"/>
        </w:rPr>
        <w:tab/>
      </w:r>
    </w:p>
    <w:p w:rsidR="00AD7D31" w:rsidRPr="009F2948" w:rsidRDefault="00AD7D31" w:rsidP="00AD7D31">
      <w:pPr>
        <w:spacing w:after="0" w:line="240" w:lineRule="auto"/>
        <w:rPr>
          <w:sz w:val="24"/>
          <w:szCs w:val="24"/>
        </w:rPr>
      </w:pPr>
    </w:p>
    <w:p w:rsidR="0055749D" w:rsidRPr="009F2948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9F2948" w:rsidSect="004D6054">
      <w:headerReference w:type="default" r:id="rId7"/>
      <w:headerReference w:type="first" r:id="rId8"/>
      <w:footerReference w:type="first" r:id="rId9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31" w:rsidRDefault="00AD7D31" w:rsidP="00AD7D31">
      <w:pPr>
        <w:spacing w:after="0" w:line="240" w:lineRule="auto"/>
      </w:pPr>
      <w:r>
        <w:separator/>
      </w:r>
    </w:p>
  </w:endnote>
  <w:endnote w:type="continuationSeparator" w:id="0">
    <w:p w:rsidR="00AD7D31" w:rsidRDefault="00AD7D31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935E24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32782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32783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64748B"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="0064748B" w:rsidRPr="009C2877">
      <w:rPr>
        <w:rFonts w:ascii="Calibri Light"/>
        <w:color w:val="231F20"/>
        <w:sz w:val="20"/>
        <w:szCs w:val="20"/>
      </w:rPr>
      <w:t>GPO Box 1020, Canberra ACT 2601, Australia</w:t>
    </w:r>
    <w:r w:rsidR="0064748B" w:rsidRPr="009C2877">
      <w:rPr>
        <w:rFonts w:ascii="Calibri Light"/>
        <w:color w:val="231F20"/>
        <w:sz w:val="20"/>
        <w:szCs w:val="20"/>
      </w:rPr>
      <w:br/>
    </w:r>
    <w:r w:rsidR="0064748B" w:rsidRPr="009C2877">
      <w:rPr>
        <w:rFonts w:ascii="Calibri Light"/>
        <w:b/>
        <w:color w:val="231F20"/>
        <w:sz w:val="20"/>
        <w:szCs w:val="20"/>
      </w:rPr>
      <w:t>Phone</w:t>
    </w:r>
    <w:r w:rsidR="0064748B" w:rsidRPr="009C2877">
      <w:rPr>
        <w:rFonts w:ascii="Calibri Light"/>
        <w:color w:val="231F20"/>
        <w:sz w:val="20"/>
        <w:szCs w:val="20"/>
      </w:rPr>
      <w:t xml:space="preserve"> +61 2 6205 </w:t>
    </w:r>
    <w:r w:rsidR="00F2426E">
      <w:rPr>
        <w:rFonts w:ascii="Calibri Light"/>
        <w:color w:val="231F20"/>
        <w:sz w:val="20"/>
        <w:szCs w:val="20"/>
      </w:rPr>
      <w:t>0</w:t>
    </w:r>
    <w:r w:rsidR="001D3541">
      <w:rPr>
        <w:rFonts w:ascii="Calibri Light"/>
        <w:color w:val="231F20"/>
        <w:sz w:val="20"/>
        <w:szCs w:val="20"/>
      </w:rPr>
      <w:t>051</w:t>
    </w:r>
    <w:r w:rsidR="0064748B" w:rsidRPr="009C2877">
      <w:rPr>
        <w:sz w:val="20"/>
        <w:szCs w:val="20"/>
      </w:rPr>
      <w:t> </w:t>
    </w:r>
    <w:r w:rsidR="00D4661F">
      <w:rPr>
        <w:sz w:val="20"/>
        <w:szCs w:val="20"/>
      </w:rPr>
      <w:tab/>
    </w:r>
    <w:r w:rsidR="00D4661F">
      <w:rPr>
        <w:sz w:val="20"/>
        <w:szCs w:val="20"/>
      </w:rPr>
      <w:tab/>
    </w:r>
    <w:r w:rsidR="00D4661F">
      <w:rPr>
        <w:rFonts w:ascii="Calibri Light"/>
        <w:color w:val="231F20"/>
        <w:sz w:val="20"/>
        <w:szCs w:val="20"/>
      </w:rPr>
      <w:t xml:space="preserve">        </w:t>
    </w:r>
    <w:r w:rsidR="00D4661F" w:rsidRPr="00F92535">
      <w:rPr>
        <w:rFonts w:ascii="Calibri Light"/>
        <w:b/>
        <w:sz w:val="20"/>
        <w:szCs w:val="20"/>
      </w:rPr>
      <w:t xml:space="preserve"> </w:t>
    </w:r>
    <w:r w:rsidR="001D3541" w:rsidRPr="00F92535">
      <w:rPr>
        <w:rFonts w:ascii="Calibri Light"/>
        <w:b/>
        <w:sz w:val="20"/>
        <w:szCs w:val="20"/>
      </w:rPr>
      <w:t>Email</w:t>
    </w:r>
    <w:r w:rsidR="001D3541" w:rsidRPr="00F92535">
      <w:rPr>
        <w:rFonts w:ascii="Calibri Light"/>
        <w:sz w:val="20"/>
        <w:szCs w:val="20"/>
      </w:rPr>
      <w:t xml:space="preserve"> </w:t>
    </w:r>
    <w:r w:rsidR="001D3541" w:rsidRPr="00F92535">
      <w:rPr>
        <w:rFonts w:ascii="Calibri Light"/>
        <w:spacing w:val="-2"/>
        <w:sz w:val="20"/>
        <w:szCs w:val="20"/>
      </w:rPr>
      <w:t>fitzharris@act.gov.au</w:t>
    </w:r>
    <w:r>
      <w:rPr>
        <w:noProof/>
        <w:sz w:val="20"/>
        <w:szCs w:val="20"/>
        <w:lang w:val="en-AU" w:eastAsia="en-AU"/>
      </w:rPr>
      <w:pict>
        <v:group id="Group 14" o:spid="_x0000_s32774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3278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3278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3277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3277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3277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3277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3277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64748B" w:rsidRPr="0064748B" w:rsidRDefault="00935E24" w:rsidP="0064748B">
    <w:pPr>
      <w:pStyle w:val="Footer"/>
    </w:pPr>
    <w:r w:rsidRPr="00935E24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32773" type="#_x0000_t202" style="position:absolute;margin-left:74.25pt;margin-top:806.25pt;width:9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<v:textbox inset="0,0,0,0">
            <w:txbxContent>
              <w:p w:rsidR="0064748B" w:rsidRPr="0039472D" w:rsidRDefault="0064748B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 w:rsidR="001D3541">
                  <w:rPr>
                    <w:rFonts w:ascii="Calibri Light"/>
                    <w:color w:val="231F20"/>
                    <w:sz w:val="24"/>
                    <w:szCs w:val="24"/>
                  </w:rPr>
                  <w:t>MeeganFitzMLA</w:t>
                </w:r>
                <w:proofErr w:type="spellEnd"/>
              </w:p>
            </w:txbxContent>
          </v:textbox>
          <w10:wrap anchorx="page" anchory="page"/>
        </v:shape>
      </w:pict>
    </w:r>
    <w:r w:rsidRPr="00935E24">
      <w:rPr>
        <w:noProof/>
        <w:sz w:val="20"/>
        <w:szCs w:val="20"/>
        <w:lang w:eastAsia="en-AU"/>
      </w:rPr>
      <w:pict>
        <v:shape id="Text Box 10" o:spid="_x0000_s32772" type="#_x0000_t202" style="position:absolute;margin-left:201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<v:textbox inset="0,0,0,0">
            <w:txbxContent>
              <w:p w:rsidR="0064748B" w:rsidRPr="0039472D" w:rsidRDefault="001D3541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MeeganFitzharrisMLA</w:t>
                </w:r>
                <w:proofErr w:type="spellEnd"/>
              </w:p>
            </w:txbxContent>
          </v:textbox>
          <w10:wrap anchorx="page" anchory="page"/>
        </v:shape>
      </w:pict>
    </w:r>
    <w:r w:rsidRPr="00935E24">
      <w:rPr>
        <w:noProof/>
        <w:sz w:val="20"/>
        <w:szCs w:val="20"/>
        <w:lang w:eastAsia="en-AU"/>
      </w:rPr>
      <w:pict>
        <v:group id="Group 22" o:spid="_x0000_s32769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<v:shape id="Freeform 14" o:spid="_x0000_s32771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32770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31" w:rsidRDefault="00AD7D31" w:rsidP="00AD7D31">
      <w:pPr>
        <w:spacing w:after="0" w:line="240" w:lineRule="auto"/>
      </w:pPr>
      <w:r>
        <w:separator/>
      </w:r>
    </w:p>
  </w:footnote>
  <w:footnote w:type="continuationSeparator" w:id="0">
    <w:p w:rsidR="00AD7D31" w:rsidRDefault="00AD7D31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Pr="004D6054" w:rsidRDefault="00AD7D31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541" w:rsidRPr="001D3541">
      <w:rPr>
        <w:rFonts w:ascii="Arial"/>
        <w:b/>
        <w:color w:val="231F20"/>
        <w:sz w:val="35"/>
      </w:rPr>
      <w:t>Meegan</w:t>
    </w:r>
    <w:r w:rsidR="00F2426E">
      <w:rPr>
        <w:rFonts w:ascii="Arial"/>
        <w:b/>
        <w:color w:val="231F20"/>
        <w:sz w:val="35"/>
      </w:rPr>
      <w:t xml:space="preserve"> </w:t>
    </w:r>
    <w:r w:rsidR="001D3541" w:rsidRPr="001D3541">
      <w:rPr>
        <w:rFonts w:ascii="Arial"/>
        <w:b/>
        <w:color w:val="231F20"/>
        <w:sz w:val="35"/>
      </w:rPr>
      <w:t>Fitzharris</w:t>
    </w:r>
    <w:r w:rsidR="001D3541">
      <w:rPr>
        <w:rFonts w:ascii="Arial"/>
        <w:b/>
        <w:color w:val="231F20"/>
        <w:sz w:val="35"/>
      </w:rPr>
      <w:t xml:space="preserve">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  <w:r w:rsidR="004D6054">
      <w:br/>
    </w:r>
    <w:r w:rsidR="0064748B" w:rsidRPr="00C13031">
      <w:rPr>
        <w:rFonts w:asciiTheme="majorHAnsi" w:hAnsiTheme="majorHAnsi"/>
      </w:rPr>
      <w:t>Member</w:t>
    </w:r>
    <w:r w:rsidR="0064748B" w:rsidRPr="00C13031">
      <w:rPr>
        <w:rFonts w:asciiTheme="majorHAnsi" w:hAnsiTheme="majorHAnsi"/>
        <w:spacing w:val="-5"/>
      </w:rPr>
      <w:t xml:space="preserve"> </w:t>
    </w:r>
    <w:r w:rsidR="0064748B" w:rsidRPr="00C13031">
      <w:rPr>
        <w:rFonts w:asciiTheme="majorHAnsi" w:hAnsiTheme="majorHAnsi"/>
        <w:spacing w:val="-2"/>
      </w:rPr>
      <w:t>for</w:t>
    </w:r>
    <w:r w:rsidR="0064748B" w:rsidRPr="00C13031">
      <w:rPr>
        <w:rFonts w:asciiTheme="majorHAnsi" w:hAnsiTheme="majorHAnsi"/>
        <w:spacing w:val="-4"/>
      </w:rPr>
      <w:t xml:space="preserve"> </w:t>
    </w:r>
    <w:r w:rsidR="001D3541" w:rsidRPr="00C13031">
      <w:rPr>
        <w:rFonts w:asciiTheme="majorHAnsi" w:hAnsiTheme="majorHAnsi" w:cs="Helvetica"/>
        <w:color w:val="000000"/>
      </w:rPr>
      <w:t>Yerrabi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  <w:r w:rsidR="00582BCD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Wellbeing</w:t>
    </w:r>
  </w:p>
  <w:p w:rsidR="001D3541" w:rsidRPr="001D3541" w:rsidRDefault="001D3541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AD7D31" w:rsidRDefault="001D3541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 w:rsidR="00C1303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1A0"/>
    <w:multiLevelType w:val="hybridMultilevel"/>
    <w:tmpl w:val="038C8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85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31"/>
    <w:rsid w:val="001804F3"/>
    <w:rsid w:val="001D3541"/>
    <w:rsid w:val="002B649E"/>
    <w:rsid w:val="002C61B0"/>
    <w:rsid w:val="00394199"/>
    <w:rsid w:val="004562B6"/>
    <w:rsid w:val="004D6054"/>
    <w:rsid w:val="00505205"/>
    <w:rsid w:val="0055749D"/>
    <w:rsid w:val="00582BCD"/>
    <w:rsid w:val="005E7DE1"/>
    <w:rsid w:val="0064748B"/>
    <w:rsid w:val="007024E3"/>
    <w:rsid w:val="007D7FAC"/>
    <w:rsid w:val="00806ACB"/>
    <w:rsid w:val="00834846"/>
    <w:rsid w:val="00855531"/>
    <w:rsid w:val="008E0EAA"/>
    <w:rsid w:val="00912868"/>
    <w:rsid w:val="00935E24"/>
    <w:rsid w:val="009C2877"/>
    <w:rsid w:val="009F2948"/>
    <w:rsid w:val="00A46B4C"/>
    <w:rsid w:val="00AD7D31"/>
    <w:rsid w:val="00C13031"/>
    <w:rsid w:val="00C15A22"/>
    <w:rsid w:val="00C22A30"/>
    <w:rsid w:val="00D4661F"/>
    <w:rsid w:val="00E05A9D"/>
    <w:rsid w:val="00F2426E"/>
    <w:rsid w:val="00F9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A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2B649E"/>
    <w:rPr>
      <w:rFonts w:ascii="Calibri" w:hAnsi="Calibri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2B649E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1886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Meegan Fitzharris Letterhead</vt:lpstr>
    </vt:vector>
  </TitlesOfParts>
  <Company>ACT Government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DI2017-272 to DI2017-275 and DI2017-286</dc:title>
  <dc:creator>ACT Government</dc:creator>
  <cp:lastModifiedBy>anne shannon</cp:lastModifiedBy>
  <cp:revision>3</cp:revision>
  <cp:lastPrinted>2018-03-07T06:43:00Z</cp:lastPrinted>
  <dcterms:created xsi:type="dcterms:W3CDTF">2018-03-14T21:58:00Z</dcterms:created>
  <dcterms:modified xsi:type="dcterms:W3CDTF">2018-03-14T22:03:00Z</dcterms:modified>
</cp:coreProperties>
</file>