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bookmarkStart w:id="1" w:name="OLE_LINK2"/>
    <w:p w:rsidR="00364680" w:rsidRPr="00364680" w:rsidRDefault="00364680" w:rsidP="00364680">
      <w:pPr>
        <w:pStyle w:val="Header"/>
        <w:spacing w:after="600"/>
        <w:rPr>
          <w:rFonts w:asciiTheme="minorHAnsi" w:hAnsiTheme="minorHAnsi"/>
          <w:sz w:val="20"/>
        </w:rPr>
      </w:pPr>
      <w:r w:rsidRPr="00364680">
        <w:rPr>
          <w:rFonts w:asciiTheme="minorHAnsi" w:hAnsiTheme="minorHAnsi"/>
          <w:noProof/>
          <w:sz w:val="20"/>
          <w:lang w:val="en-AU" w:eastAsia="en-AU"/>
        </w:rPr>
        <mc:AlternateContent>
          <mc:Choice Requires="wps">
            <w:drawing>
              <wp:anchor distT="0" distB="0" distL="114300" distR="114300" simplePos="0" relativeHeight="251660288" behindDoc="0" locked="1" layoutInCell="1" allowOverlap="1">
                <wp:simplePos x="0" y="0"/>
                <wp:positionH relativeFrom="column">
                  <wp:posOffset>1192530</wp:posOffset>
                </wp:positionH>
                <wp:positionV relativeFrom="paragraph">
                  <wp:posOffset>614680</wp:posOffset>
                </wp:positionV>
                <wp:extent cx="5080000" cy="7334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0000" cy="73342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64680" w:rsidRPr="006B0A5C" w:rsidRDefault="00364680" w:rsidP="00364680">
                            <w:pPr>
                              <w:pStyle w:val="Customheader"/>
                              <w:jc w:val="left"/>
                              <w:rPr>
                                <w:b/>
                                <w:sz w:val="24"/>
                              </w:rPr>
                            </w:pPr>
                            <w:r w:rsidRPr="006B0A5C">
                              <w:rPr>
                                <w:b/>
                                <w:sz w:val="24"/>
                              </w:rPr>
                              <w:t>Select Committee on the 2016 ACT election and Electoral Act</w:t>
                            </w:r>
                          </w:p>
                          <w:p w:rsidR="00364680" w:rsidRPr="006B0A5C" w:rsidRDefault="00364680" w:rsidP="00364680">
                            <w:pPr>
                              <w:rPr>
                                <w:rFonts w:eastAsia="PMingLiU"/>
                                <w:sz w:val="22"/>
                                <w:szCs w:val="22"/>
                                <w:lang w:eastAsia="zh-TW"/>
                              </w:rPr>
                            </w:pPr>
                            <w:r w:rsidRPr="006B0A5C">
                              <w:rPr>
                                <w:rFonts w:eastAsia="PMingLiU"/>
                                <w:sz w:val="22"/>
                                <w:szCs w:val="22"/>
                                <w:lang w:eastAsia="zh-TW"/>
                              </w:rPr>
                              <w:t>Ms Bec Cody MLA (Chair), Mr James Milligan MLA (Deputy Chair)</w:t>
                            </w:r>
                          </w:p>
                          <w:p w:rsidR="00364680" w:rsidRPr="009B28AD" w:rsidRDefault="00364680" w:rsidP="00364680">
                            <w:pPr>
                              <w:rPr>
                                <w:rFonts w:eastAsia="PMingLiU"/>
                                <w:szCs w:val="22"/>
                                <w:lang w:eastAsia="zh-TW"/>
                              </w:rPr>
                            </w:pPr>
                            <w:r w:rsidRPr="006B0A5C">
                              <w:rPr>
                                <w:rFonts w:eastAsia="PMingLiU"/>
                                <w:sz w:val="22"/>
                                <w:szCs w:val="22"/>
                                <w:lang w:eastAsia="zh-TW"/>
                              </w:rPr>
                              <w:t xml:space="preserve">Ms Tara Cheyne MLA, Ms Caroline Le Couteur MLA, Mr Andrew Wall </w:t>
                            </w:r>
                            <w:r w:rsidRPr="009B28AD">
                              <w:rPr>
                                <w:rFonts w:eastAsia="PMingLiU"/>
                                <w:szCs w:val="22"/>
                                <w:lang w:eastAsia="zh-TW"/>
                              </w:rPr>
                              <w:t>MLA</w:t>
                            </w:r>
                            <w:r>
                              <w:rPr>
                                <w:rFonts w:eastAsia="PMingLiU"/>
                                <w:szCs w:val="22"/>
                                <w:lang w:eastAsia="zh-TW"/>
                              </w:rPr>
                              <w:t xml:space="preserve"> </w:t>
                            </w:r>
                          </w:p>
                          <w:p w:rsidR="00364680" w:rsidRPr="004C0068" w:rsidRDefault="00364680" w:rsidP="00364680">
                            <w:pPr>
                              <w:pStyle w:val="Customheader"/>
                              <w:jc w:val="left"/>
                              <w:rPr>
                                <w:rFonts w:ascii="Calibri" w:hAnsi="Calibri"/>
                                <w:smallCaps w:val="0"/>
                                <w:sz w:val="22"/>
                                <w:szCs w:val="22"/>
                              </w:rPr>
                            </w:pPr>
                          </w:p>
                          <w:p w:rsidR="00364680" w:rsidRPr="004C0068" w:rsidRDefault="00364680" w:rsidP="00364680">
                            <w:pPr>
                              <w:pStyle w:val="Customheader"/>
                              <w:jc w:val="left"/>
                              <w:rPr>
                                <w:rFonts w:ascii="Calibri" w:hAnsi="Calibri"/>
                                <w:smallCaps w:val="0"/>
                                <w:sz w:val="22"/>
                                <w:szCs w:val="22"/>
                              </w:rPr>
                            </w:pPr>
                          </w:p>
                          <w:p w:rsidR="00364680" w:rsidRPr="004C0068" w:rsidRDefault="00364680" w:rsidP="00364680">
                            <w:pPr>
                              <w:pStyle w:val="Customheader"/>
                              <w:jc w:val="left"/>
                              <w:rPr>
                                <w:rFonts w:ascii="Calibri" w:hAnsi="Calibri"/>
                                <w:smallCaps w:val="0"/>
                                <w:sz w:val="22"/>
                                <w:szCs w:val="22"/>
                              </w:rPr>
                            </w:pPr>
                          </w:p>
                          <w:p w:rsidR="00364680" w:rsidRDefault="00364680" w:rsidP="00364680">
                            <w:pPr>
                              <w:pStyle w:val="Customheader"/>
                            </w:pPr>
                          </w:p>
                          <w:p w:rsidR="00364680" w:rsidRDefault="00364680" w:rsidP="00364680">
                            <w:pPr>
                              <w:pStyle w:val="Customheader"/>
                            </w:pPr>
                          </w:p>
                          <w:p w:rsidR="00364680" w:rsidRPr="004C0068" w:rsidRDefault="00364680" w:rsidP="00364680">
                            <w:pPr>
                              <w:pStyle w:val="Customheader"/>
                              <w:rPr>
                                <w:rFonts w:ascii="Calibri" w:hAnsi="Calibri"/>
                              </w:rPr>
                            </w:pPr>
                          </w:p>
                          <w:p w:rsidR="00364680" w:rsidRPr="00E749B1" w:rsidRDefault="00364680" w:rsidP="00364680">
                            <w:pPr>
                              <w:rPr>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3" o:spid="_x0000_s1026" type="#_x0000_t202" style="position:absolute;margin-left:93.9pt;margin-top:48.4pt;width:400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XItQIAALwFAAAOAAAAZHJzL2Uyb0RvYy54bWysVFtv2jAUfp+0/2D5nSbh0tKooUqpmCah&#10;tlo79dk4doma+Hi2gbBp/33HTgKs20un8RCOz/nO/XJ13dQV2QpjS1AZTc5iSoTiUJTqJaNfnxaD&#10;KSXWMVWwCpTI6F5Yej37+OFqp1MxhDVUhTAEjSib7nRG187pNIosX4ua2TPQQqFQgqmZw6d5iQrD&#10;dmi9rqJhHJ9HOzCFNsCFtci9bYV0FuxLKbi7l9IKR6qMYmwufE34rvw3ml2x9MUwvS55Fwb7hyhq&#10;Vip0ejB1yxwjG1P+YaouuQEL0p1xqCOQsuQi5IDZJPGbbB7XTIuQCxbH6kOZ7P8zy++2D4aURUZH&#10;lChWY4ueROPIDTRk5Kuz0zZF0KNGmGuQjV0OmVq9BP5qERKdYFoFi2hfjUaa2v9jngQVsQH7Q9G9&#10;F47MSTyN8UcJR9nFaDQeTrzf6KitjXWfBNTEExk12NQQAdsurWuhPcQ7U7Aoqwr5LK3Ubwy02XJE&#10;mIxWm6UYCZIe6WMKXfsxn1wM84vJ5eA8nySDcRJPB3keDwe3izzO4/Fifjm++dnF2euHOrSp+4pY&#10;t69EG8UXIbHGoQKeEaZbzCtDtgznknEulEs6a5VCtEdJzOI9ih0+5BHye49yW5HeMyh3UK5LBabt&#10;uF/KY9jFax+ybPHdJHR5+xK4ZtVgIzy5gmKPI2SgXUGr+aLEdi6ZdQ/M4M7hBOAdcff4kRXsMgod&#10;RckazPe/8T0eVwGllOxwhzNqv22YEZRUnxUuyWUyHvulD48xdhQf5lSyOpWoTT0HbEeCF0vzQHq8&#10;q3pSGqif8dzk3iuKmOLoO6OuJ+euvSx4rrjI8wDCNdfMLdWj5v3m+GF9ap6Z0d1EO5ygO+i3naVv&#10;BrvF+r4qyDcOZBmm/ljVrvB4IsLedOfM36DTd0Adj+7sFwAAAP//AwBQSwMEFAAGAAgAAAAhABGp&#10;zNTeAAAACgEAAA8AAABkcnMvZG93bnJldi54bWxMj8FOwzAQRO9I/QdrK3GjToNU2hCnQkgVCHEh&#10;9APc2MRR4rUV20ng61m4wGk1u6PZN+VxsQOb9Bg6hwK2mwyYxsapDlsB5/fTzR5YiBKVHBxqAZ86&#10;wLFaXZWyUG7GNz3VsWUUgqGQAkyMvuA8NEZbGTbOa6TbhxutjCTHlqtRzhRuB55n2Y5b2SF9MNLr&#10;R6Obvk5WwCk9Pdvpiyf/UjczGt+n82svxPV6ebgHFvUS/8zwg0/oUBHTxSVUgQ2k93eEHgUcdjTJ&#10;cPhdXATk2/wWeFXy/xWqbwAAAP//AwBQSwECLQAUAAYACAAAACEAtoM4kv4AAADhAQAAEwAAAAAA&#10;AAAAAAAAAAAAAAAAW0NvbnRlbnRfVHlwZXNdLnhtbFBLAQItABQABgAIAAAAIQA4/SH/1gAAAJQB&#10;AAALAAAAAAAAAAAAAAAAAC8BAABfcmVscy8ucmVsc1BLAQItABQABgAIAAAAIQA1kiXItQIAALwF&#10;AAAOAAAAAAAAAAAAAAAAAC4CAABkcnMvZTJvRG9jLnhtbFBLAQItABQABgAIAAAAIQARqczU3gAA&#10;AAoBAAAPAAAAAAAAAAAAAAAAAA8FAABkcnMvZG93bnJldi54bWxQSwUGAAAAAAQABADzAAAAGgYA&#10;AAAA&#10;" filled="f" stroked="f">
                <v:path arrowok="t"/>
                <v:textbox>
                  <w:txbxContent>
                    <w:p w:rsidR="00364680" w:rsidRPr="006B0A5C" w:rsidRDefault="00364680" w:rsidP="00364680">
                      <w:pPr>
                        <w:pStyle w:val="Customheader"/>
                        <w:jc w:val="left"/>
                        <w:rPr>
                          <w:b/>
                          <w:sz w:val="24"/>
                        </w:rPr>
                      </w:pPr>
                      <w:r w:rsidRPr="006B0A5C">
                        <w:rPr>
                          <w:b/>
                          <w:sz w:val="24"/>
                        </w:rPr>
                        <w:t>Select Committee on the 2016 ACT election and Electoral Act</w:t>
                      </w:r>
                    </w:p>
                    <w:p w:rsidR="00364680" w:rsidRPr="006B0A5C" w:rsidRDefault="00364680" w:rsidP="00364680">
                      <w:pPr>
                        <w:rPr>
                          <w:rFonts w:eastAsia="PMingLiU"/>
                          <w:sz w:val="22"/>
                          <w:szCs w:val="22"/>
                          <w:lang w:eastAsia="zh-TW"/>
                        </w:rPr>
                      </w:pPr>
                      <w:r w:rsidRPr="006B0A5C">
                        <w:rPr>
                          <w:rFonts w:eastAsia="PMingLiU"/>
                          <w:sz w:val="22"/>
                          <w:szCs w:val="22"/>
                          <w:lang w:eastAsia="zh-TW"/>
                        </w:rPr>
                        <w:t>Ms Bec Cody MLA (Chair), Mr James Milligan MLA (Deputy Chair)</w:t>
                      </w:r>
                    </w:p>
                    <w:p w:rsidR="00364680" w:rsidRPr="009B28AD" w:rsidRDefault="00364680" w:rsidP="00364680">
                      <w:pPr>
                        <w:rPr>
                          <w:rFonts w:eastAsia="PMingLiU"/>
                          <w:szCs w:val="22"/>
                          <w:lang w:eastAsia="zh-TW"/>
                        </w:rPr>
                      </w:pPr>
                      <w:r w:rsidRPr="006B0A5C">
                        <w:rPr>
                          <w:rFonts w:eastAsia="PMingLiU"/>
                          <w:sz w:val="22"/>
                          <w:szCs w:val="22"/>
                          <w:lang w:eastAsia="zh-TW"/>
                        </w:rPr>
                        <w:t xml:space="preserve">Ms Tara Cheyne MLA, Ms Caroline Le Couteur MLA, Mr Andrew Wall </w:t>
                      </w:r>
                      <w:r w:rsidRPr="009B28AD">
                        <w:rPr>
                          <w:rFonts w:eastAsia="PMingLiU"/>
                          <w:szCs w:val="22"/>
                          <w:lang w:eastAsia="zh-TW"/>
                        </w:rPr>
                        <w:t>MLA</w:t>
                      </w:r>
                      <w:r>
                        <w:rPr>
                          <w:rFonts w:eastAsia="PMingLiU"/>
                          <w:szCs w:val="22"/>
                          <w:lang w:eastAsia="zh-TW"/>
                        </w:rPr>
                        <w:t xml:space="preserve"> </w:t>
                      </w:r>
                    </w:p>
                    <w:p w:rsidR="00364680" w:rsidRPr="004C0068" w:rsidRDefault="00364680" w:rsidP="00364680">
                      <w:pPr>
                        <w:pStyle w:val="Customheader"/>
                        <w:jc w:val="left"/>
                        <w:rPr>
                          <w:rFonts w:ascii="Calibri" w:hAnsi="Calibri"/>
                          <w:smallCaps w:val="0"/>
                          <w:sz w:val="22"/>
                          <w:szCs w:val="22"/>
                        </w:rPr>
                      </w:pPr>
                    </w:p>
                    <w:p w:rsidR="00364680" w:rsidRPr="004C0068" w:rsidRDefault="00364680" w:rsidP="00364680">
                      <w:pPr>
                        <w:pStyle w:val="Customheader"/>
                        <w:jc w:val="left"/>
                        <w:rPr>
                          <w:rFonts w:ascii="Calibri" w:hAnsi="Calibri"/>
                          <w:smallCaps w:val="0"/>
                          <w:sz w:val="22"/>
                          <w:szCs w:val="22"/>
                        </w:rPr>
                      </w:pPr>
                    </w:p>
                    <w:p w:rsidR="00364680" w:rsidRPr="004C0068" w:rsidRDefault="00364680" w:rsidP="00364680">
                      <w:pPr>
                        <w:pStyle w:val="Customheader"/>
                        <w:jc w:val="left"/>
                        <w:rPr>
                          <w:rFonts w:ascii="Calibri" w:hAnsi="Calibri"/>
                          <w:smallCaps w:val="0"/>
                          <w:sz w:val="22"/>
                          <w:szCs w:val="22"/>
                        </w:rPr>
                      </w:pPr>
                    </w:p>
                    <w:p w:rsidR="00364680" w:rsidRDefault="00364680" w:rsidP="00364680">
                      <w:pPr>
                        <w:pStyle w:val="Customheader"/>
                      </w:pPr>
                    </w:p>
                    <w:p w:rsidR="00364680" w:rsidRDefault="00364680" w:rsidP="00364680">
                      <w:pPr>
                        <w:pStyle w:val="Customheader"/>
                      </w:pPr>
                    </w:p>
                    <w:p w:rsidR="00364680" w:rsidRPr="004C0068" w:rsidRDefault="00364680" w:rsidP="00364680">
                      <w:pPr>
                        <w:pStyle w:val="Customheader"/>
                        <w:rPr>
                          <w:rFonts w:ascii="Calibri" w:hAnsi="Calibri"/>
                        </w:rPr>
                      </w:pPr>
                    </w:p>
                    <w:p w:rsidR="00364680" w:rsidRPr="00E749B1" w:rsidRDefault="00364680" w:rsidP="00364680">
                      <w:pPr>
                        <w:rPr>
                          <w:szCs w:val="36"/>
                        </w:rPr>
                      </w:pPr>
                    </w:p>
                  </w:txbxContent>
                </v:textbox>
                <w10:anchorlock/>
              </v:shape>
            </w:pict>
          </mc:Fallback>
        </mc:AlternateContent>
      </w:r>
      <w:r w:rsidRPr="00364680">
        <w:rPr>
          <w:rFonts w:asciiTheme="minorHAnsi" w:hAnsiTheme="minorHAnsi"/>
          <w:noProof/>
          <w:sz w:val="20"/>
          <w:lang w:val="en-AU" w:eastAsia="en-AU"/>
        </w:rPr>
        <mc:AlternateContent>
          <mc:Choice Requires="wps">
            <w:drawing>
              <wp:anchor distT="0" distB="0" distL="114300" distR="114300" simplePos="0" relativeHeight="251659264" behindDoc="0" locked="0" layoutInCell="1" allowOverlap="1">
                <wp:simplePos x="0" y="0"/>
                <wp:positionH relativeFrom="column">
                  <wp:posOffset>1192530</wp:posOffset>
                </wp:positionH>
                <wp:positionV relativeFrom="paragraph">
                  <wp:posOffset>44450</wp:posOffset>
                </wp:positionV>
                <wp:extent cx="5120640" cy="558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0640" cy="5588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64680" w:rsidRPr="006B0A5C" w:rsidRDefault="00364680" w:rsidP="00364680">
                            <w:pPr>
                              <w:spacing w:line="276" w:lineRule="auto"/>
                              <w:rPr>
                                <w:rFonts w:ascii="Times New Roman" w:hAnsi="Times New Roman"/>
                                <w:b/>
                                <w:spacing w:val="70"/>
                                <w:sz w:val="28"/>
                                <w:szCs w:val="30"/>
                              </w:rPr>
                            </w:pPr>
                            <w:r w:rsidRPr="006B0A5C">
                              <w:rPr>
                                <w:rFonts w:ascii="Times New Roman" w:hAnsi="Times New Roman"/>
                                <w:b/>
                                <w:spacing w:val="70"/>
                                <w:sz w:val="28"/>
                                <w:szCs w:val="30"/>
                              </w:rPr>
                              <w:t>LEGISLATIVE ASSEMBLY</w:t>
                            </w:r>
                          </w:p>
                          <w:p w:rsidR="00364680" w:rsidRPr="006B0A5C" w:rsidRDefault="00364680" w:rsidP="00364680">
                            <w:pPr>
                              <w:spacing w:line="276" w:lineRule="auto"/>
                              <w:rPr>
                                <w:rFonts w:ascii="Times New Roman" w:hAnsi="Times New Roman"/>
                                <w:b/>
                                <w:spacing w:val="36"/>
                                <w:sz w:val="16"/>
                                <w:szCs w:val="17"/>
                              </w:rPr>
                            </w:pPr>
                            <w:r w:rsidRPr="006B0A5C">
                              <w:rPr>
                                <w:rFonts w:ascii="Times New Roman" w:hAnsi="Times New Roman"/>
                                <w:b/>
                                <w:spacing w:val="36"/>
                                <w:sz w:val="16"/>
                                <w:szCs w:val="17"/>
                              </w:rPr>
                              <w:t>FOR THE AUSTRALIAN CAPITAL TERRITORY</w:t>
                            </w:r>
                          </w:p>
                          <w:p w:rsidR="00364680" w:rsidRDefault="00364680" w:rsidP="00364680">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 Box 2" o:spid="_x0000_s1027" type="#_x0000_t202" style="position:absolute;margin-left:93.9pt;margin-top:3.5pt;width:403.2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ASHugIAAMMFAAAOAAAAZHJzL2Uyb0RvYy54bWysVEtv2zAMvg/YfxB0T/1A0qZGncJNkWFA&#10;0BZrh54VWWqM2qImKYmzYf99lGwnWbdLh11sifxIkR8fV9dtU5OtMLYCldPkLKZEKA5lpV5y+vVp&#10;MZpSYh1TJatBiZzuhaXXs48frnY6EymsoS6FIehE2Wync7p2TmdRZPlaNMyegRYKlRJMwxxezUtU&#10;GrZD700dpXF8Hu3AlNoAF9ai9LZT0lnwL6Xg7l5KKxypc4qxufA14bvy32h2xbIXw/S64n0Y7B+i&#10;aFil8NGDq1vmGNmY6g9XTcUNWJDujEMTgZQVFyEHzCaJ32TzuGZahFyQHKsPNNn/55bfbR8Mqcqc&#10;ppQo1mCJnkTryA20JPXs7LTNEPSoEeZaFGOVQ6ZWL4G/WoREJ5jOwCLas9FK0/g/5knQEAuwP5Du&#10;X+EonCRpfD5GFUfdZDKdxqEq0dFaG+s+CWiIP+TUYFFDBGy7tM6/z7IB4h9TsKjqOhS2Vr8JENhJ&#10;ROiMzpplGAkePdLHFKr2Yz65SIuLyeXovJgko3EST0dFEaej20URF/F4Mb8c3/z0/KDPwT7w0KXu&#10;GbFuXwvvtVZfhESOAwNeELpbzGtDtgz7knEulEt6bwHtURKzeI9hjw95hPzeY9wxghbhZVDuYNxU&#10;CkxXcT+Ux7DL1yFk2eH7Tujz9hS4dtWG5gpIL1lBucdOMtBNotV8UWFVl8y6B2Zw9LARcJ24e/zI&#10;GnY5hf5EyRrM97/JPR4nArWU7HCUc2q/bZgRlNSfFc7KZTL2/eXCZYyFxYs51axONWrTzAGrkuDi&#10;0jwcPd7Vw1EaaJ5x6xT+VVQxxfHtnLrhOHfdgsGtxUVRBBBOu2ZuqR41HwbI9+xT+8yM7hvbYSPd&#10;wTD0LHvT3x3W10dBsXEgq9D8R1Z7/nFThLbst5pfRaf3gDru3tkvAAAA//8DAFBLAwQUAAYACAAA&#10;ACEAe538V9wAAAAIAQAADwAAAGRycy9kb3ducmV2LnhtbEyPzU7DMBCE70i8g7VI3KhDBbQNcSqE&#10;VIEQF0IfwI2XOEq8tmLnB56e5URvO5rR7DfFfnG9mHCIrScFt6sMBFLtTUuNguPn4WYLIiZNRvee&#10;UME3RtiXlxeFzo2f6QOnKjWCSyjmWoFNKeRSxtqi03HlAxJ7X35wOrEcGmkGPXO56+U6yx6k0y3x&#10;B6sDPlusu2p0Cg7jy6ubfuQY3qp6Jhu68fjeKXV9tTw9gki4pP8w/OEzOpTMdPIjmSh61tsNoycF&#10;G57E/m53twZx4uM+A1kW8nxA+QsAAP//AwBQSwECLQAUAAYACAAAACEAtoM4kv4AAADhAQAAEwAA&#10;AAAAAAAAAAAAAAAAAAAAW0NvbnRlbnRfVHlwZXNdLnhtbFBLAQItABQABgAIAAAAIQA4/SH/1gAA&#10;AJQBAAALAAAAAAAAAAAAAAAAAC8BAABfcmVscy8ucmVsc1BLAQItABQABgAIAAAAIQB8gASHugIA&#10;AMMFAAAOAAAAAAAAAAAAAAAAAC4CAABkcnMvZTJvRG9jLnhtbFBLAQItABQABgAIAAAAIQB7nfxX&#10;3AAAAAgBAAAPAAAAAAAAAAAAAAAAABQFAABkcnMvZG93bnJldi54bWxQSwUGAAAAAAQABADzAAAA&#10;HQYAAAAA&#10;" filled="f" stroked="f">
                <v:path arrowok="t"/>
                <v:textbox>
                  <w:txbxContent>
                    <w:p w:rsidR="00364680" w:rsidRPr="006B0A5C" w:rsidRDefault="00364680" w:rsidP="00364680">
                      <w:pPr>
                        <w:spacing w:line="276" w:lineRule="auto"/>
                        <w:rPr>
                          <w:rFonts w:ascii="Times New Roman" w:hAnsi="Times New Roman"/>
                          <w:b/>
                          <w:spacing w:val="70"/>
                          <w:sz w:val="28"/>
                          <w:szCs w:val="30"/>
                        </w:rPr>
                      </w:pPr>
                      <w:r w:rsidRPr="006B0A5C">
                        <w:rPr>
                          <w:rFonts w:ascii="Times New Roman" w:hAnsi="Times New Roman"/>
                          <w:b/>
                          <w:spacing w:val="70"/>
                          <w:sz w:val="28"/>
                          <w:szCs w:val="30"/>
                        </w:rPr>
                        <w:t>LEGISLATIVE ASSEMBLY</w:t>
                      </w:r>
                    </w:p>
                    <w:p w:rsidR="00364680" w:rsidRPr="006B0A5C" w:rsidRDefault="00364680" w:rsidP="00364680">
                      <w:pPr>
                        <w:spacing w:line="276" w:lineRule="auto"/>
                        <w:rPr>
                          <w:rFonts w:ascii="Times New Roman" w:hAnsi="Times New Roman"/>
                          <w:b/>
                          <w:spacing w:val="36"/>
                          <w:sz w:val="16"/>
                          <w:szCs w:val="17"/>
                        </w:rPr>
                      </w:pPr>
                      <w:r w:rsidRPr="006B0A5C">
                        <w:rPr>
                          <w:rFonts w:ascii="Times New Roman" w:hAnsi="Times New Roman"/>
                          <w:b/>
                          <w:spacing w:val="36"/>
                          <w:sz w:val="16"/>
                          <w:szCs w:val="17"/>
                        </w:rPr>
                        <w:t>FOR THE AUSTRALIAN CAPITAL TERRITORY</w:t>
                      </w:r>
                    </w:p>
                    <w:p w:rsidR="00364680" w:rsidRDefault="00364680" w:rsidP="00364680">
                      <w:pPr>
                        <w:spacing w:line="276" w:lineRule="auto"/>
                      </w:pPr>
                    </w:p>
                  </w:txbxContent>
                </v:textbox>
              </v:shape>
            </w:pict>
          </mc:Fallback>
        </mc:AlternateContent>
      </w:r>
      <w:r w:rsidRPr="00364680">
        <w:rPr>
          <w:rFonts w:asciiTheme="minorHAnsi" w:hAnsiTheme="minorHAnsi"/>
          <w:noProof/>
          <w:sz w:val="20"/>
          <w:lang w:val="en-AU" w:eastAsia="en-AU"/>
        </w:rPr>
        <w:drawing>
          <wp:inline distT="0" distB="0" distL="0" distR="0">
            <wp:extent cx="6114415" cy="10731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4415" cy="1073150"/>
                    </a:xfrm>
                    <a:prstGeom prst="rect">
                      <a:avLst/>
                    </a:prstGeom>
                    <a:noFill/>
                    <a:ln>
                      <a:noFill/>
                    </a:ln>
                  </pic:spPr>
                </pic:pic>
              </a:graphicData>
            </a:graphic>
          </wp:inline>
        </w:drawing>
      </w:r>
    </w:p>
    <w:bookmarkEnd w:id="0"/>
    <w:bookmarkEnd w:id="1"/>
    <w:p w:rsidR="000347AF" w:rsidRDefault="000347AF" w:rsidP="00C73C41">
      <w:pPr>
        <w:spacing w:before="180" w:line="240" w:lineRule="atLeast"/>
        <w:jc w:val="center"/>
        <w:textAlignment w:val="baseline"/>
        <w:outlineLvl w:val="1"/>
        <w:rPr>
          <w:rFonts w:ascii="Helvetica" w:hAnsi="Helvetica" w:cs="Helvetica"/>
          <w:b/>
          <w:bCs/>
          <w:color w:val="3D3D44"/>
          <w:sz w:val="29"/>
          <w:szCs w:val="29"/>
          <w:lang w:val="en-AU" w:eastAsia="en-AU"/>
        </w:rPr>
      </w:pPr>
    </w:p>
    <w:p w:rsidR="00C73C41" w:rsidRDefault="00C73C41" w:rsidP="00C73C41">
      <w:pPr>
        <w:spacing w:before="180" w:line="240" w:lineRule="atLeast"/>
        <w:jc w:val="center"/>
        <w:textAlignment w:val="baseline"/>
        <w:outlineLvl w:val="1"/>
        <w:rPr>
          <w:rFonts w:ascii="Helvetica" w:hAnsi="Helvetica" w:cs="Helvetica"/>
          <w:b/>
          <w:bCs/>
          <w:color w:val="3D3D44"/>
          <w:sz w:val="29"/>
          <w:szCs w:val="29"/>
          <w:lang w:val="en-AU" w:eastAsia="en-AU"/>
        </w:rPr>
      </w:pPr>
      <w:r w:rsidRPr="00C73C41">
        <w:rPr>
          <w:rFonts w:ascii="Helvetica" w:hAnsi="Helvetica" w:cs="Helvetica"/>
          <w:b/>
          <w:bCs/>
          <w:color w:val="3D3D44"/>
          <w:sz w:val="29"/>
          <w:szCs w:val="29"/>
          <w:lang w:val="en-AU" w:eastAsia="en-AU"/>
        </w:rPr>
        <w:t xml:space="preserve">Committee </w:t>
      </w:r>
      <w:r>
        <w:rPr>
          <w:rFonts w:ascii="Helvetica" w:hAnsi="Helvetica" w:cs="Helvetica"/>
          <w:b/>
          <w:bCs/>
          <w:color w:val="3D3D44"/>
          <w:sz w:val="29"/>
          <w:szCs w:val="29"/>
          <w:lang w:val="en-AU" w:eastAsia="en-AU"/>
        </w:rPr>
        <w:t xml:space="preserve">on the 2016 ACT Election </w:t>
      </w:r>
      <w:r w:rsidRPr="00C73C41">
        <w:rPr>
          <w:rFonts w:ascii="Helvetica" w:hAnsi="Helvetica" w:cs="Helvetica"/>
          <w:b/>
          <w:bCs/>
          <w:color w:val="3D3D44"/>
          <w:sz w:val="29"/>
          <w:szCs w:val="29"/>
          <w:lang w:val="en-AU" w:eastAsia="en-AU"/>
        </w:rPr>
        <w:t>tables final report</w:t>
      </w:r>
    </w:p>
    <w:p w:rsidR="00C73C41" w:rsidRPr="00C73C41" w:rsidRDefault="00C73C41" w:rsidP="00C73C41">
      <w:pPr>
        <w:spacing w:before="180" w:line="240" w:lineRule="atLeast"/>
        <w:jc w:val="center"/>
        <w:textAlignment w:val="baseline"/>
        <w:outlineLvl w:val="1"/>
        <w:rPr>
          <w:rFonts w:ascii="Helvetica" w:hAnsi="Helvetica" w:cs="Helvetica"/>
          <w:b/>
          <w:bCs/>
          <w:color w:val="3D3D44"/>
          <w:sz w:val="29"/>
          <w:szCs w:val="29"/>
          <w:lang w:val="en-AU" w:eastAsia="en-AU"/>
        </w:rPr>
      </w:pPr>
    </w:p>
    <w:p w:rsidR="00C73C41" w:rsidRDefault="00C73C41" w:rsidP="00C73C41">
      <w:pPr>
        <w:textAlignment w:val="baseline"/>
        <w:rPr>
          <w:rFonts w:ascii="Helvetica" w:hAnsi="Helvetica" w:cs="Helvetica"/>
          <w:b/>
          <w:bCs/>
          <w:color w:val="000000"/>
          <w:sz w:val="19"/>
          <w:szCs w:val="19"/>
          <w:bdr w:val="none" w:sz="0" w:space="0" w:color="auto" w:frame="1"/>
          <w:lang w:val="en-AU" w:eastAsia="en-AU"/>
        </w:rPr>
      </w:pPr>
      <w:r w:rsidRPr="00C73C41">
        <w:rPr>
          <w:rFonts w:ascii="Helvetica" w:hAnsi="Helvetica" w:cs="Helvetica"/>
          <w:b/>
          <w:bCs/>
          <w:color w:val="000000"/>
          <w:sz w:val="19"/>
          <w:szCs w:val="19"/>
          <w:bdr w:val="none" w:sz="0" w:space="0" w:color="auto" w:frame="1"/>
          <w:lang w:val="en-AU" w:eastAsia="en-AU"/>
        </w:rPr>
        <w:t xml:space="preserve">The </w:t>
      </w:r>
      <w:r>
        <w:rPr>
          <w:rFonts w:ascii="Helvetica" w:hAnsi="Helvetica" w:cs="Helvetica"/>
          <w:b/>
          <w:bCs/>
          <w:color w:val="000000"/>
          <w:sz w:val="19"/>
          <w:szCs w:val="19"/>
          <w:bdr w:val="none" w:sz="0" w:space="0" w:color="auto" w:frame="1"/>
          <w:lang w:val="en-AU" w:eastAsia="en-AU"/>
        </w:rPr>
        <w:t xml:space="preserve">Select Committee on the 2016 ACT Election and Electoral Act </w:t>
      </w:r>
      <w:r w:rsidRPr="00C73C41">
        <w:rPr>
          <w:rFonts w:ascii="Helvetica" w:hAnsi="Helvetica" w:cs="Helvetica"/>
          <w:b/>
          <w:bCs/>
          <w:color w:val="000000"/>
          <w:sz w:val="19"/>
          <w:szCs w:val="19"/>
          <w:bdr w:val="none" w:sz="0" w:space="0" w:color="auto" w:frame="1"/>
          <w:lang w:val="en-AU" w:eastAsia="en-AU"/>
        </w:rPr>
        <w:t xml:space="preserve">has today tabled its final report. </w:t>
      </w:r>
    </w:p>
    <w:p w:rsidR="00C73C41" w:rsidRDefault="00C73C41" w:rsidP="00C73C41">
      <w:pPr>
        <w:textAlignment w:val="baseline"/>
        <w:rPr>
          <w:rFonts w:ascii="Helvetica" w:hAnsi="Helvetica" w:cs="Helvetica"/>
          <w:b/>
          <w:bCs/>
          <w:color w:val="000000"/>
          <w:sz w:val="19"/>
          <w:szCs w:val="19"/>
          <w:bdr w:val="none" w:sz="0" w:space="0" w:color="auto" w:frame="1"/>
          <w:lang w:val="en-AU" w:eastAsia="en-AU"/>
        </w:rPr>
      </w:pPr>
    </w:p>
    <w:p w:rsidR="00C73C41" w:rsidRDefault="00C73C41" w:rsidP="00C73C41">
      <w:pPr>
        <w:textAlignment w:val="baseline"/>
        <w:rPr>
          <w:rFonts w:ascii="Helvetica" w:hAnsi="Helvetica" w:cs="Helvetica"/>
          <w:b/>
          <w:bCs/>
          <w:color w:val="000000"/>
          <w:sz w:val="19"/>
          <w:szCs w:val="19"/>
          <w:bdr w:val="none" w:sz="0" w:space="0" w:color="auto" w:frame="1"/>
          <w:lang w:val="en-AU" w:eastAsia="en-AU"/>
        </w:rPr>
      </w:pPr>
      <w:r>
        <w:rPr>
          <w:rFonts w:ascii="Helvetica" w:hAnsi="Helvetica" w:cs="Helvetica"/>
          <w:b/>
          <w:bCs/>
          <w:color w:val="000000"/>
          <w:sz w:val="19"/>
          <w:szCs w:val="19"/>
          <w:bdr w:val="none" w:sz="0" w:space="0" w:color="auto" w:frame="1"/>
          <w:lang w:val="en-AU" w:eastAsia="en-AU"/>
        </w:rPr>
        <w:t>The Committee Chair, Bec Cody MLA advised the Legislative Assembly, when tab</w:t>
      </w:r>
      <w:r w:rsidR="002D6B1A">
        <w:rPr>
          <w:rFonts w:ascii="Helvetica" w:hAnsi="Helvetica" w:cs="Helvetica"/>
          <w:b/>
          <w:bCs/>
          <w:color w:val="000000"/>
          <w:sz w:val="19"/>
          <w:szCs w:val="19"/>
          <w:bdr w:val="none" w:sz="0" w:space="0" w:color="auto" w:frame="1"/>
          <w:lang w:val="en-AU" w:eastAsia="en-AU"/>
        </w:rPr>
        <w:t>ling the Committee’s report, tha</w:t>
      </w:r>
      <w:r>
        <w:rPr>
          <w:rFonts w:ascii="Helvetica" w:hAnsi="Helvetica" w:cs="Helvetica"/>
          <w:b/>
          <w:bCs/>
          <w:color w:val="000000"/>
          <w:sz w:val="19"/>
          <w:szCs w:val="19"/>
          <w:bdr w:val="none" w:sz="0" w:space="0" w:color="auto" w:frame="1"/>
          <w:lang w:val="en-AU" w:eastAsia="en-AU"/>
        </w:rPr>
        <w:t>t t</w:t>
      </w:r>
      <w:r w:rsidR="00C70C3B">
        <w:rPr>
          <w:rFonts w:ascii="Helvetica" w:hAnsi="Helvetica" w:cs="Helvetica"/>
          <w:b/>
          <w:bCs/>
          <w:color w:val="000000"/>
          <w:sz w:val="19"/>
          <w:szCs w:val="19"/>
          <w:bdr w:val="none" w:sz="0" w:space="0" w:color="auto" w:frame="1"/>
          <w:lang w:val="en-AU" w:eastAsia="en-AU"/>
        </w:rPr>
        <w:t>he Committee has made 23 recomm</w:t>
      </w:r>
      <w:r>
        <w:rPr>
          <w:rFonts w:ascii="Helvetica" w:hAnsi="Helvetica" w:cs="Helvetica"/>
          <w:b/>
          <w:bCs/>
          <w:color w:val="000000"/>
          <w:sz w:val="19"/>
          <w:szCs w:val="19"/>
          <w:bdr w:val="none" w:sz="0" w:space="0" w:color="auto" w:frame="1"/>
          <w:lang w:val="en-AU" w:eastAsia="en-AU"/>
        </w:rPr>
        <w:t>e</w:t>
      </w:r>
      <w:r w:rsidR="00C70C3B">
        <w:rPr>
          <w:rFonts w:ascii="Helvetica" w:hAnsi="Helvetica" w:cs="Helvetica"/>
          <w:b/>
          <w:bCs/>
          <w:color w:val="000000"/>
          <w:sz w:val="19"/>
          <w:szCs w:val="19"/>
          <w:bdr w:val="none" w:sz="0" w:space="0" w:color="auto" w:frame="1"/>
          <w:lang w:val="en-AU" w:eastAsia="en-AU"/>
        </w:rPr>
        <w:t>n</w:t>
      </w:r>
      <w:r>
        <w:rPr>
          <w:rFonts w:ascii="Helvetica" w:hAnsi="Helvetica" w:cs="Helvetica"/>
          <w:b/>
          <w:bCs/>
          <w:color w:val="000000"/>
          <w:sz w:val="19"/>
          <w:szCs w:val="19"/>
          <w:bdr w:val="none" w:sz="0" w:space="0" w:color="auto" w:frame="1"/>
          <w:lang w:val="en-AU" w:eastAsia="en-AU"/>
        </w:rPr>
        <w:t>dations (which are attached) arising from the Committee’s inquiry.</w:t>
      </w:r>
    </w:p>
    <w:p w:rsidR="00C73C41" w:rsidRDefault="00C73C41" w:rsidP="00C73C41">
      <w:pPr>
        <w:textAlignment w:val="baseline"/>
        <w:rPr>
          <w:rFonts w:ascii="Helvetica" w:hAnsi="Helvetica" w:cs="Helvetica"/>
          <w:b/>
          <w:bCs/>
          <w:color w:val="000000"/>
          <w:sz w:val="19"/>
          <w:szCs w:val="19"/>
          <w:bdr w:val="none" w:sz="0" w:space="0" w:color="auto" w:frame="1"/>
          <w:lang w:val="en-AU" w:eastAsia="en-AU"/>
        </w:rPr>
      </w:pPr>
    </w:p>
    <w:p w:rsidR="00C73C41" w:rsidRPr="00C73C41" w:rsidRDefault="00C73C41" w:rsidP="00C73C41">
      <w:pPr>
        <w:textAlignment w:val="baseline"/>
        <w:rPr>
          <w:rFonts w:ascii="Helvetica" w:hAnsi="Helvetica" w:cs="Helvetica"/>
          <w:color w:val="000000"/>
          <w:sz w:val="19"/>
          <w:szCs w:val="19"/>
          <w:lang w:val="en-AU" w:eastAsia="en-AU"/>
        </w:rPr>
      </w:pPr>
      <w:r w:rsidRPr="00C73C41">
        <w:rPr>
          <w:rFonts w:ascii="Helvetica" w:hAnsi="Helvetica" w:cs="Helvetica"/>
          <w:color w:val="000000"/>
          <w:sz w:val="19"/>
          <w:szCs w:val="19"/>
          <w:lang w:val="en-AU" w:eastAsia="en-AU"/>
        </w:rPr>
        <w:t xml:space="preserve">The report can be accessed at:  </w:t>
      </w:r>
      <w:hyperlink r:id="rId9" w:history="1">
        <w:r w:rsidR="002D6B1A" w:rsidRPr="00B83D89">
          <w:rPr>
            <w:rStyle w:val="Hyperlink"/>
            <w:rFonts w:ascii="Helvetica" w:hAnsi="Helvetica" w:cs="Helvetica"/>
            <w:sz w:val="19"/>
            <w:szCs w:val="19"/>
            <w:lang w:val="en-AU" w:eastAsia="en-AU"/>
          </w:rPr>
          <w:t>https://www.parliament.act.gov.au/in-committees/select_committees/2016-ACT-Election-and-Electoral-Act/inquiry-into-the-operation-of-the-2016-act-election-and-the-electoral-act</w:t>
        </w:r>
      </w:hyperlink>
      <w:r w:rsidR="002D6B1A">
        <w:rPr>
          <w:rFonts w:ascii="Helvetica" w:hAnsi="Helvetica" w:cs="Helvetica"/>
          <w:color w:val="000000"/>
          <w:sz w:val="19"/>
          <w:szCs w:val="19"/>
          <w:lang w:val="en-AU" w:eastAsia="en-AU"/>
        </w:rPr>
        <w:t xml:space="preserve"> </w:t>
      </w:r>
    </w:p>
    <w:p w:rsidR="00C73C41" w:rsidRDefault="00C73C41" w:rsidP="00C73C41">
      <w:pPr>
        <w:textAlignment w:val="baseline"/>
        <w:rPr>
          <w:rFonts w:ascii="Helvetica" w:hAnsi="Helvetica" w:cs="Helvetica"/>
          <w:b/>
          <w:bCs/>
          <w:color w:val="000000"/>
          <w:sz w:val="19"/>
          <w:szCs w:val="19"/>
          <w:bdr w:val="none" w:sz="0" w:space="0" w:color="auto" w:frame="1"/>
          <w:lang w:val="en-AU" w:eastAsia="en-AU"/>
        </w:rPr>
      </w:pPr>
    </w:p>
    <w:p w:rsidR="00C73C41" w:rsidRDefault="00C73C41" w:rsidP="00C73C41">
      <w:pPr>
        <w:textAlignment w:val="baseline"/>
        <w:rPr>
          <w:rFonts w:ascii="Helvetica" w:hAnsi="Helvetica" w:cs="Helvetica"/>
          <w:b/>
          <w:bCs/>
          <w:color w:val="000000"/>
          <w:sz w:val="19"/>
          <w:szCs w:val="19"/>
          <w:bdr w:val="none" w:sz="0" w:space="0" w:color="auto" w:frame="1"/>
          <w:lang w:val="en-AU" w:eastAsia="en-AU"/>
        </w:rPr>
      </w:pPr>
      <w:r>
        <w:rPr>
          <w:rFonts w:ascii="Helvetica" w:hAnsi="Helvetica" w:cs="Helvetica"/>
          <w:b/>
          <w:bCs/>
          <w:color w:val="000000"/>
          <w:sz w:val="19"/>
          <w:szCs w:val="19"/>
          <w:bdr w:val="none" w:sz="0" w:space="0" w:color="auto" w:frame="1"/>
          <w:lang w:val="en-AU" w:eastAsia="en-AU"/>
        </w:rPr>
        <w:t xml:space="preserve">The Committee’s key recommendations focus on the reports on the 2016 ACT election by the ACT Electoral Commission and the Auditor-General; matters which the Committee was asked to inquire into by the </w:t>
      </w:r>
      <w:r w:rsidR="00C70C3B">
        <w:rPr>
          <w:rFonts w:ascii="Helvetica" w:hAnsi="Helvetica" w:cs="Helvetica"/>
          <w:b/>
          <w:bCs/>
          <w:color w:val="000000"/>
          <w:sz w:val="19"/>
          <w:szCs w:val="19"/>
          <w:bdr w:val="none" w:sz="0" w:space="0" w:color="auto" w:frame="1"/>
          <w:lang w:val="en-AU" w:eastAsia="en-AU"/>
        </w:rPr>
        <w:t>Legislative</w:t>
      </w:r>
      <w:r>
        <w:rPr>
          <w:rFonts w:ascii="Helvetica" w:hAnsi="Helvetica" w:cs="Helvetica"/>
          <w:b/>
          <w:bCs/>
          <w:color w:val="000000"/>
          <w:sz w:val="19"/>
          <w:szCs w:val="19"/>
          <w:bdr w:val="none" w:sz="0" w:space="0" w:color="auto" w:frame="1"/>
          <w:lang w:val="en-AU" w:eastAsia="en-AU"/>
        </w:rPr>
        <w:t xml:space="preserve"> Assembly.</w:t>
      </w:r>
    </w:p>
    <w:p w:rsidR="00C73C41" w:rsidRDefault="00C73C41" w:rsidP="00C73C41">
      <w:pPr>
        <w:textAlignment w:val="baseline"/>
        <w:rPr>
          <w:rFonts w:ascii="Helvetica" w:hAnsi="Helvetica" w:cs="Helvetica"/>
          <w:color w:val="000000"/>
          <w:sz w:val="19"/>
          <w:szCs w:val="19"/>
          <w:lang w:val="en-AU" w:eastAsia="en-AU"/>
        </w:rPr>
      </w:pPr>
    </w:p>
    <w:p w:rsidR="00C73C41" w:rsidRDefault="00C73C41" w:rsidP="00C73C41">
      <w:pPr>
        <w:spacing w:before="189"/>
        <w:textAlignment w:val="baseline"/>
        <w:rPr>
          <w:rFonts w:ascii="Helvetica" w:hAnsi="Helvetica" w:cs="Helvetica"/>
          <w:color w:val="000000"/>
          <w:sz w:val="19"/>
          <w:szCs w:val="19"/>
          <w:lang w:val="en-AU" w:eastAsia="en-AU"/>
        </w:rPr>
      </w:pPr>
      <w:r w:rsidRPr="00C73C41">
        <w:rPr>
          <w:rFonts w:ascii="Helvetica" w:hAnsi="Helvetica" w:cs="Helvetica"/>
          <w:color w:val="000000"/>
          <w:sz w:val="19"/>
          <w:szCs w:val="19"/>
          <w:lang w:val="en-AU" w:eastAsia="en-AU"/>
        </w:rPr>
        <w:t>Key recommendations from the Committee include:</w:t>
      </w:r>
    </w:p>
    <w:p w:rsidR="006B0A5C" w:rsidRDefault="006B0A5C" w:rsidP="006B0A5C">
      <w:pPr>
        <w:pStyle w:val="ListParagraph"/>
        <w:numPr>
          <w:ilvl w:val="0"/>
          <w:numId w:val="6"/>
        </w:numPr>
        <w:spacing w:before="189"/>
        <w:textAlignment w:val="baseline"/>
        <w:rPr>
          <w:rFonts w:ascii="Helvetica" w:hAnsi="Helvetica" w:cs="Helvetica"/>
          <w:color w:val="000000"/>
          <w:sz w:val="19"/>
          <w:szCs w:val="19"/>
          <w:lang w:val="en-AU" w:eastAsia="en-AU"/>
        </w:rPr>
      </w:pPr>
      <w:r w:rsidRPr="006B0A5C">
        <w:rPr>
          <w:rFonts w:ascii="Helvetica" w:hAnsi="Helvetica" w:cs="Helvetica"/>
          <w:color w:val="000000"/>
          <w:sz w:val="19"/>
          <w:szCs w:val="19"/>
          <w:lang w:val="en-AU" w:eastAsia="en-AU"/>
        </w:rPr>
        <w:t>the ACT retain the current minimum voting age of 18</w:t>
      </w:r>
      <w:r>
        <w:rPr>
          <w:rFonts w:ascii="Helvetica" w:hAnsi="Helvetica" w:cs="Helvetica"/>
          <w:color w:val="000000"/>
          <w:sz w:val="19"/>
          <w:szCs w:val="19"/>
          <w:lang w:val="en-AU" w:eastAsia="en-AU"/>
        </w:rPr>
        <w:t>;</w:t>
      </w:r>
    </w:p>
    <w:p w:rsidR="006B0A5C" w:rsidRDefault="006B0A5C" w:rsidP="006B0A5C">
      <w:pPr>
        <w:pStyle w:val="ListParagraph"/>
        <w:numPr>
          <w:ilvl w:val="0"/>
          <w:numId w:val="6"/>
        </w:numPr>
        <w:spacing w:before="189"/>
        <w:textAlignment w:val="baseline"/>
        <w:rPr>
          <w:rFonts w:ascii="Helvetica" w:hAnsi="Helvetica" w:cs="Helvetica"/>
          <w:color w:val="000000"/>
          <w:sz w:val="19"/>
          <w:szCs w:val="19"/>
          <w:lang w:val="en-AU" w:eastAsia="en-AU"/>
        </w:rPr>
      </w:pPr>
      <w:r w:rsidRPr="006B0A5C">
        <w:rPr>
          <w:rFonts w:ascii="Helvetica" w:hAnsi="Helvetica" w:cs="Helvetica"/>
          <w:color w:val="000000"/>
          <w:sz w:val="19"/>
          <w:szCs w:val="19"/>
          <w:lang w:val="en-AU" w:eastAsia="en-AU"/>
        </w:rPr>
        <w:t xml:space="preserve">political donations from property </w:t>
      </w:r>
      <w:r>
        <w:rPr>
          <w:rFonts w:ascii="Helvetica" w:hAnsi="Helvetica" w:cs="Helvetica"/>
          <w:color w:val="000000"/>
          <w:sz w:val="19"/>
          <w:szCs w:val="19"/>
          <w:lang w:val="en-AU" w:eastAsia="en-AU"/>
        </w:rPr>
        <w:t>developers be banned in the ACT;</w:t>
      </w:r>
    </w:p>
    <w:p w:rsidR="00A151BF" w:rsidRDefault="00364680" w:rsidP="000347AF">
      <w:pPr>
        <w:pStyle w:val="ListParagraph"/>
        <w:numPr>
          <w:ilvl w:val="0"/>
          <w:numId w:val="6"/>
        </w:numPr>
        <w:spacing w:before="189"/>
        <w:textAlignment w:val="baseline"/>
        <w:rPr>
          <w:rFonts w:ascii="Helvetica" w:hAnsi="Helvetica" w:cs="Helvetica"/>
          <w:color w:val="000000"/>
          <w:sz w:val="19"/>
          <w:szCs w:val="19"/>
          <w:lang w:val="en-AU" w:eastAsia="en-AU"/>
        </w:rPr>
      </w:pPr>
      <w:r w:rsidRPr="000347AF">
        <w:rPr>
          <w:rFonts w:ascii="Helvetica" w:hAnsi="Helvetica" w:cs="Helvetica"/>
          <w:color w:val="000000"/>
          <w:sz w:val="19"/>
          <w:szCs w:val="19"/>
          <w:lang w:val="en-AU" w:eastAsia="en-AU"/>
        </w:rPr>
        <w:t>the ACT Electoral Commission include an optional SMS scheme for electors who did not cast a vote in previous elections, which provides the elec</w:t>
      </w:r>
      <w:r w:rsidR="006B0A5C">
        <w:rPr>
          <w:rFonts w:ascii="Helvetica" w:hAnsi="Helvetica" w:cs="Helvetica"/>
          <w:color w:val="000000"/>
          <w:sz w:val="19"/>
          <w:szCs w:val="19"/>
          <w:lang w:val="en-AU" w:eastAsia="en-AU"/>
        </w:rPr>
        <w:t>tor with reminders about voting;</w:t>
      </w:r>
    </w:p>
    <w:p w:rsidR="006B0A5C" w:rsidRDefault="006B0A5C" w:rsidP="006B0A5C">
      <w:pPr>
        <w:pStyle w:val="ListParagraph"/>
        <w:numPr>
          <w:ilvl w:val="0"/>
          <w:numId w:val="6"/>
        </w:numPr>
        <w:spacing w:before="189"/>
        <w:textAlignment w:val="baseline"/>
        <w:rPr>
          <w:rFonts w:ascii="Helvetica" w:hAnsi="Helvetica" w:cs="Helvetica"/>
          <w:color w:val="000000"/>
          <w:sz w:val="19"/>
          <w:szCs w:val="19"/>
          <w:lang w:val="en-AU" w:eastAsia="en-AU"/>
        </w:rPr>
      </w:pPr>
      <w:r w:rsidRPr="006B0A5C">
        <w:rPr>
          <w:rFonts w:ascii="Helvetica" w:hAnsi="Helvetica" w:cs="Helvetica"/>
          <w:color w:val="000000"/>
          <w:sz w:val="19"/>
          <w:szCs w:val="19"/>
          <w:lang w:val="en-AU" w:eastAsia="en-AU"/>
        </w:rPr>
        <w:t xml:space="preserve">the prescribed penalty for failing to vote </w:t>
      </w:r>
      <w:r w:rsidR="002D6B1A">
        <w:rPr>
          <w:rFonts w:ascii="Helvetica" w:hAnsi="Helvetica" w:cs="Helvetica"/>
          <w:color w:val="000000"/>
          <w:sz w:val="19"/>
          <w:szCs w:val="19"/>
          <w:lang w:val="en-AU" w:eastAsia="en-AU"/>
        </w:rPr>
        <w:t>to increase to</w:t>
      </w:r>
      <w:r w:rsidRPr="006B0A5C">
        <w:rPr>
          <w:rFonts w:ascii="Helvetica" w:hAnsi="Helvetica" w:cs="Helvetica"/>
          <w:color w:val="000000"/>
          <w:sz w:val="19"/>
          <w:szCs w:val="19"/>
          <w:lang w:val="en-AU" w:eastAsia="en-AU"/>
        </w:rPr>
        <w:t xml:space="preserve"> one half of a penalty unit</w:t>
      </w:r>
      <w:r>
        <w:rPr>
          <w:rFonts w:ascii="Helvetica" w:hAnsi="Helvetica" w:cs="Helvetica"/>
          <w:color w:val="000000"/>
          <w:sz w:val="19"/>
          <w:szCs w:val="19"/>
          <w:lang w:val="en-AU" w:eastAsia="en-AU"/>
        </w:rPr>
        <w:t>, rounded to the nearest $5.00;</w:t>
      </w:r>
    </w:p>
    <w:p w:rsidR="006B0A5C" w:rsidRDefault="006B0A5C" w:rsidP="006B0A5C">
      <w:pPr>
        <w:pStyle w:val="ListParagraph"/>
        <w:numPr>
          <w:ilvl w:val="0"/>
          <w:numId w:val="6"/>
        </w:numPr>
        <w:spacing w:before="189"/>
        <w:textAlignment w:val="baseline"/>
        <w:rPr>
          <w:rFonts w:ascii="Helvetica" w:hAnsi="Helvetica" w:cs="Helvetica"/>
          <w:color w:val="000000"/>
          <w:sz w:val="19"/>
          <w:szCs w:val="19"/>
          <w:lang w:val="en-AU" w:eastAsia="en-AU"/>
        </w:rPr>
      </w:pPr>
      <w:r>
        <w:rPr>
          <w:rFonts w:ascii="Helvetica" w:hAnsi="Helvetica" w:cs="Helvetica"/>
          <w:color w:val="000000"/>
          <w:sz w:val="19"/>
          <w:szCs w:val="19"/>
          <w:lang w:val="en-AU" w:eastAsia="en-AU"/>
        </w:rPr>
        <w:t xml:space="preserve">the </w:t>
      </w:r>
      <w:r w:rsidRPr="006B0A5C">
        <w:rPr>
          <w:rFonts w:ascii="Helvetica" w:hAnsi="Helvetica" w:cs="Helvetica"/>
          <w:color w:val="000000"/>
          <w:sz w:val="19"/>
          <w:szCs w:val="19"/>
          <w:lang w:val="en-AU" w:eastAsia="en-AU"/>
        </w:rPr>
        <w:t>develop</w:t>
      </w:r>
      <w:r>
        <w:rPr>
          <w:rFonts w:ascii="Helvetica" w:hAnsi="Helvetica" w:cs="Helvetica"/>
          <w:color w:val="000000"/>
          <w:sz w:val="19"/>
          <w:szCs w:val="19"/>
          <w:lang w:val="en-AU" w:eastAsia="en-AU"/>
        </w:rPr>
        <w:t>ment and inclusion of</w:t>
      </w:r>
      <w:r w:rsidRPr="006B0A5C">
        <w:rPr>
          <w:rFonts w:ascii="Helvetica" w:hAnsi="Helvetica" w:cs="Helvetica"/>
          <w:color w:val="000000"/>
          <w:sz w:val="19"/>
          <w:szCs w:val="19"/>
          <w:lang w:val="en-AU" w:eastAsia="en-AU"/>
        </w:rPr>
        <w:t xml:space="preserve"> civics and citizenship education as part of the ACT year 11 and 12 curriculum</w:t>
      </w:r>
      <w:r>
        <w:rPr>
          <w:rFonts w:ascii="Helvetica" w:hAnsi="Helvetica" w:cs="Helvetica"/>
          <w:color w:val="000000"/>
          <w:sz w:val="19"/>
          <w:szCs w:val="19"/>
          <w:lang w:val="en-AU" w:eastAsia="en-AU"/>
        </w:rPr>
        <w:t>;</w:t>
      </w:r>
    </w:p>
    <w:p w:rsidR="006B0A5C" w:rsidRDefault="006B0A5C" w:rsidP="006B0A5C">
      <w:pPr>
        <w:pStyle w:val="ListParagraph"/>
        <w:numPr>
          <w:ilvl w:val="0"/>
          <w:numId w:val="6"/>
        </w:numPr>
        <w:spacing w:before="189"/>
        <w:textAlignment w:val="baseline"/>
        <w:rPr>
          <w:rFonts w:ascii="Helvetica" w:hAnsi="Helvetica" w:cs="Helvetica"/>
          <w:color w:val="000000"/>
          <w:sz w:val="19"/>
          <w:szCs w:val="19"/>
          <w:lang w:val="en-AU" w:eastAsia="en-AU"/>
        </w:rPr>
      </w:pPr>
      <w:r w:rsidRPr="006B0A5C">
        <w:rPr>
          <w:rFonts w:ascii="Helvetica" w:hAnsi="Helvetica" w:cs="Helvetica"/>
          <w:color w:val="000000"/>
          <w:sz w:val="19"/>
          <w:szCs w:val="19"/>
          <w:lang w:val="en-AU" w:eastAsia="en-AU"/>
        </w:rPr>
        <w:t>authorised person to remove a non-compliant electoral advertising sign from public unleased land without providing the seven day direction requesting compliance</w:t>
      </w:r>
      <w:r>
        <w:rPr>
          <w:rFonts w:ascii="Helvetica" w:hAnsi="Helvetica" w:cs="Helvetica"/>
          <w:color w:val="000000"/>
          <w:sz w:val="19"/>
          <w:szCs w:val="19"/>
          <w:lang w:val="en-AU" w:eastAsia="en-AU"/>
        </w:rPr>
        <w:t>;</w:t>
      </w:r>
    </w:p>
    <w:p w:rsidR="006B0A5C" w:rsidRDefault="006B0A5C" w:rsidP="006B0A5C">
      <w:pPr>
        <w:pStyle w:val="ListParagraph"/>
        <w:numPr>
          <w:ilvl w:val="0"/>
          <w:numId w:val="6"/>
        </w:numPr>
        <w:spacing w:before="189"/>
        <w:textAlignment w:val="baseline"/>
        <w:rPr>
          <w:rFonts w:ascii="Helvetica" w:hAnsi="Helvetica" w:cs="Helvetica"/>
          <w:color w:val="000000"/>
          <w:sz w:val="19"/>
          <w:szCs w:val="19"/>
          <w:lang w:val="en-AU" w:eastAsia="en-AU"/>
        </w:rPr>
      </w:pPr>
      <w:r w:rsidRPr="006B0A5C">
        <w:rPr>
          <w:rFonts w:ascii="Helvetica" w:hAnsi="Helvetica" w:cs="Helvetica"/>
          <w:color w:val="000000"/>
          <w:sz w:val="19"/>
          <w:szCs w:val="19"/>
          <w:lang w:val="en-AU" w:eastAsia="en-AU"/>
        </w:rPr>
        <w:t>electoral material displayed on private property, inside the defined polling area, to remain throughout the polling period</w:t>
      </w:r>
      <w:r>
        <w:rPr>
          <w:rFonts w:ascii="Helvetica" w:hAnsi="Helvetica" w:cs="Helvetica"/>
          <w:color w:val="000000"/>
          <w:sz w:val="19"/>
          <w:szCs w:val="19"/>
          <w:lang w:val="en-AU" w:eastAsia="en-AU"/>
        </w:rPr>
        <w:t>;</w:t>
      </w:r>
    </w:p>
    <w:p w:rsidR="006B0A5C" w:rsidRDefault="006B0A5C" w:rsidP="006B0A5C">
      <w:pPr>
        <w:pStyle w:val="ListParagraph"/>
        <w:numPr>
          <w:ilvl w:val="0"/>
          <w:numId w:val="6"/>
        </w:numPr>
        <w:spacing w:before="189"/>
        <w:textAlignment w:val="baseline"/>
        <w:rPr>
          <w:rFonts w:ascii="Helvetica" w:hAnsi="Helvetica" w:cs="Helvetica"/>
          <w:color w:val="000000"/>
          <w:sz w:val="19"/>
          <w:szCs w:val="19"/>
          <w:lang w:val="en-AU" w:eastAsia="en-AU"/>
        </w:rPr>
      </w:pPr>
      <w:r w:rsidRPr="006B0A5C">
        <w:rPr>
          <w:rFonts w:ascii="Helvetica" w:hAnsi="Helvetica" w:cs="Helvetica"/>
          <w:color w:val="000000"/>
          <w:sz w:val="19"/>
          <w:szCs w:val="19"/>
          <w:lang w:val="en-AU" w:eastAsia="en-AU"/>
        </w:rPr>
        <w:t>con</w:t>
      </w:r>
      <w:r w:rsidR="002D6B1A">
        <w:rPr>
          <w:rFonts w:ascii="Helvetica" w:hAnsi="Helvetica" w:cs="Helvetica"/>
          <w:color w:val="000000"/>
          <w:sz w:val="19"/>
          <w:szCs w:val="19"/>
          <w:lang w:val="en-AU" w:eastAsia="en-AU"/>
        </w:rPr>
        <w:t>sideration of electronic voting for</w:t>
      </w:r>
      <w:r w:rsidRPr="006B0A5C">
        <w:rPr>
          <w:rFonts w:ascii="Helvetica" w:hAnsi="Helvetica" w:cs="Helvetica"/>
          <w:color w:val="000000"/>
          <w:sz w:val="19"/>
          <w:szCs w:val="19"/>
          <w:lang w:val="en-AU" w:eastAsia="en-AU"/>
        </w:rPr>
        <w:t xml:space="preserve"> blind and visually impaired voters</w:t>
      </w:r>
      <w:r>
        <w:rPr>
          <w:rFonts w:ascii="Helvetica" w:hAnsi="Helvetica" w:cs="Helvetica"/>
          <w:color w:val="000000"/>
          <w:sz w:val="19"/>
          <w:szCs w:val="19"/>
          <w:lang w:val="en-AU" w:eastAsia="en-AU"/>
        </w:rPr>
        <w:t>;</w:t>
      </w:r>
    </w:p>
    <w:p w:rsidR="006B0A5C" w:rsidRDefault="006B0A5C" w:rsidP="006B0A5C">
      <w:pPr>
        <w:pStyle w:val="ListParagraph"/>
        <w:numPr>
          <w:ilvl w:val="0"/>
          <w:numId w:val="6"/>
        </w:numPr>
        <w:spacing w:before="189"/>
        <w:textAlignment w:val="baseline"/>
        <w:rPr>
          <w:rFonts w:ascii="Helvetica" w:hAnsi="Helvetica" w:cs="Helvetica"/>
          <w:color w:val="000000"/>
          <w:sz w:val="19"/>
          <w:szCs w:val="19"/>
          <w:lang w:val="en-AU" w:eastAsia="en-AU"/>
        </w:rPr>
      </w:pPr>
      <w:r w:rsidRPr="006B0A5C">
        <w:rPr>
          <w:rFonts w:ascii="Helvetica" w:hAnsi="Helvetica" w:cs="Helvetica"/>
          <w:color w:val="000000"/>
          <w:sz w:val="19"/>
          <w:szCs w:val="19"/>
          <w:lang w:val="en-AU" w:eastAsia="en-AU"/>
        </w:rPr>
        <w:t xml:space="preserve">the ACT Electoral Commission </w:t>
      </w:r>
      <w:r w:rsidR="002D6B1A">
        <w:rPr>
          <w:rFonts w:ascii="Helvetica" w:hAnsi="Helvetica" w:cs="Helvetica"/>
          <w:color w:val="000000"/>
          <w:sz w:val="19"/>
          <w:szCs w:val="19"/>
          <w:lang w:val="en-AU" w:eastAsia="en-AU"/>
        </w:rPr>
        <w:t xml:space="preserve">to </w:t>
      </w:r>
      <w:r w:rsidRPr="006B0A5C">
        <w:rPr>
          <w:rFonts w:ascii="Helvetica" w:hAnsi="Helvetica" w:cs="Helvetica"/>
          <w:color w:val="000000"/>
          <w:sz w:val="19"/>
          <w:szCs w:val="19"/>
          <w:lang w:val="en-AU" w:eastAsia="en-AU"/>
        </w:rPr>
        <w:t>conduct a survey of the community to determine whether the canvassing exclusion zone be reduced, mai</w:t>
      </w:r>
      <w:r>
        <w:rPr>
          <w:rFonts w:ascii="Helvetica" w:hAnsi="Helvetica" w:cs="Helvetica"/>
          <w:color w:val="000000"/>
          <w:sz w:val="19"/>
          <w:szCs w:val="19"/>
          <w:lang w:val="en-AU" w:eastAsia="en-AU"/>
        </w:rPr>
        <w:t>ntained or increased; and</w:t>
      </w:r>
    </w:p>
    <w:p w:rsidR="006B0A5C" w:rsidRDefault="006B0A5C" w:rsidP="006B0A5C">
      <w:pPr>
        <w:pStyle w:val="ListParagraph"/>
        <w:numPr>
          <w:ilvl w:val="0"/>
          <w:numId w:val="6"/>
        </w:numPr>
        <w:spacing w:before="189"/>
        <w:textAlignment w:val="baseline"/>
        <w:rPr>
          <w:rFonts w:ascii="Helvetica" w:hAnsi="Helvetica" w:cs="Helvetica"/>
          <w:color w:val="000000"/>
          <w:sz w:val="19"/>
          <w:szCs w:val="19"/>
          <w:lang w:val="en-AU" w:eastAsia="en-AU"/>
        </w:rPr>
      </w:pPr>
      <w:r w:rsidRPr="006B0A5C">
        <w:rPr>
          <w:rFonts w:ascii="Helvetica" w:hAnsi="Helvetica" w:cs="Helvetica"/>
          <w:color w:val="000000"/>
          <w:sz w:val="19"/>
          <w:szCs w:val="19"/>
          <w:lang w:val="en-AU" w:eastAsia="en-AU"/>
        </w:rPr>
        <w:t>an elector may vote at a pre-poll voting centre without the requirement to declare that they are unable to attend a polling place on polling day</w:t>
      </w:r>
      <w:r>
        <w:rPr>
          <w:rFonts w:ascii="Helvetica" w:hAnsi="Helvetica" w:cs="Helvetica"/>
          <w:color w:val="000000"/>
          <w:sz w:val="19"/>
          <w:szCs w:val="19"/>
          <w:lang w:val="en-AU" w:eastAsia="en-AU"/>
        </w:rPr>
        <w:t>.</w:t>
      </w:r>
    </w:p>
    <w:p w:rsidR="006B0A5C" w:rsidRPr="006B0A5C" w:rsidRDefault="006B0A5C" w:rsidP="006B0A5C">
      <w:pPr>
        <w:pStyle w:val="ListParagraph"/>
        <w:spacing w:before="189"/>
        <w:textAlignment w:val="baseline"/>
        <w:rPr>
          <w:rFonts w:ascii="Helvetica" w:hAnsi="Helvetica" w:cs="Helvetica"/>
          <w:color w:val="000000"/>
          <w:sz w:val="19"/>
          <w:szCs w:val="19"/>
          <w:lang w:val="en-AU" w:eastAsia="en-AU"/>
        </w:rPr>
      </w:pPr>
    </w:p>
    <w:p w:rsidR="00C73C41" w:rsidRDefault="00C73C41" w:rsidP="00C73C41">
      <w:pPr>
        <w:spacing w:before="189"/>
        <w:textAlignment w:val="baseline"/>
        <w:rPr>
          <w:rFonts w:ascii="Helvetica" w:hAnsi="Helvetica" w:cs="Helvetica"/>
          <w:color w:val="000000"/>
          <w:sz w:val="19"/>
          <w:szCs w:val="19"/>
          <w:lang w:val="en-AU" w:eastAsia="en-AU"/>
        </w:rPr>
      </w:pPr>
      <w:r w:rsidRPr="00C73C41">
        <w:rPr>
          <w:rFonts w:ascii="Helvetica" w:hAnsi="Helvetica" w:cs="Helvetica"/>
          <w:color w:val="000000"/>
          <w:sz w:val="19"/>
          <w:szCs w:val="19"/>
          <w:lang w:val="en-AU" w:eastAsia="en-AU"/>
        </w:rPr>
        <w:t xml:space="preserve">On 15 December 2016, the Legislative Assembly </w:t>
      </w:r>
      <w:bookmarkStart w:id="2" w:name="_GoBack"/>
      <w:bookmarkEnd w:id="2"/>
      <w:r w:rsidRPr="00C73C41">
        <w:rPr>
          <w:rFonts w:ascii="Helvetica" w:hAnsi="Helvetica" w:cs="Helvetica"/>
          <w:color w:val="000000"/>
          <w:sz w:val="19"/>
          <w:szCs w:val="19"/>
          <w:lang w:val="en-AU" w:eastAsia="en-AU"/>
        </w:rPr>
        <w:t xml:space="preserve">established the Committee to inquire into </w:t>
      </w:r>
      <w:r>
        <w:rPr>
          <w:rFonts w:ascii="Helvetica" w:hAnsi="Helvetica" w:cs="Helvetica"/>
          <w:color w:val="000000"/>
          <w:sz w:val="19"/>
          <w:szCs w:val="19"/>
          <w:lang w:val="en-AU" w:eastAsia="en-AU"/>
        </w:rPr>
        <w:t>a number of matters which are of current and future importnace to what is a quickly changing elect</w:t>
      </w:r>
      <w:r w:rsidR="00C70C3B">
        <w:rPr>
          <w:rFonts w:ascii="Helvetica" w:hAnsi="Helvetica" w:cs="Helvetica"/>
          <w:color w:val="000000"/>
          <w:sz w:val="19"/>
          <w:szCs w:val="19"/>
          <w:lang w:val="en-AU" w:eastAsia="en-AU"/>
        </w:rPr>
        <w:t>oral lands</w:t>
      </w:r>
      <w:r>
        <w:rPr>
          <w:rFonts w:ascii="Helvetica" w:hAnsi="Helvetica" w:cs="Helvetica"/>
          <w:color w:val="000000"/>
          <w:sz w:val="19"/>
          <w:szCs w:val="19"/>
          <w:lang w:val="en-AU" w:eastAsia="en-AU"/>
        </w:rPr>
        <w:t>cape wit</w:t>
      </w:r>
      <w:r w:rsidR="00A151BF">
        <w:rPr>
          <w:rFonts w:ascii="Helvetica" w:hAnsi="Helvetica" w:cs="Helvetica"/>
          <w:color w:val="000000"/>
          <w:sz w:val="19"/>
          <w:szCs w:val="19"/>
          <w:lang w:val="en-AU" w:eastAsia="en-AU"/>
        </w:rPr>
        <w:t>h issues such as e-voting, social</w:t>
      </w:r>
      <w:r>
        <w:rPr>
          <w:rFonts w:ascii="Helvetica" w:hAnsi="Helvetica" w:cs="Helvetica"/>
          <w:color w:val="000000"/>
          <w:sz w:val="19"/>
          <w:szCs w:val="19"/>
          <w:lang w:val="en-AU" w:eastAsia="en-AU"/>
        </w:rPr>
        <w:t xml:space="preserve"> media and political donations.</w:t>
      </w:r>
    </w:p>
    <w:p w:rsidR="00C73C41" w:rsidRDefault="00C73C41" w:rsidP="00C73C41">
      <w:pPr>
        <w:spacing w:before="189"/>
        <w:textAlignment w:val="baseline"/>
        <w:rPr>
          <w:rFonts w:ascii="Helvetica" w:hAnsi="Helvetica" w:cs="Helvetica"/>
          <w:color w:val="000000"/>
          <w:sz w:val="19"/>
          <w:szCs w:val="19"/>
          <w:lang w:val="en-AU" w:eastAsia="en-AU"/>
        </w:rPr>
      </w:pPr>
      <w:r w:rsidRPr="00C73C41">
        <w:rPr>
          <w:rFonts w:ascii="Helvetica" w:hAnsi="Helvetica" w:cs="Helvetica"/>
          <w:color w:val="000000"/>
          <w:sz w:val="19"/>
          <w:szCs w:val="19"/>
          <w:lang w:val="en-AU" w:eastAsia="en-AU"/>
        </w:rPr>
        <w:t xml:space="preserve">As part of its considerations, the Committee invited and received a range of submissions from interested organisations and individuals, as well as </w:t>
      </w:r>
      <w:r w:rsidR="00A151BF">
        <w:rPr>
          <w:rFonts w:ascii="Helvetica" w:hAnsi="Helvetica" w:cs="Helvetica"/>
          <w:color w:val="000000"/>
          <w:sz w:val="19"/>
          <w:szCs w:val="19"/>
          <w:lang w:val="en-AU" w:eastAsia="en-AU"/>
        </w:rPr>
        <w:t xml:space="preserve">taking evidence from a </w:t>
      </w:r>
      <w:r>
        <w:rPr>
          <w:rFonts w:ascii="Helvetica" w:hAnsi="Helvetica" w:cs="Helvetica"/>
          <w:color w:val="000000"/>
          <w:sz w:val="19"/>
          <w:szCs w:val="19"/>
          <w:lang w:val="en-AU" w:eastAsia="en-AU"/>
        </w:rPr>
        <w:t>number of submissions.</w:t>
      </w:r>
    </w:p>
    <w:p w:rsidR="00364680" w:rsidRDefault="00364680" w:rsidP="00C73C41">
      <w:pPr>
        <w:spacing w:before="189"/>
        <w:textAlignment w:val="baseline"/>
        <w:rPr>
          <w:rFonts w:ascii="Helvetica" w:hAnsi="Helvetica" w:cs="Helvetica"/>
          <w:color w:val="000000"/>
          <w:sz w:val="19"/>
          <w:szCs w:val="19"/>
          <w:lang w:val="en-AU" w:eastAsia="en-AU"/>
        </w:rPr>
      </w:pPr>
      <w:r>
        <w:rPr>
          <w:rFonts w:ascii="Helvetica" w:hAnsi="Helvetica" w:cs="Helvetica"/>
          <w:color w:val="000000"/>
          <w:sz w:val="19"/>
          <w:szCs w:val="19"/>
          <w:lang w:val="en-AU" w:eastAsia="en-AU"/>
        </w:rPr>
        <w:t xml:space="preserve">The Committee received detailed </w:t>
      </w:r>
      <w:r w:rsidR="002D6B1A">
        <w:rPr>
          <w:rFonts w:ascii="Helvetica" w:hAnsi="Helvetica" w:cs="Helvetica"/>
          <w:color w:val="000000"/>
          <w:sz w:val="19"/>
          <w:szCs w:val="19"/>
          <w:lang w:val="en-AU" w:eastAsia="en-AU"/>
        </w:rPr>
        <w:t>submissions form the Electoral C</w:t>
      </w:r>
      <w:r>
        <w:rPr>
          <w:rFonts w:ascii="Helvetica" w:hAnsi="Helvetica" w:cs="Helvetica"/>
          <w:color w:val="000000"/>
          <w:sz w:val="19"/>
          <w:szCs w:val="19"/>
          <w:lang w:val="en-AU" w:eastAsia="en-AU"/>
        </w:rPr>
        <w:t>ommission and from the three par</w:t>
      </w:r>
      <w:r w:rsidR="00C70C3B">
        <w:rPr>
          <w:rFonts w:ascii="Helvetica" w:hAnsi="Helvetica" w:cs="Helvetica"/>
          <w:color w:val="000000"/>
          <w:sz w:val="19"/>
          <w:szCs w:val="19"/>
          <w:lang w:val="en-AU" w:eastAsia="en-AU"/>
        </w:rPr>
        <w:t>t</w:t>
      </w:r>
      <w:r>
        <w:rPr>
          <w:rFonts w:ascii="Helvetica" w:hAnsi="Helvetica" w:cs="Helvetica"/>
          <w:color w:val="000000"/>
          <w:sz w:val="19"/>
          <w:szCs w:val="19"/>
          <w:lang w:val="en-AU" w:eastAsia="en-AU"/>
        </w:rPr>
        <w:t>ies represented in the Assembly, as well as other political p</w:t>
      </w:r>
      <w:r w:rsidR="002D6B1A">
        <w:rPr>
          <w:rFonts w:ascii="Helvetica" w:hAnsi="Helvetica" w:cs="Helvetica"/>
          <w:color w:val="000000"/>
          <w:sz w:val="19"/>
          <w:szCs w:val="19"/>
          <w:lang w:val="en-AU" w:eastAsia="en-AU"/>
        </w:rPr>
        <w:t>arties with a prese</w:t>
      </w:r>
      <w:r>
        <w:rPr>
          <w:rFonts w:ascii="Helvetica" w:hAnsi="Helvetica" w:cs="Helvetica"/>
          <w:color w:val="000000"/>
          <w:sz w:val="19"/>
          <w:szCs w:val="19"/>
          <w:lang w:val="en-AU" w:eastAsia="en-AU"/>
        </w:rPr>
        <w:t>nce in the ACT.</w:t>
      </w:r>
    </w:p>
    <w:p w:rsidR="00C73C41" w:rsidRPr="00C73C41" w:rsidRDefault="00C73C41" w:rsidP="00C73C41">
      <w:pPr>
        <w:spacing w:before="189"/>
        <w:textAlignment w:val="baseline"/>
        <w:rPr>
          <w:rFonts w:ascii="Helvetica" w:hAnsi="Helvetica" w:cs="Helvetica"/>
          <w:color w:val="000000"/>
          <w:sz w:val="19"/>
          <w:szCs w:val="19"/>
          <w:lang w:val="en-AU" w:eastAsia="en-AU"/>
        </w:rPr>
      </w:pPr>
      <w:r w:rsidRPr="00C73C41">
        <w:rPr>
          <w:rFonts w:ascii="Helvetica" w:hAnsi="Helvetica" w:cs="Helvetica"/>
          <w:color w:val="000000"/>
          <w:sz w:val="19"/>
          <w:szCs w:val="19"/>
          <w:lang w:val="en-AU" w:eastAsia="en-AU"/>
        </w:rPr>
        <w:t xml:space="preserve">The Committee </w:t>
      </w:r>
      <w:r>
        <w:rPr>
          <w:rFonts w:ascii="Helvetica" w:hAnsi="Helvetica" w:cs="Helvetica"/>
          <w:color w:val="000000"/>
          <w:sz w:val="19"/>
          <w:szCs w:val="19"/>
          <w:lang w:val="en-AU" w:eastAsia="en-AU"/>
        </w:rPr>
        <w:t xml:space="preserve">also </w:t>
      </w:r>
      <w:r w:rsidRPr="00C73C41">
        <w:rPr>
          <w:rFonts w:ascii="Helvetica" w:hAnsi="Helvetica" w:cs="Helvetica"/>
          <w:color w:val="000000"/>
          <w:sz w:val="19"/>
          <w:szCs w:val="19"/>
          <w:lang w:val="en-AU" w:eastAsia="en-AU"/>
        </w:rPr>
        <w:t xml:space="preserve">visited </w:t>
      </w:r>
      <w:r>
        <w:rPr>
          <w:rFonts w:ascii="Helvetica" w:hAnsi="Helvetica" w:cs="Helvetica"/>
          <w:color w:val="000000"/>
          <w:sz w:val="19"/>
          <w:szCs w:val="19"/>
          <w:lang w:val="en-AU" w:eastAsia="en-AU"/>
        </w:rPr>
        <w:t>Tasmania during its inquiry, and held discussions with Tasmanian MPs and the Tasm</w:t>
      </w:r>
      <w:r w:rsidR="00C70C3B">
        <w:rPr>
          <w:rFonts w:ascii="Helvetica" w:hAnsi="Helvetica" w:cs="Helvetica"/>
          <w:color w:val="000000"/>
          <w:sz w:val="19"/>
          <w:szCs w:val="19"/>
          <w:lang w:val="en-AU" w:eastAsia="en-AU"/>
        </w:rPr>
        <w:t>a</w:t>
      </w:r>
      <w:r>
        <w:rPr>
          <w:rFonts w:ascii="Helvetica" w:hAnsi="Helvetica" w:cs="Helvetica"/>
          <w:color w:val="000000"/>
          <w:sz w:val="19"/>
          <w:szCs w:val="19"/>
          <w:lang w:val="en-AU" w:eastAsia="en-AU"/>
        </w:rPr>
        <w:t>nian Electoral Commissioner.</w:t>
      </w:r>
    </w:p>
    <w:p w:rsidR="00364680" w:rsidRDefault="00364680" w:rsidP="00C73C41">
      <w:pPr>
        <w:textAlignment w:val="baseline"/>
        <w:rPr>
          <w:rFonts w:ascii="Helvetica" w:hAnsi="Helvetica" w:cs="Helvetica"/>
          <w:b/>
          <w:bCs/>
          <w:i/>
          <w:iCs/>
          <w:color w:val="000000"/>
          <w:sz w:val="19"/>
          <w:szCs w:val="19"/>
          <w:bdr w:val="none" w:sz="0" w:space="0" w:color="auto" w:frame="1"/>
          <w:lang w:val="en-AU" w:eastAsia="en-AU"/>
        </w:rPr>
      </w:pPr>
    </w:p>
    <w:p w:rsidR="00C73C41" w:rsidRPr="00C73C41" w:rsidRDefault="00C73C41" w:rsidP="00C73C41">
      <w:pPr>
        <w:textAlignment w:val="baseline"/>
        <w:rPr>
          <w:rFonts w:ascii="Helvetica" w:hAnsi="Helvetica" w:cs="Helvetica"/>
          <w:color w:val="000000"/>
          <w:sz w:val="19"/>
          <w:szCs w:val="19"/>
          <w:lang w:val="en-AU" w:eastAsia="en-AU"/>
        </w:rPr>
      </w:pPr>
      <w:r w:rsidRPr="00C73C41">
        <w:rPr>
          <w:rFonts w:ascii="Helvetica" w:hAnsi="Helvetica" w:cs="Helvetica"/>
          <w:b/>
          <w:bCs/>
          <w:i/>
          <w:iCs/>
          <w:color w:val="000000"/>
          <w:sz w:val="19"/>
          <w:szCs w:val="19"/>
          <w:bdr w:val="none" w:sz="0" w:space="0" w:color="auto" w:frame="1"/>
          <w:lang w:val="en-AU" w:eastAsia="en-AU"/>
        </w:rPr>
        <w:t>STATEMENT ENDS—T</w:t>
      </w:r>
      <w:r>
        <w:rPr>
          <w:rFonts w:ascii="Helvetica" w:hAnsi="Helvetica" w:cs="Helvetica"/>
          <w:b/>
          <w:bCs/>
          <w:i/>
          <w:iCs/>
          <w:color w:val="000000"/>
          <w:sz w:val="19"/>
          <w:szCs w:val="19"/>
          <w:bdr w:val="none" w:sz="0" w:space="0" w:color="auto" w:frame="1"/>
          <w:lang w:val="en-AU" w:eastAsia="en-AU"/>
        </w:rPr>
        <w:t xml:space="preserve">hursday, 30 November </w:t>
      </w:r>
      <w:r w:rsidRPr="00C73C41">
        <w:rPr>
          <w:rFonts w:ascii="Helvetica" w:hAnsi="Helvetica" w:cs="Helvetica"/>
          <w:b/>
          <w:bCs/>
          <w:i/>
          <w:iCs/>
          <w:color w:val="000000"/>
          <w:sz w:val="19"/>
          <w:szCs w:val="19"/>
          <w:bdr w:val="none" w:sz="0" w:space="0" w:color="auto" w:frame="1"/>
          <w:lang w:val="en-AU" w:eastAsia="en-AU"/>
        </w:rPr>
        <w:t>2017</w:t>
      </w:r>
    </w:p>
    <w:p w:rsidR="00C73C41" w:rsidRPr="00C73C41" w:rsidRDefault="00C73C41" w:rsidP="00C73C41">
      <w:pPr>
        <w:spacing w:before="189"/>
        <w:textAlignment w:val="baseline"/>
        <w:rPr>
          <w:rFonts w:ascii="Helvetica" w:hAnsi="Helvetica" w:cs="Helvetica"/>
          <w:color w:val="000000"/>
          <w:sz w:val="19"/>
          <w:szCs w:val="19"/>
          <w:lang w:val="en-AU" w:eastAsia="en-AU"/>
        </w:rPr>
      </w:pPr>
      <w:r w:rsidRPr="00C73C41">
        <w:rPr>
          <w:rFonts w:ascii="Helvetica" w:hAnsi="Helvetica" w:cs="Helvetica"/>
          <w:color w:val="000000"/>
          <w:sz w:val="19"/>
          <w:szCs w:val="19"/>
          <w:lang w:val="en-AU" w:eastAsia="en-AU"/>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9"/>
        <w:gridCol w:w="2694"/>
        <w:gridCol w:w="2551"/>
        <w:gridCol w:w="2552"/>
      </w:tblGrid>
      <w:tr w:rsidR="00C73C41" w:rsidRPr="00C73C41" w:rsidTr="006B0A5C">
        <w:tc>
          <w:tcPr>
            <w:tcW w:w="1129" w:type="dxa"/>
            <w:vMerge w:val="restart"/>
            <w:tcMar>
              <w:top w:w="105" w:type="dxa"/>
              <w:left w:w="150" w:type="dxa"/>
              <w:bottom w:w="105" w:type="dxa"/>
              <w:right w:w="150" w:type="dxa"/>
            </w:tcMar>
            <w:hideMark/>
          </w:tcPr>
          <w:p w:rsidR="00C73C41" w:rsidRPr="00C73C41" w:rsidRDefault="00C73C41" w:rsidP="00C73C41">
            <w:pPr>
              <w:ind w:right="10"/>
              <w:textAlignment w:val="baseline"/>
              <w:rPr>
                <w:rFonts w:ascii="Helvetica" w:hAnsi="Helvetica" w:cs="Helvetica"/>
                <w:color w:val="000000"/>
                <w:sz w:val="18"/>
                <w:szCs w:val="18"/>
                <w:lang w:val="en-AU" w:eastAsia="en-AU"/>
              </w:rPr>
            </w:pPr>
            <w:r w:rsidRPr="00C73C41">
              <w:rPr>
                <w:rFonts w:ascii="Helvetica" w:hAnsi="Helvetica" w:cs="Helvetica"/>
                <w:i/>
                <w:iCs/>
                <w:color w:val="000000"/>
                <w:sz w:val="18"/>
                <w:szCs w:val="18"/>
                <w:bdr w:val="none" w:sz="0" w:space="0" w:color="auto" w:frame="1"/>
                <w:lang w:val="en-AU" w:eastAsia="en-AU"/>
              </w:rPr>
              <w:t>contacts:</w:t>
            </w:r>
          </w:p>
        </w:tc>
        <w:tc>
          <w:tcPr>
            <w:tcW w:w="2694" w:type="dxa"/>
            <w:tcMar>
              <w:top w:w="105" w:type="dxa"/>
              <w:left w:w="150" w:type="dxa"/>
              <w:bottom w:w="105" w:type="dxa"/>
              <w:right w:w="150" w:type="dxa"/>
            </w:tcMar>
            <w:hideMark/>
          </w:tcPr>
          <w:p w:rsidR="00C73C41" w:rsidRPr="00C73C41" w:rsidRDefault="00C73C41" w:rsidP="00C73C41">
            <w:pPr>
              <w:spacing w:before="189"/>
              <w:textAlignment w:val="baseline"/>
              <w:rPr>
                <w:rFonts w:ascii="Helvetica" w:hAnsi="Helvetica" w:cs="Helvetica"/>
                <w:color w:val="000000"/>
                <w:sz w:val="18"/>
                <w:szCs w:val="18"/>
                <w:lang w:val="en-AU" w:eastAsia="en-AU"/>
              </w:rPr>
            </w:pPr>
            <w:r>
              <w:rPr>
                <w:rFonts w:ascii="Helvetica" w:hAnsi="Helvetica" w:cs="Helvetica"/>
                <w:color w:val="000000"/>
                <w:sz w:val="18"/>
                <w:szCs w:val="18"/>
                <w:lang w:val="en-AU" w:eastAsia="en-AU"/>
              </w:rPr>
              <w:t>Ms Bec Cody</w:t>
            </w:r>
            <w:r w:rsidRPr="00C73C41">
              <w:rPr>
                <w:rFonts w:ascii="Helvetica" w:hAnsi="Helvetica" w:cs="Helvetica"/>
                <w:color w:val="000000"/>
                <w:sz w:val="18"/>
                <w:szCs w:val="18"/>
                <w:lang w:val="en-AU" w:eastAsia="en-AU"/>
              </w:rPr>
              <w:t xml:space="preserve"> MLA</w:t>
            </w:r>
          </w:p>
          <w:p w:rsidR="00C73C41" w:rsidRPr="00C73C41" w:rsidRDefault="00C73C41" w:rsidP="00C73C41">
            <w:pPr>
              <w:spacing w:before="189"/>
              <w:textAlignment w:val="baseline"/>
              <w:rPr>
                <w:rFonts w:ascii="Helvetica" w:hAnsi="Helvetica" w:cs="Helvetica"/>
                <w:color w:val="000000"/>
                <w:sz w:val="18"/>
                <w:szCs w:val="18"/>
                <w:lang w:val="en-AU" w:eastAsia="en-AU"/>
              </w:rPr>
            </w:pPr>
            <w:r w:rsidRPr="00C73C41">
              <w:rPr>
                <w:rFonts w:ascii="Helvetica" w:hAnsi="Helvetica" w:cs="Helvetica"/>
                <w:color w:val="000000"/>
                <w:sz w:val="18"/>
                <w:szCs w:val="18"/>
                <w:lang w:val="en-AU" w:eastAsia="en-AU"/>
              </w:rPr>
              <w:t>(for comment on the inquiry)</w:t>
            </w:r>
          </w:p>
        </w:tc>
        <w:tc>
          <w:tcPr>
            <w:tcW w:w="2551" w:type="dxa"/>
            <w:tcMar>
              <w:top w:w="105" w:type="dxa"/>
              <w:left w:w="150" w:type="dxa"/>
              <w:bottom w:w="105" w:type="dxa"/>
              <w:right w:w="150" w:type="dxa"/>
            </w:tcMar>
            <w:hideMark/>
          </w:tcPr>
          <w:p w:rsidR="00C73C41" w:rsidRPr="00C73C41" w:rsidRDefault="00C73C41" w:rsidP="00C73C41">
            <w:pPr>
              <w:spacing w:before="189"/>
              <w:textAlignment w:val="baseline"/>
              <w:rPr>
                <w:rFonts w:ascii="Helvetica" w:hAnsi="Helvetica" w:cs="Helvetica"/>
                <w:color w:val="000000"/>
                <w:sz w:val="18"/>
                <w:szCs w:val="18"/>
                <w:lang w:val="en-AU" w:eastAsia="en-AU"/>
              </w:rPr>
            </w:pPr>
            <w:r w:rsidRPr="00C73C41">
              <w:rPr>
                <w:rFonts w:ascii="Helvetica" w:hAnsi="Helvetica" w:cs="Helvetica"/>
                <w:color w:val="000000"/>
                <w:sz w:val="18"/>
                <w:szCs w:val="18"/>
                <w:lang w:val="en-AU" w:eastAsia="en-AU"/>
              </w:rPr>
              <w:t>Committee Chair</w:t>
            </w:r>
          </w:p>
        </w:tc>
        <w:tc>
          <w:tcPr>
            <w:tcW w:w="2552" w:type="dxa"/>
            <w:tcMar>
              <w:top w:w="105" w:type="dxa"/>
              <w:left w:w="150" w:type="dxa"/>
              <w:bottom w:w="105" w:type="dxa"/>
              <w:right w:w="150" w:type="dxa"/>
            </w:tcMar>
            <w:hideMark/>
          </w:tcPr>
          <w:p w:rsidR="00C73C41" w:rsidRPr="00C73C41" w:rsidRDefault="000347AF" w:rsidP="00C73C41">
            <w:pPr>
              <w:spacing w:before="189"/>
              <w:textAlignment w:val="baseline"/>
              <w:rPr>
                <w:rFonts w:ascii="Helvetica" w:hAnsi="Helvetica" w:cs="Helvetica"/>
                <w:color w:val="000000"/>
                <w:sz w:val="18"/>
                <w:szCs w:val="18"/>
                <w:lang w:val="en-AU" w:eastAsia="en-AU"/>
              </w:rPr>
            </w:pPr>
            <w:r>
              <w:rPr>
                <w:rFonts w:ascii="Helvetica" w:hAnsi="Helvetica" w:cs="Helvetica"/>
                <w:color w:val="000000"/>
                <w:sz w:val="18"/>
                <w:szCs w:val="18"/>
                <w:lang w:val="en-AU" w:eastAsia="en-AU"/>
              </w:rPr>
              <w:t>(02) 620 5</w:t>
            </w:r>
            <w:r w:rsidR="002D6B1A">
              <w:rPr>
                <w:rFonts w:ascii="Helvetica" w:hAnsi="Helvetica" w:cs="Helvetica"/>
                <w:color w:val="000000"/>
                <w:sz w:val="18"/>
                <w:szCs w:val="18"/>
                <w:lang w:val="en-AU" w:eastAsia="en-AU"/>
              </w:rPr>
              <w:t>144</w:t>
            </w:r>
            <w:r w:rsidR="006B0A5C">
              <w:rPr>
                <w:rFonts w:ascii="Helvetica" w:hAnsi="Helvetica" w:cs="Helvetica"/>
                <w:color w:val="000000"/>
                <w:sz w:val="18"/>
                <w:szCs w:val="18"/>
                <w:lang w:val="en-AU" w:eastAsia="en-AU"/>
              </w:rPr>
              <w:t>8</w:t>
            </w:r>
          </w:p>
        </w:tc>
      </w:tr>
      <w:tr w:rsidR="00C73C41" w:rsidRPr="00C73C41" w:rsidTr="006B0A5C">
        <w:tc>
          <w:tcPr>
            <w:tcW w:w="1129" w:type="dxa"/>
            <w:vMerge/>
            <w:vAlign w:val="bottom"/>
            <w:hideMark/>
          </w:tcPr>
          <w:p w:rsidR="00C73C41" w:rsidRPr="00C73C41" w:rsidRDefault="00C73C41" w:rsidP="00C73C41">
            <w:pPr>
              <w:rPr>
                <w:rFonts w:ascii="Helvetica" w:hAnsi="Helvetica" w:cs="Helvetica"/>
                <w:color w:val="000000"/>
                <w:sz w:val="18"/>
                <w:szCs w:val="18"/>
                <w:lang w:val="en-AU" w:eastAsia="en-AU"/>
              </w:rPr>
            </w:pPr>
          </w:p>
        </w:tc>
        <w:tc>
          <w:tcPr>
            <w:tcW w:w="2694" w:type="dxa"/>
            <w:tcMar>
              <w:top w:w="105" w:type="dxa"/>
              <w:left w:w="150" w:type="dxa"/>
              <w:bottom w:w="105" w:type="dxa"/>
              <w:right w:w="150" w:type="dxa"/>
            </w:tcMar>
            <w:hideMark/>
          </w:tcPr>
          <w:p w:rsidR="00C73C41" w:rsidRPr="00C73C41" w:rsidRDefault="00C73C41" w:rsidP="00C73C41">
            <w:pPr>
              <w:spacing w:before="189"/>
              <w:textAlignment w:val="baseline"/>
              <w:rPr>
                <w:rFonts w:ascii="Helvetica" w:hAnsi="Helvetica" w:cs="Helvetica"/>
                <w:color w:val="000000"/>
                <w:sz w:val="18"/>
                <w:szCs w:val="18"/>
                <w:lang w:val="en-AU" w:eastAsia="en-AU"/>
              </w:rPr>
            </w:pPr>
            <w:r>
              <w:rPr>
                <w:rFonts w:ascii="Helvetica" w:hAnsi="Helvetica" w:cs="Helvetica"/>
                <w:color w:val="000000"/>
                <w:sz w:val="18"/>
                <w:szCs w:val="18"/>
                <w:lang w:val="en-AU" w:eastAsia="en-AU"/>
              </w:rPr>
              <w:t>Andrew Snedden</w:t>
            </w:r>
          </w:p>
          <w:p w:rsidR="00C73C41" w:rsidRPr="00C73C41" w:rsidRDefault="00C73C41" w:rsidP="00C73C41">
            <w:pPr>
              <w:spacing w:before="189"/>
              <w:textAlignment w:val="baseline"/>
              <w:rPr>
                <w:rFonts w:ascii="Helvetica" w:hAnsi="Helvetica" w:cs="Helvetica"/>
                <w:color w:val="000000"/>
                <w:sz w:val="18"/>
                <w:szCs w:val="18"/>
                <w:lang w:val="en-AU" w:eastAsia="en-AU"/>
              </w:rPr>
            </w:pPr>
            <w:r w:rsidRPr="00C73C41">
              <w:rPr>
                <w:rFonts w:ascii="Helvetica" w:hAnsi="Helvetica" w:cs="Helvetica"/>
                <w:color w:val="000000"/>
                <w:sz w:val="18"/>
                <w:szCs w:val="18"/>
                <w:lang w:val="en-AU" w:eastAsia="en-AU"/>
              </w:rPr>
              <w:t>(for further information)</w:t>
            </w:r>
          </w:p>
        </w:tc>
        <w:tc>
          <w:tcPr>
            <w:tcW w:w="2551" w:type="dxa"/>
            <w:tcMar>
              <w:top w:w="105" w:type="dxa"/>
              <w:left w:w="150" w:type="dxa"/>
              <w:bottom w:w="105" w:type="dxa"/>
              <w:right w:w="150" w:type="dxa"/>
            </w:tcMar>
            <w:hideMark/>
          </w:tcPr>
          <w:p w:rsidR="00C73C41" w:rsidRPr="00C73C41" w:rsidRDefault="00C73C41" w:rsidP="00C73C41">
            <w:pPr>
              <w:spacing w:before="189"/>
              <w:textAlignment w:val="baseline"/>
              <w:rPr>
                <w:rFonts w:ascii="Helvetica" w:hAnsi="Helvetica" w:cs="Helvetica"/>
                <w:color w:val="000000"/>
                <w:sz w:val="18"/>
                <w:szCs w:val="18"/>
                <w:lang w:val="en-AU" w:eastAsia="en-AU"/>
              </w:rPr>
            </w:pPr>
            <w:r w:rsidRPr="00C73C41">
              <w:rPr>
                <w:rFonts w:ascii="Helvetica" w:hAnsi="Helvetica" w:cs="Helvetica"/>
                <w:color w:val="000000"/>
                <w:sz w:val="18"/>
                <w:szCs w:val="18"/>
                <w:lang w:val="en-AU" w:eastAsia="en-AU"/>
              </w:rPr>
              <w:t>Committee Secretary</w:t>
            </w:r>
          </w:p>
        </w:tc>
        <w:tc>
          <w:tcPr>
            <w:tcW w:w="2552" w:type="dxa"/>
            <w:tcMar>
              <w:top w:w="105" w:type="dxa"/>
              <w:left w:w="150" w:type="dxa"/>
              <w:bottom w:w="105" w:type="dxa"/>
              <w:right w:w="150" w:type="dxa"/>
            </w:tcMar>
            <w:hideMark/>
          </w:tcPr>
          <w:p w:rsidR="00C73C41" w:rsidRPr="00C73C41" w:rsidRDefault="00C73C41" w:rsidP="00C73C41">
            <w:pPr>
              <w:spacing w:before="189"/>
              <w:textAlignment w:val="baseline"/>
              <w:rPr>
                <w:rFonts w:ascii="Helvetica" w:hAnsi="Helvetica" w:cs="Helvetica"/>
                <w:color w:val="000000"/>
                <w:sz w:val="18"/>
                <w:szCs w:val="18"/>
                <w:lang w:val="en-AU" w:eastAsia="en-AU"/>
              </w:rPr>
            </w:pPr>
            <w:r>
              <w:rPr>
                <w:rFonts w:ascii="Helvetica" w:hAnsi="Helvetica" w:cs="Helvetica"/>
                <w:color w:val="000000"/>
                <w:sz w:val="18"/>
                <w:szCs w:val="18"/>
                <w:lang w:val="en-AU" w:eastAsia="en-AU"/>
              </w:rPr>
              <w:t>(02) 620 50199</w:t>
            </w:r>
          </w:p>
        </w:tc>
      </w:tr>
    </w:tbl>
    <w:p w:rsidR="00A151BF" w:rsidRDefault="00A151BF" w:rsidP="00C73C41"/>
    <w:p w:rsidR="00A151BF" w:rsidRDefault="00A151BF">
      <w:pPr>
        <w:spacing w:after="160" w:line="259" w:lineRule="auto"/>
      </w:pPr>
      <w:r>
        <w:br w:type="page"/>
      </w:r>
    </w:p>
    <w:p w:rsidR="00A151BF" w:rsidRPr="00A151BF" w:rsidRDefault="00C70C3B" w:rsidP="00A151BF">
      <w:pPr>
        <w:pStyle w:val="TOC1"/>
        <w:rPr>
          <w:rFonts w:cs="Times New Roman"/>
          <w:b w:val="0"/>
          <w:smallCaps w:val="0"/>
          <w:color w:val="auto"/>
          <w:spacing w:val="0"/>
          <w:sz w:val="22"/>
          <w:lang w:eastAsia="en-AU"/>
        </w:rPr>
      </w:pPr>
      <w:hyperlink w:anchor="_Toc499716211" w:history="1">
        <w:r w:rsidR="00A151BF" w:rsidRPr="00A151BF">
          <w:rPr>
            <w:rStyle w:val="Hyperlink"/>
            <w:color w:val="auto"/>
            <w:sz w:val="22"/>
          </w:rPr>
          <w:t>Recommendation 1</w:t>
        </w:r>
      </w:hyperlink>
    </w:p>
    <w:p w:rsidR="00A151BF" w:rsidRPr="00A151BF" w:rsidRDefault="00C70C3B" w:rsidP="00364680">
      <w:pPr>
        <w:pStyle w:val="TOC2"/>
        <w:rPr>
          <w:rFonts w:cs="Times New Roman"/>
          <w:b/>
        </w:rPr>
      </w:pPr>
      <w:hyperlink w:anchor="_Toc499716212" w:history="1">
        <w:r w:rsidR="00A151BF" w:rsidRPr="00A151BF">
          <w:rPr>
            <w:rStyle w:val="Hyperlink"/>
            <w:color w:val="auto"/>
          </w:rPr>
          <w:t>2.29</w:t>
        </w:r>
        <w:r w:rsidR="00A151BF" w:rsidRPr="00A151BF">
          <w:rPr>
            <w:rFonts w:cs="Times New Roman"/>
          </w:rPr>
          <w:tab/>
        </w:r>
        <w:r w:rsidR="00A151BF" w:rsidRPr="00A151BF">
          <w:rPr>
            <w:rStyle w:val="Hyperlink"/>
            <w:color w:val="auto"/>
          </w:rPr>
          <w:t>The Committee recommends, that in addition to the current notification around elections, the ACT Electoral Commission include an optional SMS scheme for electors who did not cast a vote in previous elections, which provides the elector with reminders about voting.</w:t>
        </w:r>
      </w:hyperlink>
    </w:p>
    <w:p w:rsidR="00A151BF" w:rsidRPr="00A151BF" w:rsidRDefault="00C70C3B" w:rsidP="00A151BF">
      <w:pPr>
        <w:pStyle w:val="TOC1"/>
        <w:rPr>
          <w:rFonts w:cs="Times New Roman"/>
          <w:b w:val="0"/>
          <w:smallCaps w:val="0"/>
          <w:color w:val="auto"/>
          <w:spacing w:val="0"/>
          <w:sz w:val="22"/>
          <w:lang w:eastAsia="en-AU"/>
        </w:rPr>
      </w:pPr>
      <w:hyperlink w:anchor="_Toc499716213" w:history="1">
        <w:r w:rsidR="00A151BF" w:rsidRPr="00A151BF">
          <w:rPr>
            <w:rStyle w:val="Hyperlink"/>
            <w:color w:val="auto"/>
            <w:sz w:val="22"/>
          </w:rPr>
          <w:t>Recommendation 2</w:t>
        </w:r>
      </w:hyperlink>
    </w:p>
    <w:p w:rsidR="00A151BF" w:rsidRPr="00A151BF" w:rsidRDefault="00C70C3B" w:rsidP="00364680">
      <w:pPr>
        <w:pStyle w:val="TOC2"/>
        <w:rPr>
          <w:rFonts w:cs="Times New Roman"/>
          <w:b/>
        </w:rPr>
      </w:pPr>
      <w:hyperlink w:anchor="_Toc499716214" w:history="1">
        <w:r w:rsidR="00A151BF" w:rsidRPr="00A151BF">
          <w:rPr>
            <w:rStyle w:val="Hyperlink"/>
            <w:color w:val="auto"/>
          </w:rPr>
          <w:t>3.18</w:t>
        </w:r>
        <w:r w:rsidR="00A151BF" w:rsidRPr="00A151BF">
          <w:rPr>
            <w:rFonts w:cs="Times New Roman"/>
          </w:rPr>
          <w:tab/>
        </w:r>
        <w:r w:rsidR="00A151BF" w:rsidRPr="00A151BF">
          <w:rPr>
            <w:rStyle w:val="Hyperlink"/>
            <w:color w:val="auto"/>
          </w:rPr>
          <w:t>The Committee recommends that social media profile pages of political parties and candidates are to be authorised. However, the Committee also recommends that individual posts, including images, need not be authorised.</w:t>
        </w:r>
      </w:hyperlink>
    </w:p>
    <w:p w:rsidR="00A151BF" w:rsidRPr="00A151BF" w:rsidRDefault="00C70C3B" w:rsidP="00A151BF">
      <w:pPr>
        <w:pStyle w:val="TOC1"/>
        <w:rPr>
          <w:rFonts w:cs="Times New Roman"/>
          <w:b w:val="0"/>
          <w:smallCaps w:val="0"/>
          <w:color w:val="auto"/>
          <w:spacing w:val="0"/>
          <w:sz w:val="22"/>
          <w:lang w:eastAsia="en-AU"/>
        </w:rPr>
      </w:pPr>
      <w:hyperlink w:anchor="_Toc499716215" w:history="1">
        <w:r w:rsidR="00A151BF" w:rsidRPr="00A151BF">
          <w:rPr>
            <w:rStyle w:val="Hyperlink"/>
            <w:color w:val="auto"/>
            <w:sz w:val="22"/>
          </w:rPr>
          <w:t>Recommendation 3</w:t>
        </w:r>
      </w:hyperlink>
    </w:p>
    <w:p w:rsidR="00A151BF" w:rsidRPr="00A151BF" w:rsidRDefault="00C70C3B" w:rsidP="00364680">
      <w:pPr>
        <w:pStyle w:val="TOC2"/>
        <w:rPr>
          <w:rFonts w:cs="Times New Roman"/>
          <w:b/>
        </w:rPr>
      </w:pPr>
      <w:hyperlink w:anchor="_Toc499716216" w:history="1">
        <w:r w:rsidR="00A151BF" w:rsidRPr="00A151BF">
          <w:rPr>
            <w:rStyle w:val="Hyperlink"/>
            <w:color w:val="auto"/>
          </w:rPr>
          <w:t>3.27</w:t>
        </w:r>
        <w:r w:rsidR="00A151BF" w:rsidRPr="00A151BF">
          <w:rPr>
            <w:rFonts w:cs="Times New Roman"/>
          </w:rPr>
          <w:tab/>
        </w:r>
        <w:r w:rsidR="00A151BF" w:rsidRPr="00A151BF">
          <w:rPr>
            <w:rStyle w:val="Hyperlink"/>
            <w:color w:val="auto"/>
          </w:rPr>
          <w:t xml:space="preserve">The Committee recommends that section 198AA of the ACT </w:t>
        </w:r>
        <w:r w:rsidR="00A151BF" w:rsidRPr="00A151BF">
          <w:rPr>
            <w:rStyle w:val="Hyperlink"/>
            <w:i/>
            <w:color w:val="auto"/>
          </w:rPr>
          <w:t xml:space="preserve">Electoral Act </w:t>
        </w:r>
        <w:r w:rsidR="00A151BF" w:rsidRPr="00A151BF">
          <w:rPr>
            <w:rStyle w:val="Hyperlink"/>
            <w:color w:val="auto"/>
          </w:rPr>
          <w:t>1992 be amended to include fundraising contributions, in relation to a single fundraising event that is $250 or less be included in the definition of ‘gift’.</w:t>
        </w:r>
      </w:hyperlink>
    </w:p>
    <w:p w:rsidR="00A151BF" w:rsidRPr="00A151BF" w:rsidRDefault="00C70C3B" w:rsidP="00A151BF">
      <w:pPr>
        <w:pStyle w:val="TOC1"/>
        <w:rPr>
          <w:rFonts w:cs="Times New Roman"/>
          <w:b w:val="0"/>
          <w:smallCaps w:val="0"/>
          <w:color w:val="auto"/>
          <w:spacing w:val="0"/>
          <w:sz w:val="22"/>
          <w:lang w:eastAsia="en-AU"/>
        </w:rPr>
      </w:pPr>
      <w:hyperlink w:anchor="_Toc499716217" w:history="1">
        <w:r w:rsidR="00A151BF" w:rsidRPr="00A151BF">
          <w:rPr>
            <w:rStyle w:val="Hyperlink"/>
            <w:color w:val="auto"/>
            <w:sz w:val="22"/>
          </w:rPr>
          <w:t>Recommendation 4</w:t>
        </w:r>
      </w:hyperlink>
    </w:p>
    <w:p w:rsidR="00A151BF" w:rsidRPr="00A151BF" w:rsidRDefault="00C70C3B" w:rsidP="00364680">
      <w:pPr>
        <w:pStyle w:val="TOC2"/>
        <w:rPr>
          <w:rFonts w:cs="Times New Roman"/>
          <w:b/>
        </w:rPr>
      </w:pPr>
      <w:hyperlink w:anchor="_Toc499716218" w:history="1">
        <w:r w:rsidR="00A151BF" w:rsidRPr="00A151BF">
          <w:rPr>
            <w:rStyle w:val="Hyperlink"/>
            <w:color w:val="auto"/>
          </w:rPr>
          <w:t>3.30</w:t>
        </w:r>
        <w:r w:rsidR="00A151BF" w:rsidRPr="00A151BF">
          <w:rPr>
            <w:rFonts w:cs="Times New Roman"/>
          </w:rPr>
          <w:tab/>
        </w:r>
        <w:r w:rsidR="00A151BF" w:rsidRPr="00A151BF">
          <w:rPr>
            <w:rStyle w:val="Hyperlink"/>
            <w:color w:val="auto"/>
          </w:rPr>
          <w:t xml:space="preserve">The Committee recommends that the ACT </w:t>
        </w:r>
        <w:r w:rsidR="00A151BF" w:rsidRPr="00A151BF">
          <w:rPr>
            <w:rStyle w:val="Hyperlink"/>
            <w:i/>
            <w:color w:val="auto"/>
          </w:rPr>
          <w:t>Electoral Act 1992</w:t>
        </w:r>
        <w:r w:rsidR="00A151BF" w:rsidRPr="00A151BF">
          <w:rPr>
            <w:rStyle w:val="Hyperlink"/>
            <w:color w:val="auto"/>
          </w:rPr>
          <w:t xml:space="preserve"> be amended to set the prescribed penalty for failing to vote at one half of a penalty unit, which is defined in the </w:t>
        </w:r>
        <w:r w:rsidR="00A151BF" w:rsidRPr="00A151BF">
          <w:rPr>
            <w:rStyle w:val="Hyperlink"/>
            <w:i/>
            <w:color w:val="auto"/>
          </w:rPr>
          <w:t>Legislation Act 2001</w:t>
        </w:r>
        <w:r w:rsidR="00A151BF" w:rsidRPr="00A151BF">
          <w:rPr>
            <w:rStyle w:val="Hyperlink"/>
            <w:color w:val="auto"/>
          </w:rPr>
          <w:t>, rounded to the nearest $5.00.</w:t>
        </w:r>
      </w:hyperlink>
    </w:p>
    <w:p w:rsidR="00A151BF" w:rsidRPr="00A151BF" w:rsidRDefault="00C70C3B" w:rsidP="00A151BF">
      <w:pPr>
        <w:pStyle w:val="TOC1"/>
        <w:rPr>
          <w:rFonts w:cs="Times New Roman"/>
          <w:b w:val="0"/>
          <w:smallCaps w:val="0"/>
          <w:color w:val="auto"/>
          <w:spacing w:val="0"/>
          <w:sz w:val="22"/>
          <w:lang w:eastAsia="en-AU"/>
        </w:rPr>
      </w:pPr>
      <w:hyperlink w:anchor="_Toc499716219" w:history="1">
        <w:r w:rsidR="00A151BF" w:rsidRPr="00A151BF">
          <w:rPr>
            <w:rStyle w:val="Hyperlink"/>
            <w:color w:val="auto"/>
            <w:sz w:val="22"/>
          </w:rPr>
          <w:t>Recommendation 5</w:t>
        </w:r>
      </w:hyperlink>
    </w:p>
    <w:p w:rsidR="00A151BF" w:rsidRPr="00A151BF" w:rsidRDefault="00C70C3B" w:rsidP="00364680">
      <w:pPr>
        <w:pStyle w:val="TOC2"/>
        <w:rPr>
          <w:rFonts w:cs="Times New Roman"/>
          <w:b/>
        </w:rPr>
      </w:pPr>
      <w:hyperlink w:anchor="_Toc499716220" w:history="1">
        <w:r w:rsidR="00A151BF" w:rsidRPr="00A151BF">
          <w:rPr>
            <w:rStyle w:val="Hyperlink"/>
            <w:color w:val="auto"/>
          </w:rPr>
          <w:t>4.29</w:t>
        </w:r>
        <w:r w:rsidR="00A151BF" w:rsidRPr="00A151BF">
          <w:rPr>
            <w:rFonts w:cs="Times New Roman"/>
          </w:rPr>
          <w:tab/>
        </w:r>
        <w:r w:rsidR="00A151BF" w:rsidRPr="00A151BF">
          <w:rPr>
            <w:rStyle w:val="Hyperlink"/>
            <w:color w:val="auto"/>
          </w:rPr>
          <w:t>The Committee recommends that the ACT retain the current minimum voting age of 18.</w:t>
        </w:r>
      </w:hyperlink>
    </w:p>
    <w:p w:rsidR="00A151BF" w:rsidRPr="00A151BF" w:rsidRDefault="00C70C3B" w:rsidP="00A151BF">
      <w:pPr>
        <w:pStyle w:val="TOC1"/>
        <w:rPr>
          <w:rFonts w:cs="Times New Roman"/>
          <w:b w:val="0"/>
          <w:smallCaps w:val="0"/>
          <w:color w:val="auto"/>
          <w:spacing w:val="0"/>
          <w:sz w:val="22"/>
          <w:lang w:eastAsia="en-AU"/>
        </w:rPr>
      </w:pPr>
      <w:hyperlink w:anchor="_Toc499716221" w:history="1">
        <w:r w:rsidR="00A151BF" w:rsidRPr="00A151BF">
          <w:rPr>
            <w:rStyle w:val="Hyperlink"/>
            <w:color w:val="auto"/>
            <w:sz w:val="22"/>
          </w:rPr>
          <w:t>Recommendation 6</w:t>
        </w:r>
      </w:hyperlink>
    </w:p>
    <w:p w:rsidR="00A151BF" w:rsidRPr="00A151BF" w:rsidRDefault="00C70C3B" w:rsidP="00364680">
      <w:pPr>
        <w:pStyle w:val="TOC2"/>
        <w:rPr>
          <w:rFonts w:cs="Times New Roman"/>
          <w:b/>
        </w:rPr>
      </w:pPr>
      <w:hyperlink w:anchor="_Toc499716222" w:history="1">
        <w:r w:rsidR="00A151BF" w:rsidRPr="00A151BF">
          <w:rPr>
            <w:rStyle w:val="Hyperlink"/>
            <w:color w:val="auto"/>
          </w:rPr>
          <w:t>5.13</w:t>
        </w:r>
        <w:r w:rsidR="00A151BF" w:rsidRPr="00A151BF">
          <w:rPr>
            <w:rFonts w:cs="Times New Roman"/>
          </w:rPr>
          <w:tab/>
        </w:r>
        <w:r w:rsidR="00A151BF" w:rsidRPr="00A151BF">
          <w:rPr>
            <w:rStyle w:val="Hyperlink"/>
            <w:color w:val="auto"/>
          </w:rPr>
          <w:t>The Committee recommends a review of current legislation, regulation and practices to recognise the separate and overlapping functions of MLA, member of the Executive, political candidate and private citizen, with a view to improve demarcation and transparency of definitions.</w:t>
        </w:r>
      </w:hyperlink>
    </w:p>
    <w:p w:rsidR="00A151BF" w:rsidRPr="00A151BF" w:rsidRDefault="00C70C3B" w:rsidP="00A151BF">
      <w:pPr>
        <w:pStyle w:val="TOC1"/>
        <w:rPr>
          <w:rFonts w:cs="Times New Roman"/>
          <w:b w:val="0"/>
          <w:smallCaps w:val="0"/>
          <w:color w:val="auto"/>
          <w:spacing w:val="0"/>
          <w:sz w:val="22"/>
          <w:lang w:eastAsia="en-AU"/>
        </w:rPr>
      </w:pPr>
      <w:hyperlink w:anchor="_Toc499716223" w:history="1">
        <w:r w:rsidR="00A151BF" w:rsidRPr="00A151BF">
          <w:rPr>
            <w:rStyle w:val="Hyperlink"/>
            <w:color w:val="auto"/>
            <w:sz w:val="22"/>
          </w:rPr>
          <w:t>Recommendation 7</w:t>
        </w:r>
      </w:hyperlink>
    </w:p>
    <w:p w:rsidR="00A151BF" w:rsidRPr="00A151BF" w:rsidRDefault="00C70C3B" w:rsidP="00364680">
      <w:pPr>
        <w:pStyle w:val="TOC2"/>
        <w:rPr>
          <w:rFonts w:cs="Times New Roman"/>
          <w:b/>
        </w:rPr>
      </w:pPr>
      <w:hyperlink w:anchor="_Toc499716224" w:history="1">
        <w:r w:rsidR="00A151BF" w:rsidRPr="00A151BF">
          <w:rPr>
            <w:rStyle w:val="Hyperlink"/>
            <w:color w:val="auto"/>
          </w:rPr>
          <w:t>5.14</w:t>
        </w:r>
        <w:r w:rsidR="00A151BF" w:rsidRPr="00A151BF">
          <w:rPr>
            <w:rFonts w:cs="Times New Roman"/>
          </w:rPr>
          <w:tab/>
        </w:r>
        <w:r w:rsidR="00A151BF" w:rsidRPr="00A151BF">
          <w:rPr>
            <w:rStyle w:val="Hyperlink"/>
            <w:color w:val="auto"/>
          </w:rPr>
          <w:t>The Committee recommends a review and update of all rules and regulations for the use of MLA’s office, staffing and Communications Allowance to ensure MLAs are able to adequately carry out their functions, including during an election period.</w:t>
        </w:r>
      </w:hyperlink>
    </w:p>
    <w:p w:rsidR="00A151BF" w:rsidRPr="00A151BF" w:rsidRDefault="00C70C3B" w:rsidP="00A151BF">
      <w:pPr>
        <w:pStyle w:val="TOC1"/>
        <w:rPr>
          <w:rFonts w:cs="Times New Roman"/>
          <w:b w:val="0"/>
          <w:smallCaps w:val="0"/>
          <w:color w:val="auto"/>
          <w:spacing w:val="0"/>
          <w:sz w:val="22"/>
          <w:lang w:eastAsia="en-AU"/>
        </w:rPr>
      </w:pPr>
      <w:hyperlink w:anchor="_Toc499716225" w:history="1">
        <w:r w:rsidR="00A151BF" w:rsidRPr="00A151BF">
          <w:rPr>
            <w:rStyle w:val="Hyperlink"/>
            <w:color w:val="auto"/>
            <w:sz w:val="22"/>
          </w:rPr>
          <w:t>Recommendation 8</w:t>
        </w:r>
      </w:hyperlink>
    </w:p>
    <w:p w:rsidR="00A151BF" w:rsidRPr="00A151BF" w:rsidRDefault="00C70C3B" w:rsidP="00364680">
      <w:pPr>
        <w:pStyle w:val="TOC2"/>
        <w:rPr>
          <w:rFonts w:cs="Times New Roman"/>
          <w:b/>
        </w:rPr>
      </w:pPr>
      <w:hyperlink w:anchor="_Toc499716226" w:history="1">
        <w:r w:rsidR="00A151BF" w:rsidRPr="00A151BF">
          <w:rPr>
            <w:rStyle w:val="Hyperlink"/>
            <w:color w:val="auto"/>
          </w:rPr>
          <w:t>5.37</w:t>
        </w:r>
        <w:r w:rsidR="00A151BF" w:rsidRPr="00A151BF">
          <w:rPr>
            <w:rFonts w:cs="Times New Roman"/>
          </w:rPr>
          <w:tab/>
        </w:r>
        <w:r w:rsidR="00A151BF" w:rsidRPr="00A151BF">
          <w:rPr>
            <w:rStyle w:val="Hyperlink"/>
            <w:color w:val="auto"/>
          </w:rPr>
          <w:t>The Committee recommends that political donations from property developers be banned in the ACT.</w:t>
        </w:r>
      </w:hyperlink>
    </w:p>
    <w:p w:rsidR="00A151BF" w:rsidRDefault="00A151BF" w:rsidP="00A151BF">
      <w:pPr>
        <w:pStyle w:val="TOC1"/>
        <w:rPr>
          <w:color w:val="auto"/>
          <w:sz w:val="22"/>
        </w:rPr>
      </w:pPr>
    </w:p>
    <w:p w:rsidR="00A151BF" w:rsidRPr="00A151BF" w:rsidRDefault="00C70C3B" w:rsidP="00A151BF">
      <w:pPr>
        <w:pStyle w:val="TOC1"/>
        <w:rPr>
          <w:rFonts w:cs="Times New Roman"/>
          <w:b w:val="0"/>
          <w:smallCaps w:val="0"/>
          <w:color w:val="auto"/>
          <w:spacing w:val="0"/>
          <w:sz w:val="22"/>
          <w:lang w:eastAsia="en-AU"/>
        </w:rPr>
      </w:pPr>
      <w:hyperlink w:anchor="_Toc499716227" w:history="1">
        <w:r w:rsidR="00A151BF" w:rsidRPr="00A151BF">
          <w:rPr>
            <w:rStyle w:val="Hyperlink"/>
            <w:color w:val="auto"/>
            <w:sz w:val="22"/>
          </w:rPr>
          <w:t>Recommendation 9</w:t>
        </w:r>
      </w:hyperlink>
    </w:p>
    <w:p w:rsidR="00A151BF" w:rsidRPr="00A151BF" w:rsidRDefault="00C70C3B" w:rsidP="00364680">
      <w:pPr>
        <w:pStyle w:val="TOC2"/>
        <w:rPr>
          <w:rFonts w:cs="Times New Roman"/>
          <w:b/>
        </w:rPr>
      </w:pPr>
      <w:hyperlink w:anchor="_Toc499716228" w:history="1">
        <w:r w:rsidR="00A151BF" w:rsidRPr="00A151BF">
          <w:rPr>
            <w:rStyle w:val="Hyperlink"/>
            <w:color w:val="auto"/>
          </w:rPr>
          <w:t>5.46</w:t>
        </w:r>
        <w:r w:rsidR="00A151BF" w:rsidRPr="00A151BF">
          <w:rPr>
            <w:rFonts w:cs="Times New Roman"/>
          </w:rPr>
          <w:tab/>
        </w:r>
        <w:r w:rsidR="00A151BF" w:rsidRPr="00A151BF">
          <w:rPr>
            <w:rStyle w:val="Hyperlink"/>
            <w:color w:val="auto"/>
          </w:rPr>
          <w:t>The Committee recommends that the ACT maintain its current donation reporting timeframe model, where parties and candidates must disclose all gifts and loans totalling $1,000 or more, within seven days from 1 July though to polling day in an election year.</w:t>
        </w:r>
      </w:hyperlink>
    </w:p>
    <w:p w:rsidR="00A151BF" w:rsidRPr="00A151BF" w:rsidRDefault="00C70C3B" w:rsidP="00A151BF">
      <w:pPr>
        <w:pStyle w:val="TOC1"/>
        <w:rPr>
          <w:rFonts w:cs="Times New Roman"/>
          <w:b w:val="0"/>
          <w:smallCaps w:val="0"/>
          <w:color w:val="auto"/>
          <w:spacing w:val="0"/>
          <w:sz w:val="22"/>
          <w:lang w:eastAsia="en-AU"/>
        </w:rPr>
      </w:pPr>
      <w:hyperlink w:anchor="_Toc499716229" w:history="1">
        <w:r w:rsidR="00A151BF" w:rsidRPr="00A151BF">
          <w:rPr>
            <w:rStyle w:val="Hyperlink"/>
            <w:color w:val="auto"/>
            <w:sz w:val="22"/>
          </w:rPr>
          <w:t>Recommendation 10</w:t>
        </w:r>
      </w:hyperlink>
    </w:p>
    <w:p w:rsidR="00A151BF" w:rsidRPr="00A151BF" w:rsidRDefault="00C70C3B" w:rsidP="00364680">
      <w:pPr>
        <w:pStyle w:val="TOC2"/>
        <w:rPr>
          <w:rFonts w:cs="Times New Roman"/>
          <w:b/>
        </w:rPr>
      </w:pPr>
      <w:hyperlink w:anchor="_Toc499716230" w:history="1">
        <w:r w:rsidR="00A151BF" w:rsidRPr="00A151BF">
          <w:rPr>
            <w:rStyle w:val="Hyperlink"/>
            <w:color w:val="auto"/>
          </w:rPr>
          <w:t>6.14</w:t>
        </w:r>
        <w:r w:rsidR="00A151BF" w:rsidRPr="00A151BF">
          <w:rPr>
            <w:rFonts w:cs="Times New Roman"/>
          </w:rPr>
          <w:tab/>
        </w:r>
        <w:r w:rsidR="00A151BF" w:rsidRPr="00A151BF">
          <w:rPr>
            <w:rStyle w:val="Hyperlink"/>
            <w:color w:val="auto"/>
          </w:rPr>
          <w:t>The Committee recommends that the Minister for Education and Early Childhood Development, in consultation with the Education Directorate, develop and include civics and citizenship education as part of the ACT year 11 and 12 curriculum.</w:t>
        </w:r>
      </w:hyperlink>
    </w:p>
    <w:p w:rsidR="00A151BF" w:rsidRPr="00A151BF" w:rsidRDefault="00C70C3B" w:rsidP="00A151BF">
      <w:pPr>
        <w:pStyle w:val="TOC1"/>
        <w:rPr>
          <w:rFonts w:cs="Times New Roman"/>
          <w:b w:val="0"/>
          <w:smallCaps w:val="0"/>
          <w:color w:val="auto"/>
          <w:spacing w:val="0"/>
          <w:sz w:val="22"/>
          <w:lang w:eastAsia="en-AU"/>
        </w:rPr>
      </w:pPr>
      <w:hyperlink w:anchor="_Toc499716231" w:history="1">
        <w:r w:rsidR="00A151BF" w:rsidRPr="00A151BF">
          <w:rPr>
            <w:rStyle w:val="Hyperlink"/>
            <w:color w:val="auto"/>
            <w:sz w:val="22"/>
          </w:rPr>
          <w:t>Recommendation 11</w:t>
        </w:r>
      </w:hyperlink>
    </w:p>
    <w:p w:rsidR="00A151BF" w:rsidRPr="00A151BF" w:rsidRDefault="00C70C3B" w:rsidP="00364680">
      <w:pPr>
        <w:pStyle w:val="TOC2"/>
        <w:rPr>
          <w:rFonts w:cs="Times New Roman"/>
          <w:b/>
        </w:rPr>
      </w:pPr>
      <w:hyperlink w:anchor="_Toc499716232" w:history="1">
        <w:r w:rsidR="00A151BF" w:rsidRPr="00A151BF">
          <w:rPr>
            <w:rStyle w:val="Hyperlink"/>
            <w:color w:val="auto"/>
          </w:rPr>
          <w:t>6.28</w:t>
        </w:r>
        <w:r w:rsidR="00A151BF" w:rsidRPr="00A151BF">
          <w:rPr>
            <w:rFonts w:cs="Times New Roman"/>
          </w:rPr>
          <w:tab/>
        </w:r>
        <w:r w:rsidR="00A151BF" w:rsidRPr="00A151BF">
          <w:rPr>
            <w:rStyle w:val="Hyperlink"/>
            <w:color w:val="auto"/>
          </w:rPr>
          <w:t>The Committee recommends that the ACT Electoral Commission or other appropriate body provide a detailed proposal, including costs of setting up and maintaining a website, mobile app and printed material, with details of candidates at Legislative Assembly Elections, starting with the 2020 ACT election.</w:t>
        </w:r>
      </w:hyperlink>
    </w:p>
    <w:p w:rsidR="00A151BF" w:rsidRPr="00A151BF" w:rsidRDefault="00C70C3B" w:rsidP="00A151BF">
      <w:pPr>
        <w:pStyle w:val="TOC1"/>
        <w:rPr>
          <w:rFonts w:cs="Times New Roman"/>
          <w:b w:val="0"/>
          <w:smallCaps w:val="0"/>
          <w:color w:val="auto"/>
          <w:spacing w:val="0"/>
          <w:sz w:val="22"/>
          <w:lang w:eastAsia="en-AU"/>
        </w:rPr>
      </w:pPr>
      <w:hyperlink w:anchor="_Toc499716233" w:history="1">
        <w:r w:rsidR="00A151BF" w:rsidRPr="00A151BF">
          <w:rPr>
            <w:rStyle w:val="Hyperlink"/>
            <w:color w:val="auto"/>
            <w:sz w:val="22"/>
          </w:rPr>
          <w:t>Recommendation 12</w:t>
        </w:r>
      </w:hyperlink>
    </w:p>
    <w:p w:rsidR="00A151BF" w:rsidRPr="00A151BF" w:rsidRDefault="00C70C3B" w:rsidP="00364680">
      <w:pPr>
        <w:pStyle w:val="TOC2"/>
        <w:rPr>
          <w:rFonts w:cs="Times New Roman"/>
          <w:b/>
        </w:rPr>
      </w:pPr>
      <w:hyperlink w:anchor="_Toc499716234" w:history="1">
        <w:r w:rsidR="00A151BF" w:rsidRPr="00A151BF">
          <w:rPr>
            <w:rStyle w:val="Hyperlink"/>
            <w:color w:val="auto"/>
          </w:rPr>
          <w:t>7.14</w:t>
        </w:r>
        <w:r w:rsidR="00A151BF" w:rsidRPr="00A151BF">
          <w:rPr>
            <w:rFonts w:cs="Times New Roman"/>
          </w:rPr>
          <w:tab/>
        </w:r>
        <w:r w:rsidR="00A151BF" w:rsidRPr="00A151BF">
          <w:rPr>
            <w:rStyle w:val="Hyperlink"/>
            <w:color w:val="auto"/>
          </w:rPr>
          <w:t xml:space="preserve">The Committee recommends that the </w:t>
        </w:r>
        <w:r w:rsidR="00A151BF" w:rsidRPr="00A151BF">
          <w:rPr>
            <w:rStyle w:val="Hyperlink"/>
            <w:i/>
            <w:color w:val="auto"/>
          </w:rPr>
          <w:t>Public Unleased Land Act 2013</w:t>
        </w:r>
        <w:r w:rsidR="00A151BF" w:rsidRPr="00A151BF">
          <w:rPr>
            <w:rStyle w:val="Hyperlink"/>
            <w:color w:val="auto"/>
          </w:rPr>
          <w:t xml:space="preserve"> be amended to allow an authorised person to remove a non-compliant electoral advertising sign from public unleased land without providing the seven day direction requesting compliance.</w:t>
        </w:r>
      </w:hyperlink>
    </w:p>
    <w:p w:rsidR="00A151BF" w:rsidRPr="00A151BF" w:rsidRDefault="00C70C3B" w:rsidP="00A151BF">
      <w:pPr>
        <w:pStyle w:val="TOC1"/>
        <w:rPr>
          <w:rFonts w:cs="Times New Roman"/>
          <w:b w:val="0"/>
          <w:smallCaps w:val="0"/>
          <w:color w:val="auto"/>
          <w:spacing w:val="0"/>
          <w:sz w:val="22"/>
          <w:lang w:eastAsia="en-AU"/>
        </w:rPr>
      </w:pPr>
      <w:hyperlink w:anchor="_Toc499716235" w:history="1">
        <w:r w:rsidR="00A151BF" w:rsidRPr="00A151BF">
          <w:rPr>
            <w:rStyle w:val="Hyperlink"/>
            <w:color w:val="auto"/>
            <w:sz w:val="22"/>
          </w:rPr>
          <w:t>Recommendation 13</w:t>
        </w:r>
      </w:hyperlink>
    </w:p>
    <w:p w:rsidR="00A151BF" w:rsidRPr="00A151BF" w:rsidRDefault="00C70C3B" w:rsidP="00364680">
      <w:pPr>
        <w:pStyle w:val="TOC2"/>
        <w:rPr>
          <w:rFonts w:cs="Times New Roman"/>
          <w:b/>
        </w:rPr>
      </w:pPr>
      <w:hyperlink w:anchor="_Toc499716236" w:history="1">
        <w:r w:rsidR="00A151BF" w:rsidRPr="00A151BF">
          <w:rPr>
            <w:rStyle w:val="Hyperlink"/>
            <w:color w:val="auto"/>
          </w:rPr>
          <w:t>7.15</w:t>
        </w:r>
        <w:r w:rsidR="00A151BF" w:rsidRPr="00A151BF">
          <w:rPr>
            <w:rFonts w:cs="Times New Roman"/>
          </w:rPr>
          <w:tab/>
        </w:r>
        <w:r w:rsidR="00A151BF" w:rsidRPr="00A151BF">
          <w:rPr>
            <w:rStyle w:val="Hyperlink"/>
            <w:color w:val="auto"/>
          </w:rPr>
          <w:t xml:space="preserve">The Committee recommends that the ACT </w:t>
        </w:r>
        <w:r w:rsidR="00A151BF" w:rsidRPr="00A151BF">
          <w:rPr>
            <w:rStyle w:val="Hyperlink"/>
            <w:i/>
            <w:color w:val="auto"/>
          </w:rPr>
          <w:t>Electoral Act 1992</w:t>
        </w:r>
        <w:r w:rsidR="00A151BF" w:rsidRPr="00A151BF">
          <w:rPr>
            <w:rStyle w:val="Hyperlink"/>
            <w:color w:val="auto"/>
          </w:rPr>
          <w:t xml:space="preserve"> be amended to allow electoral material displayed on private property, inside the defined polling area, to remain throughout the polling period.</w:t>
        </w:r>
      </w:hyperlink>
    </w:p>
    <w:p w:rsidR="00A151BF" w:rsidRPr="00A151BF" w:rsidRDefault="00C70C3B" w:rsidP="00A151BF">
      <w:pPr>
        <w:pStyle w:val="TOC1"/>
        <w:rPr>
          <w:rFonts w:cs="Times New Roman"/>
          <w:b w:val="0"/>
          <w:smallCaps w:val="0"/>
          <w:color w:val="auto"/>
          <w:spacing w:val="0"/>
          <w:sz w:val="22"/>
          <w:lang w:eastAsia="en-AU"/>
        </w:rPr>
      </w:pPr>
      <w:hyperlink w:anchor="_Toc499716237" w:history="1">
        <w:r w:rsidR="00A151BF" w:rsidRPr="00A151BF">
          <w:rPr>
            <w:rStyle w:val="Hyperlink"/>
            <w:color w:val="auto"/>
            <w:sz w:val="22"/>
          </w:rPr>
          <w:t>Recommendation 14</w:t>
        </w:r>
      </w:hyperlink>
    </w:p>
    <w:p w:rsidR="00A151BF" w:rsidRPr="00A151BF" w:rsidRDefault="00C70C3B" w:rsidP="00364680">
      <w:pPr>
        <w:pStyle w:val="TOC2"/>
        <w:rPr>
          <w:rFonts w:cs="Times New Roman"/>
          <w:b/>
        </w:rPr>
      </w:pPr>
      <w:hyperlink w:anchor="_Toc499716238" w:history="1">
        <w:r w:rsidR="00A151BF" w:rsidRPr="00A151BF">
          <w:rPr>
            <w:rStyle w:val="Hyperlink"/>
            <w:color w:val="auto"/>
          </w:rPr>
          <w:t>7.31</w:t>
        </w:r>
        <w:r w:rsidR="00A151BF" w:rsidRPr="00A151BF">
          <w:rPr>
            <w:rFonts w:cs="Times New Roman"/>
          </w:rPr>
          <w:tab/>
        </w:r>
        <w:r w:rsidR="00A151BF" w:rsidRPr="00A151BF">
          <w:rPr>
            <w:rStyle w:val="Hyperlink"/>
            <w:color w:val="auto"/>
          </w:rPr>
          <w:t>The Committee recommends that the ACT Electoral Commission continue to consider a limited electronic voting option for electors who are overseas.</w:t>
        </w:r>
      </w:hyperlink>
    </w:p>
    <w:p w:rsidR="00A151BF" w:rsidRPr="00A151BF" w:rsidRDefault="00C70C3B" w:rsidP="00A151BF">
      <w:pPr>
        <w:pStyle w:val="TOC1"/>
        <w:rPr>
          <w:rFonts w:cs="Times New Roman"/>
          <w:b w:val="0"/>
          <w:smallCaps w:val="0"/>
          <w:color w:val="auto"/>
          <w:spacing w:val="0"/>
          <w:sz w:val="22"/>
          <w:lang w:eastAsia="en-AU"/>
        </w:rPr>
      </w:pPr>
      <w:hyperlink w:anchor="_Toc499716239" w:history="1">
        <w:r w:rsidR="00A151BF" w:rsidRPr="00A151BF">
          <w:rPr>
            <w:rStyle w:val="Hyperlink"/>
            <w:color w:val="auto"/>
            <w:sz w:val="22"/>
          </w:rPr>
          <w:t>Recommendation 15</w:t>
        </w:r>
      </w:hyperlink>
    </w:p>
    <w:p w:rsidR="00A151BF" w:rsidRPr="00A151BF" w:rsidRDefault="00C70C3B" w:rsidP="00364680">
      <w:pPr>
        <w:pStyle w:val="TOC2"/>
        <w:rPr>
          <w:rFonts w:cs="Times New Roman"/>
          <w:b/>
        </w:rPr>
      </w:pPr>
      <w:hyperlink w:anchor="_Toc499716240" w:history="1">
        <w:r w:rsidR="00A151BF" w:rsidRPr="00A151BF">
          <w:rPr>
            <w:rStyle w:val="Hyperlink"/>
            <w:color w:val="auto"/>
          </w:rPr>
          <w:t>7.32</w:t>
        </w:r>
        <w:r w:rsidR="00A151BF" w:rsidRPr="00A151BF">
          <w:rPr>
            <w:rFonts w:cs="Times New Roman"/>
          </w:rPr>
          <w:tab/>
        </w:r>
        <w:r w:rsidR="00A151BF" w:rsidRPr="00A151BF">
          <w:rPr>
            <w:rStyle w:val="Hyperlink"/>
            <w:color w:val="auto"/>
          </w:rPr>
          <w:t>The Committee recommends, as part of consideration of electronic voting, blind and visually impaired voters be given the opportunity to cast a secret vote.</w:t>
        </w:r>
      </w:hyperlink>
    </w:p>
    <w:p w:rsidR="00A151BF" w:rsidRPr="00A151BF" w:rsidRDefault="00C70C3B" w:rsidP="00A151BF">
      <w:pPr>
        <w:pStyle w:val="TOC1"/>
        <w:keepNext/>
        <w:keepLines/>
        <w:rPr>
          <w:rFonts w:cs="Times New Roman"/>
          <w:b w:val="0"/>
          <w:smallCaps w:val="0"/>
          <w:color w:val="auto"/>
          <w:spacing w:val="0"/>
          <w:sz w:val="22"/>
          <w:lang w:eastAsia="en-AU"/>
        </w:rPr>
      </w:pPr>
      <w:hyperlink w:anchor="_Toc499716241" w:history="1">
        <w:r w:rsidR="00A151BF" w:rsidRPr="00A151BF">
          <w:rPr>
            <w:rStyle w:val="Hyperlink"/>
            <w:color w:val="auto"/>
            <w:sz w:val="22"/>
          </w:rPr>
          <w:t>Recommendation 16</w:t>
        </w:r>
      </w:hyperlink>
    </w:p>
    <w:p w:rsidR="00A151BF" w:rsidRPr="00A151BF" w:rsidRDefault="00C70C3B" w:rsidP="00364680">
      <w:pPr>
        <w:pStyle w:val="TOC2"/>
        <w:rPr>
          <w:rFonts w:cs="Times New Roman"/>
          <w:b/>
        </w:rPr>
      </w:pPr>
      <w:hyperlink w:anchor="_Toc499716242" w:history="1">
        <w:r w:rsidR="00A151BF" w:rsidRPr="00A151BF">
          <w:rPr>
            <w:rStyle w:val="Hyperlink"/>
            <w:color w:val="auto"/>
          </w:rPr>
          <w:t>7.33</w:t>
        </w:r>
        <w:r w:rsidR="00A151BF" w:rsidRPr="00A151BF">
          <w:rPr>
            <w:rFonts w:cs="Times New Roman"/>
          </w:rPr>
          <w:tab/>
        </w:r>
        <w:r w:rsidR="00A151BF" w:rsidRPr="00A151BF">
          <w:rPr>
            <w:rStyle w:val="Hyperlink"/>
            <w:color w:val="auto"/>
          </w:rPr>
          <w:t>The Committee recommends the ACT Electoral Commissioner investigate and report on the possible use of Australian Consular and diplomatic posts overseas, as an alternative voting option for electors who are overseas.</w:t>
        </w:r>
      </w:hyperlink>
    </w:p>
    <w:p w:rsidR="00A151BF" w:rsidRPr="00A151BF" w:rsidRDefault="00A151BF" w:rsidP="00A151BF">
      <w:pPr>
        <w:pStyle w:val="TOC1"/>
        <w:rPr>
          <w:color w:val="auto"/>
          <w:sz w:val="22"/>
        </w:rPr>
      </w:pPr>
    </w:p>
    <w:p w:rsidR="00A151BF" w:rsidRPr="00A151BF" w:rsidRDefault="00C70C3B" w:rsidP="00A151BF">
      <w:pPr>
        <w:pStyle w:val="TOC1"/>
        <w:rPr>
          <w:rFonts w:cs="Times New Roman"/>
          <w:b w:val="0"/>
          <w:smallCaps w:val="0"/>
          <w:color w:val="auto"/>
          <w:spacing w:val="0"/>
          <w:sz w:val="22"/>
          <w:lang w:eastAsia="en-AU"/>
        </w:rPr>
      </w:pPr>
      <w:hyperlink w:anchor="_Toc499716243" w:history="1">
        <w:r w:rsidR="00A151BF" w:rsidRPr="00A151BF">
          <w:rPr>
            <w:rStyle w:val="Hyperlink"/>
            <w:color w:val="auto"/>
          </w:rPr>
          <w:t>Recommendation 17</w:t>
        </w:r>
      </w:hyperlink>
    </w:p>
    <w:p w:rsidR="00A151BF" w:rsidRPr="00A151BF" w:rsidRDefault="00C70C3B" w:rsidP="00364680">
      <w:pPr>
        <w:pStyle w:val="TOC2"/>
        <w:rPr>
          <w:rFonts w:cs="Times New Roman"/>
          <w:b/>
        </w:rPr>
      </w:pPr>
      <w:hyperlink w:anchor="_Toc499716244" w:history="1">
        <w:r w:rsidR="00A151BF" w:rsidRPr="00A151BF">
          <w:rPr>
            <w:rStyle w:val="Hyperlink"/>
            <w:color w:val="auto"/>
          </w:rPr>
          <w:t>7.34</w:t>
        </w:r>
        <w:r w:rsidR="00A151BF" w:rsidRPr="00A151BF">
          <w:rPr>
            <w:rFonts w:cs="Times New Roman"/>
          </w:rPr>
          <w:tab/>
        </w:r>
        <w:r w:rsidR="00A151BF" w:rsidRPr="00A151BF">
          <w:rPr>
            <w:rStyle w:val="Hyperlink"/>
            <w:color w:val="auto"/>
          </w:rPr>
          <w:t>The Committee recommends that the ACT Electoral Commissioner report to the Assembly, by the last sitting day in June 2018, the results of the investigation into the provision of both a limited electronic voting option for electors who are overseas and a similar electronic voting option for blind and visually impaired electors.</w:t>
        </w:r>
      </w:hyperlink>
    </w:p>
    <w:p w:rsidR="004E05BB" w:rsidRPr="00C73C41" w:rsidRDefault="004E05BB" w:rsidP="00C73C41"/>
    <w:sectPr w:rsidR="004E05BB" w:rsidRPr="00C73C4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F13" w:rsidRDefault="00B02F13" w:rsidP="00C73C41">
      <w:r>
        <w:separator/>
      </w:r>
    </w:p>
  </w:endnote>
  <w:endnote w:type="continuationSeparator" w:id="0">
    <w:p w:rsidR="00B02F13" w:rsidRDefault="00B02F13" w:rsidP="00C7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C41" w:rsidRDefault="00C73C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C41" w:rsidRDefault="00C73C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C41" w:rsidRDefault="00C73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F13" w:rsidRDefault="00B02F13" w:rsidP="00C73C41">
      <w:r>
        <w:separator/>
      </w:r>
    </w:p>
  </w:footnote>
  <w:footnote w:type="continuationSeparator" w:id="0">
    <w:p w:rsidR="00B02F13" w:rsidRDefault="00B02F13" w:rsidP="00C73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C41" w:rsidRDefault="00C73C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C41" w:rsidRDefault="00C73C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C41" w:rsidRDefault="00C73C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2873"/>
    <w:multiLevelType w:val="hybridMultilevel"/>
    <w:tmpl w:val="142C374E"/>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14006A1D"/>
    <w:multiLevelType w:val="multilevel"/>
    <w:tmpl w:val="80C0D0A2"/>
    <w:lvl w:ilvl="0">
      <w:start w:val="1"/>
      <w:numFmt w:val="decimal"/>
      <w:lvlText w:val="%1."/>
      <w:lvlJc w:val="left"/>
      <w:pPr>
        <w:ind w:left="360" w:hanging="360"/>
      </w:pPr>
    </w:lvl>
    <w:lvl w:ilvl="1">
      <w:start w:val="2"/>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2" w15:restartNumberingAfterBreak="0">
    <w:nsid w:val="39134D39"/>
    <w:multiLevelType w:val="multilevel"/>
    <w:tmpl w:val="B23A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E9049E"/>
    <w:multiLevelType w:val="hybridMultilevel"/>
    <w:tmpl w:val="8C7CD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3F25C3"/>
    <w:multiLevelType w:val="multilevel"/>
    <w:tmpl w:val="D388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C41"/>
    <w:rsid w:val="000347AF"/>
    <w:rsid w:val="002D6B1A"/>
    <w:rsid w:val="0032269F"/>
    <w:rsid w:val="0035329E"/>
    <w:rsid w:val="00364680"/>
    <w:rsid w:val="00381693"/>
    <w:rsid w:val="004C0F4C"/>
    <w:rsid w:val="004E05BB"/>
    <w:rsid w:val="006376BE"/>
    <w:rsid w:val="006B0A5C"/>
    <w:rsid w:val="007E1B9F"/>
    <w:rsid w:val="00A151BF"/>
    <w:rsid w:val="00B02F13"/>
    <w:rsid w:val="00C70C3B"/>
    <w:rsid w:val="00C73C41"/>
    <w:rsid w:val="00CC45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E6043ED-2B1B-4D62-A84C-CC436BE0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C41"/>
    <w:pPr>
      <w:spacing w:after="0" w:line="240" w:lineRule="auto"/>
    </w:pPr>
    <w:rPr>
      <w:rFonts w:ascii="Palatino Linotype" w:eastAsia="Times New Roman" w:hAnsi="Palatino Linotype" w:cs="Times New Roman"/>
      <w:sz w:val="24"/>
      <w:szCs w:val="20"/>
      <w:lang w:val="en-GB"/>
    </w:rPr>
  </w:style>
  <w:style w:type="paragraph" w:styleId="Heading2">
    <w:name w:val="heading 2"/>
    <w:basedOn w:val="Normal"/>
    <w:link w:val="Heading2Char"/>
    <w:uiPriority w:val="9"/>
    <w:qFormat/>
    <w:rsid w:val="00C73C41"/>
    <w:pPr>
      <w:spacing w:before="100" w:beforeAutospacing="1" w:after="100" w:afterAutospacing="1"/>
      <w:outlineLvl w:val="1"/>
    </w:pPr>
    <w:rPr>
      <w:rFonts w:ascii="Times New Roman" w:hAnsi="Times New Roman"/>
      <w:b/>
      <w:bCs/>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73C41"/>
    <w:pPr>
      <w:tabs>
        <w:tab w:val="center" w:pos="4513"/>
        <w:tab w:val="right" w:pos="9026"/>
      </w:tabs>
    </w:pPr>
  </w:style>
  <w:style w:type="character" w:customStyle="1" w:styleId="HeaderChar">
    <w:name w:val="Header Char"/>
    <w:basedOn w:val="DefaultParagraphFont"/>
    <w:link w:val="Header"/>
    <w:rsid w:val="00C73C41"/>
  </w:style>
  <w:style w:type="paragraph" w:styleId="Footer">
    <w:name w:val="footer"/>
    <w:basedOn w:val="Normal"/>
    <w:link w:val="FooterChar"/>
    <w:uiPriority w:val="99"/>
    <w:unhideWhenUsed/>
    <w:rsid w:val="00C73C41"/>
    <w:pPr>
      <w:tabs>
        <w:tab w:val="center" w:pos="4513"/>
        <w:tab w:val="right" w:pos="9026"/>
      </w:tabs>
    </w:pPr>
  </w:style>
  <w:style w:type="character" w:customStyle="1" w:styleId="FooterChar">
    <w:name w:val="Footer Char"/>
    <w:basedOn w:val="DefaultParagraphFont"/>
    <w:link w:val="Footer"/>
    <w:uiPriority w:val="99"/>
    <w:rsid w:val="00C73C41"/>
  </w:style>
  <w:style w:type="character" w:customStyle="1" w:styleId="Agendasub-itemChar">
    <w:name w:val="Agenda sub-item Char"/>
    <w:basedOn w:val="DefaultParagraphFont"/>
    <w:link w:val="Agendasub-item"/>
    <w:locked/>
    <w:rsid w:val="00C73C41"/>
    <w:rPr>
      <w:rFonts w:ascii="Calibri" w:hAnsi="Calibri" w:cs="Calibri"/>
      <w:color w:val="000000"/>
    </w:rPr>
  </w:style>
  <w:style w:type="paragraph" w:customStyle="1" w:styleId="Agendasub-item">
    <w:name w:val="Agenda sub-item"/>
    <w:basedOn w:val="Normal"/>
    <w:link w:val="Agendasub-itemChar"/>
    <w:qFormat/>
    <w:rsid w:val="00C73C41"/>
    <w:pPr>
      <w:spacing w:after="120" w:line="300" w:lineRule="exact"/>
      <w:ind w:left="340"/>
    </w:pPr>
    <w:rPr>
      <w:rFonts w:ascii="Calibri" w:eastAsiaTheme="minorHAnsi" w:hAnsi="Calibri" w:cs="Calibri"/>
      <w:color w:val="000000"/>
      <w:sz w:val="22"/>
      <w:szCs w:val="22"/>
      <w:lang w:val="en-AU"/>
    </w:rPr>
  </w:style>
  <w:style w:type="character" w:customStyle="1" w:styleId="Heading2Char">
    <w:name w:val="Heading 2 Char"/>
    <w:basedOn w:val="DefaultParagraphFont"/>
    <w:link w:val="Heading2"/>
    <w:uiPriority w:val="9"/>
    <w:rsid w:val="00C73C41"/>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C73C41"/>
    <w:pPr>
      <w:spacing w:before="100" w:beforeAutospacing="1" w:after="100" w:afterAutospacing="1"/>
    </w:pPr>
    <w:rPr>
      <w:rFonts w:ascii="Times New Roman" w:hAnsi="Times New Roman"/>
      <w:szCs w:val="24"/>
      <w:lang w:val="en-AU" w:eastAsia="en-AU"/>
    </w:rPr>
  </w:style>
  <w:style w:type="character" w:styleId="Strong">
    <w:name w:val="Strong"/>
    <w:basedOn w:val="DefaultParagraphFont"/>
    <w:uiPriority w:val="22"/>
    <w:qFormat/>
    <w:rsid w:val="00C73C41"/>
    <w:rPr>
      <w:b/>
      <w:bCs/>
    </w:rPr>
  </w:style>
  <w:style w:type="character" w:styleId="Hyperlink">
    <w:name w:val="Hyperlink"/>
    <w:basedOn w:val="DefaultParagraphFont"/>
    <w:uiPriority w:val="99"/>
    <w:unhideWhenUsed/>
    <w:rsid w:val="00C73C41"/>
    <w:rPr>
      <w:color w:val="0000FF"/>
      <w:u w:val="single"/>
    </w:rPr>
  </w:style>
  <w:style w:type="character" w:styleId="Emphasis">
    <w:name w:val="Emphasis"/>
    <w:basedOn w:val="DefaultParagraphFont"/>
    <w:uiPriority w:val="20"/>
    <w:qFormat/>
    <w:rsid w:val="00C73C41"/>
    <w:rPr>
      <w:i/>
      <w:iCs/>
    </w:rPr>
  </w:style>
  <w:style w:type="paragraph" w:styleId="TOC1">
    <w:name w:val="toc 1"/>
    <w:next w:val="Normal"/>
    <w:autoRedefine/>
    <w:uiPriority w:val="39"/>
    <w:rsid w:val="00A151BF"/>
    <w:pPr>
      <w:tabs>
        <w:tab w:val="left" w:pos="1588"/>
        <w:tab w:val="right" w:leader="dot" w:pos="9061"/>
      </w:tabs>
      <w:spacing w:before="180" w:after="40" w:line="312" w:lineRule="auto"/>
      <w:ind w:left="1020" w:hanging="340"/>
    </w:pPr>
    <w:rPr>
      <w:rFonts w:ascii="Calibri" w:eastAsia="Times New Roman" w:hAnsi="Calibri" w:cs="Calibri"/>
      <w:b/>
      <w:smallCaps/>
      <w:noProof/>
      <w:color w:val="000000"/>
      <w:spacing w:val="40"/>
      <w:sz w:val="24"/>
    </w:rPr>
  </w:style>
  <w:style w:type="paragraph" w:styleId="TOC2">
    <w:name w:val="toc 2"/>
    <w:autoRedefine/>
    <w:uiPriority w:val="39"/>
    <w:rsid w:val="00364680"/>
    <w:pPr>
      <w:tabs>
        <w:tab w:val="left" w:pos="1021"/>
        <w:tab w:val="left" w:pos="1680"/>
        <w:tab w:val="right" w:leader="dot" w:pos="9061"/>
      </w:tabs>
      <w:spacing w:before="40" w:after="0" w:line="312" w:lineRule="auto"/>
    </w:pPr>
    <w:rPr>
      <w:rFonts w:ascii="Calibri" w:eastAsia="Times New Roman" w:hAnsi="Calibri" w:cs="Aharoni"/>
      <w:noProof/>
      <w:lang w:eastAsia="en-AU"/>
    </w:rPr>
  </w:style>
  <w:style w:type="character" w:styleId="FollowedHyperlink">
    <w:name w:val="FollowedHyperlink"/>
    <w:basedOn w:val="DefaultParagraphFont"/>
    <w:uiPriority w:val="99"/>
    <w:semiHidden/>
    <w:unhideWhenUsed/>
    <w:rsid w:val="00364680"/>
    <w:rPr>
      <w:color w:val="954F72" w:themeColor="followedHyperlink"/>
      <w:u w:val="single"/>
    </w:rPr>
  </w:style>
  <w:style w:type="paragraph" w:customStyle="1" w:styleId="Customheader">
    <w:name w:val="Custom header"/>
    <w:rsid w:val="00364680"/>
    <w:pPr>
      <w:keepNext/>
      <w:widowControl w:val="0"/>
      <w:spacing w:after="0" w:line="240" w:lineRule="auto"/>
      <w:jc w:val="both"/>
    </w:pPr>
    <w:rPr>
      <w:rFonts w:ascii="Cambria" w:eastAsia="Times New Roman" w:hAnsi="Cambria" w:cs="Calibri"/>
      <w:smallCaps/>
      <w:sz w:val="28"/>
      <w:szCs w:val="28"/>
    </w:rPr>
  </w:style>
  <w:style w:type="paragraph" w:styleId="ListParagraph">
    <w:name w:val="List Paragraph"/>
    <w:basedOn w:val="Normal"/>
    <w:uiPriority w:val="34"/>
    <w:qFormat/>
    <w:rsid w:val="00034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897262">
      <w:bodyDiv w:val="1"/>
      <w:marLeft w:val="0"/>
      <w:marRight w:val="0"/>
      <w:marTop w:val="0"/>
      <w:marBottom w:val="0"/>
      <w:divBdr>
        <w:top w:val="none" w:sz="0" w:space="0" w:color="auto"/>
        <w:left w:val="none" w:sz="0" w:space="0" w:color="auto"/>
        <w:bottom w:val="none" w:sz="0" w:space="0" w:color="auto"/>
        <w:right w:val="none" w:sz="0" w:space="0" w:color="auto"/>
      </w:divBdr>
      <w:divsChild>
        <w:div w:id="1365059578">
          <w:marLeft w:val="0"/>
          <w:marRight w:val="0"/>
          <w:marTop w:val="0"/>
          <w:marBottom w:val="0"/>
          <w:divBdr>
            <w:top w:val="none" w:sz="0" w:space="0" w:color="auto"/>
            <w:left w:val="none" w:sz="0" w:space="0" w:color="auto"/>
            <w:bottom w:val="none" w:sz="0" w:space="0" w:color="auto"/>
            <w:right w:val="none" w:sz="0" w:space="0" w:color="auto"/>
          </w:divBdr>
        </w:div>
      </w:divsChild>
    </w:div>
    <w:div w:id="1470515838">
      <w:bodyDiv w:val="1"/>
      <w:marLeft w:val="0"/>
      <w:marRight w:val="0"/>
      <w:marTop w:val="0"/>
      <w:marBottom w:val="0"/>
      <w:divBdr>
        <w:top w:val="none" w:sz="0" w:space="0" w:color="auto"/>
        <w:left w:val="none" w:sz="0" w:space="0" w:color="auto"/>
        <w:bottom w:val="none" w:sz="0" w:space="0" w:color="auto"/>
        <w:right w:val="none" w:sz="0" w:space="0" w:color="auto"/>
      </w:divBdr>
    </w:div>
    <w:div w:id="166168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arliament.act.gov.au/in-committees/select_committees/2016-ACT-Election-and-Electoral-Act/inquiry-into-the-operation-of-the-2016-act-election-and-the-electoral-ac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366CCA39-33C1-4252-8069-E9858F74D5A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1253</Words>
  <Characters>7310</Characters>
  <Application>Microsoft Office Word</Application>
  <DocSecurity>0</DocSecurity>
  <Lines>152</Lines>
  <Paragraphs>88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Snedden, Andrew</dc:creator>
  <cp:keywords/>
  <dc:description/>
  <cp:lastModifiedBy>Griffiths, Thomas</cp:lastModifiedBy>
  <cp:revision>2</cp:revision>
  <dcterms:created xsi:type="dcterms:W3CDTF">2017-11-30T05:50:00Z</dcterms:created>
  <dcterms:modified xsi:type="dcterms:W3CDTF">2017-11-30T05:50:00Z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25f622fd-fc2b-4a81-8284-65ee71069d8c</vt:lpwstr>
  </property>
  <property fmtid="{D5CDD505-2E9C-101B-9397-08002B2CF9AE}" pid="3" name="bjSaver">
    <vt:lpwstr>cdqzTdEF9C6qksYJ9OJZyfShrUPqFdzX</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