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BC" w:rsidRDefault="00D561BC" w:rsidP="00BB6A15">
      <w:pPr>
        <w:pStyle w:val="Prelimminorheading"/>
        <w:numPr>
          <w:ilvl w:val="0"/>
          <w:numId w:val="0"/>
        </w:numPr>
        <w:spacing w:after="8400"/>
      </w:pPr>
    </w:p>
    <w:p w:rsidR="008909CB" w:rsidRDefault="00A15671" w:rsidP="008909CB">
      <w:pPr>
        <w:pStyle w:val="Reporttitle"/>
      </w:pPr>
      <w:r>
        <w:t>Inquiry into standing order 241—Disclosure of proceedings, evidence and documents of committees</w:t>
      </w:r>
    </w:p>
    <w:p w:rsidR="008909CB" w:rsidRDefault="004E3063" w:rsidP="00F22201">
      <w:pPr>
        <w:pStyle w:val="Committeename"/>
        <w:spacing w:before="480" w:after="480"/>
      </w:pPr>
      <w:r>
        <w:t>Standing Committee on Administration and Procedure</w:t>
      </w:r>
    </w:p>
    <w:p w:rsidR="008909CB" w:rsidRDefault="00CC1740" w:rsidP="00F22201">
      <w:pPr>
        <w:pStyle w:val="Reportdate"/>
        <w:spacing w:after="360"/>
      </w:pPr>
      <w:r>
        <w:t>SEPTEMBER</w:t>
      </w:r>
      <w:r w:rsidR="004E3063">
        <w:t xml:space="preserve"> 2014</w:t>
      </w:r>
    </w:p>
    <w:p w:rsidR="00731E49" w:rsidRDefault="008909CB" w:rsidP="00F22201">
      <w:pPr>
        <w:pStyle w:val="Reportnumber"/>
        <w:spacing w:before="720"/>
      </w:pPr>
      <w:r>
        <w:t xml:space="preserve">Report </w:t>
      </w:r>
      <w:r w:rsidR="00A15671">
        <w:t>4</w:t>
      </w:r>
    </w:p>
    <w:p w:rsidR="00213BD6" w:rsidRDefault="00731E49" w:rsidP="00F22201">
      <w:pPr>
        <w:pStyle w:val="Reportnumber"/>
        <w:spacing w:before="720"/>
      </w:pPr>
      <w:r>
        <w:br w:type="page"/>
      </w:r>
      <w:r>
        <w:lastRenderedPageBreak/>
        <w:br w:type="page"/>
      </w:r>
    </w:p>
    <w:p w:rsidR="004E3063" w:rsidRPr="00BD6446" w:rsidRDefault="004E3063" w:rsidP="004E3063">
      <w:pPr>
        <w:pStyle w:val="Prelimminorheading"/>
        <w:numPr>
          <w:ilvl w:val="0"/>
          <w:numId w:val="0"/>
        </w:numPr>
        <w:rPr>
          <w:spacing w:val="4"/>
          <w:sz w:val="30"/>
          <w:szCs w:val="30"/>
        </w:rPr>
      </w:pPr>
      <w:bookmarkStart w:id="0" w:name="_Toc170711045"/>
      <w:bookmarkStart w:id="1" w:name="_Toc341433411"/>
      <w:bookmarkStart w:id="2" w:name="_Toc341687854"/>
      <w:bookmarkStart w:id="3" w:name="_Toc388626229"/>
      <w:bookmarkStart w:id="4" w:name="_Toc399327235"/>
      <w:r w:rsidRPr="00BD6446">
        <w:rPr>
          <w:spacing w:val="4"/>
          <w:sz w:val="30"/>
          <w:szCs w:val="30"/>
        </w:rPr>
        <w:t>Committee membership</w:t>
      </w:r>
      <w:bookmarkEnd w:id="0"/>
      <w:bookmarkEnd w:id="1"/>
      <w:bookmarkEnd w:id="2"/>
      <w:bookmarkEnd w:id="3"/>
      <w:bookmarkEnd w:id="4"/>
    </w:p>
    <w:p w:rsidR="004E3063" w:rsidRDefault="004E3063" w:rsidP="004E3063">
      <w:pPr>
        <w:pStyle w:val="Bodytextnonumbering"/>
        <w:keepNext w:val="0"/>
      </w:pPr>
      <w:r>
        <w:t>Vicki Dunne MLA (Chair)</w:t>
      </w:r>
    </w:p>
    <w:p w:rsidR="004E3063" w:rsidRDefault="004E3063" w:rsidP="004E3063">
      <w:pPr>
        <w:pStyle w:val="Bodytextnonumbering"/>
        <w:keepNext w:val="0"/>
      </w:pPr>
      <w:r>
        <w:t>Mick Gentleman MLA</w:t>
      </w:r>
    </w:p>
    <w:p w:rsidR="004E3063" w:rsidRDefault="004E3063" w:rsidP="004E3063">
      <w:pPr>
        <w:pStyle w:val="Bodytextnonumbering"/>
        <w:keepNext w:val="0"/>
      </w:pPr>
      <w:r>
        <w:t>Shane Rattenbury MLA</w:t>
      </w:r>
    </w:p>
    <w:p w:rsidR="004E3063" w:rsidRDefault="004E3063" w:rsidP="004E3063">
      <w:pPr>
        <w:pStyle w:val="Bodytextnonumbering"/>
        <w:keepNext w:val="0"/>
      </w:pPr>
      <w:r>
        <w:t>Brendan Smyth MLA</w:t>
      </w:r>
    </w:p>
    <w:p w:rsidR="004E3063" w:rsidRDefault="004E3063" w:rsidP="004E3063">
      <w:pPr>
        <w:pStyle w:val="Prelimminorheading"/>
        <w:numPr>
          <w:ilvl w:val="0"/>
          <w:numId w:val="0"/>
        </w:numPr>
      </w:pPr>
    </w:p>
    <w:p w:rsidR="004E3063" w:rsidRPr="00F14364" w:rsidRDefault="004E3063" w:rsidP="004E3063">
      <w:pPr>
        <w:pStyle w:val="Secretariat"/>
      </w:pPr>
      <w:bookmarkStart w:id="5" w:name="_Toc170711046"/>
      <w:bookmarkStart w:id="6" w:name="_Toc341433413"/>
      <w:bookmarkStart w:id="7" w:name="_Toc341687856"/>
      <w:bookmarkStart w:id="8" w:name="_Toc388626230"/>
      <w:bookmarkStart w:id="9" w:name="_Toc399327236"/>
      <w:r w:rsidRPr="00F74C60">
        <w:t>Secretariat</w:t>
      </w:r>
      <w:bookmarkEnd w:id="5"/>
      <w:bookmarkEnd w:id="6"/>
      <w:bookmarkEnd w:id="7"/>
      <w:bookmarkEnd w:id="8"/>
      <w:bookmarkEnd w:id="9"/>
    </w:p>
    <w:p w:rsidR="004E3063" w:rsidRDefault="004E3063" w:rsidP="004E3063">
      <w:pPr>
        <w:pStyle w:val="Bodytextnonumbering"/>
        <w:keepNext w:val="0"/>
      </w:pPr>
      <w:r>
        <w:t>Tom Duncan (Secretary)</w:t>
      </w:r>
    </w:p>
    <w:p w:rsidR="004E3063" w:rsidRDefault="004E3063" w:rsidP="004E3063">
      <w:pPr>
        <w:pStyle w:val="Bodytextnonumbering"/>
        <w:keepNext w:val="0"/>
      </w:pPr>
      <w:r>
        <w:t>Janice Rafferty (Assistant Secretary)</w:t>
      </w:r>
    </w:p>
    <w:p w:rsidR="00465875" w:rsidRDefault="00465875" w:rsidP="004E3063">
      <w:pPr>
        <w:pStyle w:val="Bodytextnonumbering"/>
        <w:keepNext w:val="0"/>
      </w:pPr>
      <w:r>
        <w:t>Celeste Italiano (Inquiry Assistant)</w:t>
      </w:r>
    </w:p>
    <w:p w:rsidR="004E3063" w:rsidRDefault="004E3063" w:rsidP="004E3063">
      <w:pPr>
        <w:pStyle w:val="Prelimminorheading"/>
        <w:numPr>
          <w:ilvl w:val="0"/>
          <w:numId w:val="0"/>
        </w:numPr>
      </w:pPr>
    </w:p>
    <w:p w:rsidR="004E3063" w:rsidRPr="00026EDC" w:rsidRDefault="004E3063" w:rsidP="004E3063">
      <w:pPr>
        <w:pStyle w:val="Contactinformation"/>
        <w:rPr>
          <w:sz w:val="30"/>
          <w:szCs w:val="30"/>
        </w:rPr>
      </w:pPr>
      <w:bookmarkStart w:id="10" w:name="_Toc162949737"/>
      <w:bookmarkStart w:id="11" w:name="_Toc170711047"/>
      <w:bookmarkStart w:id="12" w:name="_Toc341433415"/>
      <w:bookmarkStart w:id="13" w:name="_Toc341687858"/>
      <w:bookmarkStart w:id="14" w:name="_Toc388626231"/>
      <w:bookmarkStart w:id="15" w:name="_Toc399327237"/>
      <w:r w:rsidRPr="00026EDC">
        <w:rPr>
          <w:sz w:val="30"/>
          <w:szCs w:val="30"/>
        </w:rPr>
        <w:t>Contact information</w:t>
      </w:r>
      <w:bookmarkEnd w:id="10"/>
      <w:bookmarkEnd w:id="11"/>
      <w:bookmarkEnd w:id="12"/>
      <w:bookmarkEnd w:id="13"/>
      <w:bookmarkEnd w:id="14"/>
      <w:bookmarkEnd w:id="15"/>
    </w:p>
    <w:p w:rsidR="004E3063" w:rsidRPr="00EC5178" w:rsidRDefault="004E3063" w:rsidP="004E3063">
      <w:pPr>
        <w:pStyle w:val="StyleBodytextnonumberingBefore0ptAfter0ptLinesp"/>
      </w:pPr>
    </w:p>
    <w:p w:rsidR="004E3063" w:rsidRDefault="004E3063" w:rsidP="009E7899">
      <w:pPr>
        <w:pStyle w:val="StyleBodytextnonumberingBefore0ptAfter0ptLinesp"/>
        <w:spacing w:before="160" w:after="80" w:line="288" w:lineRule="auto"/>
      </w:pPr>
      <w:bookmarkStart w:id="16" w:name="_Toc341433416"/>
      <w:bookmarkStart w:id="17" w:name="_Toc341687859"/>
      <w:r>
        <w:t>Telephone</w:t>
      </w:r>
      <w:r>
        <w:tab/>
        <w:t>02 6205 0173</w:t>
      </w:r>
      <w:bookmarkEnd w:id="16"/>
      <w:bookmarkEnd w:id="17"/>
    </w:p>
    <w:p w:rsidR="004E3063" w:rsidRDefault="004E3063" w:rsidP="009E7899">
      <w:pPr>
        <w:pStyle w:val="StyleBodytextnonumberingBefore0ptAfter0ptLinesp"/>
        <w:spacing w:before="160" w:after="80" w:line="288" w:lineRule="auto"/>
      </w:pPr>
      <w:bookmarkStart w:id="18" w:name="_Toc341433417"/>
      <w:bookmarkStart w:id="19" w:name="_Toc341687860"/>
      <w:r>
        <w:t>Facsimile</w:t>
      </w:r>
      <w:r>
        <w:tab/>
        <w:t xml:space="preserve">02 6205 </w:t>
      </w:r>
      <w:bookmarkEnd w:id="18"/>
      <w:bookmarkEnd w:id="19"/>
      <w:r>
        <w:t>3109</w:t>
      </w:r>
    </w:p>
    <w:p w:rsidR="004E3063" w:rsidRDefault="004E3063" w:rsidP="009E7899">
      <w:pPr>
        <w:pStyle w:val="StyleBodytextnonumberingBefore0ptAfter0ptLinesp"/>
        <w:spacing w:before="160" w:after="80" w:line="288" w:lineRule="auto"/>
      </w:pPr>
      <w:bookmarkStart w:id="20" w:name="_Toc341433418"/>
      <w:bookmarkStart w:id="21" w:name="_Toc341687861"/>
      <w:r>
        <w:t>Post</w:t>
      </w:r>
      <w:r>
        <w:tab/>
      </w:r>
      <w:r>
        <w:tab/>
        <w:t>GPO Box 1020, CANBERRA ACT 2601</w:t>
      </w:r>
      <w:bookmarkEnd w:id="20"/>
      <w:bookmarkEnd w:id="21"/>
    </w:p>
    <w:p w:rsidR="004E3063" w:rsidRPr="005B60C2" w:rsidRDefault="004E3063" w:rsidP="009E7899">
      <w:pPr>
        <w:pStyle w:val="StyleBodytextnonumberingBefore0ptAfter0ptLinesp"/>
        <w:spacing w:before="160" w:after="80" w:line="288" w:lineRule="auto"/>
      </w:pPr>
      <w:bookmarkStart w:id="22" w:name="_Toc341433419"/>
      <w:bookmarkStart w:id="23" w:name="_Toc341687862"/>
      <w:r>
        <w:t>Email</w:t>
      </w:r>
      <w:r>
        <w:tab/>
      </w:r>
      <w:r>
        <w:tab/>
      </w:r>
      <w:bookmarkEnd w:id="22"/>
      <w:bookmarkEnd w:id="23"/>
      <w:r>
        <w:t>tom.duncan@parliament.act.gov.au</w:t>
      </w:r>
    </w:p>
    <w:p w:rsidR="004E3063" w:rsidRPr="005B60C2" w:rsidRDefault="004E3063" w:rsidP="009E7899">
      <w:pPr>
        <w:pStyle w:val="StyleBodytextnonumberingBefore0ptAfter0ptLinesp"/>
        <w:spacing w:before="160" w:after="80" w:line="288" w:lineRule="auto"/>
      </w:pPr>
      <w:bookmarkStart w:id="24" w:name="_Toc341433420"/>
      <w:bookmarkStart w:id="25" w:name="_Toc341687863"/>
      <w:r w:rsidRPr="005B60C2">
        <w:t>Website</w:t>
      </w:r>
      <w:r w:rsidRPr="005B60C2">
        <w:tab/>
      </w:r>
      <w:hyperlink r:id="rId8" w:history="1">
        <w:r w:rsidRPr="005B60C2">
          <w:rPr>
            <w:rStyle w:val="Hyperlink"/>
            <w:color w:val="auto"/>
            <w:u w:val="none"/>
          </w:rPr>
          <w:t>www.parliament.act.gov.au</w:t>
        </w:r>
        <w:bookmarkEnd w:id="24"/>
        <w:bookmarkEnd w:id="25"/>
      </w:hyperlink>
      <w:r w:rsidRPr="005B60C2">
        <w:t xml:space="preserve"> </w:t>
      </w:r>
    </w:p>
    <w:p w:rsidR="002E676A" w:rsidRPr="00C2492A" w:rsidRDefault="002E676A" w:rsidP="002E676A">
      <w:pPr>
        <w:pStyle w:val="Prelimminorheading"/>
        <w:numPr>
          <w:ilvl w:val="0"/>
          <w:numId w:val="0"/>
        </w:numPr>
        <w:rPr>
          <w:sz w:val="30"/>
          <w:szCs w:val="30"/>
        </w:rPr>
      </w:pPr>
      <w:r>
        <w:br w:type="page"/>
      </w:r>
      <w:bookmarkStart w:id="26" w:name="_Toc162949738"/>
      <w:bookmarkStart w:id="27" w:name="_Toc170711048"/>
      <w:bookmarkStart w:id="28" w:name="_Toc341433421"/>
      <w:bookmarkStart w:id="29" w:name="_Toc341687864"/>
      <w:bookmarkStart w:id="30" w:name="_Toc399327238"/>
      <w:r w:rsidR="00AF784F" w:rsidRPr="00C2492A">
        <w:rPr>
          <w:sz w:val="30"/>
          <w:szCs w:val="30"/>
        </w:rPr>
        <w:lastRenderedPageBreak/>
        <w:t>Resolution of a</w:t>
      </w:r>
      <w:r w:rsidRPr="00C2492A">
        <w:rPr>
          <w:sz w:val="30"/>
          <w:szCs w:val="30"/>
        </w:rPr>
        <w:t>ppointment</w:t>
      </w:r>
      <w:bookmarkEnd w:id="26"/>
      <w:bookmarkEnd w:id="27"/>
      <w:bookmarkEnd w:id="28"/>
      <w:bookmarkEnd w:id="29"/>
      <w:bookmarkEnd w:id="30"/>
    </w:p>
    <w:p w:rsidR="004E3063" w:rsidRPr="0003237E" w:rsidRDefault="004E3063" w:rsidP="004E3063">
      <w:pPr>
        <w:pStyle w:val="Bodytextnonumbering"/>
        <w:rPr>
          <w:rFonts w:asciiTheme="minorHAnsi" w:hAnsiTheme="minorHAnsi"/>
        </w:rPr>
      </w:pPr>
      <w:bookmarkStart w:id="31" w:name="_Toc204593036"/>
      <w:bookmarkStart w:id="32" w:name="_Toc205614613"/>
      <w:r w:rsidRPr="0003237E">
        <w:rPr>
          <w:rFonts w:asciiTheme="minorHAnsi" w:hAnsiTheme="minorHAnsi"/>
        </w:rPr>
        <w:t>In 1995 the Legislative Assembly for the Australian Capital Territory (‘the Assembly’) amended Standing Order 16, which established the Standing Committee on Administration and Procedure (‘the</w:t>
      </w:r>
      <w:r>
        <w:rPr>
          <w:rFonts w:asciiTheme="minorHAnsi" w:hAnsiTheme="minorHAnsi"/>
        </w:rPr>
        <w:t> </w:t>
      </w:r>
      <w:r w:rsidRPr="0003237E">
        <w:rPr>
          <w:rFonts w:asciiTheme="minorHAnsi" w:hAnsiTheme="minorHAnsi"/>
        </w:rPr>
        <w:t>Committee’).</w:t>
      </w:r>
      <w:bookmarkEnd w:id="31"/>
      <w:bookmarkEnd w:id="32"/>
    </w:p>
    <w:p w:rsidR="004E3063" w:rsidRPr="0003237E" w:rsidRDefault="004E3063" w:rsidP="004E3063">
      <w:pPr>
        <w:pStyle w:val="Bodytextnonumbering"/>
        <w:rPr>
          <w:rFonts w:asciiTheme="minorHAnsi" w:hAnsiTheme="minorHAnsi"/>
        </w:rPr>
      </w:pPr>
      <w:bookmarkStart w:id="33" w:name="_Toc204593037"/>
      <w:bookmarkStart w:id="34" w:name="_Toc205614614"/>
      <w:r w:rsidRPr="0003237E">
        <w:rPr>
          <w:rFonts w:asciiTheme="minorHAnsi" w:hAnsiTheme="minorHAnsi"/>
        </w:rPr>
        <w:t>Standing Order 16 authorises the Committee to inquire into and report on, among other things, the practices and procedure of the Assembly.</w:t>
      </w:r>
      <w:bookmarkEnd w:id="33"/>
      <w:bookmarkEnd w:id="34"/>
      <w:r w:rsidRPr="0003237E">
        <w:rPr>
          <w:rFonts w:asciiTheme="minorHAnsi" w:hAnsiTheme="minorHAnsi"/>
        </w:rPr>
        <w:t xml:space="preserve"> </w:t>
      </w:r>
    </w:p>
    <w:p w:rsidR="002E676A" w:rsidRDefault="002E676A" w:rsidP="00D50ADD">
      <w:pPr>
        <w:pStyle w:val="StyleBodytextnonumberingBefore0ptAfter0ptLinesp"/>
      </w:pPr>
    </w:p>
    <w:p w:rsidR="002E676A" w:rsidRPr="00C2492A" w:rsidRDefault="00AF784F" w:rsidP="002E676A">
      <w:pPr>
        <w:pStyle w:val="Prelimminorheading"/>
        <w:numPr>
          <w:ilvl w:val="0"/>
          <w:numId w:val="0"/>
        </w:numPr>
        <w:rPr>
          <w:sz w:val="30"/>
          <w:szCs w:val="30"/>
        </w:rPr>
      </w:pPr>
      <w:bookmarkStart w:id="35" w:name="_Toc162949739"/>
      <w:bookmarkStart w:id="36" w:name="_Toc170711049"/>
      <w:bookmarkStart w:id="37" w:name="_Toc341433422"/>
      <w:bookmarkStart w:id="38" w:name="_Toc341687866"/>
      <w:bookmarkStart w:id="39" w:name="_Toc399327239"/>
      <w:r w:rsidRPr="00C2492A">
        <w:rPr>
          <w:sz w:val="30"/>
          <w:szCs w:val="30"/>
        </w:rPr>
        <w:t>Terms of r</w:t>
      </w:r>
      <w:r w:rsidR="002E676A" w:rsidRPr="00C2492A">
        <w:rPr>
          <w:sz w:val="30"/>
          <w:szCs w:val="30"/>
        </w:rPr>
        <w:t>eference</w:t>
      </w:r>
      <w:bookmarkEnd w:id="35"/>
      <w:bookmarkEnd w:id="36"/>
      <w:bookmarkEnd w:id="37"/>
      <w:bookmarkEnd w:id="38"/>
      <w:bookmarkEnd w:id="39"/>
    </w:p>
    <w:p w:rsidR="004E3063" w:rsidRPr="0003237E" w:rsidRDefault="004E3063" w:rsidP="004E3063">
      <w:pPr>
        <w:pStyle w:val="Bodytextnonumbering"/>
        <w:rPr>
          <w:rFonts w:asciiTheme="minorHAnsi" w:hAnsiTheme="minorHAnsi"/>
        </w:rPr>
      </w:pPr>
      <w:r w:rsidRPr="0003237E">
        <w:rPr>
          <w:rFonts w:asciiTheme="minorHAnsi" w:hAnsiTheme="minorHAnsi"/>
        </w:rPr>
        <w:t xml:space="preserve">On </w:t>
      </w:r>
      <w:r w:rsidR="00CC1740">
        <w:rPr>
          <w:rFonts w:asciiTheme="minorHAnsi" w:hAnsiTheme="minorHAnsi"/>
        </w:rPr>
        <w:t xml:space="preserve">15 May </w:t>
      </w:r>
      <w:r w:rsidRPr="0003237E">
        <w:rPr>
          <w:rFonts w:asciiTheme="minorHAnsi" w:hAnsiTheme="minorHAnsi"/>
        </w:rPr>
        <w:t>201</w:t>
      </w:r>
      <w:r>
        <w:rPr>
          <w:rFonts w:asciiTheme="minorHAnsi" w:hAnsiTheme="minorHAnsi"/>
        </w:rPr>
        <w:t>4</w:t>
      </w:r>
      <w:r w:rsidRPr="0003237E">
        <w:rPr>
          <w:rFonts w:asciiTheme="minorHAnsi" w:hAnsiTheme="minorHAnsi"/>
        </w:rPr>
        <w:t>, M</w:t>
      </w:r>
      <w:r w:rsidR="00CC1740">
        <w:rPr>
          <w:rFonts w:asciiTheme="minorHAnsi" w:hAnsiTheme="minorHAnsi"/>
        </w:rPr>
        <w:t>r Rattenbury MLA</w:t>
      </w:r>
      <w:r w:rsidRPr="0003237E">
        <w:rPr>
          <w:rFonts w:asciiTheme="minorHAnsi" w:hAnsiTheme="minorHAnsi"/>
        </w:rPr>
        <w:t>, pursuant to notice, move</w:t>
      </w:r>
      <w:r>
        <w:rPr>
          <w:rFonts w:asciiTheme="minorHAnsi" w:hAnsiTheme="minorHAnsi"/>
        </w:rPr>
        <w:t>d</w:t>
      </w:r>
      <w:r w:rsidRPr="0003237E">
        <w:rPr>
          <w:rFonts w:asciiTheme="minorHAnsi" w:hAnsiTheme="minorHAnsi"/>
        </w:rPr>
        <w:t xml:space="preserve"> </w:t>
      </w:r>
      <w:r w:rsidR="00D96044">
        <w:rPr>
          <w:rFonts w:asciiTheme="minorHAnsi" w:hAnsiTheme="minorHAnsi"/>
        </w:rPr>
        <w:t>the following motion</w:t>
      </w:r>
      <w:r w:rsidR="00CC1740">
        <w:rPr>
          <w:rFonts w:asciiTheme="minorHAnsi" w:hAnsiTheme="minorHAnsi"/>
        </w:rPr>
        <w:t xml:space="preserve"> which</w:t>
      </w:r>
      <w:r w:rsidR="00D96044">
        <w:rPr>
          <w:rFonts w:asciiTheme="minorHAnsi" w:hAnsiTheme="minorHAnsi"/>
        </w:rPr>
        <w:t xml:space="preserve"> was agreed to by the Assembly:</w:t>
      </w:r>
    </w:p>
    <w:p w:rsidR="00D96044" w:rsidRPr="00F3449B" w:rsidRDefault="00D96044" w:rsidP="00B2509E">
      <w:pPr>
        <w:pStyle w:val="Bodytextnonumbering"/>
        <w:keepNext w:val="0"/>
      </w:pPr>
      <w:r>
        <w:t>“</w:t>
      </w:r>
      <w:r w:rsidRPr="00F3449B">
        <w:t>That:</w:t>
      </w:r>
    </w:p>
    <w:p w:rsidR="00CC1740" w:rsidRDefault="00D96044" w:rsidP="00CC1740">
      <w:pPr>
        <w:pStyle w:val="Bodytextnonumbering"/>
        <w:keepNext w:val="0"/>
        <w:ind w:left="720" w:hanging="720"/>
        <w:rPr>
          <w:rFonts w:asciiTheme="minorHAnsi" w:hAnsiTheme="minorHAnsi"/>
          <w:iCs w:val="0"/>
        </w:rPr>
      </w:pPr>
      <w:r w:rsidRPr="00B2509E">
        <w:rPr>
          <w:rFonts w:asciiTheme="minorHAnsi" w:hAnsiTheme="minorHAnsi"/>
          <w:iCs w:val="0"/>
        </w:rPr>
        <w:t>(1)</w:t>
      </w:r>
      <w:r w:rsidRPr="00B2509E">
        <w:rPr>
          <w:rFonts w:asciiTheme="minorHAnsi" w:hAnsiTheme="minorHAnsi"/>
          <w:iCs w:val="0"/>
        </w:rPr>
        <w:tab/>
      </w:r>
      <w:r w:rsidR="00CC1740">
        <w:rPr>
          <w:rFonts w:asciiTheme="minorHAnsi" w:hAnsiTheme="minorHAnsi"/>
          <w:iCs w:val="0"/>
        </w:rPr>
        <w:t>standing order 241 (Disclosure of proceedings, evidence and documents) be referred to the Standing Committee on Administration and Procedure for inquiry and report with particular reference to be made to the practice of the New Zealand Parliament; and</w:t>
      </w:r>
    </w:p>
    <w:p w:rsidR="00CC1740" w:rsidRDefault="00CC1740" w:rsidP="00CC1740">
      <w:pPr>
        <w:pStyle w:val="Bodytextnonumbering"/>
        <w:keepNext w:val="0"/>
        <w:ind w:left="720" w:hanging="720"/>
        <w:rPr>
          <w:rFonts w:asciiTheme="minorHAnsi" w:hAnsiTheme="minorHAnsi"/>
          <w:iCs w:val="0"/>
        </w:rPr>
      </w:pPr>
      <w:r>
        <w:rPr>
          <w:rFonts w:asciiTheme="minorHAnsi" w:hAnsiTheme="minorHAnsi"/>
          <w:iCs w:val="0"/>
        </w:rPr>
        <w:t>(2)</w:t>
      </w:r>
      <w:r>
        <w:rPr>
          <w:rFonts w:asciiTheme="minorHAnsi" w:hAnsiTheme="minorHAnsi"/>
          <w:iCs w:val="0"/>
        </w:rPr>
        <w:tab/>
        <w:t>the Committee report back to the Assembly at the first sitting in September 2014.”.</w:t>
      </w:r>
    </w:p>
    <w:p w:rsidR="00B2509E" w:rsidRDefault="00B2509E" w:rsidP="00B2509E">
      <w:pPr>
        <w:pStyle w:val="Bodytextnonumbering"/>
        <w:keepNext w:val="0"/>
        <w:ind w:left="720" w:hanging="720"/>
        <w:rPr>
          <w:rFonts w:asciiTheme="minorHAnsi" w:hAnsiTheme="minorHAnsi"/>
          <w:iCs w:val="0"/>
        </w:rPr>
      </w:pPr>
    </w:p>
    <w:p w:rsidR="00256637" w:rsidRPr="00B2509E" w:rsidRDefault="00256637" w:rsidP="00B2509E">
      <w:pPr>
        <w:pStyle w:val="Bodytextnonumbering"/>
        <w:keepNext w:val="0"/>
        <w:ind w:left="720" w:hanging="720"/>
        <w:rPr>
          <w:rFonts w:asciiTheme="minorHAnsi" w:hAnsiTheme="minorHAnsi"/>
          <w:iCs w:val="0"/>
        </w:rPr>
      </w:pPr>
    </w:p>
    <w:p w:rsidR="00D561BC" w:rsidRDefault="00D561BC" w:rsidP="00E13F34">
      <w:pPr>
        <w:pStyle w:val="TOCheading"/>
      </w:pPr>
      <w:bookmarkStart w:id="40" w:name="_Toc341433423"/>
      <w:bookmarkStart w:id="41" w:name="_Toc341687868"/>
      <w:r>
        <w:lastRenderedPageBreak/>
        <w:t>Table of contents</w:t>
      </w:r>
      <w:bookmarkEnd w:id="40"/>
      <w:bookmarkEnd w:id="41"/>
      <w:r>
        <w:t xml:space="preserve"> </w:t>
      </w:r>
    </w:p>
    <w:bookmarkStart w:id="42" w:name="_Toc341433424"/>
    <w:bookmarkStart w:id="43" w:name="_Toc341687869"/>
    <w:p w:rsidR="00AD1005" w:rsidRDefault="00A552A4">
      <w:pPr>
        <w:pStyle w:val="TOC3"/>
        <w:rPr>
          <w:rFonts w:asciiTheme="minorHAnsi" w:eastAsiaTheme="minorEastAsia" w:hAnsiTheme="minorHAnsi" w:cstheme="minorBidi"/>
          <w:b w:val="0"/>
          <w:szCs w:val="22"/>
          <w:lang w:eastAsia="en-AU"/>
        </w:rPr>
      </w:pPr>
      <w:r w:rsidRPr="00A552A4">
        <w:fldChar w:fldCharType="begin"/>
      </w:r>
      <w:r w:rsidR="00687617">
        <w:instrText xml:space="preserve"> TOC \o "3-6" \h \z \t "Heading 1,1,Heading 2,2,Heading level 3,3,Prelim major heading,1,Appendix Heading 1,1,Heading level 2,2,Heading level 4,4,Heading level 5,5" </w:instrText>
      </w:r>
      <w:r w:rsidRPr="00A552A4">
        <w:fldChar w:fldCharType="separate"/>
      </w:r>
      <w:hyperlink w:anchor="_Toc399327235" w:history="1">
        <w:r w:rsidR="00AD1005" w:rsidRPr="006670AA">
          <w:rPr>
            <w:rStyle w:val="Hyperlink"/>
            <w:spacing w:val="4"/>
          </w:rPr>
          <w:t>Committee membership</w:t>
        </w:r>
        <w:r w:rsidR="00AD1005">
          <w:rPr>
            <w:webHidden/>
          </w:rPr>
          <w:tab/>
        </w:r>
        <w:r>
          <w:rPr>
            <w:webHidden/>
          </w:rPr>
          <w:fldChar w:fldCharType="begin"/>
        </w:r>
        <w:r w:rsidR="00AD1005">
          <w:rPr>
            <w:webHidden/>
          </w:rPr>
          <w:instrText xml:space="preserve"> PAGEREF _Toc399327235 \h </w:instrText>
        </w:r>
        <w:r>
          <w:rPr>
            <w:webHidden/>
          </w:rPr>
        </w:r>
        <w:r>
          <w:rPr>
            <w:webHidden/>
          </w:rPr>
          <w:fldChar w:fldCharType="separate"/>
        </w:r>
        <w:r w:rsidR="007330F9">
          <w:rPr>
            <w:webHidden/>
          </w:rPr>
          <w:t>iii</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36" w:history="1">
        <w:r w:rsidR="00AD1005" w:rsidRPr="006670AA">
          <w:rPr>
            <w:rStyle w:val="Hyperlink"/>
          </w:rPr>
          <w:t>Secretariat</w:t>
        </w:r>
        <w:r w:rsidR="00AD1005">
          <w:rPr>
            <w:webHidden/>
          </w:rPr>
          <w:tab/>
        </w:r>
        <w:r>
          <w:rPr>
            <w:webHidden/>
          </w:rPr>
          <w:fldChar w:fldCharType="begin"/>
        </w:r>
        <w:r w:rsidR="00AD1005">
          <w:rPr>
            <w:webHidden/>
          </w:rPr>
          <w:instrText xml:space="preserve"> PAGEREF _Toc399327236 \h </w:instrText>
        </w:r>
        <w:r>
          <w:rPr>
            <w:webHidden/>
          </w:rPr>
        </w:r>
        <w:r>
          <w:rPr>
            <w:webHidden/>
          </w:rPr>
          <w:fldChar w:fldCharType="separate"/>
        </w:r>
        <w:r w:rsidR="007330F9">
          <w:rPr>
            <w:webHidden/>
          </w:rPr>
          <w:t>iii</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37" w:history="1">
        <w:r w:rsidR="00AD1005" w:rsidRPr="006670AA">
          <w:rPr>
            <w:rStyle w:val="Hyperlink"/>
          </w:rPr>
          <w:t>Contact information</w:t>
        </w:r>
        <w:r w:rsidR="00AD1005">
          <w:rPr>
            <w:webHidden/>
          </w:rPr>
          <w:tab/>
        </w:r>
        <w:r>
          <w:rPr>
            <w:webHidden/>
          </w:rPr>
          <w:fldChar w:fldCharType="begin"/>
        </w:r>
        <w:r w:rsidR="00AD1005">
          <w:rPr>
            <w:webHidden/>
          </w:rPr>
          <w:instrText xml:space="preserve"> PAGEREF _Toc399327237 \h </w:instrText>
        </w:r>
        <w:r>
          <w:rPr>
            <w:webHidden/>
          </w:rPr>
        </w:r>
        <w:r>
          <w:rPr>
            <w:webHidden/>
          </w:rPr>
          <w:fldChar w:fldCharType="separate"/>
        </w:r>
        <w:r w:rsidR="007330F9">
          <w:rPr>
            <w:webHidden/>
          </w:rPr>
          <w:t>iii</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38" w:history="1">
        <w:r w:rsidR="00AD1005" w:rsidRPr="006670AA">
          <w:rPr>
            <w:rStyle w:val="Hyperlink"/>
          </w:rPr>
          <w:t>Resolution of appointment</w:t>
        </w:r>
        <w:r w:rsidR="00AD1005">
          <w:rPr>
            <w:webHidden/>
          </w:rPr>
          <w:tab/>
        </w:r>
        <w:r>
          <w:rPr>
            <w:webHidden/>
          </w:rPr>
          <w:fldChar w:fldCharType="begin"/>
        </w:r>
        <w:r w:rsidR="00AD1005">
          <w:rPr>
            <w:webHidden/>
          </w:rPr>
          <w:instrText xml:space="preserve"> PAGEREF _Toc399327238 \h </w:instrText>
        </w:r>
        <w:r>
          <w:rPr>
            <w:webHidden/>
          </w:rPr>
        </w:r>
        <w:r>
          <w:rPr>
            <w:webHidden/>
          </w:rPr>
          <w:fldChar w:fldCharType="separate"/>
        </w:r>
        <w:r w:rsidR="007330F9">
          <w:rPr>
            <w:webHidden/>
          </w:rPr>
          <w:t>iv</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39" w:history="1">
        <w:r w:rsidR="00AD1005" w:rsidRPr="006670AA">
          <w:rPr>
            <w:rStyle w:val="Hyperlink"/>
          </w:rPr>
          <w:t>Terms of reference</w:t>
        </w:r>
        <w:r w:rsidR="00AD1005">
          <w:rPr>
            <w:webHidden/>
          </w:rPr>
          <w:tab/>
        </w:r>
        <w:r>
          <w:rPr>
            <w:webHidden/>
          </w:rPr>
          <w:fldChar w:fldCharType="begin"/>
        </w:r>
        <w:r w:rsidR="00AD1005">
          <w:rPr>
            <w:webHidden/>
          </w:rPr>
          <w:instrText xml:space="preserve"> PAGEREF _Toc399327239 \h </w:instrText>
        </w:r>
        <w:r>
          <w:rPr>
            <w:webHidden/>
          </w:rPr>
        </w:r>
        <w:r>
          <w:rPr>
            <w:webHidden/>
          </w:rPr>
          <w:fldChar w:fldCharType="separate"/>
        </w:r>
        <w:r w:rsidR="007330F9">
          <w:rPr>
            <w:webHidden/>
          </w:rPr>
          <w:t>iv</w:t>
        </w:r>
        <w:r>
          <w:rPr>
            <w:webHidden/>
          </w:rPr>
          <w:fldChar w:fldCharType="end"/>
        </w:r>
      </w:hyperlink>
    </w:p>
    <w:p w:rsidR="00AD1005" w:rsidRDefault="00A552A4">
      <w:pPr>
        <w:pStyle w:val="TOC1"/>
        <w:rPr>
          <w:rFonts w:asciiTheme="minorHAnsi" w:eastAsiaTheme="minorEastAsia" w:hAnsiTheme="minorHAnsi" w:cstheme="minorBidi"/>
          <w:b w:val="0"/>
          <w:smallCaps w:val="0"/>
          <w:spacing w:val="0"/>
          <w:sz w:val="22"/>
          <w:lang w:eastAsia="en-AU"/>
        </w:rPr>
      </w:pPr>
      <w:hyperlink w:anchor="_Toc399327240" w:history="1">
        <w:r w:rsidR="00AD1005" w:rsidRPr="006670AA">
          <w:rPr>
            <w:rStyle w:val="Hyperlink"/>
          </w:rPr>
          <w:t>Recommendation 1</w:t>
        </w:r>
        <w:r w:rsidR="00AD1005">
          <w:rPr>
            <w:webHidden/>
          </w:rPr>
          <w:tab/>
        </w:r>
        <w:r>
          <w:rPr>
            <w:webHidden/>
          </w:rPr>
          <w:fldChar w:fldCharType="begin"/>
        </w:r>
        <w:r w:rsidR="00AD1005">
          <w:rPr>
            <w:webHidden/>
          </w:rPr>
          <w:instrText xml:space="preserve"> PAGEREF _Toc399327240 \h </w:instrText>
        </w:r>
        <w:r>
          <w:rPr>
            <w:webHidden/>
          </w:rPr>
        </w:r>
        <w:r>
          <w:rPr>
            <w:webHidden/>
          </w:rPr>
          <w:fldChar w:fldCharType="separate"/>
        </w:r>
        <w:r w:rsidR="007330F9">
          <w:rPr>
            <w:webHidden/>
          </w:rPr>
          <w:t>vi</w:t>
        </w:r>
        <w:r>
          <w:rPr>
            <w:webHidden/>
          </w:rPr>
          <w:fldChar w:fldCharType="end"/>
        </w:r>
      </w:hyperlink>
    </w:p>
    <w:p w:rsidR="00AD1005" w:rsidRDefault="00A552A4">
      <w:pPr>
        <w:pStyle w:val="TOC1"/>
        <w:tabs>
          <w:tab w:val="left" w:pos="1588"/>
        </w:tabs>
        <w:rPr>
          <w:rFonts w:asciiTheme="minorHAnsi" w:eastAsiaTheme="minorEastAsia" w:hAnsiTheme="minorHAnsi" w:cstheme="minorBidi"/>
          <w:b w:val="0"/>
          <w:smallCaps w:val="0"/>
          <w:spacing w:val="0"/>
          <w:sz w:val="22"/>
          <w:lang w:eastAsia="en-AU"/>
        </w:rPr>
      </w:pPr>
      <w:hyperlink w:anchor="_Toc399327243" w:history="1">
        <w:r w:rsidR="00AD1005" w:rsidRPr="006670AA">
          <w:rPr>
            <w:rStyle w:val="Hyperlink"/>
          </w:rPr>
          <w:t>1.</w:t>
        </w:r>
        <w:r w:rsidR="00AD1005">
          <w:rPr>
            <w:rFonts w:asciiTheme="minorHAnsi" w:eastAsiaTheme="minorEastAsia" w:hAnsiTheme="minorHAnsi" w:cstheme="minorBidi"/>
            <w:b w:val="0"/>
            <w:smallCaps w:val="0"/>
            <w:spacing w:val="0"/>
            <w:sz w:val="22"/>
            <w:lang w:eastAsia="en-AU"/>
          </w:rPr>
          <w:tab/>
        </w:r>
        <w:r w:rsidR="00AD1005" w:rsidRPr="006670AA">
          <w:rPr>
            <w:rStyle w:val="Hyperlink"/>
          </w:rPr>
          <w:t>Introduction and Conduct of Inquiry</w:t>
        </w:r>
        <w:r w:rsidR="00AD1005">
          <w:rPr>
            <w:webHidden/>
          </w:rPr>
          <w:tab/>
        </w:r>
        <w:r>
          <w:rPr>
            <w:webHidden/>
          </w:rPr>
          <w:fldChar w:fldCharType="begin"/>
        </w:r>
        <w:r w:rsidR="00AD1005">
          <w:rPr>
            <w:webHidden/>
          </w:rPr>
          <w:instrText xml:space="preserve"> PAGEREF _Toc399327243 \h </w:instrText>
        </w:r>
        <w:r>
          <w:rPr>
            <w:webHidden/>
          </w:rPr>
        </w:r>
        <w:r>
          <w:rPr>
            <w:webHidden/>
          </w:rPr>
          <w:fldChar w:fldCharType="separate"/>
        </w:r>
        <w:r w:rsidR="007330F9">
          <w:rPr>
            <w:webHidden/>
          </w:rPr>
          <w:t>1</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44" w:history="1">
        <w:r w:rsidR="00AD1005" w:rsidRPr="006670AA">
          <w:rPr>
            <w:rStyle w:val="Hyperlink"/>
          </w:rPr>
          <w:t>Background</w:t>
        </w:r>
        <w:r w:rsidR="00AD1005">
          <w:rPr>
            <w:webHidden/>
          </w:rPr>
          <w:tab/>
        </w:r>
        <w:r>
          <w:rPr>
            <w:webHidden/>
          </w:rPr>
          <w:fldChar w:fldCharType="begin"/>
        </w:r>
        <w:r w:rsidR="00AD1005">
          <w:rPr>
            <w:webHidden/>
          </w:rPr>
          <w:instrText xml:space="preserve"> PAGEREF _Toc399327244 \h </w:instrText>
        </w:r>
        <w:r>
          <w:rPr>
            <w:webHidden/>
          </w:rPr>
        </w:r>
        <w:r>
          <w:rPr>
            <w:webHidden/>
          </w:rPr>
          <w:fldChar w:fldCharType="separate"/>
        </w:r>
        <w:r w:rsidR="007330F9">
          <w:rPr>
            <w:webHidden/>
          </w:rPr>
          <w:t>1</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45" w:history="1">
        <w:r w:rsidR="00AD1005" w:rsidRPr="006670AA">
          <w:rPr>
            <w:rStyle w:val="Hyperlink"/>
          </w:rPr>
          <w:t>Conduct of inquiry</w:t>
        </w:r>
        <w:r w:rsidR="00AD1005">
          <w:rPr>
            <w:webHidden/>
          </w:rPr>
          <w:tab/>
        </w:r>
        <w:r>
          <w:rPr>
            <w:webHidden/>
          </w:rPr>
          <w:fldChar w:fldCharType="begin"/>
        </w:r>
        <w:r w:rsidR="00AD1005">
          <w:rPr>
            <w:webHidden/>
          </w:rPr>
          <w:instrText xml:space="preserve"> PAGEREF _Toc399327245 \h </w:instrText>
        </w:r>
        <w:r>
          <w:rPr>
            <w:webHidden/>
          </w:rPr>
        </w:r>
        <w:r>
          <w:rPr>
            <w:webHidden/>
          </w:rPr>
          <w:fldChar w:fldCharType="separate"/>
        </w:r>
        <w:r w:rsidR="007330F9">
          <w:rPr>
            <w:webHidden/>
          </w:rPr>
          <w:t>2</w:t>
        </w:r>
        <w:r>
          <w:rPr>
            <w:webHidden/>
          </w:rPr>
          <w:fldChar w:fldCharType="end"/>
        </w:r>
      </w:hyperlink>
    </w:p>
    <w:p w:rsidR="00AD1005" w:rsidRDefault="00A552A4">
      <w:pPr>
        <w:pStyle w:val="TOC1"/>
        <w:tabs>
          <w:tab w:val="left" w:pos="1588"/>
        </w:tabs>
        <w:rPr>
          <w:rFonts w:asciiTheme="minorHAnsi" w:eastAsiaTheme="minorEastAsia" w:hAnsiTheme="minorHAnsi" w:cstheme="minorBidi"/>
          <w:b w:val="0"/>
          <w:smallCaps w:val="0"/>
          <w:spacing w:val="0"/>
          <w:sz w:val="22"/>
          <w:lang w:eastAsia="en-AU"/>
        </w:rPr>
      </w:pPr>
      <w:hyperlink w:anchor="_Toc399327246" w:history="1">
        <w:r w:rsidR="00AD1005" w:rsidRPr="006670AA">
          <w:rPr>
            <w:rStyle w:val="Hyperlink"/>
          </w:rPr>
          <w:t>2</w:t>
        </w:r>
        <w:r w:rsidR="00AD1005">
          <w:rPr>
            <w:rFonts w:asciiTheme="minorHAnsi" w:eastAsiaTheme="minorEastAsia" w:hAnsiTheme="minorHAnsi" w:cstheme="minorBidi"/>
            <w:b w:val="0"/>
            <w:smallCaps w:val="0"/>
            <w:spacing w:val="0"/>
            <w:sz w:val="22"/>
            <w:lang w:eastAsia="en-AU"/>
          </w:rPr>
          <w:tab/>
        </w:r>
        <w:r w:rsidR="00AD1005" w:rsidRPr="006670AA">
          <w:rPr>
            <w:rStyle w:val="Hyperlink"/>
          </w:rPr>
          <w:t>Current practices</w:t>
        </w:r>
        <w:r w:rsidR="00AD1005">
          <w:rPr>
            <w:webHidden/>
          </w:rPr>
          <w:tab/>
        </w:r>
        <w:r>
          <w:rPr>
            <w:webHidden/>
          </w:rPr>
          <w:fldChar w:fldCharType="begin"/>
        </w:r>
        <w:r w:rsidR="00AD1005">
          <w:rPr>
            <w:webHidden/>
          </w:rPr>
          <w:instrText xml:space="preserve"> PAGEREF _Toc399327246 \h </w:instrText>
        </w:r>
        <w:r>
          <w:rPr>
            <w:webHidden/>
          </w:rPr>
        </w:r>
        <w:r>
          <w:rPr>
            <w:webHidden/>
          </w:rPr>
          <w:fldChar w:fldCharType="separate"/>
        </w:r>
        <w:r w:rsidR="007330F9">
          <w:rPr>
            <w:webHidden/>
          </w:rPr>
          <w:t>3</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47" w:history="1">
        <w:r w:rsidR="00AD1005" w:rsidRPr="006670AA">
          <w:rPr>
            <w:rStyle w:val="Hyperlink"/>
          </w:rPr>
          <w:t>Australian Capital Territory</w:t>
        </w:r>
        <w:r w:rsidR="00AD1005">
          <w:rPr>
            <w:webHidden/>
          </w:rPr>
          <w:tab/>
        </w:r>
        <w:r>
          <w:rPr>
            <w:webHidden/>
          </w:rPr>
          <w:fldChar w:fldCharType="begin"/>
        </w:r>
        <w:r w:rsidR="00AD1005">
          <w:rPr>
            <w:webHidden/>
          </w:rPr>
          <w:instrText xml:space="preserve"> PAGEREF _Toc399327247 \h </w:instrText>
        </w:r>
        <w:r>
          <w:rPr>
            <w:webHidden/>
          </w:rPr>
        </w:r>
        <w:r>
          <w:rPr>
            <w:webHidden/>
          </w:rPr>
          <w:fldChar w:fldCharType="separate"/>
        </w:r>
        <w:r w:rsidR="007330F9">
          <w:rPr>
            <w:webHidden/>
          </w:rPr>
          <w:t>3</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48" w:history="1">
        <w:r w:rsidR="00AD1005" w:rsidRPr="006670AA">
          <w:rPr>
            <w:rStyle w:val="Hyperlink"/>
          </w:rPr>
          <w:t>Commonwealth</w:t>
        </w:r>
        <w:r w:rsidR="00AD1005">
          <w:rPr>
            <w:webHidden/>
          </w:rPr>
          <w:tab/>
        </w:r>
        <w:r>
          <w:rPr>
            <w:webHidden/>
          </w:rPr>
          <w:fldChar w:fldCharType="begin"/>
        </w:r>
        <w:r w:rsidR="00AD1005">
          <w:rPr>
            <w:webHidden/>
          </w:rPr>
          <w:instrText xml:space="preserve"> PAGEREF _Toc399327248 \h </w:instrText>
        </w:r>
        <w:r>
          <w:rPr>
            <w:webHidden/>
          </w:rPr>
        </w:r>
        <w:r>
          <w:rPr>
            <w:webHidden/>
          </w:rPr>
          <w:fldChar w:fldCharType="separate"/>
        </w:r>
        <w:r w:rsidR="007330F9">
          <w:rPr>
            <w:webHidden/>
          </w:rPr>
          <w:t>3</w:t>
        </w:r>
        <w:r>
          <w:rPr>
            <w:webHidden/>
          </w:rPr>
          <w:fldChar w:fldCharType="end"/>
        </w:r>
      </w:hyperlink>
    </w:p>
    <w:p w:rsidR="00AD1005" w:rsidRDefault="00A552A4" w:rsidP="00AD1005">
      <w:pPr>
        <w:pStyle w:val="TOC5"/>
        <w:tabs>
          <w:tab w:val="right" w:leader="dot" w:pos="9061"/>
        </w:tabs>
        <w:ind w:left="1276"/>
        <w:rPr>
          <w:rFonts w:asciiTheme="minorHAnsi" w:eastAsiaTheme="minorEastAsia" w:hAnsiTheme="minorHAnsi" w:cstheme="minorBidi"/>
          <w:noProof/>
          <w:szCs w:val="22"/>
          <w:lang w:eastAsia="en-AU"/>
        </w:rPr>
      </w:pPr>
      <w:hyperlink w:anchor="_Toc399327249" w:history="1">
        <w:r w:rsidR="00AD1005" w:rsidRPr="006670AA">
          <w:rPr>
            <w:rStyle w:val="Hyperlink"/>
            <w:noProof/>
          </w:rPr>
          <w:t>House of Representatives</w:t>
        </w:r>
        <w:r w:rsidR="00AD1005">
          <w:rPr>
            <w:noProof/>
            <w:webHidden/>
          </w:rPr>
          <w:tab/>
        </w:r>
        <w:r>
          <w:rPr>
            <w:noProof/>
            <w:webHidden/>
          </w:rPr>
          <w:fldChar w:fldCharType="begin"/>
        </w:r>
        <w:r w:rsidR="00AD1005">
          <w:rPr>
            <w:noProof/>
            <w:webHidden/>
          </w:rPr>
          <w:instrText xml:space="preserve"> PAGEREF _Toc399327249 \h </w:instrText>
        </w:r>
        <w:r>
          <w:rPr>
            <w:noProof/>
            <w:webHidden/>
          </w:rPr>
        </w:r>
        <w:r>
          <w:rPr>
            <w:noProof/>
            <w:webHidden/>
          </w:rPr>
          <w:fldChar w:fldCharType="separate"/>
        </w:r>
        <w:r w:rsidR="007330F9">
          <w:rPr>
            <w:noProof/>
            <w:webHidden/>
          </w:rPr>
          <w:t>3</w:t>
        </w:r>
        <w:r>
          <w:rPr>
            <w:noProof/>
            <w:webHidden/>
          </w:rPr>
          <w:fldChar w:fldCharType="end"/>
        </w:r>
      </w:hyperlink>
    </w:p>
    <w:p w:rsidR="00AD1005" w:rsidRDefault="00A552A4" w:rsidP="00AD1005">
      <w:pPr>
        <w:pStyle w:val="TOC5"/>
        <w:tabs>
          <w:tab w:val="right" w:leader="dot" w:pos="9061"/>
        </w:tabs>
        <w:ind w:left="1276"/>
        <w:rPr>
          <w:rFonts w:asciiTheme="minorHAnsi" w:eastAsiaTheme="minorEastAsia" w:hAnsiTheme="minorHAnsi" w:cstheme="minorBidi"/>
          <w:noProof/>
          <w:szCs w:val="22"/>
          <w:lang w:eastAsia="en-AU"/>
        </w:rPr>
      </w:pPr>
      <w:hyperlink w:anchor="_Toc399327250" w:history="1">
        <w:r w:rsidR="00AD1005" w:rsidRPr="006670AA">
          <w:rPr>
            <w:rStyle w:val="Hyperlink"/>
            <w:noProof/>
          </w:rPr>
          <w:t>Senate</w:t>
        </w:r>
        <w:r w:rsidR="00AD1005">
          <w:rPr>
            <w:noProof/>
            <w:webHidden/>
          </w:rPr>
          <w:tab/>
        </w:r>
        <w:r>
          <w:rPr>
            <w:noProof/>
            <w:webHidden/>
          </w:rPr>
          <w:fldChar w:fldCharType="begin"/>
        </w:r>
        <w:r w:rsidR="00AD1005">
          <w:rPr>
            <w:noProof/>
            <w:webHidden/>
          </w:rPr>
          <w:instrText xml:space="preserve"> PAGEREF _Toc399327250 \h </w:instrText>
        </w:r>
        <w:r>
          <w:rPr>
            <w:noProof/>
            <w:webHidden/>
          </w:rPr>
        </w:r>
        <w:r>
          <w:rPr>
            <w:noProof/>
            <w:webHidden/>
          </w:rPr>
          <w:fldChar w:fldCharType="separate"/>
        </w:r>
        <w:r w:rsidR="007330F9">
          <w:rPr>
            <w:noProof/>
            <w:webHidden/>
          </w:rPr>
          <w:t>4</w:t>
        </w:r>
        <w:r>
          <w:rPr>
            <w:noProof/>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51" w:history="1">
        <w:r w:rsidR="00AD1005" w:rsidRPr="006670AA">
          <w:rPr>
            <w:rStyle w:val="Hyperlink"/>
          </w:rPr>
          <w:t>New South Wales</w:t>
        </w:r>
        <w:r w:rsidR="00AD1005">
          <w:rPr>
            <w:webHidden/>
          </w:rPr>
          <w:tab/>
        </w:r>
        <w:r>
          <w:rPr>
            <w:webHidden/>
          </w:rPr>
          <w:fldChar w:fldCharType="begin"/>
        </w:r>
        <w:r w:rsidR="00AD1005">
          <w:rPr>
            <w:webHidden/>
          </w:rPr>
          <w:instrText xml:space="preserve"> PAGEREF _Toc399327251 \h </w:instrText>
        </w:r>
        <w:r>
          <w:rPr>
            <w:webHidden/>
          </w:rPr>
        </w:r>
        <w:r>
          <w:rPr>
            <w:webHidden/>
          </w:rPr>
          <w:fldChar w:fldCharType="separate"/>
        </w:r>
        <w:r w:rsidR="007330F9">
          <w:rPr>
            <w:webHidden/>
          </w:rPr>
          <w:t>5</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52" w:history="1">
        <w:r w:rsidR="00AD1005" w:rsidRPr="006670AA">
          <w:rPr>
            <w:rStyle w:val="Hyperlink"/>
          </w:rPr>
          <w:t>Northern Territory</w:t>
        </w:r>
        <w:r w:rsidR="00AD1005">
          <w:rPr>
            <w:webHidden/>
          </w:rPr>
          <w:tab/>
        </w:r>
        <w:r>
          <w:rPr>
            <w:webHidden/>
          </w:rPr>
          <w:fldChar w:fldCharType="begin"/>
        </w:r>
        <w:r w:rsidR="00AD1005">
          <w:rPr>
            <w:webHidden/>
          </w:rPr>
          <w:instrText xml:space="preserve"> PAGEREF _Toc399327252 \h </w:instrText>
        </w:r>
        <w:r>
          <w:rPr>
            <w:webHidden/>
          </w:rPr>
        </w:r>
        <w:r>
          <w:rPr>
            <w:webHidden/>
          </w:rPr>
          <w:fldChar w:fldCharType="separate"/>
        </w:r>
        <w:r w:rsidR="007330F9">
          <w:rPr>
            <w:webHidden/>
          </w:rPr>
          <w:t>6</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53" w:history="1">
        <w:r w:rsidR="00AD1005" w:rsidRPr="006670AA">
          <w:rPr>
            <w:rStyle w:val="Hyperlink"/>
          </w:rPr>
          <w:t>Queensland</w:t>
        </w:r>
        <w:r w:rsidR="00AD1005">
          <w:rPr>
            <w:webHidden/>
          </w:rPr>
          <w:tab/>
        </w:r>
        <w:r>
          <w:rPr>
            <w:webHidden/>
          </w:rPr>
          <w:fldChar w:fldCharType="begin"/>
        </w:r>
        <w:r w:rsidR="00AD1005">
          <w:rPr>
            <w:webHidden/>
          </w:rPr>
          <w:instrText xml:space="preserve"> PAGEREF _Toc399327253 \h </w:instrText>
        </w:r>
        <w:r>
          <w:rPr>
            <w:webHidden/>
          </w:rPr>
        </w:r>
        <w:r>
          <w:rPr>
            <w:webHidden/>
          </w:rPr>
          <w:fldChar w:fldCharType="separate"/>
        </w:r>
        <w:r w:rsidR="007330F9">
          <w:rPr>
            <w:webHidden/>
          </w:rPr>
          <w:t>6</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54" w:history="1">
        <w:r w:rsidR="00AD1005" w:rsidRPr="006670AA">
          <w:rPr>
            <w:rStyle w:val="Hyperlink"/>
          </w:rPr>
          <w:t>South Australia</w:t>
        </w:r>
        <w:r w:rsidR="00AD1005">
          <w:rPr>
            <w:webHidden/>
          </w:rPr>
          <w:tab/>
        </w:r>
        <w:r>
          <w:rPr>
            <w:webHidden/>
          </w:rPr>
          <w:fldChar w:fldCharType="begin"/>
        </w:r>
        <w:r w:rsidR="00AD1005">
          <w:rPr>
            <w:webHidden/>
          </w:rPr>
          <w:instrText xml:space="preserve"> PAGEREF _Toc399327254 \h </w:instrText>
        </w:r>
        <w:r>
          <w:rPr>
            <w:webHidden/>
          </w:rPr>
        </w:r>
        <w:r>
          <w:rPr>
            <w:webHidden/>
          </w:rPr>
          <w:fldChar w:fldCharType="separate"/>
        </w:r>
        <w:r w:rsidR="007330F9">
          <w:rPr>
            <w:webHidden/>
          </w:rPr>
          <w:t>7</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55" w:history="1">
        <w:r w:rsidR="00AD1005" w:rsidRPr="006670AA">
          <w:rPr>
            <w:rStyle w:val="Hyperlink"/>
          </w:rPr>
          <w:t>Tasmania</w:t>
        </w:r>
        <w:r w:rsidR="00AD1005">
          <w:rPr>
            <w:webHidden/>
          </w:rPr>
          <w:tab/>
        </w:r>
        <w:r>
          <w:rPr>
            <w:webHidden/>
          </w:rPr>
          <w:fldChar w:fldCharType="begin"/>
        </w:r>
        <w:r w:rsidR="00AD1005">
          <w:rPr>
            <w:webHidden/>
          </w:rPr>
          <w:instrText xml:space="preserve"> PAGEREF _Toc399327255 \h </w:instrText>
        </w:r>
        <w:r>
          <w:rPr>
            <w:webHidden/>
          </w:rPr>
        </w:r>
        <w:r>
          <w:rPr>
            <w:webHidden/>
          </w:rPr>
          <w:fldChar w:fldCharType="separate"/>
        </w:r>
        <w:r w:rsidR="007330F9">
          <w:rPr>
            <w:webHidden/>
          </w:rPr>
          <w:t>7</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56" w:history="1">
        <w:r w:rsidR="00AD1005" w:rsidRPr="006670AA">
          <w:rPr>
            <w:rStyle w:val="Hyperlink"/>
          </w:rPr>
          <w:t>Victoria</w:t>
        </w:r>
        <w:r w:rsidR="00AD1005">
          <w:rPr>
            <w:webHidden/>
          </w:rPr>
          <w:tab/>
        </w:r>
        <w:r>
          <w:rPr>
            <w:webHidden/>
          </w:rPr>
          <w:fldChar w:fldCharType="begin"/>
        </w:r>
        <w:r w:rsidR="00AD1005">
          <w:rPr>
            <w:webHidden/>
          </w:rPr>
          <w:instrText xml:space="preserve"> PAGEREF _Toc399327256 \h </w:instrText>
        </w:r>
        <w:r>
          <w:rPr>
            <w:webHidden/>
          </w:rPr>
        </w:r>
        <w:r>
          <w:rPr>
            <w:webHidden/>
          </w:rPr>
          <w:fldChar w:fldCharType="separate"/>
        </w:r>
        <w:r w:rsidR="007330F9">
          <w:rPr>
            <w:webHidden/>
          </w:rPr>
          <w:t>8</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57" w:history="1">
        <w:r w:rsidR="00AD1005" w:rsidRPr="006670AA">
          <w:rPr>
            <w:rStyle w:val="Hyperlink"/>
          </w:rPr>
          <w:t>Western Australia</w:t>
        </w:r>
        <w:r w:rsidR="00AD1005">
          <w:rPr>
            <w:webHidden/>
          </w:rPr>
          <w:tab/>
        </w:r>
        <w:r>
          <w:rPr>
            <w:webHidden/>
          </w:rPr>
          <w:fldChar w:fldCharType="begin"/>
        </w:r>
        <w:r w:rsidR="00AD1005">
          <w:rPr>
            <w:webHidden/>
          </w:rPr>
          <w:instrText xml:space="preserve"> PAGEREF _Toc399327257 \h </w:instrText>
        </w:r>
        <w:r>
          <w:rPr>
            <w:webHidden/>
          </w:rPr>
        </w:r>
        <w:r>
          <w:rPr>
            <w:webHidden/>
          </w:rPr>
          <w:fldChar w:fldCharType="separate"/>
        </w:r>
        <w:r w:rsidR="007330F9">
          <w:rPr>
            <w:webHidden/>
          </w:rPr>
          <w:t>9</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58" w:history="1">
        <w:r w:rsidR="00AD1005" w:rsidRPr="006670AA">
          <w:rPr>
            <w:rStyle w:val="Hyperlink"/>
          </w:rPr>
          <w:t>New Zealand</w:t>
        </w:r>
        <w:r w:rsidR="00AD1005">
          <w:rPr>
            <w:webHidden/>
          </w:rPr>
          <w:tab/>
        </w:r>
        <w:r>
          <w:rPr>
            <w:webHidden/>
          </w:rPr>
          <w:fldChar w:fldCharType="begin"/>
        </w:r>
        <w:r w:rsidR="00AD1005">
          <w:rPr>
            <w:webHidden/>
          </w:rPr>
          <w:instrText xml:space="preserve"> PAGEREF _Toc399327258 \h </w:instrText>
        </w:r>
        <w:r>
          <w:rPr>
            <w:webHidden/>
          </w:rPr>
        </w:r>
        <w:r>
          <w:rPr>
            <w:webHidden/>
          </w:rPr>
          <w:fldChar w:fldCharType="separate"/>
        </w:r>
        <w:r w:rsidR="007330F9">
          <w:rPr>
            <w:webHidden/>
          </w:rPr>
          <w:t>9</w:t>
        </w:r>
        <w:r>
          <w:rPr>
            <w:webHidden/>
          </w:rPr>
          <w:fldChar w:fldCharType="end"/>
        </w:r>
      </w:hyperlink>
    </w:p>
    <w:p w:rsidR="00AD1005" w:rsidRDefault="00A552A4">
      <w:pPr>
        <w:pStyle w:val="TOC3"/>
        <w:rPr>
          <w:rFonts w:asciiTheme="minorHAnsi" w:eastAsiaTheme="minorEastAsia" w:hAnsiTheme="minorHAnsi" w:cstheme="minorBidi"/>
          <w:b w:val="0"/>
          <w:szCs w:val="22"/>
          <w:lang w:eastAsia="en-AU"/>
        </w:rPr>
      </w:pPr>
      <w:hyperlink w:anchor="_Toc399327259" w:history="1">
        <w:r w:rsidR="00AD1005" w:rsidRPr="006670AA">
          <w:rPr>
            <w:rStyle w:val="Hyperlink"/>
          </w:rPr>
          <w:t>Summary of current practices</w:t>
        </w:r>
        <w:r w:rsidR="00AD1005">
          <w:rPr>
            <w:webHidden/>
          </w:rPr>
          <w:tab/>
        </w:r>
        <w:r>
          <w:rPr>
            <w:webHidden/>
          </w:rPr>
          <w:fldChar w:fldCharType="begin"/>
        </w:r>
        <w:r w:rsidR="00AD1005">
          <w:rPr>
            <w:webHidden/>
          </w:rPr>
          <w:instrText xml:space="preserve"> PAGEREF _Toc399327259 \h </w:instrText>
        </w:r>
        <w:r>
          <w:rPr>
            <w:webHidden/>
          </w:rPr>
        </w:r>
        <w:r>
          <w:rPr>
            <w:webHidden/>
          </w:rPr>
          <w:fldChar w:fldCharType="separate"/>
        </w:r>
        <w:r w:rsidR="007330F9">
          <w:rPr>
            <w:webHidden/>
          </w:rPr>
          <w:t>10</w:t>
        </w:r>
        <w:r>
          <w:rPr>
            <w:webHidden/>
          </w:rPr>
          <w:fldChar w:fldCharType="end"/>
        </w:r>
      </w:hyperlink>
    </w:p>
    <w:p w:rsidR="00AD1005" w:rsidRDefault="00A552A4">
      <w:pPr>
        <w:pStyle w:val="TOC1"/>
        <w:tabs>
          <w:tab w:val="left" w:pos="1588"/>
        </w:tabs>
        <w:rPr>
          <w:rFonts w:asciiTheme="minorHAnsi" w:eastAsiaTheme="minorEastAsia" w:hAnsiTheme="minorHAnsi" w:cstheme="minorBidi"/>
          <w:b w:val="0"/>
          <w:smallCaps w:val="0"/>
          <w:spacing w:val="0"/>
          <w:sz w:val="22"/>
          <w:lang w:eastAsia="en-AU"/>
        </w:rPr>
      </w:pPr>
      <w:hyperlink w:anchor="_Toc399327260" w:history="1">
        <w:r w:rsidR="00AD1005" w:rsidRPr="006670AA">
          <w:rPr>
            <w:rStyle w:val="Hyperlink"/>
          </w:rPr>
          <w:t>3</w:t>
        </w:r>
        <w:r w:rsidR="00AD1005">
          <w:rPr>
            <w:rFonts w:asciiTheme="minorHAnsi" w:eastAsiaTheme="minorEastAsia" w:hAnsiTheme="minorHAnsi" w:cstheme="minorBidi"/>
            <w:b w:val="0"/>
            <w:smallCaps w:val="0"/>
            <w:spacing w:val="0"/>
            <w:sz w:val="22"/>
            <w:lang w:eastAsia="en-AU"/>
          </w:rPr>
          <w:tab/>
        </w:r>
        <w:r w:rsidR="00AD1005" w:rsidRPr="006670AA">
          <w:rPr>
            <w:rStyle w:val="Hyperlink"/>
          </w:rPr>
          <w:t>Conclusion</w:t>
        </w:r>
        <w:r w:rsidR="00AD1005">
          <w:rPr>
            <w:webHidden/>
          </w:rPr>
          <w:tab/>
        </w:r>
        <w:r>
          <w:rPr>
            <w:webHidden/>
          </w:rPr>
          <w:fldChar w:fldCharType="begin"/>
        </w:r>
        <w:r w:rsidR="00AD1005">
          <w:rPr>
            <w:webHidden/>
          </w:rPr>
          <w:instrText xml:space="preserve"> PAGEREF _Toc399327260 \h </w:instrText>
        </w:r>
        <w:r>
          <w:rPr>
            <w:webHidden/>
          </w:rPr>
        </w:r>
        <w:r>
          <w:rPr>
            <w:webHidden/>
          </w:rPr>
          <w:fldChar w:fldCharType="separate"/>
        </w:r>
        <w:r w:rsidR="007330F9">
          <w:rPr>
            <w:webHidden/>
          </w:rPr>
          <w:t>11</w:t>
        </w:r>
        <w:r>
          <w:rPr>
            <w:webHidden/>
          </w:rPr>
          <w:fldChar w:fldCharType="end"/>
        </w:r>
      </w:hyperlink>
    </w:p>
    <w:p w:rsidR="00AD1005" w:rsidRDefault="00AD1005" w:rsidP="00AD1005">
      <w:pPr>
        <w:pStyle w:val="TOC5"/>
        <w:tabs>
          <w:tab w:val="right" w:leader="dot" w:pos="9061"/>
        </w:tabs>
        <w:rPr>
          <w:rFonts w:asciiTheme="minorHAnsi" w:eastAsiaTheme="minorEastAsia" w:hAnsiTheme="minorHAnsi" w:cstheme="minorBidi"/>
          <w:noProof/>
          <w:szCs w:val="22"/>
          <w:lang w:eastAsia="en-AU"/>
        </w:rPr>
      </w:pPr>
    </w:p>
    <w:p w:rsidR="00256637" w:rsidRDefault="00A552A4" w:rsidP="00256637">
      <w:pPr>
        <w:pStyle w:val="Prelimmajorheading"/>
        <w:keepNext w:val="0"/>
        <w:pageBreakBefore w:val="0"/>
        <w:rPr>
          <w:rFonts w:ascii="Arial" w:hAnsi="Arial" w:cs="Times New Roman"/>
          <w:bCs w:val="0"/>
          <w:spacing w:val="0"/>
          <w:kern w:val="0"/>
          <w:sz w:val="20"/>
          <w:szCs w:val="20"/>
        </w:rPr>
        <w:sectPr w:rsidR="00256637" w:rsidSect="00AD1005">
          <w:headerReference w:type="even" r:id="rId9"/>
          <w:headerReference w:type="default" r:id="rId10"/>
          <w:footerReference w:type="even" r:id="rId11"/>
          <w:footerReference w:type="default" r:id="rId12"/>
          <w:type w:val="oddPage"/>
          <w:pgSz w:w="11907" w:h="16840" w:code="9"/>
          <w:pgMar w:top="1588" w:right="1418" w:bottom="1418" w:left="1418" w:header="720" w:footer="851" w:gutter="0"/>
          <w:pgNumType w:fmt="lowerRoman" w:start="1"/>
          <w:cols w:space="720"/>
          <w:titlePg/>
          <w:docGrid w:linePitch="360"/>
        </w:sectPr>
      </w:pPr>
      <w:r>
        <w:rPr>
          <w:rFonts w:ascii="Calibri" w:hAnsi="Calibri" w:cs="Calibri"/>
          <w:noProof/>
          <w:spacing w:val="0"/>
          <w:kern w:val="0"/>
          <w:sz w:val="22"/>
          <w:szCs w:val="24"/>
        </w:rPr>
        <w:fldChar w:fldCharType="end"/>
      </w:r>
    </w:p>
    <w:p w:rsidR="00D561BC" w:rsidRDefault="00D561BC" w:rsidP="00256637">
      <w:pPr>
        <w:pStyle w:val="Prelimmajorheading"/>
        <w:keepNext w:val="0"/>
        <w:pageBreakBefore w:val="0"/>
      </w:pPr>
      <w:bookmarkStart w:id="44" w:name="_Toc399327240"/>
      <w:r>
        <w:lastRenderedPageBreak/>
        <w:t>Recommendation</w:t>
      </w:r>
      <w:bookmarkEnd w:id="42"/>
      <w:bookmarkEnd w:id="43"/>
      <w:r w:rsidR="00AD1005">
        <w:t xml:space="preserve"> 1</w:t>
      </w:r>
      <w:bookmarkEnd w:id="44"/>
    </w:p>
    <w:p w:rsidR="00FA4DB1" w:rsidRDefault="00FA4DB1" w:rsidP="00FA4DB1">
      <w:pPr>
        <w:pStyle w:val="Headinglevel5"/>
      </w:pPr>
      <w:bookmarkStart w:id="45" w:name="_Toc399326835"/>
      <w:bookmarkStart w:id="46" w:name="_Toc399327241"/>
      <w:r>
        <w:t xml:space="preserve">That Standing Order 241 be amended by inserting a new sub paragraph </w:t>
      </w:r>
      <w:r>
        <w:rPr>
          <w:smallCaps w:val="0"/>
        </w:rPr>
        <w:t>241 (ba)</w:t>
      </w:r>
      <w:r>
        <w:t>:</w:t>
      </w:r>
      <w:bookmarkEnd w:id="45"/>
      <w:bookmarkEnd w:id="46"/>
      <w:r>
        <w:t xml:space="preserve"> </w:t>
      </w:r>
    </w:p>
    <w:p w:rsidR="00FA4DB1" w:rsidRDefault="00FA4DB1" w:rsidP="00FA4DB1">
      <w:pPr>
        <w:pStyle w:val="Headinglevel5"/>
        <w:numPr>
          <w:ilvl w:val="0"/>
          <w:numId w:val="0"/>
        </w:numPr>
        <w:tabs>
          <w:tab w:val="clear" w:pos="567"/>
        </w:tabs>
        <w:ind w:left="1560" w:hanging="993"/>
      </w:pPr>
      <w:bookmarkStart w:id="47" w:name="_Toc399326836"/>
      <w:bookmarkStart w:id="48" w:name="_Toc399327242"/>
      <w:r>
        <w:t>241(</w:t>
      </w:r>
      <w:r w:rsidRPr="00EE3481">
        <w:rPr>
          <w:smallCaps w:val="0"/>
        </w:rPr>
        <w:t>b</w:t>
      </w:r>
      <w:r>
        <w:rPr>
          <w:smallCaps w:val="0"/>
        </w:rPr>
        <w:t>a</w:t>
      </w:r>
      <w:r w:rsidRPr="00EE3481">
        <w:rPr>
          <w:smallCaps w:val="0"/>
        </w:rPr>
        <w:t>)</w:t>
      </w:r>
      <w:r>
        <w:tab/>
        <w:t>Members of the Committee may discuss a committee report with other Members on a confidential basis in the time between the substantial conclusion of the Committee’s deliberations on the report and its presentation to the Assembly.</w:t>
      </w:r>
      <w:bookmarkEnd w:id="47"/>
      <w:bookmarkEnd w:id="48"/>
    </w:p>
    <w:p w:rsidR="00E13F34" w:rsidRDefault="00E13F34" w:rsidP="00876181">
      <w:pPr>
        <w:pStyle w:val="Heading1"/>
        <w:keepNext w:val="0"/>
        <w:pageBreakBefore w:val="0"/>
        <w:numPr>
          <w:ilvl w:val="0"/>
          <w:numId w:val="0"/>
        </w:numPr>
        <w:ind w:left="567"/>
        <w:rPr>
          <w:rFonts w:cs="Times New Roman"/>
          <w:bCs w:val="0"/>
          <w:kern w:val="0"/>
          <w:sz w:val="22"/>
          <w:szCs w:val="22"/>
        </w:rPr>
      </w:pPr>
    </w:p>
    <w:p w:rsidR="00213BD6" w:rsidRDefault="00213BD6" w:rsidP="003606E5">
      <w:pPr>
        <w:pStyle w:val="Bodytext"/>
        <w:numPr>
          <w:ilvl w:val="0"/>
          <w:numId w:val="0"/>
        </w:numPr>
        <w:ind w:left="680"/>
        <w:sectPr w:rsidR="00213BD6" w:rsidSect="00AD1005">
          <w:type w:val="evenPage"/>
          <w:pgSz w:w="11907" w:h="16840" w:code="9"/>
          <w:pgMar w:top="1588" w:right="1418" w:bottom="1418" w:left="1418" w:header="720" w:footer="851" w:gutter="0"/>
          <w:pgNumType w:fmt="lowerRoman"/>
          <w:cols w:space="720"/>
          <w:docGrid w:linePitch="360"/>
        </w:sectPr>
      </w:pPr>
    </w:p>
    <w:p w:rsidR="00D561BC" w:rsidRPr="00AD1005" w:rsidRDefault="006224BF" w:rsidP="00AD1005">
      <w:pPr>
        <w:pStyle w:val="Heading1"/>
        <w:numPr>
          <w:ilvl w:val="0"/>
          <w:numId w:val="42"/>
        </w:numPr>
      </w:pPr>
      <w:bookmarkStart w:id="49" w:name="_Toc399327243"/>
      <w:r w:rsidRPr="00AD1005">
        <w:lastRenderedPageBreak/>
        <w:t>Introduction</w:t>
      </w:r>
      <w:r w:rsidR="00D66983" w:rsidRPr="00AD1005">
        <w:t xml:space="preserve"> and Conduct of Inquiry</w:t>
      </w:r>
      <w:bookmarkEnd w:id="49"/>
    </w:p>
    <w:p w:rsidR="006224BF" w:rsidRDefault="006224BF" w:rsidP="006224BF">
      <w:pPr>
        <w:pStyle w:val="Bodytext"/>
      </w:pPr>
      <w:r>
        <w:t xml:space="preserve">On </w:t>
      </w:r>
      <w:r w:rsidR="00CC1740">
        <w:t>15</w:t>
      </w:r>
      <w:r>
        <w:t xml:space="preserve"> </w:t>
      </w:r>
      <w:r w:rsidR="00CC1740">
        <w:t>May</w:t>
      </w:r>
      <w:r>
        <w:t xml:space="preserve"> 2014, a motion was moved by M</w:t>
      </w:r>
      <w:r w:rsidR="00CC1740">
        <w:t xml:space="preserve">r Rattenbury </w:t>
      </w:r>
      <w:r>
        <w:t>MLA, pursuant to n</w:t>
      </w:r>
      <w:r w:rsidR="00BF6042">
        <w:t xml:space="preserve">otice, </w:t>
      </w:r>
      <w:r w:rsidR="00CC1740">
        <w:t>propos</w:t>
      </w:r>
      <w:r w:rsidR="008E4BCC">
        <w:t>ing</w:t>
      </w:r>
      <w:r w:rsidR="00CC1740">
        <w:t xml:space="preserve"> that the Committee inquir</w:t>
      </w:r>
      <w:r w:rsidR="008E4BCC">
        <w:t>e</w:t>
      </w:r>
      <w:r w:rsidR="00CC1740">
        <w:t xml:space="preserve"> into standing order 241 with particular reference to the New Zealand Parliament practice. The motion agreed to</w:t>
      </w:r>
      <w:r w:rsidR="003461A0">
        <w:t xml:space="preserve"> by the Assembly</w:t>
      </w:r>
      <w:r w:rsidR="0074096A">
        <w:t xml:space="preserve"> is as follows</w:t>
      </w:r>
      <w:r w:rsidR="00CC1740">
        <w:t>:</w:t>
      </w:r>
    </w:p>
    <w:p w:rsidR="00BF6042" w:rsidRPr="00F3449B" w:rsidRDefault="00BF6042" w:rsidP="00CD5194">
      <w:pPr>
        <w:pStyle w:val="Quote"/>
        <w:ind w:left="0" w:firstLine="567"/>
      </w:pPr>
      <w:r>
        <w:t>“</w:t>
      </w:r>
      <w:r w:rsidRPr="00F3449B">
        <w:t>That:</w:t>
      </w:r>
    </w:p>
    <w:p w:rsidR="00BF6042" w:rsidRDefault="00BF6042" w:rsidP="00CD5194">
      <w:pPr>
        <w:pStyle w:val="Quote"/>
        <w:ind w:left="1134" w:hanging="567"/>
      </w:pPr>
      <w:r w:rsidRPr="00B2509E">
        <w:t>(1)</w:t>
      </w:r>
      <w:r w:rsidRPr="00B2509E">
        <w:tab/>
      </w:r>
      <w:r w:rsidR="00CC1740">
        <w:t>standing order 241 (Disclosure of proceedings, evidence and documents) be referred to the Standing Committee on Administration and Procedure for inquiry and report with particular reference to be made to the practice of the New Zealand Parliament; and</w:t>
      </w:r>
    </w:p>
    <w:p w:rsidR="00CC1740" w:rsidRDefault="00CC1740" w:rsidP="00CD5194">
      <w:pPr>
        <w:pStyle w:val="Quote"/>
        <w:ind w:left="1134" w:hanging="567"/>
      </w:pPr>
      <w:r>
        <w:t>(2)</w:t>
      </w:r>
      <w:r>
        <w:tab/>
        <w:t>the Committee report back to the Assembly at the first sitting in September 2014.”.</w:t>
      </w:r>
      <w:r w:rsidR="00C56D58">
        <w:rPr>
          <w:rStyle w:val="FootnoteReference"/>
        </w:rPr>
        <w:footnoteReference w:id="1"/>
      </w:r>
    </w:p>
    <w:p w:rsidR="00CC1740" w:rsidRPr="00687617" w:rsidRDefault="00687617" w:rsidP="00AA70AF">
      <w:pPr>
        <w:pStyle w:val="Headinglevel3"/>
        <w:numPr>
          <w:ilvl w:val="0"/>
          <w:numId w:val="0"/>
        </w:numPr>
        <w:ind w:left="567" w:hanging="567"/>
      </w:pPr>
      <w:bookmarkStart w:id="50" w:name="_Toc399327244"/>
      <w:r>
        <w:t>B</w:t>
      </w:r>
      <w:r w:rsidR="00CC1740" w:rsidRPr="00687617">
        <w:t>ackground</w:t>
      </w:r>
      <w:bookmarkEnd w:id="50"/>
    </w:p>
    <w:p w:rsidR="0074096A" w:rsidRDefault="0074096A" w:rsidP="004746E5">
      <w:pPr>
        <w:pStyle w:val="Bodytext"/>
      </w:pPr>
      <w:r>
        <w:t>Over the life of the Assembly a number of committee re</w:t>
      </w:r>
      <w:r w:rsidR="00465875">
        <w:t xml:space="preserve">ports have been produced which </w:t>
      </w:r>
      <w:r>
        <w:t xml:space="preserve">dealt with </w:t>
      </w:r>
      <w:r w:rsidR="00465875">
        <w:t>possible</w:t>
      </w:r>
      <w:r>
        <w:t xml:space="preserve"> unauthorised disclosure</w:t>
      </w:r>
      <w:r w:rsidR="0073056A">
        <w:t>s</w:t>
      </w:r>
      <w:r>
        <w:t xml:space="preserve"> of committee proceedings</w:t>
      </w:r>
      <w:r>
        <w:rPr>
          <w:rStyle w:val="FootnoteReference"/>
        </w:rPr>
        <w:footnoteReference w:id="2"/>
      </w:r>
      <w:r>
        <w:t xml:space="preserve"> and as recently as </w:t>
      </w:r>
      <w:r w:rsidR="00782BDE">
        <w:t>May 2014 a matter of an unauthorised disclosure of confidential proceedings of a committee was raised in the Assembly. The matter was given precedence by the Speaker, under standing order 276(</w:t>
      </w:r>
      <w:r w:rsidR="003461A0">
        <w:t>e</w:t>
      </w:r>
      <w:r w:rsidR="00782BDE">
        <w:t>), for a Select Committee on Privileges to be established to consider the issue.</w:t>
      </w:r>
      <w:r w:rsidR="00782BDE">
        <w:rPr>
          <w:rStyle w:val="FootnoteReference"/>
        </w:rPr>
        <w:footnoteReference w:id="3"/>
      </w:r>
      <w:r w:rsidR="00782BDE">
        <w:t xml:space="preserve"> A motion to establish a Privileges Committee was negatived after a vote of the Assembly.</w:t>
      </w:r>
      <w:r w:rsidR="00782BDE">
        <w:rPr>
          <w:rStyle w:val="FootnoteReference"/>
        </w:rPr>
        <w:footnoteReference w:id="4"/>
      </w:r>
    </w:p>
    <w:p w:rsidR="0074096A" w:rsidRDefault="00D00D73" w:rsidP="008B252E">
      <w:pPr>
        <w:pStyle w:val="Bodytext"/>
      </w:pPr>
      <w:r>
        <w:t>In moving the motion</w:t>
      </w:r>
      <w:r w:rsidR="008B252E">
        <w:t xml:space="preserve"> to refer</w:t>
      </w:r>
      <w:r w:rsidR="0073056A">
        <w:t xml:space="preserve"> the provisions of standing order 241 to the </w:t>
      </w:r>
      <w:r w:rsidR="008B252E">
        <w:t>Committee</w:t>
      </w:r>
      <w:r w:rsidR="0073056A">
        <w:t xml:space="preserve"> for inquiry and report</w:t>
      </w:r>
      <w:r w:rsidR="008B252E">
        <w:t>,</w:t>
      </w:r>
      <w:r>
        <w:t xml:space="preserve"> </w:t>
      </w:r>
      <w:r w:rsidR="00CC1740">
        <w:t>Mr Rattenbury</w:t>
      </w:r>
      <w:r w:rsidR="007B7723">
        <w:t xml:space="preserve"> made reference </w:t>
      </w:r>
      <w:r w:rsidR="00782BDE">
        <w:t xml:space="preserve">to the </w:t>
      </w:r>
      <w:r w:rsidR="008B252E">
        <w:t xml:space="preserve">May debate and the issues it raised in relation to the unauthorised disclosure of committee proceedings and </w:t>
      </w:r>
      <w:r>
        <w:t xml:space="preserve">stated that he believed that the current standing order was “at odds with what is probably accepted practice in this Assembly and that we [the Assembly] could consider changes to the standing orders that would ensure protection of privilege </w:t>
      </w:r>
      <w:r w:rsidR="00465875">
        <w:t>for</w:t>
      </w:r>
      <w:r>
        <w:t xml:space="preserve"> committees without leaving members hamstrung in their work in the Assembly.”</w:t>
      </w:r>
      <w:r w:rsidR="00C56D58">
        <w:rPr>
          <w:rStyle w:val="FootnoteReference"/>
        </w:rPr>
        <w:footnoteReference w:id="5"/>
      </w:r>
      <w:r w:rsidR="006533EE">
        <w:t xml:space="preserve"> Mr Rattenbury also highlighted current practice in the New</w:t>
      </w:r>
      <w:r w:rsidR="0073056A">
        <w:t> </w:t>
      </w:r>
      <w:r w:rsidR="006533EE">
        <w:t>Zealand Parliament in relation to the confidentiality of committee proceedings and the disclosure that is and is not allowed to occur between parliamentary members</w:t>
      </w:r>
      <w:r w:rsidR="00AA70AF">
        <w:t xml:space="preserve"> in that legislature</w:t>
      </w:r>
      <w:r w:rsidR="00C56D58">
        <w:t>.</w:t>
      </w:r>
      <w:r w:rsidR="00C56D58">
        <w:rPr>
          <w:rStyle w:val="FootnoteReference"/>
        </w:rPr>
        <w:footnoteReference w:id="6"/>
      </w:r>
    </w:p>
    <w:p w:rsidR="00CC1740" w:rsidRPr="00687617" w:rsidRDefault="00D00D73" w:rsidP="00AA70AF">
      <w:pPr>
        <w:pStyle w:val="Headinglevel3"/>
        <w:numPr>
          <w:ilvl w:val="0"/>
          <w:numId w:val="0"/>
        </w:numPr>
      </w:pPr>
      <w:bookmarkStart w:id="51" w:name="_Toc399327245"/>
      <w:r w:rsidRPr="00687617">
        <w:lastRenderedPageBreak/>
        <w:t>C</w:t>
      </w:r>
      <w:r w:rsidR="00687617">
        <w:t>onduct of inquiry</w:t>
      </w:r>
      <w:bookmarkEnd w:id="51"/>
    </w:p>
    <w:p w:rsidR="00D00D73" w:rsidRPr="00D00D73" w:rsidRDefault="00D00D73" w:rsidP="00D00D73">
      <w:pPr>
        <w:pStyle w:val="Bodytext"/>
      </w:pPr>
      <w:r>
        <w:t xml:space="preserve">During the conduct of the inquiry, information was </w:t>
      </w:r>
      <w:r w:rsidR="004746E5">
        <w:t>sought</w:t>
      </w:r>
      <w:r>
        <w:t xml:space="preserve"> fro</w:t>
      </w:r>
      <w:r w:rsidR="003461A0">
        <w:t xml:space="preserve">m other Australian legislatures and the New Zealand Parliament </w:t>
      </w:r>
      <w:r>
        <w:t xml:space="preserve">on their practice in relation to the disclosure of committee proceedings, evidence and documents. </w:t>
      </w:r>
      <w:r w:rsidR="004E083F">
        <w:t xml:space="preserve">This information is contained in Chapter 2 of this report. </w:t>
      </w:r>
      <w:r>
        <w:t xml:space="preserve">The Committee met on </w:t>
      </w:r>
      <w:r w:rsidR="00223763">
        <w:t>4</w:t>
      </w:r>
      <w:r>
        <w:t xml:space="preserve"> occasions to discuss the issue. At those meetings </w:t>
      </w:r>
      <w:r w:rsidR="00AA70AF">
        <w:t>m</w:t>
      </w:r>
      <w:r>
        <w:t xml:space="preserve">embers </w:t>
      </w:r>
      <w:r w:rsidR="00AA70AF">
        <w:t xml:space="preserve">of the committee </w:t>
      </w:r>
      <w:r>
        <w:t xml:space="preserve">discussed the current </w:t>
      </w:r>
      <w:r w:rsidR="004746E5">
        <w:t>standing order</w:t>
      </w:r>
      <w:r>
        <w:t xml:space="preserve"> </w:t>
      </w:r>
      <w:r w:rsidR="006533EE">
        <w:t xml:space="preserve">and practice in the Assembly </w:t>
      </w:r>
      <w:r>
        <w:t xml:space="preserve">and the </w:t>
      </w:r>
      <w:r w:rsidR="006533EE">
        <w:t xml:space="preserve">intent and </w:t>
      </w:r>
      <w:r w:rsidR="004746E5">
        <w:t>implication</w:t>
      </w:r>
      <w:r w:rsidR="006533EE">
        <w:t>s</w:t>
      </w:r>
      <w:r w:rsidR="004746E5">
        <w:t xml:space="preserve"> of the </w:t>
      </w:r>
      <w:r>
        <w:t>proposed amendment to the standi</w:t>
      </w:r>
      <w:r w:rsidR="004746E5">
        <w:t>ng orders.</w:t>
      </w:r>
    </w:p>
    <w:p w:rsidR="00D00D73" w:rsidRDefault="00D00D73" w:rsidP="006533EE">
      <w:pPr>
        <w:pStyle w:val="Headinglevel5"/>
      </w:pPr>
    </w:p>
    <w:p w:rsidR="006533EE" w:rsidRPr="006533EE" w:rsidRDefault="006533EE" w:rsidP="006533EE">
      <w:pPr>
        <w:pStyle w:val="Heading1"/>
      </w:pPr>
      <w:bookmarkStart w:id="52" w:name="_Toc399327246"/>
      <w:r>
        <w:lastRenderedPageBreak/>
        <w:t>Current practice</w:t>
      </w:r>
      <w:r w:rsidR="0073056A">
        <w:t>s</w:t>
      </w:r>
      <w:bookmarkEnd w:id="52"/>
    </w:p>
    <w:p w:rsidR="00F37023" w:rsidRPr="00687617" w:rsidRDefault="00F37023" w:rsidP="0003127D">
      <w:pPr>
        <w:pStyle w:val="Headinglevel3"/>
        <w:numPr>
          <w:ilvl w:val="0"/>
          <w:numId w:val="0"/>
        </w:numPr>
      </w:pPr>
      <w:bookmarkStart w:id="53" w:name="_Toc399327247"/>
      <w:r w:rsidRPr="00687617">
        <w:t>Australian Capital Territory</w:t>
      </w:r>
      <w:bookmarkEnd w:id="53"/>
    </w:p>
    <w:p w:rsidR="006A5436" w:rsidRDefault="006533EE" w:rsidP="006A5436">
      <w:pPr>
        <w:pStyle w:val="Bodytext"/>
        <w:keepNext/>
        <w:keepLines/>
      </w:pPr>
      <w:r>
        <w:t xml:space="preserve">Standing order 241 of the </w:t>
      </w:r>
      <w:r w:rsidR="00C56D58">
        <w:t>Assembly states that the committee m</w:t>
      </w:r>
      <w:r w:rsidR="008E4BCC">
        <w:t>a</w:t>
      </w:r>
      <w:r w:rsidR="00C56D58">
        <w:t xml:space="preserve">y receive and authorise publication of evidence given before it or documents presented to it and that any evidence, documents, proceedings and reports may not be disclosed or published to a person (other than a </w:t>
      </w:r>
      <w:r w:rsidR="00AA70AF">
        <w:t>m</w:t>
      </w:r>
      <w:r w:rsidR="00C56D58">
        <w:t>ember of the committee or Assembly employee if necessary in the course of their duties</w:t>
      </w:r>
      <w:r w:rsidR="006A5436">
        <w:t>)</w:t>
      </w:r>
      <w:r w:rsidR="00C56D58">
        <w:t xml:space="preserve"> unless they have been reported to the Assembly or authorised by the Assembly or the committee. </w:t>
      </w:r>
      <w:r w:rsidR="006A5436">
        <w:t xml:space="preserve">The standing order goes on to indicate that </w:t>
      </w:r>
      <w:r w:rsidR="006A5436" w:rsidRPr="006533EE">
        <w:t xml:space="preserve">a committee may resolve to authorise a </w:t>
      </w:r>
      <w:r w:rsidR="00AA70AF">
        <w:t>m</w:t>
      </w:r>
      <w:r w:rsidR="006A5436" w:rsidRPr="006533EE">
        <w:t xml:space="preserve">ember of the committee to give public briefings on matters related to an inquiry. An authorised </w:t>
      </w:r>
      <w:r w:rsidR="00AA70AF">
        <w:t>m</w:t>
      </w:r>
      <w:r w:rsidR="006A5436" w:rsidRPr="006533EE">
        <w:t>ember may not disclose evidence, documents, proceedings or reports which have not been authorised for publication. The committee shall determine the limits of the authorisation.</w:t>
      </w:r>
    </w:p>
    <w:p w:rsidR="00432400" w:rsidRDefault="00432400" w:rsidP="006A5436">
      <w:pPr>
        <w:pStyle w:val="Bodytext"/>
        <w:keepNext/>
        <w:keepLines/>
      </w:pPr>
      <w:r>
        <w:t>The Assembly’s standing order</w:t>
      </w:r>
      <w:r w:rsidR="00710BE9">
        <w:t>s</w:t>
      </w:r>
      <w:r w:rsidR="003461A0">
        <w:t xml:space="preserve"> also</w:t>
      </w:r>
      <w:r>
        <w:t xml:space="preserve"> outline the procedures to be followed if the issue of a proposed unauthorised disclosure </w:t>
      </w:r>
      <w:r w:rsidR="00710BE9">
        <w:t xml:space="preserve">of committee proceedings occurs. It states that “a committee affected by any unauthorised disclosure of proceedings or documents of, or evidence before, that committee shall seek to discover the source of the disclosure, including by the Chair of the committee writing to all </w:t>
      </w:r>
      <w:r w:rsidR="00AA70AF">
        <w:t>m</w:t>
      </w:r>
      <w:r w:rsidR="00710BE9">
        <w:t>embers and staff asking them if they can explain the disclosure”.</w:t>
      </w:r>
      <w:r w:rsidR="00710BE9">
        <w:rPr>
          <w:rStyle w:val="FootnoteReference"/>
        </w:rPr>
        <w:footnoteReference w:id="7"/>
      </w:r>
      <w:r w:rsidR="00710BE9">
        <w:t xml:space="preserve"> The standing order goes on to outline that “the committee concerned should come to a conclusion as to whether the disclosure had a tendency substantially to interfere with the work of the committee or of the Assembly, or actually caused substantial interference”.</w:t>
      </w:r>
      <w:r w:rsidR="007B7723">
        <w:rPr>
          <w:rStyle w:val="FootnoteReference"/>
        </w:rPr>
        <w:footnoteReference w:id="8"/>
      </w:r>
      <w:r w:rsidR="00710BE9">
        <w:t xml:space="preserve"> The standing order also states that if the committee concludes that there has been potential or actual substantial interference it shall report to the Assembly and the matter may be raised with the Speaker by the Chair of the committee, in accordance with standing order 276 (which deals with the raising of a matter of privilege).</w:t>
      </w:r>
    </w:p>
    <w:p w:rsidR="0073056A" w:rsidRPr="00687617" w:rsidRDefault="00AD1163" w:rsidP="0003127D">
      <w:pPr>
        <w:pStyle w:val="Headinglevel3"/>
        <w:numPr>
          <w:ilvl w:val="0"/>
          <w:numId w:val="0"/>
        </w:numPr>
      </w:pPr>
      <w:bookmarkStart w:id="54" w:name="_Toc399327248"/>
      <w:r w:rsidRPr="00687617">
        <w:t>Commonwealth</w:t>
      </w:r>
      <w:bookmarkEnd w:id="54"/>
    </w:p>
    <w:p w:rsidR="00AD1163" w:rsidRPr="00FA4DB1" w:rsidRDefault="00AD1163" w:rsidP="00687617">
      <w:pPr>
        <w:pStyle w:val="Headinglevel5"/>
        <w:rPr>
          <w:sz w:val="30"/>
          <w:szCs w:val="30"/>
        </w:rPr>
      </w:pPr>
      <w:bookmarkStart w:id="55" w:name="_Toc399327249"/>
      <w:r w:rsidRPr="00FA4DB1">
        <w:rPr>
          <w:sz w:val="30"/>
          <w:szCs w:val="30"/>
        </w:rPr>
        <w:t>House of Representatives</w:t>
      </w:r>
      <w:bookmarkEnd w:id="55"/>
    </w:p>
    <w:p w:rsidR="0073056A" w:rsidRDefault="0073056A" w:rsidP="0073056A">
      <w:pPr>
        <w:pStyle w:val="Bodytext"/>
      </w:pPr>
      <w:r>
        <w:t xml:space="preserve">In the Commonwealth House of Representatives standing order 242 provides that evidence taken by a committee or subcommittee, documents presented to it and proceedings and reports of it, which have not been reported to the House or authorised by the House, the </w:t>
      </w:r>
      <w:r>
        <w:lastRenderedPageBreak/>
        <w:t>committee or the subcommittee, may not be disclosed or published to a person (other than a member of the committee or parliamentary employee assigned to the committee).</w:t>
      </w:r>
    </w:p>
    <w:p w:rsidR="0073056A" w:rsidRDefault="00B06E76" w:rsidP="0073056A">
      <w:pPr>
        <w:pStyle w:val="Bodytext"/>
      </w:pPr>
      <w:r>
        <w:t>A number of reports relating to the unauthorised publication or disclosure of evidence taken in private, of private deliberations and of draft reports of a committee before presentation to the House have been produced by the Committee of Privileges.</w:t>
      </w:r>
      <w:r>
        <w:rPr>
          <w:rStyle w:val="FootnoteReference"/>
        </w:rPr>
        <w:footnoteReference w:id="9"/>
      </w:r>
      <w:r>
        <w:t xml:space="preserve"> </w:t>
      </w:r>
      <w:r w:rsidR="003461A0">
        <w:t xml:space="preserve">In commenting on these reports the </w:t>
      </w:r>
      <w:r w:rsidRPr="00B06E76">
        <w:rPr>
          <w:i/>
        </w:rPr>
        <w:t>House of Representatives Practice</w:t>
      </w:r>
      <w:r>
        <w:t xml:space="preserve"> states that:</w:t>
      </w:r>
    </w:p>
    <w:p w:rsidR="00B06E76" w:rsidRDefault="00B06E76" w:rsidP="00B06E76">
      <w:pPr>
        <w:pStyle w:val="Quote"/>
        <w:rPr>
          <w:sz w:val="21"/>
          <w:szCs w:val="21"/>
        </w:rPr>
      </w:pPr>
      <w:r>
        <w:rPr>
          <w:sz w:val="21"/>
          <w:szCs w:val="21"/>
        </w:rPr>
        <w:t>The committee’s reports indicate the difficulty of reaching a satisfactory outcome in such inquiries. The committee has expressed the view that complaints in this area should not be given precedence unless the Speaker is of the opinion that there is sufficient evidence to enable the source(s) of disclosure to be identified or that there are such special circumstances (for example, the protection of sources or witnesses) as would warrant reference to the committee.</w:t>
      </w:r>
      <w:r>
        <w:rPr>
          <w:rStyle w:val="FootnoteReference"/>
          <w:sz w:val="21"/>
          <w:szCs w:val="21"/>
        </w:rPr>
        <w:footnoteReference w:id="10"/>
      </w:r>
    </w:p>
    <w:p w:rsidR="00B06E76" w:rsidRPr="00BF44F5" w:rsidRDefault="00432400" w:rsidP="00432400">
      <w:pPr>
        <w:pStyle w:val="Bodytext"/>
      </w:pPr>
      <w:r w:rsidRPr="00432400">
        <w:t>Given the above,</w:t>
      </w:r>
      <w:r w:rsidR="00B06E76" w:rsidRPr="00432400">
        <w:t xml:space="preserve"> </w:t>
      </w:r>
      <w:r w:rsidRPr="00432400">
        <w:t xml:space="preserve">a </w:t>
      </w:r>
      <w:r w:rsidR="00B06E76" w:rsidRPr="00432400">
        <w:t>Member wishing to raise a complaint in this area must raise it in the House at the first appropriate opportunity. The Member is not required to go into the detail of the matter, but must identify the committee and the nature of the concern. The committee in question must then consider the matter—in particular it must consider whether the matter has caused or is likely to cause substantial interference with its work, with the committee system or with the functioning of the House. It must also take whatever steps it can to ascertain the source(s) of the disclosure(s). The committee must inform the House of the results of its consideration and, if it finds that substantial interference has occurred, it must explain why it has reached that conclusion.</w:t>
      </w:r>
      <w:r w:rsidR="00B06E76" w:rsidRPr="00432400">
        <w:rPr>
          <w:szCs w:val="14"/>
        </w:rPr>
        <w:t xml:space="preserve"> </w:t>
      </w:r>
      <w:r w:rsidR="00B06E76" w:rsidRPr="00432400">
        <w:t>The issue is then considered by the Speaker, who determines whether or not to allow precedence to a motion on the matter. Should a committee conclude that substantial interference has not occurred the House should be informed accordingly.</w:t>
      </w:r>
      <w:r>
        <w:rPr>
          <w:rStyle w:val="FootnoteReference"/>
        </w:rPr>
        <w:footnoteReference w:id="11"/>
      </w:r>
      <w:r w:rsidR="00B06E76" w:rsidRPr="00432400">
        <w:rPr>
          <w:szCs w:val="14"/>
        </w:rPr>
        <w:t xml:space="preserve"> </w:t>
      </w:r>
    </w:p>
    <w:p w:rsidR="00BF44F5" w:rsidRPr="00FA4DB1" w:rsidRDefault="00BF44F5" w:rsidP="00687617">
      <w:pPr>
        <w:pStyle w:val="Headinglevel5"/>
        <w:rPr>
          <w:sz w:val="30"/>
          <w:szCs w:val="30"/>
        </w:rPr>
      </w:pPr>
      <w:bookmarkStart w:id="56" w:name="_Toc399327250"/>
      <w:r w:rsidRPr="00FA4DB1">
        <w:rPr>
          <w:sz w:val="30"/>
          <w:szCs w:val="30"/>
        </w:rPr>
        <w:t>Senate</w:t>
      </w:r>
      <w:bookmarkEnd w:id="56"/>
    </w:p>
    <w:p w:rsidR="00B647E8" w:rsidRDefault="00BF44F5" w:rsidP="00D75119">
      <w:pPr>
        <w:pStyle w:val="Bodytext"/>
      </w:pPr>
      <w:r>
        <w:t xml:space="preserve">The Commonwealth Senate </w:t>
      </w:r>
      <w:r w:rsidR="00465875">
        <w:t>prohibits</w:t>
      </w:r>
      <w:r>
        <w:t xml:space="preserve"> the unauthorised disclosure of committee proceedings to any person other than a member or officer of </w:t>
      </w:r>
      <w:r w:rsidR="00B647E8">
        <w:t>the</w:t>
      </w:r>
      <w:r>
        <w:t xml:space="preserve"> committee</w:t>
      </w:r>
      <w:r w:rsidR="00D75119">
        <w:t xml:space="preserve"> under its standing orders</w:t>
      </w:r>
      <w:r>
        <w:t>.</w:t>
      </w:r>
      <w:r>
        <w:rPr>
          <w:rStyle w:val="FootnoteReference"/>
        </w:rPr>
        <w:footnoteReference w:id="12"/>
      </w:r>
      <w:r w:rsidR="00D75119">
        <w:t xml:space="preserve"> </w:t>
      </w:r>
      <w:r w:rsidR="00D75119" w:rsidRPr="00151723">
        <w:t xml:space="preserve">An unauthorised disclosure would be a breach of standing orders. If this occurred the </w:t>
      </w:r>
      <w:r w:rsidR="00D75119">
        <w:t>relevant c</w:t>
      </w:r>
      <w:r w:rsidR="00D75119" w:rsidRPr="00151723">
        <w:t xml:space="preserve">ommittee would report the matter to the Senate, but only after following some detailed steps outlined in Procedural Orders of Continuing Effect Nos 3 and 4 of the </w:t>
      </w:r>
      <w:r w:rsidR="00B647E8">
        <w:t>s</w:t>
      </w:r>
      <w:r w:rsidR="00D75119" w:rsidRPr="00151723">
        <w:t xml:space="preserve">tanding </w:t>
      </w:r>
      <w:r w:rsidR="00B647E8">
        <w:t>o</w:t>
      </w:r>
      <w:r w:rsidR="00D75119" w:rsidRPr="00151723">
        <w:t>rders.</w:t>
      </w:r>
      <w:r w:rsidR="00B647E8">
        <w:t xml:space="preserve"> These steps are similar to those of the House of Representatives and also</w:t>
      </w:r>
      <w:r w:rsidR="00D75119">
        <w:t xml:space="preserve"> </w:t>
      </w:r>
      <w:r w:rsidR="00B647E8">
        <w:t xml:space="preserve">require the committee to consider the matter in the first instance. Procedural </w:t>
      </w:r>
      <w:r w:rsidR="005C5CA6">
        <w:t>o</w:t>
      </w:r>
      <w:r w:rsidR="00B647E8">
        <w:t xml:space="preserve">rder No 4 contains guidelines which are to be observed by the committee when determining whether the matter should be raised as a </w:t>
      </w:r>
      <w:r w:rsidR="00B647E8">
        <w:lastRenderedPageBreak/>
        <w:t>matter of privilege. The following outlines the circumstances where a matter should not be raised:</w:t>
      </w:r>
    </w:p>
    <w:p w:rsidR="00B647E8" w:rsidRDefault="00B647E8" w:rsidP="00B647E8">
      <w:pPr>
        <w:pStyle w:val="ListNumber3"/>
      </w:pPr>
      <w:r>
        <w:t>disclosure of a committee report in the time between the substantial conclusion of the committee’s deliberations on the report and its presentation to the Senate;</w:t>
      </w:r>
    </w:p>
    <w:p w:rsidR="00B647E8" w:rsidRDefault="00B647E8" w:rsidP="00B647E8">
      <w:pPr>
        <w:pStyle w:val="ListNumber3"/>
      </w:pPr>
      <w:r>
        <w:t>disclosure of other documents prepared by a committee and not published by the committee, where the committee would have published them, or could appropriately have published them, in any event, or where they contain only research or publicly-available material, or where their disclosure is otherwise inconsequential;</w:t>
      </w:r>
    </w:p>
    <w:p w:rsidR="00B647E8" w:rsidRDefault="00B647E8" w:rsidP="00B647E8">
      <w:pPr>
        <w:pStyle w:val="ListNumber3"/>
      </w:pPr>
      <w:r>
        <w:t>disclosure of documents and evidence submitted to a committee and not published by the committee, where the committee would have published them, or could appropriately have published them, in any event; and</w:t>
      </w:r>
    </w:p>
    <w:p w:rsidR="00B647E8" w:rsidRDefault="00B647E8" w:rsidP="00B647E8">
      <w:pPr>
        <w:pStyle w:val="ListNumber3"/>
      </w:pPr>
      <w:r>
        <w:t>disclosure of private deliberations of a committee where the freedom of the committee to deliberate is unlikely to be significantly affected.</w:t>
      </w:r>
      <w:r w:rsidR="005C5CA6">
        <w:rPr>
          <w:rStyle w:val="FootnoteReference"/>
        </w:rPr>
        <w:footnoteReference w:id="13"/>
      </w:r>
    </w:p>
    <w:p w:rsidR="00B647E8" w:rsidRDefault="00B647E8" w:rsidP="00B647E8">
      <w:pPr>
        <w:pStyle w:val="Bodytext"/>
      </w:pPr>
      <w:r>
        <w:t xml:space="preserve">The procedure order goes on to </w:t>
      </w:r>
      <w:r w:rsidR="005C5CA6">
        <w:t>outline the kinds of unauthorised disclosure that should be raised as matters of privilege, including:</w:t>
      </w:r>
    </w:p>
    <w:p w:rsidR="005C5CA6" w:rsidRDefault="005C5CA6" w:rsidP="005C5CA6">
      <w:pPr>
        <w:pStyle w:val="ListNumber3"/>
      </w:pPr>
      <w:r>
        <w:t>disclosure of documents or evidence submitted to a committee where the committee has deliberately decided to treat the documents or evidence as in camera material, for the protection of witnesses or others, or because disclosure would otherwise be harmful to the public interest;</w:t>
      </w:r>
    </w:p>
    <w:p w:rsidR="005C5CA6" w:rsidRPr="005C5CA6" w:rsidRDefault="005C5CA6" w:rsidP="005C5CA6">
      <w:pPr>
        <w:pStyle w:val="ListNumber3"/>
        <w:rPr>
          <w:szCs w:val="17"/>
        </w:rPr>
      </w:pPr>
      <w:r w:rsidRPr="005C5CA6">
        <w:rPr>
          <w:szCs w:val="17"/>
        </w:rPr>
        <w:t xml:space="preserve">disclosure of documents prepared by a committee where that involves disclosure of material of the kind specified in </w:t>
      </w:r>
      <w:r w:rsidR="00AA70AF">
        <w:rPr>
          <w:szCs w:val="17"/>
        </w:rPr>
        <w:t xml:space="preserve">the above </w:t>
      </w:r>
      <w:r w:rsidRPr="005C5CA6">
        <w:rPr>
          <w:szCs w:val="17"/>
        </w:rPr>
        <w:t>paragraph;</w:t>
      </w:r>
      <w:r w:rsidR="00AA70AF">
        <w:rPr>
          <w:szCs w:val="17"/>
        </w:rPr>
        <w:t xml:space="preserve"> and</w:t>
      </w:r>
    </w:p>
    <w:p w:rsidR="005C5CA6" w:rsidRDefault="005C5CA6" w:rsidP="005C5CA6">
      <w:pPr>
        <w:pStyle w:val="ListNumber3"/>
      </w:pPr>
      <w:r>
        <w:t>disclosure of private deliberations of a committee where that involves disclosure of that kind of material, or significantly impedes the committee’s freedom to deliberate.</w:t>
      </w:r>
    </w:p>
    <w:p w:rsidR="00D75119" w:rsidRDefault="00D75119" w:rsidP="00D75119">
      <w:pPr>
        <w:pStyle w:val="Bodytext"/>
      </w:pPr>
      <w:r w:rsidRPr="00151723">
        <w:t>In practice, m</w:t>
      </w:r>
      <w:r w:rsidR="00AA70AF">
        <w:t>any S</w:t>
      </w:r>
      <w:r w:rsidRPr="00151723">
        <w:t xml:space="preserve">enators are participating members of committees and this reduces the incidence of unauthorised disclosure to other </w:t>
      </w:r>
      <w:r w:rsidR="00AA70AF">
        <w:t>S</w:t>
      </w:r>
      <w:r w:rsidRPr="00151723">
        <w:t>enators, because, as participating members, they are entitled to receive committee documents.</w:t>
      </w:r>
    </w:p>
    <w:p w:rsidR="00D904C2" w:rsidRDefault="00D904C2" w:rsidP="0003127D">
      <w:pPr>
        <w:pStyle w:val="Headinglevel3"/>
        <w:numPr>
          <w:ilvl w:val="0"/>
          <w:numId w:val="0"/>
        </w:numPr>
      </w:pPr>
      <w:bookmarkStart w:id="57" w:name="_Toc399327251"/>
      <w:r>
        <w:t>New South Wales</w:t>
      </w:r>
      <w:bookmarkEnd w:id="57"/>
    </w:p>
    <w:p w:rsidR="009E005E" w:rsidRDefault="00D904C2" w:rsidP="00D904C2">
      <w:pPr>
        <w:pStyle w:val="Bodytext"/>
      </w:pPr>
      <w:r>
        <w:t xml:space="preserve">The Legislative Assembly of the Parliament of New South Wales </w:t>
      </w:r>
      <w:r w:rsidR="00BE29EC">
        <w:t>addresse</w:t>
      </w:r>
      <w:r w:rsidR="0003127D">
        <w:t>s</w:t>
      </w:r>
      <w:r w:rsidR="00BE29EC">
        <w:t xml:space="preserve"> the issue of the disclosure of committee evidence or documents in standing order 297 which outlines that evidence, submissions or other documents and information presented to a committee shall not be disclosed by a </w:t>
      </w:r>
      <w:r w:rsidR="00AA70AF">
        <w:t>m</w:t>
      </w:r>
      <w:r w:rsidR="00BE29EC">
        <w:t>ember or any other person unless it has been reported to the House or authorised by the House or the committee.</w:t>
      </w:r>
      <w:r w:rsidR="0003127D">
        <w:t xml:space="preserve"> </w:t>
      </w:r>
    </w:p>
    <w:p w:rsidR="00D904C2" w:rsidRDefault="0003127D" w:rsidP="00D904C2">
      <w:pPr>
        <w:pStyle w:val="Bodytext"/>
      </w:pPr>
      <w:r>
        <w:lastRenderedPageBreak/>
        <w:t>The Legislative Council has a similar standing order,</w:t>
      </w:r>
      <w:r>
        <w:rPr>
          <w:rStyle w:val="FootnoteReference"/>
        </w:rPr>
        <w:footnoteReference w:id="14"/>
      </w:r>
      <w:r>
        <w:t xml:space="preserve"> however, its standing order continues by stating that the above rules do not apply to:</w:t>
      </w:r>
    </w:p>
    <w:p w:rsidR="0003127D" w:rsidRDefault="0003127D" w:rsidP="0003127D">
      <w:pPr>
        <w:pStyle w:val="ListNumber3"/>
        <w:rPr>
          <w:lang w:eastAsia="en-AU"/>
        </w:rPr>
      </w:pPr>
      <w:r>
        <w:rPr>
          <w:lang w:eastAsia="en-AU"/>
        </w:rPr>
        <w:t>any proceedings of the committee that are open to the public and news media;</w:t>
      </w:r>
    </w:p>
    <w:p w:rsidR="0003127D" w:rsidRDefault="0003127D" w:rsidP="0003127D">
      <w:pPr>
        <w:pStyle w:val="ListNumber3"/>
        <w:rPr>
          <w:lang w:eastAsia="en-AU"/>
        </w:rPr>
      </w:pPr>
      <w:r>
        <w:rPr>
          <w:lang w:eastAsia="en-AU"/>
        </w:rPr>
        <w:t>any member of the committee or officers of the House or committee in the exercise or performance of their duties;</w:t>
      </w:r>
    </w:p>
    <w:p w:rsidR="0003127D" w:rsidRDefault="0003127D" w:rsidP="0003127D">
      <w:pPr>
        <w:pStyle w:val="ListNumber3"/>
        <w:rPr>
          <w:lang w:eastAsia="en-AU"/>
        </w:rPr>
      </w:pPr>
      <w:r>
        <w:rPr>
          <w:lang w:eastAsia="en-AU"/>
        </w:rPr>
        <w:t>press releases or statements made by a member of the committee on the authority of the committee;</w:t>
      </w:r>
    </w:p>
    <w:p w:rsidR="0003127D" w:rsidRDefault="0003127D" w:rsidP="0003127D">
      <w:pPr>
        <w:pStyle w:val="ListNumber3"/>
        <w:rPr>
          <w:lang w:eastAsia="en-AU"/>
        </w:rPr>
      </w:pPr>
      <w:r>
        <w:rPr>
          <w:lang w:eastAsia="en-AU"/>
        </w:rPr>
        <w:t>written submissions presented to a select committee and authorised to be published by the committee;</w:t>
      </w:r>
    </w:p>
    <w:p w:rsidR="0003127D" w:rsidRDefault="0003127D" w:rsidP="0003127D">
      <w:pPr>
        <w:pStyle w:val="ListNumber3"/>
        <w:rPr>
          <w:lang w:eastAsia="en-AU"/>
        </w:rPr>
      </w:pPr>
      <w:r>
        <w:rPr>
          <w:lang w:eastAsia="en-AU"/>
        </w:rPr>
        <w:t>any submission or document of the committee referred to any person for comment to assist the committee in its inquiry; and</w:t>
      </w:r>
    </w:p>
    <w:p w:rsidR="0003127D" w:rsidRDefault="0003127D" w:rsidP="0003127D">
      <w:pPr>
        <w:pStyle w:val="ListNumber3"/>
        <w:rPr>
          <w:lang w:eastAsia="en-AU"/>
        </w:rPr>
      </w:pPr>
      <w:r>
        <w:rPr>
          <w:lang w:eastAsia="en-AU"/>
        </w:rPr>
        <w:t>any document authorised to be published by the committee.</w:t>
      </w:r>
    </w:p>
    <w:p w:rsidR="0003127D" w:rsidRDefault="0003127D" w:rsidP="00D904C2">
      <w:pPr>
        <w:pStyle w:val="Bodytext"/>
      </w:pPr>
      <w:r>
        <w:t xml:space="preserve">The </w:t>
      </w:r>
      <w:r w:rsidR="00ED493A">
        <w:t xml:space="preserve">Legislative Council </w:t>
      </w:r>
      <w:r>
        <w:t xml:space="preserve">standing order </w:t>
      </w:r>
      <w:r w:rsidR="00ED493A">
        <w:t>specifies</w:t>
      </w:r>
      <w:r>
        <w:t xml:space="preserve"> that any person committing a breach of the standing order may be reported to the House.</w:t>
      </w:r>
    </w:p>
    <w:p w:rsidR="00693A2F" w:rsidRPr="00687617" w:rsidRDefault="00693A2F" w:rsidP="0003127D">
      <w:pPr>
        <w:pStyle w:val="Headinglevel3"/>
        <w:numPr>
          <w:ilvl w:val="0"/>
          <w:numId w:val="0"/>
        </w:numPr>
      </w:pPr>
      <w:bookmarkStart w:id="58" w:name="_Toc399327252"/>
      <w:r w:rsidRPr="00687617">
        <w:t>Northern Territory</w:t>
      </w:r>
      <w:bookmarkEnd w:id="58"/>
    </w:p>
    <w:p w:rsidR="00C365A4" w:rsidRPr="00693A2F" w:rsidRDefault="00693A2F" w:rsidP="00DD199C">
      <w:pPr>
        <w:pStyle w:val="Bodytext"/>
      </w:pPr>
      <w:r>
        <w:t xml:space="preserve">In the Northern Territory Legislative Assembly, divulging details of committee proceedings, evidence or reports unless reported to the Assembly or authorised for publication by the Assembly, the </w:t>
      </w:r>
      <w:r w:rsidR="007B7723">
        <w:t>c</w:t>
      </w:r>
      <w:r>
        <w:t>ommittee or subcommittee is a breach of standing orders.</w:t>
      </w:r>
      <w:r>
        <w:rPr>
          <w:rStyle w:val="FootnoteReference"/>
        </w:rPr>
        <w:footnoteReference w:id="15"/>
      </w:r>
      <w:r w:rsidR="00C365A4">
        <w:t xml:space="preserve"> The unauthorised disclosure of evidence is also considered to be a contempt under section 22 of the </w:t>
      </w:r>
      <w:r w:rsidR="00C365A4" w:rsidRPr="00DD199C">
        <w:rPr>
          <w:i/>
        </w:rPr>
        <w:t>Northern Territory Legislative Assembly (Powers and Privileges) Act</w:t>
      </w:r>
      <w:r w:rsidR="00C365A4">
        <w:t xml:space="preserve"> and standing order 84 deals with motions concerning contempt.</w:t>
      </w:r>
    </w:p>
    <w:p w:rsidR="006D20FA" w:rsidRPr="00687617" w:rsidRDefault="006D20FA" w:rsidP="0003127D">
      <w:pPr>
        <w:pStyle w:val="Headinglevel3"/>
        <w:numPr>
          <w:ilvl w:val="0"/>
          <w:numId w:val="0"/>
        </w:numPr>
      </w:pPr>
      <w:bookmarkStart w:id="59" w:name="_Toc399327253"/>
      <w:r w:rsidRPr="00687617">
        <w:t>Queensland</w:t>
      </w:r>
      <w:bookmarkEnd w:id="59"/>
    </w:p>
    <w:p w:rsidR="00C56D58" w:rsidRDefault="006D20FA" w:rsidP="00C56D58">
      <w:pPr>
        <w:pStyle w:val="Bodytext"/>
      </w:pPr>
      <w:r>
        <w:t xml:space="preserve">The standing </w:t>
      </w:r>
      <w:r w:rsidR="00AD1163">
        <w:t>orders of the Queensland Legislative Assembly provide</w:t>
      </w:r>
      <w:r w:rsidR="007B7723">
        <w:t xml:space="preserve"> that “</w:t>
      </w:r>
      <w:r>
        <w:t>divulging the proceedings or the report of a committee or subcommittee contrary to standing orders</w:t>
      </w:r>
      <w:r w:rsidR="007B7723">
        <w:t>”</w:t>
      </w:r>
      <w:r>
        <w:t xml:space="preserve"> may be treated as a contempt.</w:t>
      </w:r>
      <w:r>
        <w:rPr>
          <w:rStyle w:val="FootnoteReference"/>
        </w:rPr>
        <w:footnoteReference w:id="16"/>
      </w:r>
      <w:r>
        <w:t xml:space="preserve"> However, the standing orders do not prevent </w:t>
      </w:r>
      <w:r w:rsidR="007B7723">
        <w:t>“</w:t>
      </w:r>
      <w:r>
        <w:t>the disclosure, by a committee ... or by a member of the committee or an officer of the committee, of proceedings to a member of Parliament or to the Clerk or another officer of the House in the course of their duties.</w:t>
      </w:r>
      <w:r w:rsidR="007B7723">
        <w:t>”</w:t>
      </w:r>
      <w:r>
        <w:t>.</w:t>
      </w:r>
      <w:r>
        <w:rPr>
          <w:rStyle w:val="FootnoteReference"/>
        </w:rPr>
        <w:footnoteReference w:id="17"/>
      </w:r>
    </w:p>
    <w:p w:rsidR="00FF0275" w:rsidRDefault="00FF0275" w:rsidP="00FF0275">
      <w:pPr>
        <w:pStyle w:val="Bodytext"/>
      </w:pPr>
      <w:r>
        <w:lastRenderedPageBreak/>
        <w:t>Standing order 268 outlines the procedure to be followed if an unauthorised disclosure of committee proceedings</w:t>
      </w:r>
      <w:r w:rsidR="007B353B">
        <w:t xml:space="preserve"> or documents</w:t>
      </w:r>
      <w:r>
        <w:t xml:space="preserve"> is r</w:t>
      </w:r>
      <w:r w:rsidR="007B353B">
        <w:t>aised</w:t>
      </w:r>
      <w:r>
        <w:t>, which includes the relevant committee reporting the matter</w:t>
      </w:r>
      <w:r w:rsidR="007B353B">
        <w:t xml:space="preserve"> and recommending that it be referred to the ethics committee, in which case the matter stands referred. It goes on to indicate that the Speaker may also draw the attention of the House to a matter and recommend that it be referred to the ethics committee, in which case the matter stands referred. Standing order 270 outlines the procedures to be followed once the ethics committee receives such referrals.</w:t>
      </w:r>
    </w:p>
    <w:p w:rsidR="00087C01" w:rsidRPr="00687617" w:rsidRDefault="00087C01" w:rsidP="0003127D">
      <w:pPr>
        <w:pStyle w:val="Headinglevel3"/>
        <w:numPr>
          <w:ilvl w:val="0"/>
          <w:numId w:val="0"/>
        </w:numPr>
      </w:pPr>
      <w:bookmarkStart w:id="60" w:name="_Toc399327254"/>
      <w:r w:rsidRPr="00687617">
        <w:t>South Australia</w:t>
      </w:r>
      <w:bookmarkEnd w:id="60"/>
    </w:p>
    <w:p w:rsidR="00BA743A" w:rsidRPr="004C445C" w:rsidRDefault="00BA743A" w:rsidP="00BA743A">
      <w:pPr>
        <w:pStyle w:val="Bodytext"/>
      </w:pPr>
      <w:r w:rsidRPr="00BA743A">
        <w:t>Provisions are contained in the standing orders of both Houses of the Parliament of South Australia that address the disclosure of committee proceedings</w:t>
      </w:r>
      <w:r>
        <w:t xml:space="preserve"> and documents by outlining that t</w:t>
      </w:r>
      <w:r w:rsidRPr="00BA743A">
        <w:rPr>
          <w:szCs w:val="32"/>
        </w:rPr>
        <w:t>he evidence taken by a committee, and documents presented to that committee which have not been reported to the House</w:t>
      </w:r>
      <w:r>
        <w:rPr>
          <w:szCs w:val="32"/>
        </w:rPr>
        <w:t xml:space="preserve"> or Council</w:t>
      </w:r>
      <w:r w:rsidRPr="00BA743A">
        <w:rPr>
          <w:szCs w:val="32"/>
        </w:rPr>
        <w:t xml:space="preserve">, may not be disclosed or published by any </w:t>
      </w:r>
      <w:r w:rsidR="00AA70AF">
        <w:rPr>
          <w:szCs w:val="32"/>
        </w:rPr>
        <w:t>m</w:t>
      </w:r>
      <w:r w:rsidRPr="00BA743A">
        <w:rPr>
          <w:szCs w:val="32"/>
        </w:rPr>
        <w:t>ember of that committee or by any other person.</w:t>
      </w:r>
      <w:r>
        <w:rPr>
          <w:rStyle w:val="FootnoteReference"/>
          <w:szCs w:val="32"/>
        </w:rPr>
        <w:footnoteReference w:id="18"/>
      </w:r>
      <w:r w:rsidRPr="00BA743A">
        <w:rPr>
          <w:szCs w:val="32"/>
        </w:rPr>
        <w:t xml:space="preserve"> </w:t>
      </w:r>
    </w:p>
    <w:p w:rsidR="004C445C" w:rsidRDefault="004C445C" w:rsidP="0003127D">
      <w:pPr>
        <w:pStyle w:val="Headinglevel3"/>
        <w:numPr>
          <w:ilvl w:val="0"/>
          <w:numId w:val="0"/>
        </w:numPr>
      </w:pPr>
      <w:bookmarkStart w:id="61" w:name="_Toc399327255"/>
      <w:r>
        <w:t>Tasmania</w:t>
      </w:r>
      <w:bookmarkEnd w:id="61"/>
    </w:p>
    <w:p w:rsidR="004C445C" w:rsidRDefault="00032BFE" w:rsidP="00A32461">
      <w:pPr>
        <w:pStyle w:val="Bodytext"/>
      </w:pPr>
      <w:r>
        <w:t>Standing order</w:t>
      </w:r>
      <w:r w:rsidR="00791210">
        <w:t>s</w:t>
      </w:r>
      <w:r>
        <w:t xml:space="preserve"> </w:t>
      </w:r>
      <w:r w:rsidR="00791210">
        <w:t>o</w:t>
      </w:r>
      <w:r>
        <w:t xml:space="preserve">f </w:t>
      </w:r>
      <w:r w:rsidR="00791210">
        <w:t xml:space="preserve">both Houses of </w:t>
      </w:r>
      <w:r>
        <w:t xml:space="preserve">the </w:t>
      </w:r>
      <w:r w:rsidR="00D904C2">
        <w:t xml:space="preserve">Parliament of </w:t>
      </w:r>
      <w:r>
        <w:t>Tasmanian</w:t>
      </w:r>
      <w:r w:rsidR="00791210">
        <w:t xml:space="preserve"> </w:t>
      </w:r>
      <w:r>
        <w:t>outline that evidence taken by any committee which have not been reported to the House</w:t>
      </w:r>
      <w:r w:rsidR="00D904C2">
        <w:t>/Council</w:t>
      </w:r>
      <w:r>
        <w:t xml:space="preserve"> or authorised by the committee, shall not be referred to in the House</w:t>
      </w:r>
      <w:r w:rsidR="00D904C2">
        <w:t>/Council</w:t>
      </w:r>
      <w:r w:rsidR="00AA70AF">
        <w:t xml:space="preserve"> or published by any m</w:t>
      </w:r>
      <w:r>
        <w:t>ember or by any other person.</w:t>
      </w:r>
      <w:r w:rsidR="00791210">
        <w:rPr>
          <w:rStyle w:val="FootnoteReference"/>
        </w:rPr>
        <w:footnoteReference w:id="19"/>
      </w:r>
      <w:r>
        <w:t xml:space="preserve"> </w:t>
      </w:r>
      <w:r w:rsidR="00D904C2">
        <w:t xml:space="preserve">Standing order 363 of the House of Assembly states that the </w:t>
      </w:r>
      <w:r>
        <w:t xml:space="preserve">above does not apply to any proceedings of the committee that are open to the public and the media, press releases or statements authorised by the committee and authorised written submissions presented to the committee. </w:t>
      </w:r>
      <w:r w:rsidR="00D904C2">
        <w:t xml:space="preserve">Both sets of </w:t>
      </w:r>
      <w:r>
        <w:t>standing order</w:t>
      </w:r>
      <w:r w:rsidR="00D904C2">
        <w:t>s</w:t>
      </w:r>
      <w:r>
        <w:t xml:space="preserve"> continue by outlining that a committee may, in its report, </w:t>
      </w:r>
      <w:r w:rsidR="00A32461">
        <w:t xml:space="preserve">recommend </w:t>
      </w:r>
      <w:r>
        <w:t>which evidence</w:t>
      </w:r>
      <w:r w:rsidR="00A32461">
        <w:t xml:space="preserve"> or documents presented to it that</w:t>
      </w:r>
      <w:r>
        <w:t xml:space="preserve"> should not be published which </w:t>
      </w:r>
      <w:r w:rsidR="00A32461">
        <w:t>includes evidence or documents which</w:t>
      </w:r>
      <w:r>
        <w:t>:</w:t>
      </w:r>
    </w:p>
    <w:p w:rsidR="00032BFE" w:rsidRPr="00A32461" w:rsidRDefault="00032BFE" w:rsidP="00A32461">
      <w:pPr>
        <w:pStyle w:val="ListNumber3"/>
      </w:pPr>
      <w:r w:rsidRPr="00A32461">
        <w:t>discloses any trade secret or secret process of</w:t>
      </w:r>
      <w:r w:rsidR="00A32461" w:rsidRPr="00A32461">
        <w:t xml:space="preserve"> </w:t>
      </w:r>
      <w:r w:rsidRPr="00A32461">
        <w:t>manufacture;</w:t>
      </w:r>
    </w:p>
    <w:p w:rsidR="00032BFE" w:rsidRPr="00A32461" w:rsidRDefault="00032BFE" w:rsidP="00A32461">
      <w:pPr>
        <w:pStyle w:val="ListNumber3"/>
      </w:pPr>
      <w:r w:rsidRPr="00A32461">
        <w:t>discloses any private matter of a personal or</w:t>
      </w:r>
      <w:r w:rsidR="00A32461" w:rsidRPr="00A32461">
        <w:t xml:space="preserve"> </w:t>
      </w:r>
      <w:r w:rsidRPr="00A32461">
        <w:t>commercial nature unrelated to the subject- matter of its</w:t>
      </w:r>
      <w:r w:rsidR="00A32461" w:rsidRPr="00A32461">
        <w:t xml:space="preserve"> enquiries;</w:t>
      </w:r>
    </w:p>
    <w:p w:rsidR="00032BFE" w:rsidRPr="00A32461" w:rsidRDefault="00032BFE" w:rsidP="00A32461">
      <w:pPr>
        <w:pStyle w:val="ListNumber3"/>
      </w:pPr>
      <w:r w:rsidRPr="00A32461">
        <w:t xml:space="preserve">the </w:t>
      </w:r>
      <w:r w:rsidR="00AA70AF">
        <w:t>c</w:t>
      </w:r>
      <w:r w:rsidRPr="00A32461">
        <w:t>ommittee has resolved unanimously should not</w:t>
      </w:r>
      <w:r w:rsidR="00A32461" w:rsidRPr="00A32461">
        <w:t xml:space="preserve"> be made public; or</w:t>
      </w:r>
    </w:p>
    <w:p w:rsidR="00A32461" w:rsidRDefault="00A32461" w:rsidP="00A32461">
      <w:pPr>
        <w:pStyle w:val="ListNumber3"/>
      </w:pPr>
      <w:r w:rsidRPr="00A32461">
        <w:t xml:space="preserve">the committee has told the witness giving or presenting it </w:t>
      </w:r>
      <w:r>
        <w:t xml:space="preserve">that it </w:t>
      </w:r>
      <w:r w:rsidRPr="00A32461">
        <w:t>will not be published.</w:t>
      </w:r>
      <w:r>
        <w:rPr>
          <w:rStyle w:val="FootnoteReference"/>
        </w:rPr>
        <w:footnoteReference w:id="20"/>
      </w:r>
    </w:p>
    <w:p w:rsidR="00032BFE" w:rsidRPr="00A32461" w:rsidRDefault="00D904C2" w:rsidP="00A32461">
      <w:pPr>
        <w:pStyle w:val="Bodytext"/>
      </w:pPr>
      <w:r>
        <w:t>The s</w:t>
      </w:r>
      <w:r w:rsidR="00A32461" w:rsidRPr="00A32461">
        <w:t>tanding order</w:t>
      </w:r>
      <w:r>
        <w:t>s</w:t>
      </w:r>
      <w:r w:rsidR="00A32461" w:rsidRPr="00A32461">
        <w:t xml:space="preserve"> state that a</w:t>
      </w:r>
      <w:r w:rsidR="00032BFE" w:rsidRPr="00A32461">
        <w:t xml:space="preserve">ny evidence or document which a </w:t>
      </w:r>
      <w:r w:rsidR="00A32461">
        <w:t>s</w:t>
      </w:r>
      <w:r w:rsidR="00032BFE" w:rsidRPr="00A32461">
        <w:t xml:space="preserve">elect </w:t>
      </w:r>
      <w:r w:rsidR="00A32461">
        <w:t>c</w:t>
      </w:r>
      <w:r w:rsidR="00032BFE" w:rsidRPr="00A32461">
        <w:t>ommittee recommends</w:t>
      </w:r>
      <w:r w:rsidR="00A32461" w:rsidRPr="00A32461">
        <w:t xml:space="preserve"> </w:t>
      </w:r>
      <w:r w:rsidR="00032BFE" w:rsidRPr="00A32461">
        <w:t xml:space="preserve">pursuant to </w:t>
      </w:r>
      <w:r w:rsidR="00A32461" w:rsidRPr="00A32461">
        <w:t>the above s</w:t>
      </w:r>
      <w:r w:rsidR="00032BFE" w:rsidRPr="00A32461">
        <w:t xml:space="preserve">tanding </w:t>
      </w:r>
      <w:r w:rsidR="00A32461" w:rsidRPr="00A32461">
        <w:t>o</w:t>
      </w:r>
      <w:r w:rsidR="00032BFE" w:rsidRPr="00A32461">
        <w:t>rder not to be published shall remain</w:t>
      </w:r>
      <w:r w:rsidR="00A32461" w:rsidRPr="00A32461">
        <w:t xml:space="preserve"> </w:t>
      </w:r>
      <w:r w:rsidR="00032BFE" w:rsidRPr="00A32461">
        <w:t xml:space="preserve">strictly </w:t>
      </w:r>
      <w:r w:rsidR="00032BFE" w:rsidRPr="00A32461">
        <w:lastRenderedPageBreak/>
        <w:t>confidential and shall at no time be referred to in the House by any</w:t>
      </w:r>
      <w:r w:rsidR="00A32461" w:rsidRPr="00A32461">
        <w:t xml:space="preserve"> </w:t>
      </w:r>
      <w:r w:rsidR="00032BFE" w:rsidRPr="00A32461">
        <w:t xml:space="preserve">Member or </w:t>
      </w:r>
      <w:r w:rsidR="00AA70AF">
        <w:t>o</w:t>
      </w:r>
      <w:r w:rsidR="00032BFE" w:rsidRPr="00A32461">
        <w:t>fficer of the House or by any witness or any other person.</w:t>
      </w:r>
      <w:r>
        <w:rPr>
          <w:rStyle w:val="FootnoteReference"/>
        </w:rPr>
        <w:footnoteReference w:id="21"/>
      </w:r>
    </w:p>
    <w:p w:rsidR="00424AEB" w:rsidRPr="00687617" w:rsidRDefault="00424AEB" w:rsidP="0003127D">
      <w:pPr>
        <w:pStyle w:val="Headinglevel3"/>
        <w:numPr>
          <w:ilvl w:val="0"/>
          <w:numId w:val="0"/>
        </w:numPr>
      </w:pPr>
      <w:bookmarkStart w:id="62" w:name="_Toc399327256"/>
      <w:r w:rsidRPr="00687617">
        <w:t>Victoria</w:t>
      </w:r>
      <w:bookmarkEnd w:id="62"/>
    </w:p>
    <w:p w:rsidR="003B6E57" w:rsidRDefault="00C714CC" w:rsidP="00C1538A">
      <w:pPr>
        <w:pStyle w:val="Bodytext"/>
      </w:pPr>
      <w:r>
        <w:t>Both Houses of the Parliament of Victoria contain provisions in their standing orders that deal with the unauthorised disclosure of committee meetings or its do</w:t>
      </w:r>
      <w:r w:rsidR="00693A2F">
        <w:t>cuments by stating that deliberative meetings will be conducted in private.</w:t>
      </w:r>
      <w:r w:rsidR="00693A2F">
        <w:rPr>
          <w:rStyle w:val="FootnoteReference"/>
        </w:rPr>
        <w:footnoteReference w:id="22"/>
      </w:r>
      <w:r w:rsidR="00693A2F">
        <w:t xml:space="preserve"> The s</w:t>
      </w:r>
      <w:r w:rsidR="009C0FDD">
        <w:t xml:space="preserve">tanding orders </w:t>
      </w:r>
      <w:r w:rsidR="00693A2F">
        <w:t xml:space="preserve">also provide that </w:t>
      </w:r>
      <w:r w:rsidR="003B6E57">
        <w:t>“</w:t>
      </w:r>
      <w:r w:rsidR="00186E74">
        <w:t>evidence not taken in public and any documents, papers and submissions received by the committee which have not been authorised for publication will not be disclosed unless they have been reported</w:t>
      </w:r>
      <w:r w:rsidR="003B6E57">
        <w:t>”</w:t>
      </w:r>
      <w:r w:rsidR="00186E74">
        <w:t xml:space="preserve"> to the House</w:t>
      </w:r>
      <w:r w:rsidR="00C1538A">
        <w:t>/Council.</w:t>
      </w:r>
      <w:r w:rsidR="00186E74">
        <w:rPr>
          <w:rStyle w:val="FootnoteReference"/>
        </w:rPr>
        <w:footnoteReference w:id="23"/>
      </w:r>
      <w:r w:rsidR="00186E74">
        <w:t xml:space="preserve"> Given that</w:t>
      </w:r>
      <w:r w:rsidR="009C0FDD">
        <w:t xml:space="preserve"> further </w:t>
      </w:r>
      <w:r w:rsidR="00186E74">
        <w:t>provisions o</w:t>
      </w:r>
      <w:r w:rsidR="00C1538A">
        <w:t>f the standing orders outline that any person/Member who disobeys an order of the House</w:t>
      </w:r>
      <w:r w:rsidR="009C0FDD">
        <w:t>/Council</w:t>
      </w:r>
      <w:r w:rsidR="00C1538A">
        <w:t xml:space="preserve"> ... may be declared guilty of contempt,</w:t>
      </w:r>
      <w:r w:rsidR="009C0FDD">
        <w:rPr>
          <w:rStyle w:val="FootnoteReference"/>
        </w:rPr>
        <w:footnoteReference w:id="24"/>
      </w:r>
      <w:r w:rsidR="00C1538A">
        <w:t xml:space="preserve"> u</w:t>
      </w:r>
      <w:r w:rsidR="00186E74">
        <w:t>nauthorised disclosure to anyone outside the committee may therefore be regarded as contempt.</w:t>
      </w:r>
    </w:p>
    <w:p w:rsidR="007B7723" w:rsidRPr="00AD1163" w:rsidRDefault="00AD1163" w:rsidP="007B7723">
      <w:pPr>
        <w:pStyle w:val="Bodytext"/>
      </w:pPr>
      <w:r>
        <w:t>S</w:t>
      </w:r>
      <w:r w:rsidR="009D4167">
        <w:t>tanding order</w:t>
      </w:r>
      <w:r>
        <w:t xml:space="preserve"> 21.01</w:t>
      </w:r>
      <w:r w:rsidR="009D4167">
        <w:t xml:space="preserve"> of the Legislative Council outlines in detail the procedures to be followed in relation to a matter of privilege being raised, including that when the matter is raised with the President, the President will determine as soon as practicable whether the matter merits precedence.</w:t>
      </w:r>
    </w:p>
    <w:p w:rsidR="00A81B0E" w:rsidRDefault="00500C7E" w:rsidP="00C1538A">
      <w:pPr>
        <w:pStyle w:val="Bodytext"/>
      </w:pPr>
      <w:r>
        <w:t>Advice provided by the Clerk of the Legislative Assembly to th</w:t>
      </w:r>
      <w:r w:rsidR="00AD1163">
        <w:t>at Assembly’s</w:t>
      </w:r>
      <w:r>
        <w:t xml:space="preserve"> Privileges Committee in 2013 stated that the Legislative Assembly “follows a similar procedure, in relation to improper disclosure of committee evidence or proceedings, as adopted by the House of Commons from 1985.”.</w:t>
      </w:r>
      <w:r>
        <w:rPr>
          <w:rStyle w:val="FootnoteReference"/>
        </w:rPr>
        <w:footnoteReference w:id="25"/>
      </w:r>
      <w:r w:rsidR="00A81B0E">
        <w:t xml:space="preserve"> That procedure includes:</w:t>
      </w:r>
    </w:p>
    <w:p w:rsidR="00A81B0E" w:rsidRDefault="00A81B0E" w:rsidP="00AD1163">
      <w:pPr>
        <w:pStyle w:val="ListNumber3"/>
      </w:pPr>
      <w:r>
        <w:t>the committee carrying out its own investigation to try to discover the source of the leak, in particular asking all members of the committee and the committee’s staff if they can explain the leak;</w:t>
      </w:r>
    </w:p>
    <w:p w:rsidR="00186E74" w:rsidRDefault="00A81B0E" w:rsidP="00AD1163">
      <w:pPr>
        <w:pStyle w:val="ListNumber3"/>
      </w:pPr>
      <w:r>
        <w:t>the committee deciding whether or not the leak constitutes a substantial interference, or the likelihood of such, with the work of the committee or the functions of the House;</w:t>
      </w:r>
    </w:p>
    <w:p w:rsidR="00A81B0E" w:rsidRDefault="00A81B0E" w:rsidP="00AD1163">
      <w:pPr>
        <w:pStyle w:val="ListNumber3"/>
      </w:pPr>
      <w:r>
        <w:t>the committee making a special report to the House outlining the action it has taken and its conclusions; and</w:t>
      </w:r>
    </w:p>
    <w:p w:rsidR="00A81B0E" w:rsidRDefault="00A81B0E" w:rsidP="00AD1163">
      <w:pPr>
        <w:pStyle w:val="ListNumber3"/>
      </w:pPr>
      <w:r>
        <w:t>the House</w:t>
      </w:r>
      <w:r w:rsidR="00C714CC">
        <w:t xml:space="preserve"> deciding whether to refer the matter to the Privileges Committee.</w:t>
      </w:r>
      <w:r w:rsidR="00693A2F">
        <w:rPr>
          <w:rStyle w:val="FootnoteReference"/>
        </w:rPr>
        <w:footnoteReference w:id="26"/>
      </w:r>
    </w:p>
    <w:p w:rsidR="009C0FDD" w:rsidRPr="00687617" w:rsidRDefault="009C0FDD" w:rsidP="0003127D">
      <w:pPr>
        <w:pStyle w:val="Headinglevel3"/>
        <w:numPr>
          <w:ilvl w:val="0"/>
          <w:numId w:val="0"/>
        </w:numPr>
        <w:ind w:left="567" w:hanging="567"/>
      </w:pPr>
      <w:bookmarkStart w:id="63" w:name="_Toc399327257"/>
      <w:r w:rsidRPr="00687617">
        <w:lastRenderedPageBreak/>
        <w:t>Western Australia</w:t>
      </w:r>
      <w:bookmarkEnd w:id="63"/>
    </w:p>
    <w:p w:rsidR="009C0FDD" w:rsidRDefault="009C0FDD" w:rsidP="00687617">
      <w:pPr>
        <w:pStyle w:val="Bodytext"/>
      </w:pPr>
      <w:r>
        <w:t>In the Western Australia Legislative Assembly, the standing orders state that “No member of the committee nor any other person will publish or disclose evidence not taken in public including documentary evidence received by the committee unless that evidence has been reported to the Assembly or that disclosure has been authorised, on motion, by the committee.”.</w:t>
      </w:r>
      <w:r>
        <w:rPr>
          <w:rStyle w:val="FootnoteReference"/>
        </w:rPr>
        <w:footnoteReference w:id="27"/>
      </w:r>
      <w:r w:rsidR="00660EF6">
        <w:t xml:space="preserve"> The Legislative Council’s standing orders</w:t>
      </w:r>
      <w:r w:rsidR="000A6808">
        <w:t xml:space="preserve"> also include that evidence, documents and deliberations</w:t>
      </w:r>
      <w:r w:rsidR="000A6808" w:rsidRPr="000A6808">
        <w:t xml:space="preserve"> may not be disclosed or published by any </w:t>
      </w:r>
      <w:r w:rsidR="007B7723">
        <w:t>c</w:t>
      </w:r>
      <w:r w:rsidR="000A6808" w:rsidRPr="000A6808">
        <w:t xml:space="preserve">ommittee </w:t>
      </w:r>
      <w:r w:rsidR="00AA70AF">
        <w:t>m</w:t>
      </w:r>
      <w:r w:rsidR="000A6808" w:rsidRPr="000A6808">
        <w:t xml:space="preserve">ember or person, unless otherwise ordered by the </w:t>
      </w:r>
      <w:r w:rsidR="007B7723">
        <w:t>c</w:t>
      </w:r>
      <w:r w:rsidR="000A6808" w:rsidRPr="000A6808">
        <w:t>ommittee or the Council.</w:t>
      </w:r>
      <w:r w:rsidR="000A6808">
        <w:t xml:space="preserve"> The Council’s standing orders also o</w:t>
      </w:r>
      <w:r w:rsidR="00660EF6">
        <w:t>utlin</w:t>
      </w:r>
      <w:r w:rsidR="000A6808">
        <w:t>e</w:t>
      </w:r>
      <w:r w:rsidR="00660EF6">
        <w:t xml:space="preserve"> certain circumstances which would constitute a contempt including:</w:t>
      </w:r>
    </w:p>
    <w:p w:rsidR="00660EF6" w:rsidRDefault="00660EF6" w:rsidP="007B7723">
      <w:pPr>
        <w:pStyle w:val="Quote"/>
        <w:keepNext/>
        <w:keepLines/>
        <w:rPr>
          <w:b/>
        </w:rPr>
      </w:pPr>
      <w:r w:rsidRPr="00660EF6">
        <w:rPr>
          <w:b/>
        </w:rPr>
        <w:t>14.</w:t>
      </w:r>
      <w:r w:rsidRPr="00660EF6">
        <w:rPr>
          <w:b/>
        </w:rPr>
        <w:tab/>
        <w:t>Unauthorised Disclosure</w:t>
      </w:r>
    </w:p>
    <w:p w:rsidR="00660EF6" w:rsidRDefault="00660EF6" w:rsidP="007B7723">
      <w:pPr>
        <w:pStyle w:val="Quote"/>
        <w:keepNext/>
        <w:keepLines/>
        <w:rPr>
          <w:lang w:eastAsia="en-AU"/>
        </w:rPr>
      </w:pPr>
      <w:r>
        <w:rPr>
          <w:lang w:eastAsia="en-AU"/>
        </w:rPr>
        <w:t>A person shall not, without the authority of the Council or a Committee, disclose or publish –</w:t>
      </w:r>
    </w:p>
    <w:p w:rsidR="00660EF6" w:rsidRDefault="00660EF6" w:rsidP="00660EF6">
      <w:pPr>
        <w:pStyle w:val="Quote"/>
        <w:ind w:left="2160" w:hanging="913"/>
        <w:rPr>
          <w:lang w:eastAsia="en-AU"/>
        </w:rPr>
      </w:pPr>
      <w:r>
        <w:rPr>
          <w:lang w:eastAsia="en-AU"/>
        </w:rPr>
        <w:t>(a)</w:t>
      </w:r>
      <w:r>
        <w:rPr>
          <w:lang w:eastAsia="en-AU"/>
        </w:rPr>
        <w:tab/>
        <w:t>a document submitted to the Council, where the Council has ordered that document not be made public;</w:t>
      </w:r>
    </w:p>
    <w:p w:rsidR="00660EF6" w:rsidRDefault="00660EF6" w:rsidP="00660EF6">
      <w:pPr>
        <w:pStyle w:val="Quote"/>
        <w:rPr>
          <w:lang w:eastAsia="en-AU"/>
        </w:rPr>
      </w:pPr>
      <w:r>
        <w:rPr>
          <w:lang w:eastAsia="en-AU"/>
        </w:rPr>
        <w:t>(b)</w:t>
      </w:r>
      <w:r>
        <w:rPr>
          <w:lang w:eastAsia="en-AU"/>
        </w:rPr>
        <w:tab/>
        <w:t xml:space="preserve">any private or </w:t>
      </w:r>
      <w:r>
        <w:rPr>
          <w:i/>
          <w:lang w:eastAsia="en-AU"/>
        </w:rPr>
        <w:t xml:space="preserve">in camera </w:t>
      </w:r>
      <w:r>
        <w:rPr>
          <w:lang w:eastAsia="en-AU"/>
        </w:rPr>
        <w:t>evidence received by a Committee;</w:t>
      </w:r>
    </w:p>
    <w:p w:rsidR="00660EF6" w:rsidRDefault="00660EF6" w:rsidP="00660EF6">
      <w:pPr>
        <w:pStyle w:val="Quote"/>
        <w:rPr>
          <w:lang w:eastAsia="en-AU"/>
        </w:rPr>
      </w:pPr>
      <w:r>
        <w:rPr>
          <w:lang w:eastAsia="en-AU"/>
        </w:rPr>
        <w:t>(c)</w:t>
      </w:r>
      <w:r>
        <w:rPr>
          <w:lang w:eastAsia="en-AU"/>
        </w:rPr>
        <w:tab/>
        <w:t>any documentation produced by a Committee; or</w:t>
      </w:r>
    </w:p>
    <w:p w:rsidR="00660EF6" w:rsidRDefault="00660EF6" w:rsidP="00660EF6">
      <w:pPr>
        <w:pStyle w:val="Quote"/>
        <w:rPr>
          <w:lang w:eastAsia="en-AU"/>
        </w:rPr>
      </w:pPr>
      <w:r>
        <w:rPr>
          <w:lang w:eastAsia="en-AU"/>
        </w:rPr>
        <w:t>(d)</w:t>
      </w:r>
      <w:r>
        <w:rPr>
          <w:lang w:eastAsia="en-AU"/>
        </w:rPr>
        <w:tab/>
        <w:t>any deliberation of a Committee.</w:t>
      </w:r>
      <w:r>
        <w:rPr>
          <w:rStyle w:val="FootnoteReference"/>
          <w:lang w:eastAsia="en-AU"/>
        </w:rPr>
        <w:footnoteReference w:id="28"/>
      </w:r>
    </w:p>
    <w:p w:rsidR="0073056A" w:rsidRPr="00687617" w:rsidRDefault="0073056A" w:rsidP="0003127D">
      <w:pPr>
        <w:pStyle w:val="Headinglevel3"/>
        <w:numPr>
          <w:ilvl w:val="0"/>
          <w:numId w:val="0"/>
        </w:numPr>
        <w:ind w:left="567" w:hanging="567"/>
      </w:pPr>
      <w:bookmarkStart w:id="64" w:name="_Toc399327258"/>
      <w:r w:rsidRPr="00687617">
        <w:t>New Zealand</w:t>
      </w:r>
      <w:bookmarkEnd w:id="64"/>
    </w:p>
    <w:p w:rsidR="00DA2699" w:rsidRDefault="00DA2699" w:rsidP="0073056A">
      <w:pPr>
        <w:pStyle w:val="Bodytext"/>
      </w:pPr>
      <w:r>
        <w:t>Information was also sought from the Parliament of New Zealand given that the Assembly’s resolution required that particular reference be made to the New Zealand practice.</w:t>
      </w:r>
    </w:p>
    <w:p w:rsidR="0073056A" w:rsidRDefault="0073056A" w:rsidP="0073056A">
      <w:pPr>
        <w:pStyle w:val="Bodytext"/>
      </w:pPr>
      <w:r>
        <w:t xml:space="preserve">Standing order 236 of the New Zealand Parliament states that the proceedings of a [committee] other than during the hearing of evidence are not open to the public and remain strictly confidential to the committee until it reports, however, it goes on to state that this does not prevent the disclosure, by the committee or by a member of the </w:t>
      </w:r>
      <w:r w:rsidR="00AA70AF">
        <w:t>committee, of proceedings to a M</w:t>
      </w:r>
      <w:r>
        <w:t xml:space="preserve">ember of Parliament or to the Clerk or another officer of the House in the course of their duties and the disclosure of proceedings in accordance with the standing orders. The </w:t>
      </w:r>
      <w:r w:rsidRPr="009F22C4">
        <w:rPr>
          <w:i/>
        </w:rPr>
        <w:t>Parliamentary Practice in New Zealand</w:t>
      </w:r>
      <w:r>
        <w:t xml:space="preserve"> confirms the intent of the standing order by stating that “members discussing [committee] business among themselves (for example, in caucus) does not constitute a contempt. Any disclosure of proceedings pursuant to the Standing Orders (for example, in order to fulfil natural justice obligations) is authorised.”.</w:t>
      </w:r>
      <w:r>
        <w:rPr>
          <w:rStyle w:val="FootnoteReference"/>
        </w:rPr>
        <w:footnoteReference w:id="29"/>
      </w:r>
    </w:p>
    <w:p w:rsidR="0073056A" w:rsidRDefault="0073056A" w:rsidP="0073056A">
      <w:pPr>
        <w:pStyle w:val="Bodytext"/>
      </w:pPr>
      <w:r>
        <w:lastRenderedPageBreak/>
        <w:t>Standing order 236 continues by outlining proceedings which may be disclosed, these include those proceedings that do not relate to any business or decision still before the committee and those proceedings in respect of matters of process or procedure that do not:</w:t>
      </w:r>
    </w:p>
    <w:p w:rsidR="0073056A" w:rsidRDefault="0073056A" w:rsidP="00AD1163">
      <w:pPr>
        <w:pStyle w:val="ListNumber3"/>
      </w:pPr>
      <w:r>
        <w:t>relate to decisions on matters of process or procedure that are still before the committee; or</w:t>
      </w:r>
    </w:p>
    <w:p w:rsidR="0073056A" w:rsidRDefault="0073056A" w:rsidP="00AD1163">
      <w:pPr>
        <w:pStyle w:val="ListNumber3"/>
      </w:pPr>
      <w:r>
        <w:t>include any substantive proceedings relating to business before the committee; or</w:t>
      </w:r>
    </w:p>
    <w:p w:rsidR="0073056A" w:rsidRDefault="0073056A" w:rsidP="00AD1163">
      <w:pPr>
        <w:pStyle w:val="ListNumber3"/>
      </w:pPr>
      <w:r>
        <w:t>reflect, or divulge the content of, a report or draft report or the committee’s potential findings.</w:t>
      </w:r>
    </w:p>
    <w:p w:rsidR="0073056A" w:rsidRPr="00687617" w:rsidRDefault="00DE4CA0" w:rsidP="0003127D">
      <w:pPr>
        <w:pStyle w:val="Headinglevel3"/>
        <w:keepLines/>
        <w:numPr>
          <w:ilvl w:val="0"/>
          <w:numId w:val="0"/>
        </w:numPr>
        <w:ind w:left="567" w:hanging="567"/>
      </w:pPr>
      <w:bookmarkStart w:id="65" w:name="_Toc399327259"/>
      <w:r w:rsidRPr="00687617">
        <w:t>Summary of current practices</w:t>
      </w:r>
      <w:bookmarkEnd w:id="65"/>
    </w:p>
    <w:p w:rsidR="00DE4CA0" w:rsidRDefault="00C10AB9" w:rsidP="007B7723">
      <w:pPr>
        <w:pStyle w:val="Bodytext"/>
        <w:keepNext/>
        <w:keepLines/>
      </w:pPr>
      <w:r>
        <w:t xml:space="preserve">As outlined above the majority of </w:t>
      </w:r>
      <w:r w:rsidR="003400FB">
        <w:t>j</w:t>
      </w:r>
      <w:r>
        <w:t>urisdictions in Australia consider the disclosure of committee proceedings and documents, including draft reports,</w:t>
      </w:r>
      <w:r w:rsidR="00AA70AF">
        <w:t xml:space="preserve"> with the exception of Queensland,</w:t>
      </w:r>
      <w:r>
        <w:t xml:space="preserve"> constitute a breach of their standing orders. </w:t>
      </w:r>
      <w:r w:rsidR="005D0BCE">
        <w:t>In a number of these jurisdictions the standing orders also outline the procedures to be followed if such a disclosure is raised.</w:t>
      </w:r>
    </w:p>
    <w:p w:rsidR="00EE1703" w:rsidRDefault="007B7723" w:rsidP="007B7723">
      <w:pPr>
        <w:pStyle w:val="Heading1"/>
      </w:pPr>
      <w:bookmarkStart w:id="66" w:name="_Toc399327260"/>
      <w:r>
        <w:lastRenderedPageBreak/>
        <w:t>Conclusion</w:t>
      </w:r>
      <w:bookmarkEnd w:id="66"/>
    </w:p>
    <w:p w:rsidR="003C5591" w:rsidRPr="003C5591" w:rsidRDefault="003C5591" w:rsidP="003C5591">
      <w:pPr>
        <w:pStyle w:val="Bodytext"/>
      </w:pPr>
      <w:r>
        <w:t xml:space="preserve">As outlined in Chapter 2, there are a number of different approaches within Australian jurisdictions in relation to the unauthorised disclosure of committee evidence, proceedings and documents, however, the majority of the standing orders outline in some way that </w:t>
      </w:r>
      <w:r w:rsidRPr="003C5591">
        <w:rPr>
          <w:szCs w:val="32"/>
        </w:rPr>
        <w:t>evidence taken by a committee, and documents presented to that committee which have not been reported to the</w:t>
      </w:r>
      <w:r>
        <w:rPr>
          <w:szCs w:val="32"/>
        </w:rPr>
        <w:t xml:space="preserve"> legislature</w:t>
      </w:r>
      <w:r w:rsidRPr="003C5591">
        <w:rPr>
          <w:szCs w:val="32"/>
        </w:rPr>
        <w:t>,</w:t>
      </w:r>
      <w:r>
        <w:rPr>
          <w:szCs w:val="32"/>
        </w:rPr>
        <w:t xml:space="preserve"> or authorised by the legislature or committee,</w:t>
      </w:r>
      <w:r w:rsidRPr="003C5591">
        <w:rPr>
          <w:szCs w:val="32"/>
        </w:rPr>
        <w:t xml:space="preserve"> may not be disclosed or published by any </w:t>
      </w:r>
      <w:r w:rsidR="00AA70AF">
        <w:rPr>
          <w:szCs w:val="32"/>
        </w:rPr>
        <w:t>m</w:t>
      </w:r>
      <w:r w:rsidRPr="003C5591">
        <w:rPr>
          <w:szCs w:val="32"/>
        </w:rPr>
        <w:t>ember of that committee or by any other person</w:t>
      </w:r>
      <w:r>
        <w:rPr>
          <w:szCs w:val="32"/>
        </w:rPr>
        <w:t>.</w:t>
      </w:r>
    </w:p>
    <w:p w:rsidR="003C5591" w:rsidRPr="003C5591" w:rsidRDefault="003C5591" w:rsidP="003C5591">
      <w:pPr>
        <w:pStyle w:val="Bodytext"/>
      </w:pPr>
      <w:r>
        <w:rPr>
          <w:szCs w:val="32"/>
        </w:rPr>
        <w:t>The standing orders of several legislatures</w:t>
      </w:r>
      <w:r w:rsidR="00DA2699">
        <w:rPr>
          <w:szCs w:val="32"/>
        </w:rPr>
        <w:t>, including the ACT Legislative Assembly,</w:t>
      </w:r>
      <w:r>
        <w:rPr>
          <w:szCs w:val="32"/>
        </w:rPr>
        <w:t xml:space="preserve"> also </w:t>
      </w:r>
      <w:r w:rsidR="00DA2699">
        <w:rPr>
          <w:szCs w:val="32"/>
        </w:rPr>
        <w:t>state</w:t>
      </w:r>
      <w:r>
        <w:rPr>
          <w:szCs w:val="32"/>
        </w:rPr>
        <w:t xml:space="preserve"> that the onus is on the committee itself to discover the source of the disclosure</w:t>
      </w:r>
      <w:r w:rsidR="00DA2699">
        <w:rPr>
          <w:szCs w:val="32"/>
        </w:rPr>
        <w:t xml:space="preserve"> before deciding whether to report the matter to the relevant House or Presiding Officer to be dealt with appropriately.</w:t>
      </w:r>
    </w:p>
    <w:p w:rsidR="003C5591" w:rsidRDefault="00DA2699" w:rsidP="008D6DD2">
      <w:pPr>
        <w:pStyle w:val="Bodytext"/>
      </w:pPr>
      <w:r>
        <w:t>Chapter 2</w:t>
      </w:r>
      <w:r w:rsidR="008D6DD2">
        <w:t xml:space="preserve"> highlights the fact that </w:t>
      </w:r>
      <w:r>
        <w:t xml:space="preserve">the Legislative Assembly of Queensland and the Parliament of New Zealand both allow for certain committee proceedings to be disclosed to other Members of the legislature and not just </w:t>
      </w:r>
      <w:r w:rsidR="008D6DD2">
        <w:t>members</w:t>
      </w:r>
      <w:r>
        <w:t xml:space="preserve"> of the relevant committee. </w:t>
      </w:r>
      <w:r w:rsidR="00E75E05">
        <w:t xml:space="preserve">This practice allows for limited discussion between all Members of the legislature and could reduce the issue of unauthorised disclosures of committee proceedings </w:t>
      </w:r>
      <w:r w:rsidR="002D5BC6">
        <w:t>arising</w:t>
      </w:r>
      <w:r w:rsidR="00E75E05">
        <w:t>.</w:t>
      </w:r>
      <w:r w:rsidR="008D6DD2">
        <w:t xml:space="preserve"> As highlighted in the </w:t>
      </w:r>
      <w:r w:rsidR="008D6DD2" w:rsidRPr="008D6DD2">
        <w:rPr>
          <w:i/>
        </w:rPr>
        <w:t>Parliamentary Practice in New Zealand</w:t>
      </w:r>
      <w:r w:rsidR="008D6DD2">
        <w:rPr>
          <w:rStyle w:val="FootnoteReference"/>
          <w:i/>
        </w:rPr>
        <w:footnoteReference w:id="30"/>
      </w:r>
      <w:r w:rsidR="008D6DD2">
        <w:t xml:space="preserve"> the intent of the New Zealand standing order is to allow members discussing committee business among themselves (for example, in caucus). Any disclosure of proceedings pursuant to the standing orders (for example, in order to fulfil natural justice obligations) is also authorised. However, the </w:t>
      </w:r>
      <w:r w:rsidR="002D5BC6">
        <w:t>standing orders for both legislatures provide succinct provisions to ensure th</w:t>
      </w:r>
      <w:r w:rsidR="008D6DD2">
        <w:t>at any disclosure is restricted.</w:t>
      </w:r>
    </w:p>
    <w:p w:rsidR="00672ADB" w:rsidRDefault="00672ADB" w:rsidP="008D6DD2">
      <w:pPr>
        <w:pStyle w:val="Bodytext"/>
      </w:pPr>
      <w:r>
        <w:t xml:space="preserve">In discussing the merits of both the Queensland and New Zealand options, </w:t>
      </w:r>
      <w:r w:rsidR="00806D06">
        <w:t xml:space="preserve">Members of the </w:t>
      </w:r>
      <w:r>
        <w:t xml:space="preserve">Committee </w:t>
      </w:r>
      <w:r w:rsidR="00806D06">
        <w:t xml:space="preserve">had differing views </w:t>
      </w:r>
      <w:r>
        <w:t xml:space="preserve">that the </w:t>
      </w:r>
      <w:r w:rsidR="00B20372">
        <w:t xml:space="preserve">situation in the Assembly required any changes to standing orders. </w:t>
      </w:r>
      <w:r w:rsidR="00956024">
        <w:t xml:space="preserve">The Committee considered </w:t>
      </w:r>
      <w:r w:rsidR="00806D06">
        <w:t xml:space="preserve">whether </w:t>
      </w:r>
      <w:r w:rsidR="00956024">
        <w:t>t</w:t>
      </w:r>
      <w:r w:rsidR="00B20372">
        <w:t xml:space="preserve">he adoption of a modified form of the standing order that incorporated aspects of both New Zealand and Queensland models </w:t>
      </w:r>
      <w:r w:rsidR="00956024">
        <w:t>would</w:t>
      </w:r>
      <w:r w:rsidR="00FB3FFC">
        <w:t xml:space="preserve"> ensure or guard against the unauthorised disclosure of committee deliberations. </w:t>
      </w:r>
    </w:p>
    <w:p w:rsidR="00FB3FFC" w:rsidRDefault="00B20372" w:rsidP="008D6DD2">
      <w:pPr>
        <w:pStyle w:val="Bodytext"/>
      </w:pPr>
      <w:r>
        <w:t xml:space="preserve">It was felt </w:t>
      </w:r>
      <w:r w:rsidR="00FB3FFC">
        <w:t>by some Members of the Committee t</w:t>
      </w:r>
      <w:r>
        <w:t xml:space="preserve">hat </w:t>
      </w:r>
      <w:r w:rsidR="00FB3FFC">
        <w:t xml:space="preserve">any changes to standing order 241 would be </w:t>
      </w:r>
      <w:r w:rsidR="00997A62">
        <w:t>artificial and there were mixed views as to whether any amendment was necessary.</w:t>
      </w:r>
    </w:p>
    <w:p w:rsidR="00B20372" w:rsidRDefault="00997A62" w:rsidP="008D6DD2">
      <w:pPr>
        <w:pStyle w:val="Bodytext"/>
      </w:pPr>
      <w:r>
        <w:t>The purpose of s</w:t>
      </w:r>
      <w:r w:rsidR="00FB3FFC">
        <w:t xml:space="preserve">tanding order 241 </w:t>
      </w:r>
      <w:r>
        <w:t>is</w:t>
      </w:r>
      <w:r w:rsidR="00FB3FFC">
        <w:t xml:space="preserve"> to protect the confidentiality of committee proceedings </w:t>
      </w:r>
      <w:r>
        <w:t xml:space="preserve">and it was felt that any proposal to change it only served to blur the interpretation of “committee proceedings” and weaken the existing protections. </w:t>
      </w:r>
    </w:p>
    <w:p w:rsidR="00382350" w:rsidRDefault="002566C2" w:rsidP="00382350">
      <w:pPr>
        <w:pStyle w:val="Bodytext"/>
      </w:pPr>
      <w:r>
        <w:lastRenderedPageBreak/>
        <w:t>In discussing the rules that apply to disclosure of committee proceedings, the Committee considered the practice of the Australian Senate whereby the disclosure of a committee report in the time between the substantial conclusion of the committee’s deliberations on the report and its presentation to the Senate was not considered to be</w:t>
      </w:r>
      <w:r w:rsidR="00382350">
        <w:t xml:space="preserve"> a matter of privilege under their procedural guidelines.</w:t>
      </w:r>
    </w:p>
    <w:p w:rsidR="00382350" w:rsidRDefault="00382350" w:rsidP="00382350">
      <w:pPr>
        <w:pStyle w:val="Bodytext"/>
      </w:pPr>
      <w:r>
        <w:t xml:space="preserve">The Committee was of the view that this was a middle ground approach that preserved the integrity of a committee’s deliberations </w:t>
      </w:r>
      <w:r w:rsidR="00243760">
        <w:t xml:space="preserve">whilst allowing for discussion </w:t>
      </w:r>
      <w:r w:rsidR="00AE1671">
        <w:t>once the report was finalised.</w:t>
      </w:r>
      <w:r w:rsidR="00243760">
        <w:t xml:space="preserve"> </w:t>
      </w:r>
      <w:r w:rsidR="00AE1671">
        <w:t>It was agreed that the “disclosure” should be limited to Members only.</w:t>
      </w:r>
    </w:p>
    <w:p w:rsidR="00AA70AF" w:rsidRPr="007B7723" w:rsidRDefault="00AA70AF" w:rsidP="00672ADB">
      <w:pPr>
        <w:pStyle w:val="Bodytext"/>
        <w:numPr>
          <w:ilvl w:val="0"/>
          <w:numId w:val="0"/>
        </w:numPr>
        <w:ind w:left="567"/>
      </w:pPr>
    </w:p>
    <w:p w:rsidR="00EE1703" w:rsidRPr="00EE1703" w:rsidRDefault="00EE1703" w:rsidP="00EE1703">
      <w:pPr>
        <w:pStyle w:val="Recommendation"/>
        <w:ind w:left="0"/>
      </w:pPr>
    </w:p>
    <w:p w:rsidR="008735E3" w:rsidRDefault="00997A62" w:rsidP="00ED493A">
      <w:pPr>
        <w:pStyle w:val="Headinglevel5"/>
      </w:pPr>
      <w:bookmarkStart w:id="67" w:name="_Toc399326855"/>
      <w:bookmarkStart w:id="68" w:name="_Toc399327261"/>
      <w:r>
        <w:t>That Standing Order 241</w:t>
      </w:r>
      <w:r w:rsidR="00AE1671">
        <w:t xml:space="preserve"> be amended by </w:t>
      </w:r>
      <w:r w:rsidR="008735E3">
        <w:t>inserting a new</w:t>
      </w:r>
      <w:r w:rsidR="00EE3481">
        <w:t xml:space="preserve"> sub paragraph </w:t>
      </w:r>
      <w:r w:rsidR="003F7392">
        <w:rPr>
          <w:smallCaps w:val="0"/>
        </w:rPr>
        <w:t>241 (ba)</w:t>
      </w:r>
      <w:r w:rsidR="00EE3481">
        <w:t>:</w:t>
      </w:r>
      <w:bookmarkEnd w:id="67"/>
      <w:bookmarkEnd w:id="68"/>
      <w:r w:rsidR="008735E3">
        <w:t xml:space="preserve"> </w:t>
      </w:r>
    </w:p>
    <w:p w:rsidR="00FA4DB1" w:rsidRDefault="008735E3">
      <w:pPr>
        <w:pStyle w:val="Headinglevel5"/>
        <w:numPr>
          <w:ilvl w:val="0"/>
          <w:numId w:val="0"/>
        </w:numPr>
        <w:tabs>
          <w:tab w:val="clear" w:pos="567"/>
        </w:tabs>
        <w:ind w:left="1560" w:hanging="993"/>
      </w:pPr>
      <w:bookmarkStart w:id="69" w:name="_Toc399326856"/>
      <w:bookmarkStart w:id="70" w:name="_Toc399327262"/>
      <w:r>
        <w:t>241(</w:t>
      </w:r>
      <w:r w:rsidR="00EE3481" w:rsidRPr="00EE3481">
        <w:rPr>
          <w:smallCaps w:val="0"/>
        </w:rPr>
        <w:t>b</w:t>
      </w:r>
      <w:r w:rsidR="003F7392">
        <w:rPr>
          <w:smallCaps w:val="0"/>
        </w:rPr>
        <w:t>a</w:t>
      </w:r>
      <w:r w:rsidR="00EE3481" w:rsidRPr="00EE3481">
        <w:rPr>
          <w:smallCaps w:val="0"/>
        </w:rPr>
        <w:t>)</w:t>
      </w:r>
      <w:r>
        <w:tab/>
        <w:t xml:space="preserve">Members of the </w:t>
      </w:r>
      <w:r w:rsidR="00FA4DB1">
        <w:t>c</w:t>
      </w:r>
      <w:r>
        <w:t>ommittee may discuss a committee report with other Members</w:t>
      </w:r>
      <w:r w:rsidR="003F7392">
        <w:t xml:space="preserve"> on a confidential basis</w:t>
      </w:r>
      <w:r>
        <w:t xml:space="preserve"> in the time between the</w:t>
      </w:r>
      <w:r w:rsidR="00FA4DB1">
        <w:t xml:space="preserve"> substantial conclusion of the c</w:t>
      </w:r>
      <w:r>
        <w:t xml:space="preserve">ommittee’s deliberations </w:t>
      </w:r>
      <w:r w:rsidR="00EE3481">
        <w:t>on the report and its presentation to the Assembly.</w:t>
      </w:r>
      <w:bookmarkEnd w:id="69"/>
      <w:bookmarkEnd w:id="70"/>
    </w:p>
    <w:p w:rsidR="006633DB" w:rsidRDefault="006633DB" w:rsidP="00997A62">
      <w:pPr>
        <w:pStyle w:val="Headinglevel5"/>
        <w:numPr>
          <w:ilvl w:val="0"/>
          <w:numId w:val="0"/>
        </w:numPr>
        <w:ind w:left="567"/>
      </w:pPr>
    </w:p>
    <w:p w:rsidR="00956024" w:rsidRPr="00956024" w:rsidRDefault="00956024" w:rsidP="00956024">
      <w:pPr>
        <w:pStyle w:val="Headinglevel5"/>
      </w:pPr>
    </w:p>
    <w:p w:rsidR="00D561BC" w:rsidRDefault="00A1291E" w:rsidP="00A1291E">
      <w:pPr>
        <w:pStyle w:val="Bodytext"/>
        <w:numPr>
          <w:ilvl w:val="0"/>
          <w:numId w:val="0"/>
        </w:numPr>
      </w:pPr>
      <w:bookmarkStart w:id="71" w:name="_Toc93834242"/>
      <w:bookmarkStart w:id="72" w:name="_Toc341431891"/>
      <w:bookmarkEnd w:id="71"/>
      <w:bookmarkEnd w:id="72"/>
      <w:r>
        <w:t>Vicki Dunne MLA</w:t>
      </w:r>
      <w:r>
        <w:br/>
      </w:r>
      <w:r w:rsidR="00D561BC">
        <w:t>Chair</w:t>
      </w:r>
    </w:p>
    <w:p w:rsidR="0071763B" w:rsidRDefault="005954EA">
      <w:pPr>
        <w:pStyle w:val="Bodytext"/>
        <w:numPr>
          <w:ilvl w:val="0"/>
          <w:numId w:val="0"/>
        </w:numPr>
        <w:ind w:left="680" w:hanging="680"/>
      </w:pPr>
      <w:r>
        <w:t xml:space="preserve">    </w:t>
      </w:r>
      <w:r w:rsidR="00837038">
        <w:t xml:space="preserve">    </w:t>
      </w:r>
      <w:r>
        <w:t>September</w:t>
      </w:r>
      <w:r w:rsidR="00A1291E">
        <w:t xml:space="preserve"> 2014</w:t>
      </w:r>
    </w:p>
    <w:p w:rsidR="001B6543" w:rsidRDefault="001B6543" w:rsidP="00E629E2">
      <w:pPr>
        <w:pStyle w:val="Bodytext"/>
        <w:numPr>
          <w:ilvl w:val="0"/>
          <w:numId w:val="0"/>
        </w:numPr>
        <w:ind w:left="680" w:hanging="680"/>
      </w:pPr>
    </w:p>
    <w:p w:rsidR="00B13DBB" w:rsidRDefault="00B13DBB" w:rsidP="00837038">
      <w:pPr>
        <w:pStyle w:val="Bodycopynumbered"/>
        <w:tabs>
          <w:tab w:val="left" w:pos="709"/>
          <w:tab w:val="left" w:pos="1418"/>
        </w:tabs>
        <w:spacing w:before="120" w:after="120"/>
        <w:ind w:left="2160" w:hanging="2160"/>
      </w:pPr>
    </w:p>
    <w:sectPr w:rsidR="00B13DBB" w:rsidSect="00AD1005">
      <w:headerReference w:type="default" r:id="rId13"/>
      <w:footerReference w:type="default" r:id="rId14"/>
      <w:type w:val="oddPage"/>
      <w:pgSz w:w="11907" w:h="16840" w:code="9"/>
      <w:pgMar w:top="1588" w:right="1418" w:bottom="1418" w:left="1418" w:header="720" w:footer="85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3E3" w:rsidRDefault="009503E3">
      <w:r>
        <w:separator/>
      </w:r>
    </w:p>
    <w:p w:rsidR="009503E3" w:rsidRDefault="009503E3"/>
    <w:p w:rsidR="009503E3" w:rsidRDefault="009503E3"/>
    <w:p w:rsidR="009503E3" w:rsidRDefault="009503E3"/>
  </w:endnote>
  <w:endnote w:type="continuationSeparator" w:id="0">
    <w:p w:rsidR="009503E3" w:rsidRDefault="009503E3">
      <w:r>
        <w:continuationSeparator/>
      </w:r>
    </w:p>
    <w:p w:rsidR="009503E3" w:rsidRDefault="009503E3"/>
    <w:p w:rsidR="009503E3" w:rsidRDefault="009503E3"/>
    <w:p w:rsidR="009503E3" w:rsidRDefault="009503E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Univers LT Std 45 Light">
    <w:panose1 w:val="00000000000000000000"/>
    <w:charset w:val="00"/>
    <w:family w:val="swiss"/>
    <w:notTrueType/>
    <w:pitch w:val="variable"/>
    <w:sig w:usb0="800000AF" w:usb1="4000204A" w:usb2="00000000" w:usb3="00000000" w:csb0="00000001" w:csb1="00000000"/>
  </w:font>
  <w:font w:name="Univers LT Std 55">
    <w:panose1 w:val="020B0603020202020204"/>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E3" w:rsidRDefault="009503E3" w:rsidP="001B6543">
    <w:pPr>
      <w:pStyle w:val="Footer"/>
      <w:ind w:right="360" w:firstLine="360"/>
    </w:pP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E3" w:rsidRPr="00C17EA7" w:rsidRDefault="009503E3" w:rsidP="00C17EA7">
    <w:pPr>
      <w:pStyle w:val="Footer"/>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E3" w:rsidRDefault="009503E3" w:rsidP="005E670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3E3" w:rsidRDefault="009503E3">
      <w:r>
        <w:separator/>
      </w:r>
    </w:p>
    <w:p w:rsidR="009503E3" w:rsidRDefault="009503E3"/>
    <w:p w:rsidR="009503E3" w:rsidRDefault="009503E3"/>
    <w:p w:rsidR="009503E3" w:rsidRDefault="009503E3"/>
  </w:footnote>
  <w:footnote w:type="continuationSeparator" w:id="0">
    <w:p w:rsidR="009503E3" w:rsidRDefault="009503E3">
      <w:r>
        <w:continuationSeparator/>
      </w:r>
    </w:p>
    <w:p w:rsidR="009503E3" w:rsidRDefault="009503E3"/>
    <w:p w:rsidR="009503E3" w:rsidRDefault="009503E3"/>
    <w:p w:rsidR="009503E3" w:rsidRDefault="009503E3"/>
  </w:footnote>
  <w:footnote w:id="1">
    <w:p w:rsidR="009503E3" w:rsidRDefault="009503E3">
      <w:pPr>
        <w:pStyle w:val="FootnoteText"/>
      </w:pPr>
      <w:r>
        <w:rPr>
          <w:rStyle w:val="FootnoteReference"/>
        </w:rPr>
        <w:footnoteRef/>
      </w:r>
      <w:r>
        <w:t xml:space="preserve"> MoP 2012-2014/611.</w:t>
      </w:r>
    </w:p>
  </w:footnote>
  <w:footnote w:id="2">
    <w:p w:rsidR="009503E3" w:rsidRDefault="009503E3" w:rsidP="0074096A">
      <w:pPr>
        <w:pStyle w:val="FootnoteText"/>
      </w:pPr>
      <w:r>
        <w:rPr>
          <w:rStyle w:val="FootnoteReference"/>
        </w:rPr>
        <w:footnoteRef/>
      </w:r>
      <w:r>
        <w:t xml:space="preserve"> </w:t>
      </w:r>
      <w:r w:rsidRPr="0074096A">
        <w:rPr>
          <w:i/>
        </w:rPr>
        <w:t>Companion to the Standing Orders of the Legislative Assembly for the Australian Capital Territory</w:t>
      </w:r>
      <w:r>
        <w:t>, Appendix 16, pp 392-6.</w:t>
      </w:r>
    </w:p>
  </w:footnote>
  <w:footnote w:id="3">
    <w:p w:rsidR="009503E3" w:rsidRDefault="009503E3" w:rsidP="00782BDE">
      <w:pPr>
        <w:pStyle w:val="FootnoteText"/>
      </w:pPr>
      <w:r>
        <w:rPr>
          <w:rStyle w:val="FootnoteReference"/>
        </w:rPr>
        <w:footnoteRef/>
      </w:r>
      <w:r>
        <w:t xml:space="preserve"> MoP 2012-2014/595.</w:t>
      </w:r>
    </w:p>
  </w:footnote>
  <w:footnote w:id="4">
    <w:p w:rsidR="009503E3" w:rsidRDefault="009503E3">
      <w:pPr>
        <w:pStyle w:val="FootnoteText"/>
      </w:pPr>
      <w:r>
        <w:rPr>
          <w:rStyle w:val="FootnoteReference"/>
        </w:rPr>
        <w:footnoteRef/>
      </w:r>
      <w:r>
        <w:t xml:space="preserve"> MoP 2012-2014/595-6.</w:t>
      </w:r>
    </w:p>
  </w:footnote>
  <w:footnote w:id="5">
    <w:p w:rsidR="009503E3" w:rsidRDefault="009503E3">
      <w:pPr>
        <w:pStyle w:val="FootnoteText"/>
      </w:pPr>
      <w:r>
        <w:rPr>
          <w:rStyle w:val="FootnoteReference"/>
        </w:rPr>
        <w:footnoteRef/>
      </w:r>
      <w:r>
        <w:t xml:space="preserve"> Assembly Debates (2014) 1551.</w:t>
      </w:r>
    </w:p>
  </w:footnote>
  <w:footnote w:id="6">
    <w:p w:rsidR="009503E3" w:rsidRDefault="009503E3">
      <w:pPr>
        <w:pStyle w:val="FootnoteText"/>
      </w:pPr>
      <w:r>
        <w:rPr>
          <w:rStyle w:val="FootnoteReference"/>
        </w:rPr>
        <w:footnoteRef/>
      </w:r>
      <w:r>
        <w:t xml:space="preserve"> Assembly Debates (2014) 1551.</w:t>
      </w:r>
    </w:p>
  </w:footnote>
  <w:footnote w:id="7">
    <w:p w:rsidR="009503E3" w:rsidRDefault="009503E3">
      <w:pPr>
        <w:pStyle w:val="FootnoteText"/>
      </w:pPr>
      <w:r>
        <w:rPr>
          <w:rStyle w:val="FootnoteReference"/>
        </w:rPr>
        <w:footnoteRef/>
      </w:r>
      <w:r>
        <w:t xml:space="preserve"> Standing order 242.</w:t>
      </w:r>
    </w:p>
  </w:footnote>
  <w:footnote w:id="8">
    <w:p w:rsidR="009503E3" w:rsidRDefault="009503E3">
      <w:pPr>
        <w:pStyle w:val="FootnoteText"/>
      </w:pPr>
      <w:r>
        <w:rPr>
          <w:rStyle w:val="FootnoteReference"/>
        </w:rPr>
        <w:footnoteRef/>
      </w:r>
      <w:r>
        <w:t xml:space="preserve"> Standing order 242.</w:t>
      </w:r>
    </w:p>
  </w:footnote>
  <w:footnote w:id="9">
    <w:p w:rsidR="009503E3" w:rsidRPr="00B06E76" w:rsidRDefault="009503E3">
      <w:pPr>
        <w:pStyle w:val="FootnoteText"/>
      </w:pPr>
      <w:r>
        <w:rPr>
          <w:rStyle w:val="FootnoteReference"/>
        </w:rPr>
        <w:footnoteRef/>
      </w:r>
      <w:r>
        <w:t xml:space="preserve"> </w:t>
      </w:r>
      <w:r>
        <w:rPr>
          <w:i/>
        </w:rPr>
        <w:t>House of Representatives Practice</w:t>
      </w:r>
      <w:r>
        <w:t>, Sixth edn, p 759.</w:t>
      </w:r>
    </w:p>
  </w:footnote>
  <w:footnote w:id="10">
    <w:p w:rsidR="009503E3" w:rsidRPr="00B06E76" w:rsidRDefault="009503E3">
      <w:pPr>
        <w:pStyle w:val="FootnoteText"/>
      </w:pPr>
      <w:r>
        <w:rPr>
          <w:rStyle w:val="FootnoteReference"/>
        </w:rPr>
        <w:footnoteRef/>
      </w:r>
      <w:r>
        <w:t xml:space="preserve"> </w:t>
      </w:r>
      <w:r>
        <w:rPr>
          <w:i/>
        </w:rPr>
        <w:t>House of Representatives Practice</w:t>
      </w:r>
      <w:r>
        <w:t>, Sixth edn, p 759.</w:t>
      </w:r>
    </w:p>
  </w:footnote>
  <w:footnote w:id="11">
    <w:p w:rsidR="009503E3" w:rsidRPr="00432400" w:rsidRDefault="009503E3">
      <w:pPr>
        <w:pStyle w:val="FootnoteText"/>
      </w:pPr>
      <w:r>
        <w:rPr>
          <w:rStyle w:val="FootnoteReference"/>
        </w:rPr>
        <w:footnoteRef/>
      </w:r>
      <w:r>
        <w:t xml:space="preserve"> </w:t>
      </w:r>
      <w:r>
        <w:rPr>
          <w:i/>
        </w:rPr>
        <w:t>House of Representatives Practice</w:t>
      </w:r>
      <w:r>
        <w:t>, Sixth edn, p 759.</w:t>
      </w:r>
    </w:p>
  </w:footnote>
  <w:footnote w:id="12">
    <w:p w:rsidR="009503E3" w:rsidRDefault="009503E3">
      <w:pPr>
        <w:pStyle w:val="FootnoteText"/>
      </w:pPr>
      <w:r>
        <w:rPr>
          <w:rStyle w:val="FootnoteReference"/>
        </w:rPr>
        <w:footnoteRef/>
      </w:r>
      <w:r>
        <w:t xml:space="preserve"> Senate standing order 37.</w:t>
      </w:r>
    </w:p>
  </w:footnote>
  <w:footnote w:id="13">
    <w:p w:rsidR="009503E3" w:rsidRDefault="009503E3">
      <w:pPr>
        <w:pStyle w:val="FootnoteText"/>
      </w:pPr>
      <w:r>
        <w:rPr>
          <w:rStyle w:val="FootnoteReference"/>
        </w:rPr>
        <w:footnoteRef/>
      </w:r>
      <w:r>
        <w:t xml:space="preserve"> Senate procedural order 4(2).</w:t>
      </w:r>
    </w:p>
  </w:footnote>
  <w:footnote w:id="14">
    <w:p w:rsidR="009503E3" w:rsidRDefault="009503E3">
      <w:pPr>
        <w:pStyle w:val="FootnoteText"/>
      </w:pPr>
      <w:r>
        <w:rPr>
          <w:rStyle w:val="FootnoteReference"/>
        </w:rPr>
        <w:footnoteRef/>
      </w:r>
      <w:r>
        <w:t xml:space="preserve"> Legislative Council of New South Wales standing order 224.</w:t>
      </w:r>
    </w:p>
  </w:footnote>
  <w:footnote w:id="15">
    <w:p w:rsidR="009503E3" w:rsidRDefault="009503E3">
      <w:pPr>
        <w:pStyle w:val="FootnoteText"/>
      </w:pPr>
      <w:r>
        <w:rPr>
          <w:rStyle w:val="FootnoteReference"/>
        </w:rPr>
        <w:footnoteRef/>
      </w:r>
      <w:r>
        <w:t xml:space="preserve"> Legislative Assembly of Northern Territory standing order 274(b).</w:t>
      </w:r>
    </w:p>
  </w:footnote>
  <w:footnote w:id="16">
    <w:p w:rsidR="009503E3" w:rsidRDefault="009503E3">
      <w:pPr>
        <w:pStyle w:val="FootnoteText"/>
      </w:pPr>
      <w:r>
        <w:rPr>
          <w:rStyle w:val="FootnoteReference"/>
        </w:rPr>
        <w:footnoteRef/>
      </w:r>
      <w:r>
        <w:t xml:space="preserve"> Legislative Assembly of Queensland standing order 266(12).</w:t>
      </w:r>
    </w:p>
  </w:footnote>
  <w:footnote w:id="17">
    <w:p w:rsidR="009503E3" w:rsidRDefault="009503E3">
      <w:pPr>
        <w:pStyle w:val="FootnoteText"/>
      </w:pPr>
      <w:r>
        <w:rPr>
          <w:rStyle w:val="FootnoteReference"/>
        </w:rPr>
        <w:footnoteRef/>
      </w:r>
      <w:r>
        <w:t xml:space="preserve"> Legislative Assembly of Queensland standing order 211(2)(a).</w:t>
      </w:r>
    </w:p>
  </w:footnote>
  <w:footnote w:id="18">
    <w:p w:rsidR="009503E3" w:rsidRDefault="009503E3">
      <w:pPr>
        <w:pStyle w:val="FootnoteText"/>
      </w:pPr>
      <w:r>
        <w:rPr>
          <w:rStyle w:val="FootnoteReference"/>
        </w:rPr>
        <w:footnoteRef/>
      </w:r>
      <w:r>
        <w:t xml:space="preserve"> Parliament of South Australia, Legislative Council standing order 398, House of Assembly standing order 339.</w:t>
      </w:r>
    </w:p>
  </w:footnote>
  <w:footnote w:id="19">
    <w:p w:rsidR="009503E3" w:rsidRDefault="009503E3">
      <w:pPr>
        <w:pStyle w:val="FootnoteText"/>
      </w:pPr>
      <w:r>
        <w:rPr>
          <w:rStyle w:val="FootnoteReference"/>
        </w:rPr>
        <w:footnoteRef/>
      </w:r>
      <w:r>
        <w:t xml:space="preserve"> Parliament of Tasmania, Legislative Council standing order 201, House of Assembly standing order 363.</w:t>
      </w:r>
    </w:p>
  </w:footnote>
  <w:footnote w:id="20">
    <w:p w:rsidR="009503E3" w:rsidRDefault="009503E3">
      <w:pPr>
        <w:pStyle w:val="FootnoteText"/>
      </w:pPr>
      <w:r>
        <w:rPr>
          <w:rStyle w:val="FootnoteReference"/>
        </w:rPr>
        <w:footnoteRef/>
      </w:r>
      <w:r>
        <w:t xml:space="preserve"> Parliament of Tasmania, House of Assembly standing order 364, Legislative Council standing order 202.</w:t>
      </w:r>
    </w:p>
  </w:footnote>
  <w:footnote w:id="21">
    <w:p w:rsidR="009503E3" w:rsidRDefault="009503E3">
      <w:pPr>
        <w:pStyle w:val="FootnoteText"/>
      </w:pPr>
      <w:r>
        <w:rPr>
          <w:rStyle w:val="FootnoteReference"/>
        </w:rPr>
        <w:footnoteRef/>
      </w:r>
      <w:r>
        <w:t xml:space="preserve"> Parliament of Tasmania, House of Assembly standing order 365, Legislative Council standing order 203.</w:t>
      </w:r>
    </w:p>
  </w:footnote>
  <w:footnote w:id="22">
    <w:p w:rsidR="009503E3" w:rsidRDefault="009503E3">
      <w:pPr>
        <w:pStyle w:val="FootnoteText"/>
      </w:pPr>
      <w:r>
        <w:rPr>
          <w:rStyle w:val="FootnoteReference"/>
        </w:rPr>
        <w:footnoteRef/>
      </w:r>
      <w:r>
        <w:t xml:space="preserve"> Parliament of Victoria, Legislative Assembly standing order 216, Legislative Council standing order 23.20.</w:t>
      </w:r>
    </w:p>
  </w:footnote>
  <w:footnote w:id="23">
    <w:p w:rsidR="009503E3" w:rsidRDefault="009503E3">
      <w:pPr>
        <w:pStyle w:val="FootnoteText"/>
      </w:pPr>
      <w:r>
        <w:rPr>
          <w:rStyle w:val="FootnoteReference"/>
        </w:rPr>
        <w:footnoteRef/>
      </w:r>
      <w:r>
        <w:t xml:space="preserve"> Parliament of Victoria, Legislative Assembly standing order 217(4), Legislative Council standing order 23.23(2).</w:t>
      </w:r>
    </w:p>
  </w:footnote>
  <w:footnote w:id="24">
    <w:p w:rsidR="009503E3" w:rsidRDefault="009503E3">
      <w:pPr>
        <w:pStyle w:val="FootnoteText"/>
      </w:pPr>
      <w:r>
        <w:rPr>
          <w:rStyle w:val="FootnoteReference"/>
        </w:rPr>
        <w:footnoteRef/>
      </w:r>
      <w:r>
        <w:t xml:space="preserve"> Parliament of Victoria, Legislative Assembly standing order 130, Legislative Council standing order 13.07.</w:t>
      </w:r>
    </w:p>
  </w:footnote>
  <w:footnote w:id="25">
    <w:p w:rsidR="009503E3" w:rsidRPr="00A81B0E" w:rsidRDefault="009503E3">
      <w:pPr>
        <w:pStyle w:val="FootnoteText"/>
      </w:pPr>
      <w:r>
        <w:rPr>
          <w:rStyle w:val="FootnoteReference"/>
        </w:rPr>
        <w:footnoteRef/>
      </w:r>
      <w:r>
        <w:t xml:space="preserve"> </w:t>
      </w:r>
      <w:r>
        <w:rPr>
          <w:i/>
        </w:rPr>
        <w:t>Special Report—Investigation into the Improper Disclosure of a Committee Document</w:t>
      </w:r>
      <w:r>
        <w:t>, Legislative Assembly Privileges Committee, Parliament of Victoria, February 2014, p 6.</w:t>
      </w:r>
    </w:p>
  </w:footnote>
  <w:footnote w:id="26">
    <w:p w:rsidR="009503E3" w:rsidRDefault="009503E3">
      <w:pPr>
        <w:pStyle w:val="FootnoteText"/>
      </w:pPr>
      <w:r>
        <w:rPr>
          <w:rStyle w:val="FootnoteReference"/>
        </w:rPr>
        <w:footnoteRef/>
      </w:r>
      <w:r>
        <w:t xml:space="preserve"> </w:t>
      </w:r>
      <w:r>
        <w:rPr>
          <w:i/>
        </w:rPr>
        <w:t>Special Report—Investigation into the Improper Disclosure of a Committee Document</w:t>
      </w:r>
      <w:r>
        <w:t>, Legislative Assembly Privileges Committee, Parliament of Victoria, February 2014, p 6.</w:t>
      </w:r>
    </w:p>
  </w:footnote>
  <w:footnote w:id="27">
    <w:p w:rsidR="009503E3" w:rsidRDefault="009503E3">
      <w:pPr>
        <w:pStyle w:val="FootnoteText"/>
      </w:pPr>
      <w:r>
        <w:rPr>
          <w:rStyle w:val="FootnoteReference"/>
        </w:rPr>
        <w:footnoteRef/>
      </w:r>
      <w:r>
        <w:t xml:space="preserve"> Legislative Assembly of Western Australia standing order 271(2).</w:t>
      </w:r>
    </w:p>
  </w:footnote>
  <w:footnote w:id="28">
    <w:p w:rsidR="009503E3" w:rsidRDefault="009503E3">
      <w:pPr>
        <w:pStyle w:val="FootnoteText"/>
      </w:pPr>
      <w:r>
        <w:rPr>
          <w:rStyle w:val="FootnoteReference"/>
        </w:rPr>
        <w:footnoteRef/>
      </w:r>
      <w:r>
        <w:t xml:space="preserve"> Legislative Council of Western Australian standing orders, Schedule 4.</w:t>
      </w:r>
    </w:p>
  </w:footnote>
  <w:footnote w:id="29">
    <w:p w:rsidR="009503E3" w:rsidRPr="00E7390D" w:rsidRDefault="009503E3" w:rsidP="0073056A">
      <w:pPr>
        <w:pStyle w:val="FootnoteText"/>
      </w:pPr>
      <w:r>
        <w:rPr>
          <w:rStyle w:val="FootnoteReference"/>
        </w:rPr>
        <w:footnoteRef/>
      </w:r>
      <w:r>
        <w:t xml:space="preserve"> David McGee, </w:t>
      </w:r>
      <w:r>
        <w:rPr>
          <w:i/>
        </w:rPr>
        <w:t>Parliamentary Practice in New Zealand</w:t>
      </w:r>
      <w:r>
        <w:t>, Third edn, Wellington, 2005, pp 278-9.</w:t>
      </w:r>
    </w:p>
  </w:footnote>
  <w:footnote w:id="30">
    <w:p w:rsidR="009503E3" w:rsidRDefault="009503E3">
      <w:pPr>
        <w:pStyle w:val="FootnoteText"/>
      </w:pPr>
      <w:r>
        <w:rPr>
          <w:rStyle w:val="FootnoteReference"/>
        </w:rPr>
        <w:footnoteRef/>
      </w:r>
      <w:r>
        <w:t xml:space="preserve"> Paragraph 2.22.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E3" w:rsidRDefault="00A552A4" w:rsidP="00183FBF">
    <w:pPr>
      <w:pStyle w:val="Header"/>
      <w:framePr w:wrap="around" w:vAnchor="text" w:hAnchor="margin" w:xAlign="outside" w:y="1"/>
      <w:rPr>
        <w:rStyle w:val="PageNumber"/>
      </w:rPr>
    </w:pPr>
    <w:r>
      <w:rPr>
        <w:rStyle w:val="PageNumber"/>
      </w:rPr>
      <w:fldChar w:fldCharType="begin"/>
    </w:r>
    <w:r w:rsidR="009503E3">
      <w:rPr>
        <w:rStyle w:val="PageNumber"/>
      </w:rPr>
      <w:instrText xml:space="preserve">PAGE  </w:instrText>
    </w:r>
    <w:r>
      <w:rPr>
        <w:rStyle w:val="PageNumber"/>
      </w:rPr>
      <w:fldChar w:fldCharType="separate"/>
    </w:r>
    <w:r w:rsidR="007330F9">
      <w:rPr>
        <w:rStyle w:val="PageNumber"/>
        <w:noProof/>
      </w:rPr>
      <w:t>ii</w:t>
    </w:r>
    <w:r>
      <w:rPr>
        <w:rStyle w:val="PageNumber"/>
      </w:rPr>
      <w:fldChar w:fldCharType="end"/>
    </w:r>
  </w:p>
  <w:p w:rsidR="009503E3" w:rsidRPr="00C17EA7" w:rsidRDefault="00A552A4" w:rsidP="00110FA4">
    <w:pPr>
      <w:pStyle w:val="Header"/>
      <w:ind w:right="360" w:firstLine="4"/>
    </w:pPr>
    <w:fldSimple w:instr=" STYLEREF  &quot;Committee name&quot;  \* MERGEFORMAT ">
      <w:r w:rsidR="007330F9" w:rsidRPr="007330F9">
        <w:rPr>
          <w:bCs/>
          <w:noProof/>
          <w:lang w:val="en-US"/>
        </w:rPr>
        <w:t>Standing</w:t>
      </w:r>
      <w:r w:rsidR="007330F9">
        <w:rPr>
          <w:noProof/>
        </w:rPr>
        <w:t xml:space="preserve"> Committee on Administration and Procedure</w:t>
      </w:r>
    </w:fldSimple>
  </w:p>
  <w:p w:rsidR="009503E3" w:rsidRDefault="009503E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E3" w:rsidRDefault="009503E3" w:rsidP="00A8688C">
    <w:pPr>
      <w:pStyle w:val="Header"/>
      <w:ind w:firstLine="0"/>
      <w:jc w:val="right"/>
    </w:pPr>
  </w:p>
  <w:p w:rsidR="009503E3" w:rsidRDefault="00A552A4" w:rsidP="00A8688C">
    <w:pPr>
      <w:pStyle w:val="Header"/>
      <w:ind w:firstLine="0"/>
      <w:jc w:val="right"/>
    </w:pPr>
    <w:fldSimple w:instr=" STYLEREF  &quot;Report title&quot; ">
      <w:r w:rsidR="007330F9">
        <w:rPr>
          <w:noProof/>
        </w:rPr>
        <w:t>Inquiry into standing order 241—Disclosure of proceedings, evidence and documents of committees</w:t>
      </w:r>
    </w:fldSimple>
    <w:r w:rsidR="009503E3">
      <w:t xml:space="preserve"> </w:t>
    </w:r>
    <w:r w:rsidR="009503E3">
      <w:rPr>
        <w:rStyle w:val="PageNumber"/>
      </w:rPr>
      <w:t xml:space="preserve"> </w:t>
    </w:r>
    <w:fldSimple w:instr=" PAGE   \* MERGEFORMAT ">
      <w:r w:rsidR="007330F9">
        <w:rPr>
          <w:noProof/>
        </w:rPr>
        <w:t>iii</w:t>
      </w:r>
    </w:fldSimple>
    <w:r w:rsidR="009503E3">
      <w:t xml:space="preserve"> </w:t>
    </w:r>
  </w:p>
  <w:p w:rsidR="009503E3" w:rsidRDefault="00A552A4" w:rsidP="00AC22A0">
    <w:pPr>
      <w:pStyle w:val="Header"/>
      <w:ind w:left="0" w:firstLine="0"/>
      <w:jc w:val="right"/>
    </w:pPr>
    <w:r>
      <w:pict>
        <v:rect id="_x0000_i1025" style="width:0;height:1.5pt" o:hralign="center" o:hrstd="t" o:hr="t" fillcolor="gray"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E3" w:rsidRDefault="00A552A4" w:rsidP="00F0612C">
    <w:pPr>
      <w:pStyle w:val="Header"/>
      <w:framePr w:wrap="around" w:vAnchor="text" w:hAnchor="margin" w:xAlign="outside" w:y="1"/>
      <w:rPr>
        <w:rStyle w:val="PageNumber"/>
      </w:rPr>
    </w:pPr>
    <w:r>
      <w:rPr>
        <w:rStyle w:val="PageNumber"/>
      </w:rPr>
      <w:fldChar w:fldCharType="begin"/>
    </w:r>
    <w:r w:rsidR="009503E3">
      <w:rPr>
        <w:rStyle w:val="PageNumber"/>
      </w:rPr>
      <w:instrText xml:space="preserve">PAGE  </w:instrText>
    </w:r>
    <w:r>
      <w:rPr>
        <w:rStyle w:val="PageNumber"/>
      </w:rPr>
      <w:fldChar w:fldCharType="separate"/>
    </w:r>
    <w:r w:rsidR="007330F9">
      <w:rPr>
        <w:rStyle w:val="PageNumber"/>
        <w:noProof/>
      </w:rPr>
      <w:t>11</w:t>
    </w:r>
    <w:r>
      <w:rPr>
        <w:rStyle w:val="PageNumber"/>
      </w:rPr>
      <w:fldChar w:fldCharType="end"/>
    </w:r>
  </w:p>
  <w:p w:rsidR="009503E3" w:rsidRDefault="00A552A4" w:rsidP="00F0612C">
    <w:pPr>
      <w:pStyle w:val="Header"/>
      <w:ind w:right="360" w:firstLine="360"/>
      <w:jc w:val="right"/>
      <w:rPr>
        <w:rStyle w:val="PageNumber"/>
      </w:rPr>
    </w:pPr>
    <w:fldSimple w:instr=" STYLEREF  &quot;Report title&quot; ">
      <w:r w:rsidR="007330F9">
        <w:rPr>
          <w:noProof/>
        </w:rPr>
        <w:t>Inquiry into standing order 241—Disclosure of proceedings, evidence and documents of committees</w:t>
      </w:r>
    </w:fldSimple>
    <w:r w:rsidR="009503E3">
      <w:rPr>
        <w:rStyle w:val="PageNumber"/>
      </w:rPr>
      <w:t xml:space="preserve">  </w:t>
    </w:r>
  </w:p>
  <w:p w:rsidR="009503E3" w:rsidRDefault="00A552A4" w:rsidP="00AC22A0">
    <w:pPr>
      <w:pStyle w:val="Header"/>
      <w:ind w:left="0" w:firstLine="0"/>
      <w:jc w:val="right"/>
    </w:pPr>
    <w:r>
      <w:pict>
        <v:rect id="_x0000_i1026" style="width:0;height:1.5pt" o:hralign="center" o:hrstd="t" o:hr="t" fillcolor="gray" stroked="f"/>
      </w:pict>
    </w:r>
  </w:p>
  <w:p w:rsidR="009503E3" w:rsidRDefault="009503E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4E14CF8A"/>
    <w:lvl w:ilvl="0">
      <w:start w:val="1"/>
      <w:numFmt w:val="decimal"/>
      <w:lvlText w:val="%1."/>
      <w:lvlJc w:val="left"/>
      <w:pPr>
        <w:tabs>
          <w:tab w:val="num" w:pos="926"/>
        </w:tabs>
        <w:ind w:left="926" w:hanging="360"/>
      </w:pPr>
    </w:lvl>
  </w:abstractNum>
  <w:abstractNum w:abstractNumId="1">
    <w:nsid w:val="FFFFFF83"/>
    <w:multiLevelType w:val="singleLevel"/>
    <w:tmpl w:val="B60A53DA"/>
    <w:lvl w:ilvl="0">
      <w:start w:val="1"/>
      <w:numFmt w:val="bullet"/>
      <w:pStyle w:val="ListBullet2"/>
      <w:lvlText w:val=""/>
      <w:lvlJc w:val="left"/>
      <w:pPr>
        <w:tabs>
          <w:tab w:val="num" w:pos="1247"/>
        </w:tabs>
        <w:ind w:left="1247" w:hanging="283"/>
      </w:pPr>
      <w:rPr>
        <w:rFonts w:ascii="Symbol" w:hAnsi="Symbol" w:hint="default"/>
        <w:color w:val="999999"/>
        <w:sz w:val="20"/>
        <w:szCs w:val="20"/>
      </w:rPr>
    </w:lvl>
  </w:abstractNum>
  <w:abstractNum w:abstractNumId="2">
    <w:nsid w:val="01362497"/>
    <w:multiLevelType w:val="hybridMultilevel"/>
    <w:tmpl w:val="FD58CADA"/>
    <w:lvl w:ilvl="0" w:tplc="D7C2D20C">
      <w:start w:val="1"/>
      <w:numFmt w:val="lowerRoman"/>
      <w:lvlText w:val="(%1)"/>
      <w:lvlJc w:val="left"/>
      <w:pPr>
        <w:tabs>
          <w:tab w:val="num" w:pos="2298"/>
        </w:tabs>
        <w:ind w:left="2298" w:hanging="720"/>
      </w:pPr>
      <w:rPr>
        <w:rFonts w:hint="default"/>
      </w:rPr>
    </w:lvl>
    <w:lvl w:ilvl="1" w:tplc="15E45530">
      <w:start w:val="2"/>
      <w:numFmt w:val="decimal"/>
      <w:lvlText w:val="(%2)"/>
      <w:lvlJc w:val="left"/>
      <w:pPr>
        <w:tabs>
          <w:tab w:val="num" w:pos="2658"/>
        </w:tabs>
        <w:ind w:left="2658" w:hanging="360"/>
      </w:pPr>
      <w:rPr>
        <w:rFonts w:hint="default"/>
      </w:rPr>
    </w:lvl>
    <w:lvl w:ilvl="2" w:tplc="2CA287E6">
      <w:start w:val="267"/>
      <w:numFmt w:val="decimal"/>
      <w:lvlText w:val="%3."/>
      <w:lvlJc w:val="left"/>
      <w:pPr>
        <w:tabs>
          <w:tab w:val="num" w:pos="3558"/>
        </w:tabs>
        <w:ind w:left="3558" w:hanging="360"/>
      </w:pPr>
      <w:rPr>
        <w:rFonts w:hint="default"/>
      </w:rPr>
    </w:lvl>
    <w:lvl w:ilvl="3" w:tplc="ACF8113E">
      <w:start w:val="16"/>
      <w:numFmt w:val="lowerLetter"/>
      <w:lvlText w:val="(%4)"/>
      <w:lvlJc w:val="left"/>
      <w:pPr>
        <w:tabs>
          <w:tab w:val="num" w:pos="4098"/>
        </w:tabs>
        <w:ind w:left="4098" w:hanging="360"/>
      </w:pPr>
      <w:rPr>
        <w:rFonts w:hint="default"/>
      </w:rPr>
    </w:lvl>
    <w:lvl w:ilvl="4" w:tplc="04090019">
      <w:start w:val="1"/>
      <w:numFmt w:val="lowerLetter"/>
      <w:lvlText w:val="%5."/>
      <w:lvlJc w:val="left"/>
      <w:pPr>
        <w:tabs>
          <w:tab w:val="num" w:pos="4818"/>
        </w:tabs>
        <w:ind w:left="4818" w:hanging="360"/>
      </w:pPr>
    </w:lvl>
    <w:lvl w:ilvl="5" w:tplc="0409001B" w:tentative="1">
      <w:start w:val="1"/>
      <w:numFmt w:val="lowerRoman"/>
      <w:lvlText w:val="%6."/>
      <w:lvlJc w:val="right"/>
      <w:pPr>
        <w:tabs>
          <w:tab w:val="num" w:pos="5538"/>
        </w:tabs>
        <w:ind w:left="5538" w:hanging="180"/>
      </w:pPr>
    </w:lvl>
    <w:lvl w:ilvl="6" w:tplc="0409000F" w:tentative="1">
      <w:start w:val="1"/>
      <w:numFmt w:val="decimal"/>
      <w:lvlText w:val="%7."/>
      <w:lvlJc w:val="left"/>
      <w:pPr>
        <w:tabs>
          <w:tab w:val="num" w:pos="6258"/>
        </w:tabs>
        <w:ind w:left="6258" w:hanging="360"/>
      </w:pPr>
    </w:lvl>
    <w:lvl w:ilvl="7" w:tplc="04090019" w:tentative="1">
      <w:start w:val="1"/>
      <w:numFmt w:val="lowerLetter"/>
      <w:lvlText w:val="%8."/>
      <w:lvlJc w:val="left"/>
      <w:pPr>
        <w:tabs>
          <w:tab w:val="num" w:pos="6978"/>
        </w:tabs>
        <w:ind w:left="6978" w:hanging="360"/>
      </w:pPr>
    </w:lvl>
    <w:lvl w:ilvl="8" w:tplc="0409001B" w:tentative="1">
      <w:start w:val="1"/>
      <w:numFmt w:val="lowerRoman"/>
      <w:lvlText w:val="%9."/>
      <w:lvlJc w:val="right"/>
      <w:pPr>
        <w:tabs>
          <w:tab w:val="num" w:pos="7698"/>
        </w:tabs>
        <w:ind w:left="7698" w:hanging="180"/>
      </w:pPr>
    </w:lvl>
  </w:abstractNum>
  <w:abstractNum w:abstractNumId="3">
    <w:nsid w:val="02095318"/>
    <w:multiLevelType w:val="hybridMultilevel"/>
    <w:tmpl w:val="4BB257C2"/>
    <w:lvl w:ilvl="0" w:tplc="80B8966C">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4">
    <w:nsid w:val="04F37B48"/>
    <w:multiLevelType w:val="singleLevel"/>
    <w:tmpl w:val="BB32F4D4"/>
    <w:lvl w:ilvl="0">
      <w:start w:val="241"/>
      <w:numFmt w:val="decimal"/>
      <w:lvlText w:val="%1."/>
      <w:lvlJc w:val="left"/>
      <w:pPr>
        <w:tabs>
          <w:tab w:val="num" w:pos="1005"/>
        </w:tabs>
        <w:ind w:left="1005" w:hanging="1005"/>
      </w:pPr>
      <w:rPr>
        <w:rFonts w:hint="default"/>
      </w:rPr>
    </w:lvl>
  </w:abstractNum>
  <w:abstractNum w:abstractNumId="5">
    <w:nsid w:val="05111028"/>
    <w:multiLevelType w:val="hybridMultilevel"/>
    <w:tmpl w:val="0714F0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C2061A"/>
    <w:multiLevelType w:val="hybridMultilevel"/>
    <w:tmpl w:val="214852E8"/>
    <w:lvl w:ilvl="0" w:tplc="11BE186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nsid w:val="12765BE1"/>
    <w:multiLevelType w:val="hybridMultilevel"/>
    <w:tmpl w:val="228CB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B11FB6"/>
    <w:multiLevelType w:val="multilevel"/>
    <w:tmpl w:val="D3DACC6E"/>
    <w:styleLink w:val="test1"/>
    <w:lvl w:ilvl="0">
      <w:start w:val="1"/>
      <w:numFmt w:val="decimal"/>
      <w:pStyle w:val="Heading1"/>
      <w:lvlText w:val="%1"/>
      <w:lvlJc w:val="left"/>
      <w:pPr>
        <w:tabs>
          <w:tab w:val="num" w:pos="680"/>
        </w:tabs>
        <w:ind w:left="567" w:hanging="567"/>
      </w:pPr>
      <w:rPr>
        <w:rFonts w:ascii="Arial Narrow" w:hAnsi="Arial Narrow" w:hint="default"/>
        <w:b/>
        <w:i w:val="0"/>
        <w:sz w:val="44"/>
      </w:rPr>
    </w:lvl>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pStyle w:val="Headinglevel3"/>
      <w:lvlText w:val=""/>
      <w:lvlJc w:val="left"/>
      <w:pPr>
        <w:tabs>
          <w:tab w:val="num" w:pos="720"/>
        </w:tabs>
        <w:ind w:left="454" w:hanging="454"/>
      </w:pPr>
      <w:rPr>
        <w:rFonts w:hint="default"/>
      </w:rPr>
    </w:lvl>
    <w:lvl w:ilvl="3">
      <w:start w:val="1"/>
      <w:numFmt w:val="none"/>
      <w:lvlRestart w:val="0"/>
      <w:pStyle w:val="Headinglevel4"/>
      <w:lvlText w:val=""/>
      <w:lvlJc w:val="left"/>
      <w:pPr>
        <w:tabs>
          <w:tab w:val="num" w:pos="864"/>
        </w:tabs>
        <w:ind w:left="340" w:hanging="340"/>
      </w:pPr>
      <w:rPr>
        <w:rFonts w:hint="default"/>
      </w:rPr>
    </w:lvl>
    <w:lvl w:ilvl="4">
      <w:start w:val="1"/>
      <w:numFmt w:val="none"/>
      <w:lvlRestart w:val="0"/>
      <w:pStyle w:val="Headinglevel5"/>
      <w:lvlText w:val=""/>
      <w:lvlJc w:val="left"/>
      <w:pPr>
        <w:tabs>
          <w:tab w:val="num" w:pos="1008"/>
        </w:tabs>
        <w:ind w:left="340" w:hanging="340"/>
      </w:pPr>
      <w:rPr>
        <w:rFonts w:hint="default"/>
      </w:rPr>
    </w:lvl>
    <w:lvl w:ilvl="5">
      <w:start w:val="1"/>
      <w:numFmt w:val="decimal"/>
      <w:lvlRestart w:val="1"/>
      <w:pStyle w:val="Bodytext"/>
      <w:lvlText w:val="%1.%6"/>
      <w:lvlJc w:val="left"/>
      <w:pPr>
        <w:ind w:left="567" w:hanging="567"/>
      </w:pPr>
      <w:rPr>
        <w:rFonts w:ascii="Calibri" w:hAnsi="Calibri" w:hint="default"/>
        <w:sz w:val="22"/>
      </w:rPr>
    </w:lvl>
    <w:lvl w:ilvl="6">
      <w:start w:val="1"/>
      <w:numFmt w:val="decimal"/>
      <w:lvlRestart w:val="0"/>
      <w:pStyle w:val="Recommendation"/>
      <w:lvlText w:val="Recommendation %7"/>
      <w:lvlJc w:val="left"/>
      <w:pPr>
        <w:ind w:left="142" w:firstLine="0"/>
      </w:pPr>
      <w:rPr>
        <w:rFonts w:ascii="Arial Narrow" w:hAnsi="Arial Narrow" w:hint="default"/>
        <w:b/>
        <w:i w:val="0"/>
        <w:sz w:val="28"/>
      </w:rPr>
    </w:lvl>
    <w:lvl w:ilvl="7">
      <w:start w:val="1"/>
      <w:numFmt w:val="upperLetter"/>
      <w:pStyle w:val="AppendixHeading1"/>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9">
    <w:nsid w:val="1E222A15"/>
    <w:multiLevelType w:val="hybridMultilevel"/>
    <w:tmpl w:val="620A783C"/>
    <w:lvl w:ilvl="0" w:tplc="FC3C580E">
      <w:start w:val="1"/>
      <w:numFmt w:val="bullet"/>
      <w:pStyle w:val="BulletedTextKM"/>
      <w:lvlText w:val="•"/>
      <w:lvlJc w:val="left"/>
      <w:pPr>
        <w:tabs>
          <w:tab w:val="num" w:pos="1247"/>
        </w:tabs>
        <w:ind w:left="1247" w:hanging="567"/>
      </w:pPr>
      <w:rPr>
        <w:rFonts w:ascii="Arial" w:hAnsi="Arial" w:hint="default"/>
        <w:color w:val="000000"/>
        <w:sz w:val="28"/>
        <w:szCs w:val="28"/>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
    <w:nsid w:val="218D649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8A1A13"/>
    <w:multiLevelType w:val="singleLevel"/>
    <w:tmpl w:val="FD8A2E9C"/>
    <w:lvl w:ilvl="0">
      <w:start w:val="2"/>
      <w:numFmt w:val="lowerLetter"/>
      <w:lvlText w:val="(%1)"/>
      <w:lvlJc w:val="left"/>
      <w:pPr>
        <w:tabs>
          <w:tab w:val="num" w:pos="1690"/>
        </w:tabs>
        <w:ind w:left="1690" w:hanging="690"/>
      </w:pPr>
      <w:rPr>
        <w:rFonts w:hint="default"/>
      </w:rPr>
    </w:lvl>
  </w:abstractNum>
  <w:abstractNum w:abstractNumId="12">
    <w:nsid w:val="26A53CB9"/>
    <w:multiLevelType w:val="hybridMultilevel"/>
    <w:tmpl w:val="B07CF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714371"/>
    <w:multiLevelType w:val="hybridMultilevel"/>
    <w:tmpl w:val="329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B86756"/>
    <w:multiLevelType w:val="hybridMultilevel"/>
    <w:tmpl w:val="281894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25344C7"/>
    <w:multiLevelType w:val="multilevel"/>
    <w:tmpl w:val="6F8CB9FC"/>
    <w:name w:val="new2"/>
    <w:lvl w:ilvl="0">
      <w:start w:val="1"/>
      <w:numFmt w:val="decima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nsid w:val="3B265CE7"/>
    <w:multiLevelType w:val="hybridMultilevel"/>
    <w:tmpl w:val="AFB41B82"/>
    <w:lvl w:ilvl="0" w:tplc="72547DFE">
      <w:start w:val="1"/>
      <w:numFmt w:val="lowerLetter"/>
      <w:lvlText w:val="(%1)"/>
      <w:lvlJc w:val="left"/>
      <w:pPr>
        <w:tabs>
          <w:tab w:val="num" w:pos="1360"/>
        </w:tabs>
        <w:ind w:left="1360" w:hanging="360"/>
      </w:pPr>
      <w:rPr>
        <w:rFonts w:hint="default"/>
      </w:rPr>
    </w:lvl>
    <w:lvl w:ilvl="1" w:tplc="04090019">
      <w:start w:val="1"/>
      <w:numFmt w:val="lowerLetter"/>
      <w:lvlText w:val="%2."/>
      <w:lvlJc w:val="left"/>
      <w:pPr>
        <w:tabs>
          <w:tab w:val="num" w:pos="2080"/>
        </w:tabs>
        <w:ind w:left="2080" w:hanging="360"/>
      </w:pPr>
    </w:lvl>
    <w:lvl w:ilvl="2" w:tplc="A45E4E72">
      <w:start w:val="2"/>
      <w:numFmt w:val="lowerRoman"/>
      <w:lvlText w:val="(%3)"/>
      <w:lvlJc w:val="left"/>
      <w:pPr>
        <w:tabs>
          <w:tab w:val="num" w:pos="3595"/>
        </w:tabs>
        <w:ind w:left="3595" w:hanging="975"/>
      </w:pPr>
      <w:rPr>
        <w:rFonts w:hint="default"/>
      </w:rPr>
    </w:lvl>
    <w:lvl w:ilvl="3" w:tplc="0409000F" w:tentative="1">
      <w:start w:val="1"/>
      <w:numFmt w:val="decimal"/>
      <w:lvlText w:val="%4."/>
      <w:lvlJc w:val="left"/>
      <w:pPr>
        <w:tabs>
          <w:tab w:val="num" w:pos="3520"/>
        </w:tabs>
        <w:ind w:left="3520" w:hanging="360"/>
      </w:pPr>
    </w:lvl>
    <w:lvl w:ilvl="4" w:tplc="04090019" w:tentative="1">
      <w:start w:val="1"/>
      <w:numFmt w:val="lowerLetter"/>
      <w:lvlText w:val="%5."/>
      <w:lvlJc w:val="left"/>
      <w:pPr>
        <w:tabs>
          <w:tab w:val="num" w:pos="4240"/>
        </w:tabs>
        <w:ind w:left="4240" w:hanging="360"/>
      </w:pPr>
    </w:lvl>
    <w:lvl w:ilvl="5" w:tplc="0409001B" w:tentative="1">
      <w:start w:val="1"/>
      <w:numFmt w:val="lowerRoman"/>
      <w:lvlText w:val="%6."/>
      <w:lvlJc w:val="right"/>
      <w:pPr>
        <w:tabs>
          <w:tab w:val="num" w:pos="4960"/>
        </w:tabs>
        <w:ind w:left="4960" w:hanging="180"/>
      </w:pPr>
    </w:lvl>
    <w:lvl w:ilvl="6" w:tplc="0409000F" w:tentative="1">
      <w:start w:val="1"/>
      <w:numFmt w:val="decimal"/>
      <w:lvlText w:val="%7."/>
      <w:lvlJc w:val="left"/>
      <w:pPr>
        <w:tabs>
          <w:tab w:val="num" w:pos="5680"/>
        </w:tabs>
        <w:ind w:left="5680" w:hanging="360"/>
      </w:pPr>
    </w:lvl>
    <w:lvl w:ilvl="7" w:tplc="04090019" w:tentative="1">
      <w:start w:val="1"/>
      <w:numFmt w:val="lowerLetter"/>
      <w:lvlText w:val="%8."/>
      <w:lvlJc w:val="left"/>
      <w:pPr>
        <w:tabs>
          <w:tab w:val="num" w:pos="6400"/>
        </w:tabs>
        <w:ind w:left="6400" w:hanging="360"/>
      </w:pPr>
    </w:lvl>
    <w:lvl w:ilvl="8" w:tplc="0409001B" w:tentative="1">
      <w:start w:val="1"/>
      <w:numFmt w:val="lowerRoman"/>
      <w:lvlText w:val="%9."/>
      <w:lvlJc w:val="right"/>
      <w:pPr>
        <w:tabs>
          <w:tab w:val="num" w:pos="7120"/>
        </w:tabs>
        <w:ind w:left="7120" w:hanging="180"/>
      </w:pPr>
    </w:lvl>
  </w:abstractNum>
  <w:abstractNum w:abstractNumId="17">
    <w:nsid w:val="3D9D01E6"/>
    <w:multiLevelType w:val="hybridMultilevel"/>
    <w:tmpl w:val="D7E03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FC80BF6"/>
    <w:multiLevelType w:val="hybridMultilevel"/>
    <w:tmpl w:val="1AC8E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0042C8D"/>
    <w:multiLevelType w:val="hybridMultilevel"/>
    <w:tmpl w:val="88CEE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2933E57"/>
    <w:multiLevelType w:val="multilevel"/>
    <w:tmpl w:val="BBFE856E"/>
    <w:lvl w:ilvl="0">
      <w:start w:val="1"/>
      <w:numFmt w:val="decimal"/>
      <w:lvlText w:val="%1."/>
      <w:lvlJc w:val="left"/>
      <w:pPr>
        <w:tabs>
          <w:tab w:val="num" w:pos="680"/>
        </w:tabs>
        <w:ind w:left="567" w:hanging="567"/>
      </w:pPr>
      <w:rPr>
        <w:rFonts w:hint="default"/>
        <w:b/>
        <w:i w:val="0"/>
        <w:sz w:val="44"/>
      </w:rPr>
    </w:lvl>
    <w:lvl w:ilvl="1">
      <w:start w:val="1"/>
      <w:numFmt w:val="none"/>
      <w:lvlRestart w:val="0"/>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lvlText w:val=""/>
      <w:lvlJc w:val="left"/>
      <w:pPr>
        <w:tabs>
          <w:tab w:val="num" w:pos="720"/>
        </w:tabs>
        <w:ind w:left="454" w:hanging="454"/>
      </w:pPr>
      <w:rPr>
        <w:rFonts w:hint="default"/>
      </w:rPr>
    </w:lvl>
    <w:lvl w:ilvl="3">
      <w:start w:val="1"/>
      <w:numFmt w:val="none"/>
      <w:lvlRestart w:val="0"/>
      <w:lvlText w:val=""/>
      <w:lvlJc w:val="left"/>
      <w:pPr>
        <w:tabs>
          <w:tab w:val="num" w:pos="864"/>
        </w:tabs>
        <w:ind w:left="340" w:hanging="340"/>
      </w:pPr>
      <w:rPr>
        <w:rFonts w:hint="default"/>
      </w:rPr>
    </w:lvl>
    <w:lvl w:ilvl="4">
      <w:start w:val="1"/>
      <w:numFmt w:val="none"/>
      <w:lvlRestart w:val="0"/>
      <w:lvlText w:val=""/>
      <w:lvlJc w:val="left"/>
      <w:pPr>
        <w:tabs>
          <w:tab w:val="num" w:pos="1008"/>
        </w:tabs>
        <w:ind w:left="340" w:hanging="340"/>
      </w:pPr>
      <w:rPr>
        <w:rFonts w:hint="default"/>
      </w:rPr>
    </w:lvl>
    <w:lvl w:ilvl="5">
      <w:start w:val="1"/>
      <w:numFmt w:val="decimal"/>
      <w:lvlRestart w:val="1"/>
      <w:lvlText w:val="%1.%6"/>
      <w:lvlJc w:val="left"/>
      <w:pPr>
        <w:ind w:left="567" w:hanging="567"/>
      </w:pPr>
      <w:rPr>
        <w:rFonts w:ascii="Calibri" w:hAnsi="Calibri" w:hint="default"/>
        <w:sz w:val="22"/>
      </w:rPr>
    </w:lvl>
    <w:lvl w:ilvl="6">
      <w:start w:val="1"/>
      <w:numFmt w:val="decimal"/>
      <w:lvlRestart w:val="0"/>
      <w:lvlText w:val="Recommendation %7"/>
      <w:lvlJc w:val="left"/>
      <w:pPr>
        <w:ind w:left="142" w:firstLine="0"/>
      </w:pPr>
      <w:rPr>
        <w:rFonts w:ascii="Arial Narrow" w:hAnsi="Arial Narrow" w:hint="default"/>
        <w:b/>
        <w:i w:val="0"/>
        <w:sz w:val="28"/>
      </w:rPr>
    </w:lvl>
    <w:lvl w:ilvl="7">
      <w:start w:val="1"/>
      <w:numFmt w:val="upperLetter"/>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21">
    <w:nsid w:val="4A805768"/>
    <w:multiLevelType w:val="multilevel"/>
    <w:tmpl w:val="286AAF7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Palatino Linotype" w:hAnsi="Palatino Linotype" w:hint="default"/>
        <w:b w:val="0"/>
        <w:i w:val="0"/>
        <w:caps w:val="0"/>
        <w:vanish w:val="0"/>
        <w:w w:val="95"/>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FED0C95"/>
    <w:multiLevelType w:val="hybridMultilevel"/>
    <w:tmpl w:val="D734A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2D752BA"/>
    <w:multiLevelType w:val="hybridMultilevel"/>
    <w:tmpl w:val="C0947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AB35D25"/>
    <w:multiLevelType w:val="hybridMultilevel"/>
    <w:tmpl w:val="425C3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62559D5"/>
    <w:multiLevelType w:val="hybridMultilevel"/>
    <w:tmpl w:val="08D8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504FD4"/>
    <w:multiLevelType w:val="hybridMultilevel"/>
    <w:tmpl w:val="678E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E7D1251"/>
    <w:multiLevelType w:val="hybridMultilevel"/>
    <w:tmpl w:val="BFC6A93E"/>
    <w:lvl w:ilvl="0" w:tplc="2402AEBA">
      <w:start w:val="1"/>
      <w:numFmt w:val="decimal"/>
      <w:lvlText w:val="(%1)"/>
      <w:lvlJc w:val="left"/>
      <w:pPr>
        <w:ind w:left="924" w:hanging="360"/>
      </w:pPr>
      <w:rPr>
        <w:rFonts w:hint="default"/>
      </w:rPr>
    </w:lvl>
    <w:lvl w:ilvl="1" w:tplc="ACB40A44" w:tentative="1">
      <w:start w:val="1"/>
      <w:numFmt w:val="lowerLetter"/>
      <w:lvlText w:val="%2."/>
      <w:lvlJc w:val="left"/>
      <w:pPr>
        <w:ind w:left="1644" w:hanging="360"/>
      </w:pPr>
    </w:lvl>
    <w:lvl w:ilvl="2" w:tplc="251E3D26" w:tentative="1">
      <w:start w:val="1"/>
      <w:numFmt w:val="lowerRoman"/>
      <w:lvlText w:val="%3."/>
      <w:lvlJc w:val="right"/>
      <w:pPr>
        <w:ind w:left="2364" w:hanging="180"/>
      </w:pPr>
    </w:lvl>
    <w:lvl w:ilvl="3" w:tplc="3DCAD2D2" w:tentative="1">
      <w:start w:val="1"/>
      <w:numFmt w:val="decimal"/>
      <w:lvlText w:val="%4."/>
      <w:lvlJc w:val="left"/>
      <w:pPr>
        <w:ind w:left="3084" w:hanging="360"/>
      </w:pPr>
    </w:lvl>
    <w:lvl w:ilvl="4" w:tplc="435EEA0C" w:tentative="1">
      <w:start w:val="1"/>
      <w:numFmt w:val="lowerLetter"/>
      <w:lvlText w:val="%5."/>
      <w:lvlJc w:val="left"/>
      <w:pPr>
        <w:ind w:left="3804" w:hanging="360"/>
      </w:pPr>
    </w:lvl>
    <w:lvl w:ilvl="5" w:tplc="8282593E" w:tentative="1">
      <w:start w:val="1"/>
      <w:numFmt w:val="lowerRoman"/>
      <w:lvlText w:val="%6."/>
      <w:lvlJc w:val="right"/>
      <w:pPr>
        <w:ind w:left="4524" w:hanging="180"/>
      </w:pPr>
    </w:lvl>
    <w:lvl w:ilvl="6" w:tplc="09F43E30" w:tentative="1">
      <w:start w:val="1"/>
      <w:numFmt w:val="decimal"/>
      <w:lvlText w:val="%7."/>
      <w:lvlJc w:val="left"/>
      <w:pPr>
        <w:ind w:left="5244" w:hanging="360"/>
      </w:pPr>
    </w:lvl>
    <w:lvl w:ilvl="7" w:tplc="1E5C200C" w:tentative="1">
      <w:start w:val="1"/>
      <w:numFmt w:val="lowerLetter"/>
      <w:lvlText w:val="%8."/>
      <w:lvlJc w:val="left"/>
      <w:pPr>
        <w:ind w:left="5964" w:hanging="360"/>
      </w:pPr>
    </w:lvl>
    <w:lvl w:ilvl="8" w:tplc="B000A2F0" w:tentative="1">
      <w:start w:val="1"/>
      <w:numFmt w:val="lowerRoman"/>
      <w:lvlText w:val="%9."/>
      <w:lvlJc w:val="right"/>
      <w:pPr>
        <w:ind w:left="6684" w:hanging="180"/>
      </w:pPr>
    </w:lvl>
  </w:abstractNum>
  <w:abstractNum w:abstractNumId="28">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1"/>
  </w:num>
  <w:num w:numId="3">
    <w:abstractNumId w:val="21"/>
  </w:num>
  <w:num w:numId="4">
    <w:abstractNumId w:val="9"/>
  </w:num>
  <w:num w:numId="5">
    <w:abstractNumId w:val="15"/>
  </w:num>
  <w:num w:numId="6">
    <w:abstractNumId w:val="8"/>
  </w:num>
  <w:num w:numId="7">
    <w:abstractNumId w:val="27"/>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19"/>
  </w:num>
  <w:num w:numId="12">
    <w:abstractNumId w:val="3"/>
  </w:num>
  <w:num w:numId="13">
    <w:abstractNumId w:val="3"/>
    <w:lvlOverride w:ilvl="0">
      <w:startOverride w:val="1"/>
    </w:lvlOverride>
  </w:num>
  <w:num w:numId="14">
    <w:abstractNumId w:val="25"/>
  </w:num>
  <w:num w:numId="15">
    <w:abstractNumId w:val="7"/>
  </w:num>
  <w:num w:numId="16">
    <w:abstractNumId w:val="26"/>
  </w:num>
  <w:num w:numId="17">
    <w:abstractNumId w:val="5"/>
  </w:num>
  <w:num w:numId="18">
    <w:abstractNumId w:val="13"/>
  </w:num>
  <w:num w:numId="19">
    <w:abstractNumId w:val="17"/>
  </w:num>
  <w:num w:numId="20">
    <w:abstractNumId w:val="18"/>
  </w:num>
  <w:num w:numId="21">
    <w:abstractNumId w:val="23"/>
  </w:num>
  <w:num w:numId="22">
    <w:abstractNumId w:val="14"/>
  </w:num>
  <w:num w:numId="23">
    <w:abstractNumId w:val="24"/>
  </w:num>
  <w:num w:numId="24">
    <w:abstractNumId w:val="12"/>
  </w:num>
  <w:num w:numId="25">
    <w:abstractNumId w:val="10"/>
  </w:num>
  <w:num w:numId="26">
    <w:abstractNumId w:val="22"/>
  </w:num>
  <w:num w:numId="27">
    <w:abstractNumId w:val="3"/>
    <w:lvlOverride w:ilvl="0">
      <w:startOverride w:val="1"/>
    </w:lvlOverride>
  </w:num>
  <w:num w:numId="28">
    <w:abstractNumId w:val="3"/>
    <w:lvlOverride w:ilvl="0">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4"/>
  </w:num>
  <w:num w:numId="38">
    <w:abstractNumId w:val="16"/>
  </w:num>
  <w:num w:numId="39">
    <w:abstractNumId w:val="2"/>
  </w:num>
  <w:num w:numId="40">
    <w:abstractNumId w:val="11"/>
  </w:num>
  <w:num w:numId="41">
    <w:abstractNumId w:val="0"/>
  </w:num>
  <w:num w:numId="42">
    <w:abstractNumId w:val="2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stylePaneFormatFilter w:val="3F01"/>
  <w:doNotTrackMoves/>
  <w:defaultTabStop w:val="720"/>
  <w:evenAndOddHeaders/>
  <w:drawingGridHorizontalSpacing w:val="110"/>
  <w:displayHorizontalDrawingGridEvery w:val="2"/>
  <w:noPunctuationKerning/>
  <w:characterSpacingControl w:val="doNotCompress"/>
  <w:hdrShapeDefaults>
    <o:shapedefaults v:ext="edit" spidmax="6861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3C1A"/>
    <w:rsid w:val="00002730"/>
    <w:rsid w:val="000135E9"/>
    <w:rsid w:val="000161FB"/>
    <w:rsid w:val="00017D52"/>
    <w:rsid w:val="00020BB5"/>
    <w:rsid w:val="00022DFF"/>
    <w:rsid w:val="00024877"/>
    <w:rsid w:val="000253AB"/>
    <w:rsid w:val="00026EDC"/>
    <w:rsid w:val="0002797A"/>
    <w:rsid w:val="0003127D"/>
    <w:rsid w:val="00032BFE"/>
    <w:rsid w:val="00037305"/>
    <w:rsid w:val="00042ACA"/>
    <w:rsid w:val="000557F4"/>
    <w:rsid w:val="00061D82"/>
    <w:rsid w:val="00073DB7"/>
    <w:rsid w:val="0008221E"/>
    <w:rsid w:val="0008705A"/>
    <w:rsid w:val="00087C01"/>
    <w:rsid w:val="00096E3A"/>
    <w:rsid w:val="000A6808"/>
    <w:rsid w:val="000B2B62"/>
    <w:rsid w:val="000B4094"/>
    <w:rsid w:val="000C4EFA"/>
    <w:rsid w:val="000D2895"/>
    <w:rsid w:val="000D3E58"/>
    <w:rsid w:val="000E03C8"/>
    <w:rsid w:val="000E2EF4"/>
    <w:rsid w:val="000E7567"/>
    <w:rsid w:val="00107BBA"/>
    <w:rsid w:val="00110FA4"/>
    <w:rsid w:val="00113C1A"/>
    <w:rsid w:val="00113E77"/>
    <w:rsid w:val="0011795D"/>
    <w:rsid w:val="0012342E"/>
    <w:rsid w:val="00123676"/>
    <w:rsid w:val="00123C42"/>
    <w:rsid w:val="00124F8D"/>
    <w:rsid w:val="00125E8B"/>
    <w:rsid w:val="00131AFF"/>
    <w:rsid w:val="001511D4"/>
    <w:rsid w:val="00153B18"/>
    <w:rsid w:val="0015794F"/>
    <w:rsid w:val="0016228C"/>
    <w:rsid w:val="001647BE"/>
    <w:rsid w:val="00167854"/>
    <w:rsid w:val="001716E4"/>
    <w:rsid w:val="00172E87"/>
    <w:rsid w:val="001752DC"/>
    <w:rsid w:val="00183FBF"/>
    <w:rsid w:val="00186E74"/>
    <w:rsid w:val="001A0DBE"/>
    <w:rsid w:val="001A5DB1"/>
    <w:rsid w:val="001B2B71"/>
    <w:rsid w:val="001B5F6D"/>
    <w:rsid w:val="001B6543"/>
    <w:rsid w:val="001C49DC"/>
    <w:rsid w:val="001C746F"/>
    <w:rsid w:val="001D009F"/>
    <w:rsid w:val="001D17CF"/>
    <w:rsid w:val="001E2D30"/>
    <w:rsid w:val="001E3A56"/>
    <w:rsid w:val="001F58CC"/>
    <w:rsid w:val="0020680D"/>
    <w:rsid w:val="00207307"/>
    <w:rsid w:val="00211DBE"/>
    <w:rsid w:val="00213BD6"/>
    <w:rsid w:val="002177F9"/>
    <w:rsid w:val="00223763"/>
    <w:rsid w:val="00243760"/>
    <w:rsid w:val="00243BBE"/>
    <w:rsid w:val="00256637"/>
    <w:rsid w:val="002566C2"/>
    <w:rsid w:val="00260F29"/>
    <w:rsid w:val="002634A3"/>
    <w:rsid w:val="00265F91"/>
    <w:rsid w:val="002728E9"/>
    <w:rsid w:val="002868FF"/>
    <w:rsid w:val="0029664B"/>
    <w:rsid w:val="002A0B9D"/>
    <w:rsid w:val="002A64FA"/>
    <w:rsid w:val="002B1F09"/>
    <w:rsid w:val="002B5C68"/>
    <w:rsid w:val="002B5D24"/>
    <w:rsid w:val="002C084A"/>
    <w:rsid w:val="002C4E6E"/>
    <w:rsid w:val="002D0BC9"/>
    <w:rsid w:val="002D1F26"/>
    <w:rsid w:val="002D5959"/>
    <w:rsid w:val="002D5BC6"/>
    <w:rsid w:val="002D5FCE"/>
    <w:rsid w:val="002E1A91"/>
    <w:rsid w:val="002E676A"/>
    <w:rsid w:val="002F42DB"/>
    <w:rsid w:val="00300A7C"/>
    <w:rsid w:val="00301919"/>
    <w:rsid w:val="003161A0"/>
    <w:rsid w:val="00327F83"/>
    <w:rsid w:val="0033117B"/>
    <w:rsid w:val="0033446E"/>
    <w:rsid w:val="003374BA"/>
    <w:rsid w:val="003400FB"/>
    <w:rsid w:val="003461A0"/>
    <w:rsid w:val="00347AF5"/>
    <w:rsid w:val="003536AD"/>
    <w:rsid w:val="003557A9"/>
    <w:rsid w:val="00355CF2"/>
    <w:rsid w:val="003606E5"/>
    <w:rsid w:val="00370C68"/>
    <w:rsid w:val="0037365B"/>
    <w:rsid w:val="00380BCF"/>
    <w:rsid w:val="00382350"/>
    <w:rsid w:val="0038248A"/>
    <w:rsid w:val="0038734F"/>
    <w:rsid w:val="00392FBF"/>
    <w:rsid w:val="003A4417"/>
    <w:rsid w:val="003B13F7"/>
    <w:rsid w:val="003B2161"/>
    <w:rsid w:val="003B5A9F"/>
    <w:rsid w:val="003B6E57"/>
    <w:rsid w:val="003B7E6A"/>
    <w:rsid w:val="003C4E99"/>
    <w:rsid w:val="003C5591"/>
    <w:rsid w:val="003E0CF7"/>
    <w:rsid w:val="003E346B"/>
    <w:rsid w:val="003E694F"/>
    <w:rsid w:val="003E7EED"/>
    <w:rsid w:val="003F679A"/>
    <w:rsid w:val="003F7392"/>
    <w:rsid w:val="00401DD0"/>
    <w:rsid w:val="00415731"/>
    <w:rsid w:val="00415CDF"/>
    <w:rsid w:val="00415EF1"/>
    <w:rsid w:val="00416520"/>
    <w:rsid w:val="00421F67"/>
    <w:rsid w:val="00424AEB"/>
    <w:rsid w:val="00424B6E"/>
    <w:rsid w:val="00432400"/>
    <w:rsid w:val="00440232"/>
    <w:rsid w:val="00450878"/>
    <w:rsid w:val="00462F49"/>
    <w:rsid w:val="00464F96"/>
    <w:rsid w:val="00465875"/>
    <w:rsid w:val="004669D4"/>
    <w:rsid w:val="00467835"/>
    <w:rsid w:val="00470CE9"/>
    <w:rsid w:val="00472519"/>
    <w:rsid w:val="004746E5"/>
    <w:rsid w:val="00475450"/>
    <w:rsid w:val="004A0634"/>
    <w:rsid w:val="004A31E4"/>
    <w:rsid w:val="004B3AEC"/>
    <w:rsid w:val="004C001F"/>
    <w:rsid w:val="004C11F0"/>
    <w:rsid w:val="004C445C"/>
    <w:rsid w:val="004C71BD"/>
    <w:rsid w:val="004D2CD2"/>
    <w:rsid w:val="004D3265"/>
    <w:rsid w:val="004D5217"/>
    <w:rsid w:val="004E083F"/>
    <w:rsid w:val="004E258A"/>
    <w:rsid w:val="004E3063"/>
    <w:rsid w:val="004E78B4"/>
    <w:rsid w:val="00500C7E"/>
    <w:rsid w:val="00500D4E"/>
    <w:rsid w:val="00505904"/>
    <w:rsid w:val="005072C5"/>
    <w:rsid w:val="0051055F"/>
    <w:rsid w:val="00526A4B"/>
    <w:rsid w:val="00536BB2"/>
    <w:rsid w:val="00540D7C"/>
    <w:rsid w:val="00541871"/>
    <w:rsid w:val="00542FA6"/>
    <w:rsid w:val="005563BB"/>
    <w:rsid w:val="00566897"/>
    <w:rsid w:val="005731A8"/>
    <w:rsid w:val="005829E8"/>
    <w:rsid w:val="005834B1"/>
    <w:rsid w:val="00583D4B"/>
    <w:rsid w:val="00584492"/>
    <w:rsid w:val="00585337"/>
    <w:rsid w:val="005876D5"/>
    <w:rsid w:val="005954EA"/>
    <w:rsid w:val="00597C27"/>
    <w:rsid w:val="005A50D4"/>
    <w:rsid w:val="005A74F5"/>
    <w:rsid w:val="005B17C1"/>
    <w:rsid w:val="005B424B"/>
    <w:rsid w:val="005B60C2"/>
    <w:rsid w:val="005C1855"/>
    <w:rsid w:val="005C1AF5"/>
    <w:rsid w:val="005C5CA6"/>
    <w:rsid w:val="005C6A2D"/>
    <w:rsid w:val="005D087B"/>
    <w:rsid w:val="005D0BCE"/>
    <w:rsid w:val="005D0CBC"/>
    <w:rsid w:val="005D5AB2"/>
    <w:rsid w:val="005E670D"/>
    <w:rsid w:val="005F2C11"/>
    <w:rsid w:val="005F6ED3"/>
    <w:rsid w:val="00601ABF"/>
    <w:rsid w:val="00610B5E"/>
    <w:rsid w:val="00611074"/>
    <w:rsid w:val="00614C11"/>
    <w:rsid w:val="00617C19"/>
    <w:rsid w:val="00621267"/>
    <w:rsid w:val="006224BF"/>
    <w:rsid w:val="00622ED4"/>
    <w:rsid w:val="006257F6"/>
    <w:rsid w:val="00631F14"/>
    <w:rsid w:val="00635F9E"/>
    <w:rsid w:val="00635FB2"/>
    <w:rsid w:val="0064020A"/>
    <w:rsid w:val="00642EE7"/>
    <w:rsid w:val="006464A3"/>
    <w:rsid w:val="00647A86"/>
    <w:rsid w:val="006510E2"/>
    <w:rsid w:val="006533EE"/>
    <w:rsid w:val="006534B0"/>
    <w:rsid w:val="00660EF6"/>
    <w:rsid w:val="006633DB"/>
    <w:rsid w:val="00672013"/>
    <w:rsid w:val="00672199"/>
    <w:rsid w:val="00672ADB"/>
    <w:rsid w:val="00687617"/>
    <w:rsid w:val="00693538"/>
    <w:rsid w:val="00693A2F"/>
    <w:rsid w:val="00695678"/>
    <w:rsid w:val="00697906"/>
    <w:rsid w:val="006A5436"/>
    <w:rsid w:val="006A5D41"/>
    <w:rsid w:val="006A63E6"/>
    <w:rsid w:val="006A6AC0"/>
    <w:rsid w:val="006B485B"/>
    <w:rsid w:val="006B66F4"/>
    <w:rsid w:val="006B793D"/>
    <w:rsid w:val="006D20FA"/>
    <w:rsid w:val="006E50CD"/>
    <w:rsid w:val="006F01F3"/>
    <w:rsid w:val="006F4495"/>
    <w:rsid w:val="006F4DF5"/>
    <w:rsid w:val="006F7292"/>
    <w:rsid w:val="00710BE9"/>
    <w:rsid w:val="00715A96"/>
    <w:rsid w:val="007160C4"/>
    <w:rsid w:val="0071763B"/>
    <w:rsid w:val="00720BD1"/>
    <w:rsid w:val="00720CE9"/>
    <w:rsid w:val="0073056A"/>
    <w:rsid w:val="00731E49"/>
    <w:rsid w:val="00732EA5"/>
    <w:rsid w:val="007330F9"/>
    <w:rsid w:val="007331AB"/>
    <w:rsid w:val="00735B32"/>
    <w:rsid w:val="0074096A"/>
    <w:rsid w:val="007415C3"/>
    <w:rsid w:val="00744725"/>
    <w:rsid w:val="00746A72"/>
    <w:rsid w:val="0076272E"/>
    <w:rsid w:val="007633CE"/>
    <w:rsid w:val="00764425"/>
    <w:rsid w:val="0076515C"/>
    <w:rsid w:val="00775065"/>
    <w:rsid w:val="00780B47"/>
    <w:rsid w:val="00782BDE"/>
    <w:rsid w:val="00790965"/>
    <w:rsid w:val="00791210"/>
    <w:rsid w:val="007A0441"/>
    <w:rsid w:val="007A3BD7"/>
    <w:rsid w:val="007A3BDC"/>
    <w:rsid w:val="007A598F"/>
    <w:rsid w:val="007A5CB5"/>
    <w:rsid w:val="007B0E50"/>
    <w:rsid w:val="007B31F6"/>
    <w:rsid w:val="007B353B"/>
    <w:rsid w:val="007B394F"/>
    <w:rsid w:val="007B5AD9"/>
    <w:rsid w:val="007B7723"/>
    <w:rsid w:val="007B7771"/>
    <w:rsid w:val="007D13B2"/>
    <w:rsid w:val="007D661C"/>
    <w:rsid w:val="007E0F3A"/>
    <w:rsid w:val="007E6B58"/>
    <w:rsid w:val="007E73FA"/>
    <w:rsid w:val="007F2475"/>
    <w:rsid w:val="007F2DDA"/>
    <w:rsid w:val="007F5E40"/>
    <w:rsid w:val="00801BCE"/>
    <w:rsid w:val="00806D06"/>
    <w:rsid w:val="008122B8"/>
    <w:rsid w:val="008134A6"/>
    <w:rsid w:val="00815C9F"/>
    <w:rsid w:val="00817D23"/>
    <w:rsid w:val="0082177F"/>
    <w:rsid w:val="0083184F"/>
    <w:rsid w:val="00833FB2"/>
    <w:rsid w:val="00837038"/>
    <w:rsid w:val="00847280"/>
    <w:rsid w:val="00853964"/>
    <w:rsid w:val="00860758"/>
    <w:rsid w:val="00864654"/>
    <w:rsid w:val="00872B07"/>
    <w:rsid w:val="008735E3"/>
    <w:rsid w:val="00874337"/>
    <w:rsid w:val="00876181"/>
    <w:rsid w:val="00881218"/>
    <w:rsid w:val="00887D19"/>
    <w:rsid w:val="008909CB"/>
    <w:rsid w:val="008A3298"/>
    <w:rsid w:val="008A6F0E"/>
    <w:rsid w:val="008B252E"/>
    <w:rsid w:val="008B35C5"/>
    <w:rsid w:val="008D0BC6"/>
    <w:rsid w:val="008D1211"/>
    <w:rsid w:val="008D6DD2"/>
    <w:rsid w:val="008E443E"/>
    <w:rsid w:val="008E4BCC"/>
    <w:rsid w:val="008E4CC1"/>
    <w:rsid w:val="008F0E1A"/>
    <w:rsid w:val="00906D3B"/>
    <w:rsid w:val="00910431"/>
    <w:rsid w:val="00917543"/>
    <w:rsid w:val="009216BA"/>
    <w:rsid w:val="00923EA4"/>
    <w:rsid w:val="00923FFF"/>
    <w:rsid w:val="009276BF"/>
    <w:rsid w:val="00935B78"/>
    <w:rsid w:val="0093699C"/>
    <w:rsid w:val="00945888"/>
    <w:rsid w:val="009458A5"/>
    <w:rsid w:val="00946CE1"/>
    <w:rsid w:val="009503E3"/>
    <w:rsid w:val="00954592"/>
    <w:rsid w:val="00955B14"/>
    <w:rsid w:val="00956024"/>
    <w:rsid w:val="00957111"/>
    <w:rsid w:val="00965019"/>
    <w:rsid w:val="00967112"/>
    <w:rsid w:val="00971D92"/>
    <w:rsid w:val="00981335"/>
    <w:rsid w:val="00981CB7"/>
    <w:rsid w:val="00985703"/>
    <w:rsid w:val="009936C6"/>
    <w:rsid w:val="00993F9F"/>
    <w:rsid w:val="00997027"/>
    <w:rsid w:val="00997A62"/>
    <w:rsid w:val="009A2091"/>
    <w:rsid w:val="009A2191"/>
    <w:rsid w:val="009A34FC"/>
    <w:rsid w:val="009A58FC"/>
    <w:rsid w:val="009B3F14"/>
    <w:rsid w:val="009B40B0"/>
    <w:rsid w:val="009C0FDD"/>
    <w:rsid w:val="009C20F3"/>
    <w:rsid w:val="009D1FD5"/>
    <w:rsid w:val="009D4167"/>
    <w:rsid w:val="009D46B6"/>
    <w:rsid w:val="009E005E"/>
    <w:rsid w:val="009E7899"/>
    <w:rsid w:val="009F22C4"/>
    <w:rsid w:val="009F73F4"/>
    <w:rsid w:val="00A01019"/>
    <w:rsid w:val="00A1291E"/>
    <w:rsid w:val="00A15671"/>
    <w:rsid w:val="00A20F27"/>
    <w:rsid w:val="00A27ECA"/>
    <w:rsid w:val="00A32461"/>
    <w:rsid w:val="00A36E0A"/>
    <w:rsid w:val="00A5022C"/>
    <w:rsid w:val="00A54473"/>
    <w:rsid w:val="00A552A4"/>
    <w:rsid w:val="00A55C73"/>
    <w:rsid w:val="00A70D25"/>
    <w:rsid w:val="00A81B0E"/>
    <w:rsid w:val="00A8688C"/>
    <w:rsid w:val="00A92229"/>
    <w:rsid w:val="00AA0BF1"/>
    <w:rsid w:val="00AA3A15"/>
    <w:rsid w:val="00AA70AF"/>
    <w:rsid w:val="00AB0310"/>
    <w:rsid w:val="00AC22A0"/>
    <w:rsid w:val="00AC6CBD"/>
    <w:rsid w:val="00AD1005"/>
    <w:rsid w:val="00AD1163"/>
    <w:rsid w:val="00AD2420"/>
    <w:rsid w:val="00AD4279"/>
    <w:rsid w:val="00AD6F11"/>
    <w:rsid w:val="00AE1671"/>
    <w:rsid w:val="00AE4148"/>
    <w:rsid w:val="00AF784F"/>
    <w:rsid w:val="00AF7D15"/>
    <w:rsid w:val="00B0632B"/>
    <w:rsid w:val="00B06E76"/>
    <w:rsid w:val="00B10EFC"/>
    <w:rsid w:val="00B13DBB"/>
    <w:rsid w:val="00B20339"/>
    <w:rsid w:val="00B20372"/>
    <w:rsid w:val="00B214A7"/>
    <w:rsid w:val="00B2509E"/>
    <w:rsid w:val="00B27424"/>
    <w:rsid w:val="00B4193C"/>
    <w:rsid w:val="00B434B3"/>
    <w:rsid w:val="00B441C4"/>
    <w:rsid w:val="00B472F6"/>
    <w:rsid w:val="00B57A95"/>
    <w:rsid w:val="00B6001D"/>
    <w:rsid w:val="00B604DE"/>
    <w:rsid w:val="00B645F8"/>
    <w:rsid w:val="00B647E8"/>
    <w:rsid w:val="00B66ECA"/>
    <w:rsid w:val="00B77D37"/>
    <w:rsid w:val="00B8439D"/>
    <w:rsid w:val="00B85C8B"/>
    <w:rsid w:val="00B94284"/>
    <w:rsid w:val="00B95210"/>
    <w:rsid w:val="00B9717D"/>
    <w:rsid w:val="00BA405E"/>
    <w:rsid w:val="00BA5175"/>
    <w:rsid w:val="00BA5EFD"/>
    <w:rsid w:val="00BA743A"/>
    <w:rsid w:val="00BB6351"/>
    <w:rsid w:val="00BB6A15"/>
    <w:rsid w:val="00BC61A5"/>
    <w:rsid w:val="00BC7303"/>
    <w:rsid w:val="00BD6446"/>
    <w:rsid w:val="00BE0EF8"/>
    <w:rsid w:val="00BE29EC"/>
    <w:rsid w:val="00BE2A56"/>
    <w:rsid w:val="00BE4BFD"/>
    <w:rsid w:val="00BE56DA"/>
    <w:rsid w:val="00BE6713"/>
    <w:rsid w:val="00BF146D"/>
    <w:rsid w:val="00BF44F5"/>
    <w:rsid w:val="00BF4832"/>
    <w:rsid w:val="00BF6042"/>
    <w:rsid w:val="00C01738"/>
    <w:rsid w:val="00C10AB9"/>
    <w:rsid w:val="00C10F49"/>
    <w:rsid w:val="00C148DF"/>
    <w:rsid w:val="00C1538A"/>
    <w:rsid w:val="00C17EA7"/>
    <w:rsid w:val="00C23420"/>
    <w:rsid w:val="00C2492A"/>
    <w:rsid w:val="00C25516"/>
    <w:rsid w:val="00C365A4"/>
    <w:rsid w:val="00C4202D"/>
    <w:rsid w:val="00C43B3B"/>
    <w:rsid w:val="00C47818"/>
    <w:rsid w:val="00C55D23"/>
    <w:rsid w:val="00C56D58"/>
    <w:rsid w:val="00C56EDB"/>
    <w:rsid w:val="00C618E9"/>
    <w:rsid w:val="00C714CC"/>
    <w:rsid w:val="00CA771C"/>
    <w:rsid w:val="00CA77DC"/>
    <w:rsid w:val="00CB0EAE"/>
    <w:rsid w:val="00CB1B86"/>
    <w:rsid w:val="00CB1E60"/>
    <w:rsid w:val="00CC03D8"/>
    <w:rsid w:val="00CC1740"/>
    <w:rsid w:val="00CC44A4"/>
    <w:rsid w:val="00CC59DE"/>
    <w:rsid w:val="00CC5C64"/>
    <w:rsid w:val="00CC6D1E"/>
    <w:rsid w:val="00CC77FD"/>
    <w:rsid w:val="00CD3FCD"/>
    <w:rsid w:val="00CD5194"/>
    <w:rsid w:val="00CE0D1A"/>
    <w:rsid w:val="00CE1D82"/>
    <w:rsid w:val="00CF0C82"/>
    <w:rsid w:val="00CF20CD"/>
    <w:rsid w:val="00CF2125"/>
    <w:rsid w:val="00D000AD"/>
    <w:rsid w:val="00D0012A"/>
    <w:rsid w:val="00D00D73"/>
    <w:rsid w:val="00D23930"/>
    <w:rsid w:val="00D275E7"/>
    <w:rsid w:val="00D31B32"/>
    <w:rsid w:val="00D33F96"/>
    <w:rsid w:val="00D42485"/>
    <w:rsid w:val="00D430A9"/>
    <w:rsid w:val="00D4706C"/>
    <w:rsid w:val="00D47416"/>
    <w:rsid w:val="00D50ADD"/>
    <w:rsid w:val="00D5213A"/>
    <w:rsid w:val="00D54AFE"/>
    <w:rsid w:val="00D561BC"/>
    <w:rsid w:val="00D66450"/>
    <w:rsid w:val="00D66983"/>
    <w:rsid w:val="00D731EE"/>
    <w:rsid w:val="00D73442"/>
    <w:rsid w:val="00D75119"/>
    <w:rsid w:val="00D76D20"/>
    <w:rsid w:val="00D8576F"/>
    <w:rsid w:val="00D86534"/>
    <w:rsid w:val="00D870CD"/>
    <w:rsid w:val="00D87101"/>
    <w:rsid w:val="00D904C2"/>
    <w:rsid w:val="00D93EF3"/>
    <w:rsid w:val="00D96044"/>
    <w:rsid w:val="00DA2699"/>
    <w:rsid w:val="00DA7832"/>
    <w:rsid w:val="00DB31A9"/>
    <w:rsid w:val="00DB6926"/>
    <w:rsid w:val="00DC57E4"/>
    <w:rsid w:val="00DC6155"/>
    <w:rsid w:val="00DD199C"/>
    <w:rsid w:val="00DD76D8"/>
    <w:rsid w:val="00DE4CA0"/>
    <w:rsid w:val="00DF23BC"/>
    <w:rsid w:val="00DF31B9"/>
    <w:rsid w:val="00DF38D5"/>
    <w:rsid w:val="00DF3E96"/>
    <w:rsid w:val="00E13F34"/>
    <w:rsid w:val="00E156A6"/>
    <w:rsid w:val="00E47CFB"/>
    <w:rsid w:val="00E53BF3"/>
    <w:rsid w:val="00E55AFF"/>
    <w:rsid w:val="00E56668"/>
    <w:rsid w:val="00E629E2"/>
    <w:rsid w:val="00E7218C"/>
    <w:rsid w:val="00E7390D"/>
    <w:rsid w:val="00E75E05"/>
    <w:rsid w:val="00E77FCE"/>
    <w:rsid w:val="00E8651F"/>
    <w:rsid w:val="00EA3423"/>
    <w:rsid w:val="00EA4D2A"/>
    <w:rsid w:val="00EA7C66"/>
    <w:rsid w:val="00EB2B05"/>
    <w:rsid w:val="00EB4D32"/>
    <w:rsid w:val="00EB78AB"/>
    <w:rsid w:val="00EC3D05"/>
    <w:rsid w:val="00EC3D09"/>
    <w:rsid w:val="00EC5178"/>
    <w:rsid w:val="00ED493A"/>
    <w:rsid w:val="00ED4FC7"/>
    <w:rsid w:val="00ED523B"/>
    <w:rsid w:val="00ED5249"/>
    <w:rsid w:val="00ED6FC7"/>
    <w:rsid w:val="00EE1703"/>
    <w:rsid w:val="00EE3481"/>
    <w:rsid w:val="00EF23D2"/>
    <w:rsid w:val="00EF4E46"/>
    <w:rsid w:val="00F0612C"/>
    <w:rsid w:val="00F07B03"/>
    <w:rsid w:val="00F128C9"/>
    <w:rsid w:val="00F14364"/>
    <w:rsid w:val="00F1601E"/>
    <w:rsid w:val="00F167CC"/>
    <w:rsid w:val="00F22201"/>
    <w:rsid w:val="00F32749"/>
    <w:rsid w:val="00F33739"/>
    <w:rsid w:val="00F357E3"/>
    <w:rsid w:val="00F37023"/>
    <w:rsid w:val="00F416C7"/>
    <w:rsid w:val="00F43B6C"/>
    <w:rsid w:val="00F46C52"/>
    <w:rsid w:val="00F74C60"/>
    <w:rsid w:val="00F74FFB"/>
    <w:rsid w:val="00F9117E"/>
    <w:rsid w:val="00F91CE4"/>
    <w:rsid w:val="00FA18A1"/>
    <w:rsid w:val="00FA4DB1"/>
    <w:rsid w:val="00FB2672"/>
    <w:rsid w:val="00FB3FFC"/>
    <w:rsid w:val="00FB4C03"/>
    <w:rsid w:val="00FB668B"/>
    <w:rsid w:val="00FD1862"/>
    <w:rsid w:val="00FD18DC"/>
    <w:rsid w:val="00FE3985"/>
    <w:rsid w:val="00FE60CB"/>
    <w:rsid w:val="00FF027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F49"/>
    <w:rPr>
      <w:rFonts w:ascii="Calibri" w:hAnsi="Calibri"/>
      <w:sz w:val="22"/>
      <w:szCs w:val="24"/>
      <w:lang w:eastAsia="en-US"/>
    </w:rPr>
  </w:style>
  <w:style w:type="paragraph" w:styleId="Heading1">
    <w:name w:val="heading 1"/>
    <w:aliases w:val="numbered"/>
    <w:next w:val="Bodytext"/>
    <w:link w:val="Heading1Char"/>
    <w:qFormat/>
    <w:rsid w:val="00FA18A1"/>
    <w:pPr>
      <w:keepNext/>
      <w:pageBreakBefore/>
      <w:widowControl w:val="0"/>
      <w:numPr>
        <w:numId w:val="6"/>
      </w:numPr>
      <w:tabs>
        <w:tab w:val="left" w:pos="567"/>
      </w:tabs>
      <w:spacing w:before="360" w:line="312" w:lineRule="auto"/>
      <w:outlineLvl w:val="0"/>
    </w:pPr>
    <w:rPr>
      <w:rFonts w:ascii="Arial Narrow" w:hAnsi="Arial Narrow" w:cs="Arial"/>
      <w:bCs/>
      <w:smallCaps/>
      <w:spacing w:val="40"/>
      <w:kern w:val="32"/>
      <w:sz w:val="44"/>
      <w:szCs w:val="36"/>
      <w:lang w:eastAsia="en-US"/>
    </w:rPr>
  </w:style>
  <w:style w:type="paragraph" w:styleId="Heading2">
    <w:name w:val="heading 2"/>
    <w:basedOn w:val="Heading1"/>
    <w:next w:val="Normal"/>
    <w:link w:val="Heading2Char"/>
    <w:qFormat/>
    <w:rsid w:val="003B5A9F"/>
    <w:pPr>
      <w:pageBreakBefore w:val="0"/>
      <w:numPr>
        <w:ilvl w:val="1"/>
        <w:numId w:val="5"/>
      </w:numPr>
      <w:spacing w:before="480" w:after="60"/>
      <w:ind w:left="0" w:firstLine="0"/>
      <w:outlineLvl w:val="1"/>
    </w:pPr>
    <w:rPr>
      <w:bCs w:val="0"/>
      <w:iCs/>
      <w:caps/>
      <w:spacing w:val="0"/>
      <w:kern w:val="0"/>
      <w:sz w:val="34"/>
      <w:szCs w:val="34"/>
    </w:rPr>
  </w:style>
  <w:style w:type="paragraph" w:styleId="Heading3">
    <w:name w:val="heading 3"/>
    <w:basedOn w:val="Heading2"/>
    <w:next w:val="Normal"/>
    <w:link w:val="Heading3Char"/>
    <w:qFormat/>
    <w:rsid w:val="003B5A9F"/>
    <w:pPr>
      <w:numPr>
        <w:ilvl w:val="2"/>
        <w:numId w:val="3"/>
      </w:numPr>
      <w:spacing w:before="320" w:after="100"/>
      <w:outlineLvl w:val="2"/>
    </w:pPr>
    <w:rPr>
      <w:bCs/>
      <w:sz w:val="28"/>
      <w:szCs w:val="28"/>
    </w:rPr>
  </w:style>
  <w:style w:type="paragraph" w:styleId="Heading4">
    <w:name w:val="heading 4"/>
    <w:basedOn w:val="Heading3"/>
    <w:next w:val="Normal"/>
    <w:qFormat/>
    <w:rsid w:val="003B5A9F"/>
    <w:pPr>
      <w:numPr>
        <w:ilvl w:val="3"/>
      </w:numPr>
      <w:spacing w:before="280" w:after="80"/>
      <w:outlineLvl w:val="3"/>
    </w:pPr>
    <w:rPr>
      <w:bCs w:val="0"/>
      <w:sz w:val="24"/>
      <w:szCs w:val="24"/>
    </w:rPr>
  </w:style>
  <w:style w:type="paragraph" w:styleId="Heading5">
    <w:name w:val="heading 5"/>
    <w:basedOn w:val="Normal"/>
    <w:next w:val="Normal"/>
    <w:link w:val="Heading5Char"/>
    <w:semiHidden/>
    <w:unhideWhenUsed/>
    <w:qFormat/>
    <w:rsid w:val="00D00D73"/>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687617"/>
    <w:pPr>
      <w:spacing w:before="240" w:after="60"/>
      <w:outlineLvl w:val="5"/>
    </w:pPr>
    <w:rPr>
      <w:rFonts w:asciiTheme="minorHAnsi" w:eastAsiaTheme="minorEastAsia" w:hAnsiTheme="minorHAnsi"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name">
    <w:name w:val="Committee name"/>
    <w:rsid w:val="008909CB"/>
    <w:pPr>
      <w:spacing w:before="600" w:after="600" w:line="480" w:lineRule="exact"/>
      <w:jc w:val="right"/>
    </w:pPr>
    <w:rPr>
      <w:rFonts w:ascii="Arial Narrow" w:hAnsi="Arial Narrow"/>
      <w:smallCaps/>
      <w:spacing w:val="40"/>
      <w:sz w:val="28"/>
      <w:szCs w:val="28"/>
      <w:lang w:eastAsia="en-US"/>
    </w:rPr>
  </w:style>
  <w:style w:type="paragraph" w:customStyle="1" w:styleId="Reporttitle">
    <w:name w:val="Report title"/>
    <w:basedOn w:val="Normal"/>
    <w:next w:val="Committeename"/>
    <w:rsid w:val="003F679A"/>
    <w:pPr>
      <w:spacing w:before="320" w:after="600" w:line="500" w:lineRule="exact"/>
      <w:jc w:val="right"/>
    </w:pPr>
    <w:rPr>
      <w:rFonts w:ascii="Arial Narrow" w:hAnsi="Arial Narrow"/>
      <w:smallCaps/>
      <w:spacing w:val="4"/>
      <w:kern w:val="42"/>
      <w:sz w:val="42"/>
      <w:szCs w:val="36"/>
    </w:rPr>
  </w:style>
  <w:style w:type="paragraph" w:customStyle="1" w:styleId="Reportnumber">
    <w:name w:val="Report number"/>
    <w:basedOn w:val="Reporttitle"/>
    <w:rsid w:val="001511D4"/>
    <w:pPr>
      <w:spacing w:before="1100" w:after="0"/>
    </w:pPr>
    <w:rPr>
      <w:spacing w:val="20"/>
      <w:sz w:val="24"/>
      <w:szCs w:val="20"/>
    </w:rPr>
  </w:style>
  <w:style w:type="paragraph" w:styleId="ListNumber3">
    <w:name w:val="List Number 3"/>
    <w:basedOn w:val="Normal"/>
    <w:rsid w:val="00BC7303"/>
    <w:pPr>
      <w:numPr>
        <w:numId w:val="1"/>
      </w:numPr>
      <w:spacing w:before="40" w:after="60" w:line="288" w:lineRule="auto"/>
    </w:pPr>
  </w:style>
  <w:style w:type="paragraph" w:customStyle="1" w:styleId="Headinglevel3">
    <w:name w:val="Heading level 3"/>
    <w:basedOn w:val="Headinglevel2"/>
    <w:next w:val="Bodytext"/>
    <w:link w:val="Headinglevel3Char"/>
    <w:rsid w:val="00B85C8B"/>
    <w:pPr>
      <w:numPr>
        <w:ilvl w:val="2"/>
      </w:numPr>
      <w:spacing w:before="320" w:after="100"/>
      <w:ind w:left="567" w:hanging="567"/>
    </w:pPr>
    <w:rPr>
      <w:iCs w:val="0"/>
      <w:sz w:val="30"/>
      <w:szCs w:val="28"/>
    </w:rPr>
  </w:style>
  <w:style w:type="paragraph" w:styleId="ListBullet">
    <w:name w:val="List Bullet"/>
    <w:link w:val="ListBulletChar"/>
    <w:autoRedefine/>
    <w:rsid w:val="00C17EA7"/>
    <w:pPr>
      <w:spacing w:before="40" w:after="60" w:line="288" w:lineRule="auto"/>
      <w:ind w:left="1134" w:hanging="567"/>
    </w:pPr>
    <w:rPr>
      <w:rFonts w:ascii="Calibri" w:hAnsi="Calibri"/>
      <w:sz w:val="22"/>
      <w:szCs w:val="22"/>
      <w:lang w:eastAsia="en-US"/>
    </w:rPr>
  </w:style>
  <w:style w:type="paragraph" w:styleId="ListBullet2">
    <w:name w:val="List Bullet 2"/>
    <w:autoRedefine/>
    <w:rsid w:val="00AD1163"/>
    <w:pPr>
      <w:numPr>
        <w:numId w:val="2"/>
      </w:numPr>
      <w:tabs>
        <w:tab w:val="clear" w:pos="1247"/>
      </w:tabs>
      <w:autoSpaceDE w:val="0"/>
      <w:autoSpaceDN w:val="0"/>
      <w:adjustRightInd w:val="0"/>
      <w:spacing w:after="60" w:line="288" w:lineRule="auto"/>
      <w:ind w:left="1418" w:hanging="425"/>
    </w:pPr>
    <w:rPr>
      <w:rFonts w:ascii="ArialMT" w:hAnsi="ArialMT" w:cs="ArialMT"/>
      <w:sz w:val="24"/>
      <w:szCs w:val="24"/>
    </w:rPr>
  </w:style>
  <w:style w:type="paragraph" w:styleId="Caption">
    <w:name w:val="caption"/>
    <w:next w:val="Normal"/>
    <w:qFormat/>
    <w:rsid w:val="00024877"/>
    <w:pPr>
      <w:keepNext/>
      <w:spacing w:before="400" w:after="60" w:line="312" w:lineRule="auto"/>
      <w:ind w:left="680"/>
    </w:pPr>
    <w:rPr>
      <w:rFonts w:ascii="Arial Narrow" w:hAnsi="Arial Narrow"/>
      <w:bCs/>
      <w:kern w:val="26"/>
      <w:sz w:val="26"/>
      <w:lang w:eastAsia="en-US"/>
    </w:rPr>
  </w:style>
  <w:style w:type="paragraph" w:styleId="TOC4">
    <w:name w:val="toc 4"/>
    <w:basedOn w:val="Normal"/>
    <w:next w:val="Normal"/>
    <w:autoRedefine/>
    <w:semiHidden/>
    <w:rsid w:val="00D8576F"/>
    <w:pPr>
      <w:ind w:left="720"/>
    </w:pPr>
    <w:rPr>
      <w:rFonts w:ascii="Arial Narrow" w:hAnsi="Arial Narrow"/>
    </w:rPr>
  </w:style>
  <w:style w:type="paragraph" w:customStyle="1" w:styleId="Prelimminorheading">
    <w:name w:val="Prelim minor heading"/>
    <w:basedOn w:val="Heading3"/>
    <w:link w:val="PrelimminorheadingChar"/>
    <w:rsid w:val="00BD6446"/>
    <w:rPr>
      <w:caps w:val="0"/>
      <w:spacing w:val="2"/>
    </w:rPr>
  </w:style>
  <w:style w:type="paragraph" w:customStyle="1" w:styleId="Bodytextnonumbering">
    <w:name w:val="Body text no numbering"/>
    <w:basedOn w:val="Normal"/>
    <w:rsid w:val="00D50ADD"/>
    <w:pPr>
      <w:keepNext/>
      <w:spacing w:before="160" w:after="80" w:line="288" w:lineRule="auto"/>
      <w:outlineLvl w:val="1"/>
    </w:pPr>
    <w:rPr>
      <w:rFonts w:cs="Arial"/>
      <w:iCs/>
    </w:rPr>
  </w:style>
  <w:style w:type="paragraph" w:customStyle="1" w:styleId="Prelimmajorheading">
    <w:name w:val="Prelim major heading"/>
    <w:basedOn w:val="Heading1"/>
    <w:rsid w:val="00024877"/>
    <w:pPr>
      <w:numPr>
        <w:numId w:val="0"/>
      </w:numPr>
      <w:spacing w:after="720"/>
      <w:ind w:left="680"/>
    </w:pPr>
    <w:rPr>
      <w:b/>
      <w:spacing w:val="20"/>
      <w:sz w:val="34"/>
      <w:szCs w:val="46"/>
    </w:rPr>
  </w:style>
  <w:style w:type="character" w:styleId="Hyperlink">
    <w:name w:val="Hyperlink"/>
    <w:basedOn w:val="DefaultParagraphFont"/>
    <w:uiPriority w:val="99"/>
    <w:rsid w:val="003B5A9F"/>
    <w:rPr>
      <w:color w:val="0000FF"/>
      <w:u w:val="single"/>
    </w:rPr>
  </w:style>
  <w:style w:type="paragraph" w:styleId="TOC1">
    <w:name w:val="toc 1"/>
    <w:next w:val="Normal"/>
    <w:autoRedefine/>
    <w:uiPriority w:val="39"/>
    <w:rsid w:val="00EC3D05"/>
    <w:pPr>
      <w:tabs>
        <w:tab w:val="right" w:leader="dot" w:pos="9061"/>
      </w:tabs>
      <w:spacing w:before="180" w:after="40" w:line="312" w:lineRule="auto"/>
      <w:ind w:left="1020" w:hanging="340"/>
    </w:pPr>
    <w:rPr>
      <w:rFonts w:ascii="Calibri" w:hAnsi="Calibri" w:cs="Calibri"/>
      <w:b/>
      <w:smallCaps/>
      <w:noProof/>
      <w:spacing w:val="40"/>
      <w:sz w:val="24"/>
      <w:szCs w:val="22"/>
      <w:lang w:eastAsia="en-US"/>
    </w:rPr>
  </w:style>
  <w:style w:type="paragraph" w:styleId="TOC2">
    <w:name w:val="toc 2"/>
    <w:autoRedefine/>
    <w:uiPriority w:val="39"/>
    <w:rsid w:val="00301919"/>
    <w:pPr>
      <w:tabs>
        <w:tab w:val="left" w:pos="1680"/>
        <w:tab w:val="right" w:leader="dot" w:pos="9061"/>
      </w:tabs>
      <w:spacing w:before="40" w:line="312" w:lineRule="auto"/>
      <w:ind w:left="1588" w:hanging="567"/>
    </w:pPr>
    <w:rPr>
      <w:rFonts w:ascii="Calibri" w:hAnsi="Calibri" w:cs="Calibri"/>
      <w:b/>
      <w:noProof/>
      <w:sz w:val="22"/>
      <w:szCs w:val="24"/>
      <w:lang w:eastAsia="en-US"/>
    </w:rPr>
  </w:style>
  <w:style w:type="paragraph" w:styleId="Header">
    <w:name w:val="header"/>
    <w:link w:val="HeaderChar"/>
    <w:uiPriority w:val="99"/>
    <w:rsid w:val="001C746F"/>
    <w:pPr>
      <w:tabs>
        <w:tab w:val="right" w:pos="8640"/>
      </w:tabs>
      <w:ind w:left="680" w:hanging="680"/>
    </w:pPr>
    <w:rPr>
      <w:rFonts w:ascii="Calibri" w:hAnsi="Calibri"/>
      <w:caps/>
      <w:spacing w:val="40"/>
      <w:szCs w:val="14"/>
      <w:lang w:eastAsia="en-US"/>
    </w:rPr>
  </w:style>
  <w:style w:type="paragraph" w:styleId="TableofFigures">
    <w:name w:val="table of figures"/>
    <w:next w:val="Normal"/>
    <w:semiHidden/>
    <w:rsid w:val="003B5A9F"/>
    <w:pPr>
      <w:spacing w:before="240"/>
      <w:ind w:left="1162" w:hanging="482"/>
    </w:pPr>
    <w:rPr>
      <w:rFonts w:ascii="Arial" w:hAnsi="Arial"/>
      <w:b/>
      <w:lang w:eastAsia="en-US"/>
    </w:rPr>
  </w:style>
  <w:style w:type="paragraph" w:styleId="Footer">
    <w:name w:val="footer"/>
    <w:basedOn w:val="Normal"/>
    <w:link w:val="FooterChar"/>
    <w:uiPriority w:val="99"/>
    <w:rsid w:val="000E7567"/>
    <w:pPr>
      <w:tabs>
        <w:tab w:val="center" w:pos="4320"/>
        <w:tab w:val="right" w:pos="8640"/>
      </w:tabs>
    </w:pPr>
    <w:rPr>
      <w:sz w:val="20"/>
    </w:rPr>
  </w:style>
  <w:style w:type="character" w:styleId="PageNumber">
    <w:name w:val="page number"/>
    <w:basedOn w:val="DefaultParagraphFont"/>
    <w:rsid w:val="008B35C5"/>
    <w:rPr>
      <w:rFonts w:ascii="Calibri" w:hAnsi="Calibri"/>
      <w:sz w:val="20"/>
      <w:szCs w:val="18"/>
    </w:rPr>
  </w:style>
  <w:style w:type="paragraph" w:styleId="TOC5">
    <w:name w:val="toc 5"/>
    <w:basedOn w:val="Normal"/>
    <w:next w:val="Normal"/>
    <w:autoRedefine/>
    <w:uiPriority w:val="39"/>
    <w:rsid w:val="00D8576F"/>
    <w:pPr>
      <w:ind w:left="960"/>
    </w:pPr>
    <w:rPr>
      <w:rFonts w:ascii="Arial Narrow" w:hAnsi="Arial Narrow"/>
    </w:rPr>
  </w:style>
  <w:style w:type="paragraph" w:customStyle="1" w:styleId="AppendixHeading1">
    <w:name w:val="Appendix Heading 1"/>
    <w:next w:val="Bodytextnonumbering"/>
    <w:rsid w:val="00FA18A1"/>
    <w:pPr>
      <w:keepNext/>
      <w:pageBreakBefore/>
      <w:numPr>
        <w:ilvl w:val="7"/>
        <w:numId w:val="6"/>
      </w:numPr>
      <w:spacing w:before="720" w:after="180" w:line="312" w:lineRule="auto"/>
    </w:pPr>
    <w:rPr>
      <w:rFonts w:ascii="Arial Narrow" w:hAnsi="Arial Narrow"/>
      <w:b/>
      <w:smallCaps/>
      <w:sz w:val="36"/>
      <w:szCs w:val="24"/>
      <w:lang w:eastAsia="en-US"/>
    </w:rPr>
  </w:style>
  <w:style w:type="paragraph" w:customStyle="1" w:styleId="AppendixHeading2">
    <w:name w:val="Appendix Heading 2"/>
    <w:next w:val="Bodytextnonumbering"/>
    <w:rsid w:val="00F128C9"/>
    <w:pPr>
      <w:spacing w:before="480" w:after="60" w:line="312" w:lineRule="auto"/>
    </w:pPr>
    <w:rPr>
      <w:rFonts w:ascii="Arial Narrow" w:hAnsi="Arial Narrow" w:cs="Arial"/>
      <w:iCs/>
      <w:spacing w:val="2"/>
      <w:sz w:val="34"/>
      <w:szCs w:val="34"/>
      <w:lang w:eastAsia="en-US"/>
    </w:rPr>
  </w:style>
  <w:style w:type="paragraph" w:customStyle="1" w:styleId="TableHeading">
    <w:name w:val="Table Heading"/>
    <w:next w:val="Tabletext"/>
    <w:rsid w:val="00024877"/>
    <w:pPr>
      <w:spacing w:before="40" w:after="40"/>
    </w:pPr>
    <w:rPr>
      <w:rFonts w:ascii="Arial Narrow" w:hAnsi="Arial Narrow"/>
      <w:color w:val="000000"/>
      <w:sz w:val="24"/>
      <w:lang w:eastAsia="en-US"/>
    </w:rPr>
  </w:style>
  <w:style w:type="paragraph" w:customStyle="1" w:styleId="Para">
    <w:name w:val="Para"/>
    <w:basedOn w:val="Normal"/>
    <w:rsid w:val="003B5A9F"/>
    <w:pPr>
      <w:keepNext/>
      <w:spacing w:before="160" w:after="80" w:line="288" w:lineRule="auto"/>
      <w:ind w:left="709"/>
      <w:outlineLvl w:val="1"/>
    </w:pPr>
    <w:rPr>
      <w:rFonts w:ascii="Palatino Linotype" w:hAnsi="Palatino Linotype" w:cs="Arial"/>
      <w:iCs/>
    </w:rPr>
  </w:style>
  <w:style w:type="paragraph" w:customStyle="1" w:styleId="Tabletext">
    <w:name w:val="Table text"/>
    <w:basedOn w:val="Normal"/>
    <w:rsid w:val="003B5A9F"/>
    <w:pPr>
      <w:keepNext/>
      <w:spacing w:before="160" w:after="80" w:line="288" w:lineRule="auto"/>
      <w:outlineLvl w:val="1"/>
    </w:pPr>
    <w:rPr>
      <w:rFonts w:ascii="Arial Narrow" w:hAnsi="Arial Narrow" w:cs="Arial"/>
      <w:iCs/>
      <w:color w:val="000000"/>
      <w:sz w:val="20"/>
      <w:szCs w:val="20"/>
    </w:rPr>
  </w:style>
  <w:style w:type="paragraph" w:customStyle="1" w:styleId="BulletedTextKM">
    <w:name w:val="Bulleted Text KM"/>
    <w:basedOn w:val="Normal"/>
    <w:semiHidden/>
    <w:rsid w:val="003B5A9F"/>
    <w:pPr>
      <w:numPr>
        <w:numId w:val="4"/>
      </w:numPr>
    </w:pPr>
  </w:style>
  <w:style w:type="paragraph" w:customStyle="1" w:styleId="Reportdate">
    <w:name w:val="Report date"/>
    <w:basedOn w:val="Reporttitle"/>
    <w:rsid w:val="003B5A9F"/>
    <w:pPr>
      <w:spacing w:before="0"/>
    </w:pPr>
    <w:rPr>
      <w:caps/>
      <w:spacing w:val="60"/>
      <w:sz w:val="22"/>
      <w:szCs w:val="22"/>
    </w:rPr>
  </w:style>
  <w:style w:type="paragraph" w:styleId="Quote">
    <w:name w:val="Quote"/>
    <w:basedOn w:val="Normal"/>
    <w:qFormat/>
    <w:rsid w:val="00B214A7"/>
    <w:pPr>
      <w:spacing w:before="60" w:after="80" w:line="288" w:lineRule="auto"/>
      <w:ind w:left="1247"/>
      <w:outlineLvl w:val="1"/>
    </w:pPr>
    <w:rPr>
      <w:rFonts w:cs="Arial"/>
      <w:iCs/>
    </w:rPr>
  </w:style>
  <w:style w:type="paragraph" w:styleId="FootnoteText">
    <w:name w:val="footnote text"/>
    <w:basedOn w:val="Normal"/>
    <w:semiHidden/>
    <w:rsid w:val="00113E77"/>
    <w:pPr>
      <w:spacing w:before="80" w:after="80" w:line="160" w:lineRule="exact"/>
      <w:ind w:left="170" w:hanging="170"/>
    </w:pPr>
    <w:rPr>
      <w:sz w:val="18"/>
      <w:szCs w:val="20"/>
    </w:rPr>
  </w:style>
  <w:style w:type="character" w:styleId="FootnoteReference">
    <w:name w:val="footnote reference"/>
    <w:basedOn w:val="DefaultParagraphFont"/>
    <w:semiHidden/>
    <w:rsid w:val="003B5A9F"/>
    <w:rPr>
      <w:vertAlign w:val="superscript"/>
    </w:rPr>
  </w:style>
  <w:style w:type="paragraph" w:customStyle="1" w:styleId="TOCheading">
    <w:name w:val="TOC heading"/>
    <w:basedOn w:val="Prelimmajorheading"/>
    <w:rsid w:val="00024877"/>
    <w:rPr>
      <w:b w:val="0"/>
    </w:rPr>
  </w:style>
  <w:style w:type="paragraph" w:styleId="TOC3">
    <w:name w:val="toc 3"/>
    <w:basedOn w:val="TOC2"/>
    <w:next w:val="Normal"/>
    <w:autoRedefine/>
    <w:uiPriority w:val="39"/>
    <w:rsid w:val="00D8576F"/>
  </w:style>
  <w:style w:type="paragraph" w:customStyle="1" w:styleId="StyleCommitteenameBlack">
    <w:name w:val="Style Committee name + Black"/>
    <w:semiHidden/>
    <w:rsid w:val="003B5A9F"/>
    <w:rPr>
      <w:rFonts w:ascii="Univers LT Std 45 Light" w:hAnsi="Univers LT Std 45 Light"/>
      <w:caps/>
      <w:color w:val="000000"/>
      <w:spacing w:val="40"/>
      <w:sz w:val="28"/>
      <w:szCs w:val="28"/>
      <w:lang w:eastAsia="en-US"/>
    </w:rPr>
  </w:style>
  <w:style w:type="paragraph" w:customStyle="1" w:styleId="Recommendation">
    <w:name w:val="Recommendation"/>
    <w:basedOn w:val="Caption"/>
    <w:next w:val="RecommendationText"/>
    <w:rsid w:val="002A64FA"/>
    <w:pPr>
      <w:numPr>
        <w:ilvl w:val="6"/>
        <w:numId w:val="6"/>
      </w:numPr>
      <w:ind w:left="567"/>
    </w:pPr>
    <w:rPr>
      <w:b/>
      <w:smallCaps/>
      <w:spacing w:val="20"/>
      <w:sz w:val="44"/>
    </w:rPr>
  </w:style>
  <w:style w:type="character" w:styleId="FollowedHyperlink">
    <w:name w:val="FollowedHyperlink"/>
    <w:basedOn w:val="DefaultParagraphFont"/>
    <w:rsid w:val="003B5A9F"/>
    <w:rPr>
      <w:color w:val="800080"/>
      <w:u w:val="single"/>
    </w:rPr>
  </w:style>
  <w:style w:type="paragraph" w:customStyle="1" w:styleId="StyleBodyTextArialNarrowBoldBlackLeft0cmFirstlin">
    <w:name w:val="Style Body Text + Arial Narrow Bold Black Left:  0 cm First lin..."/>
    <w:basedOn w:val="Normal"/>
    <w:semiHidden/>
    <w:rsid w:val="003B5A9F"/>
    <w:pPr>
      <w:keepNext/>
      <w:tabs>
        <w:tab w:val="num" w:pos="680"/>
      </w:tabs>
      <w:spacing w:before="160" w:after="80" w:line="288" w:lineRule="auto"/>
      <w:outlineLvl w:val="1"/>
    </w:pPr>
    <w:rPr>
      <w:rFonts w:ascii="Univers LT Std 55" w:hAnsi="Univers LT Std 55" w:cs="Arial"/>
      <w:b/>
      <w:bCs/>
      <w:iCs/>
      <w:color w:val="000000"/>
      <w:szCs w:val="20"/>
    </w:rPr>
  </w:style>
  <w:style w:type="paragraph" w:customStyle="1" w:styleId="Secretariat">
    <w:name w:val="Secretariat"/>
    <w:basedOn w:val="Prelimminorheading"/>
    <w:link w:val="SecretariatChar"/>
    <w:qFormat/>
    <w:rsid w:val="00EB4D32"/>
    <w:pPr>
      <w:numPr>
        <w:ilvl w:val="0"/>
        <w:numId w:val="0"/>
      </w:numPr>
    </w:pPr>
    <w:rPr>
      <w:spacing w:val="4"/>
      <w:sz w:val="30"/>
      <w:szCs w:val="30"/>
    </w:rPr>
  </w:style>
  <w:style w:type="paragraph" w:customStyle="1" w:styleId="Headinglevel2">
    <w:name w:val="Heading level 2"/>
    <w:next w:val="Bodytext"/>
    <w:link w:val="Headinglevel2Char"/>
    <w:rsid w:val="00EA3423"/>
    <w:pPr>
      <w:keepNext/>
      <w:widowControl w:val="0"/>
      <w:numPr>
        <w:ilvl w:val="1"/>
        <w:numId w:val="6"/>
      </w:numPr>
      <w:tabs>
        <w:tab w:val="left" w:pos="567"/>
      </w:tabs>
      <w:spacing w:before="480" w:after="60" w:line="312" w:lineRule="auto"/>
      <w:ind w:left="567" w:hanging="567"/>
    </w:pPr>
    <w:rPr>
      <w:rFonts w:ascii="Arial Narrow" w:hAnsi="Arial Narrow" w:cs="Arial"/>
      <w:iCs/>
      <w:smallCaps/>
      <w:spacing w:val="20"/>
      <w:sz w:val="36"/>
      <w:szCs w:val="34"/>
      <w:lang w:eastAsia="en-US"/>
    </w:rPr>
  </w:style>
  <w:style w:type="paragraph" w:customStyle="1" w:styleId="Bodytext">
    <w:name w:val="Body text"/>
    <w:basedOn w:val="Normal"/>
    <w:link w:val="BodytextChar"/>
    <w:rsid w:val="00FA18A1"/>
    <w:pPr>
      <w:numPr>
        <w:ilvl w:val="5"/>
        <w:numId w:val="6"/>
      </w:numPr>
      <w:spacing w:before="240" w:after="100" w:line="288" w:lineRule="auto"/>
    </w:pPr>
  </w:style>
  <w:style w:type="paragraph" w:styleId="TOC6">
    <w:name w:val="toc 6"/>
    <w:basedOn w:val="Normal"/>
    <w:next w:val="Normal"/>
    <w:autoRedefine/>
    <w:semiHidden/>
    <w:rsid w:val="00D8576F"/>
    <w:pPr>
      <w:ind w:left="1200"/>
    </w:pPr>
    <w:rPr>
      <w:rFonts w:ascii="Arial Narrow" w:hAnsi="Arial Narrow"/>
    </w:rPr>
  </w:style>
  <w:style w:type="paragraph" w:customStyle="1" w:styleId="Headinglevel4">
    <w:name w:val="Heading level 4"/>
    <w:basedOn w:val="Headinglevel3"/>
    <w:next w:val="Bodytext"/>
    <w:rsid w:val="00EA3423"/>
    <w:pPr>
      <w:numPr>
        <w:ilvl w:val="3"/>
      </w:numPr>
      <w:spacing w:before="280" w:after="80"/>
      <w:ind w:left="567" w:hanging="567"/>
    </w:pPr>
    <w:rPr>
      <w:sz w:val="26"/>
      <w:szCs w:val="24"/>
    </w:rPr>
  </w:style>
  <w:style w:type="paragraph" w:styleId="TOC7">
    <w:name w:val="toc 7"/>
    <w:basedOn w:val="Normal"/>
    <w:next w:val="Normal"/>
    <w:autoRedefine/>
    <w:semiHidden/>
    <w:rsid w:val="00D8576F"/>
    <w:pPr>
      <w:ind w:left="1440"/>
    </w:pPr>
    <w:rPr>
      <w:rFonts w:ascii="Arial Narrow" w:hAnsi="Arial Narrow"/>
    </w:rPr>
  </w:style>
  <w:style w:type="paragraph" w:styleId="TOC8">
    <w:name w:val="toc 8"/>
    <w:basedOn w:val="Normal"/>
    <w:next w:val="Normal"/>
    <w:autoRedefine/>
    <w:semiHidden/>
    <w:rsid w:val="00D8576F"/>
    <w:pPr>
      <w:ind w:left="1680"/>
    </w:pPr>
    <w:rPr>
      <w:rFonts w:ascii="Arial Narrow" w:hAnsi="Arial Narrow"/>
    </w:rPr>
  </w:style>
  <w:style w:type="paragraph" w:styleId="TOC9">
    <w:name w:val="toc 9"/>
    <w:basedOn w:val="Normal"/>
    <w:next w:val="Normal"/>
    <w:autoRedefine/>
    <w:semiHidden/>
    <w:rsid w:val="00D8576F"/>
    <w:pPr>
      <w:ind w:left="1920"/>
    </w:pPr>
    <w:rPr>
      <w:rFonts w:ascii="Arial Narrow" w:hAnsi="Arial Narrow"/>
    </w:rPr>
  </w:style>
  <w:style w:type="paragraph" w:customStyle="1" w:styleId="Headinglevel5">
    <w:name w:val="Heading level 5"/>
    <w:basedOn w:val="Headinglevel4"/>
    <w:next w:val="Bodytext"/>
    <w:qFormat/>
    <w:rsid w:val="00EA3423"/>
    <w:pPr>
      <w:numPr>
        <w:ilvl w:val="4"/>
      </w:numPr>
      <w:ind w:left="567" w:hanging="567"/>
    </w:pPr>
    <w:rPr>
      <w:sz w:val="22"/>
    </w:rPr>
  </w:style>
  <w:style w:type="paragraph" w:customStyle="1" w:styleId="StyleBodytextnonumberingBefore0ptAfter0ptLinesp">
    <w:name w:val="Style Body text no numbering + Before:  0 pt After:  0 pt Line sp..."/>
    <w:basedOn w:val="Bodytextnonumbering"/>
    <w:rsid w:val="00D50ADD"/>
    <w:pPr>
      <w:spacing w:before="0" w:after="0" w:line="240" w:lineRule="auto"/>
    </w:pPr>
    <w:rPr>
      <w:rFonts w:cs="Times New Roman"/>
      <w:iCs w:val="0"/>
      <w:szCs w:val="20"/>
    </w:rPr>
  </w:style>
  <w:style w:type="paragraph" w:customStyle="1" w:styleId="StyleReportnumberBefore78pt">
    <w:name w:val="Style Report number + Before:  78 pt"/>
    <w:basedOn w:val="Reportnumber"/>
    <w:rsid w:val="001C746F"/>
    <w:pPr>
      <w:spacing w:before="1560"/>
    </w:pPr>
    <w:rPr>
      <w:bCs/>
      <w:smallCaps w:val="0"/>
    </w:rPr>
  </w:style>
  <w:style w:type="paragraph" w:customStyle="1" w:styleId="StylePrelimminorheadingLeft0cmFirstline0cm">
    <w:name w:val="Style Prelim minor heading + Left:  0 cm First line:  0 cm"/>
    <w:basedOn w:val="Prelimminorheading"/>
    <w:rsid w:val="00F14364"/>
    <w:pPr>
      <w:ind w:left="0" w:firstLine="0"/>
    </w:pPr>
    <w:rPr>
      <w:rFonts w:cs="Times New Roman"/>
      <w:iCs w:val="0"/>
      <w:szCs w:val="20"/>
    </w:rPr>
  </w:style>
  <w:style w:type="paragraph" w:customStyle="1" w:styleId="StylePrelimminorheadingLeft0cmFirstline0cm1">
    <w:name w:val="Style Prelim minor heading + Left:  0 cm First line:  0 cm1"/>
    <w:basedOn w:val="Prelimminorheading"/>
    <w:rsid w:val="00F14364"/>
    <w:pPr>
      <w:ind w:left="0" w:firstLine="0"/>
    </w:pPr>
    <w:rPr>
      <w:rFonts w:cs="Times New Roman"/>
      <w:iCs w:val="0"/>
      <w:szCs w:val="20"/>
    </w:rPr>
  </w:style>
  <w:style w:type="character" w:customStyle="1" w:styleId="FooterChar">
    <w:name w:val="Footer Char"/>
    <w:basedOn w:val="DefaultParagraphFont"/>
    <w:link w:val="Footer"/>
    <w:uiPriority w:val="99"/>
    <w:rsid w:val="000E7567"/>
    <w:rPr>
      <w:rFonts w:ascii="Calibri" w:hAnsi="Calibri"/>
      <w:szCs w:val="24"/>
      <w:lang w:eastAsia="en-US"/>
    </w:rPr>
  </w:style>
  <w:style w:type="character" w:customStyle="1" w:styleId="HeaderChar">
    <w:name w:val="Header Char"/>
    <w:basedOn w:val="DefaultParagraphFont"/>
    <w:link w:val="Header"/>
    <w:uiPriority w:val="99"/>
    <w:rsid w:val="001C746F"/>
    <w:rPr>
      <w:rFonts w:ascii="Calibri" w:hAnsi="Calibri"/>
      <w:caps/>
      <w:spacing w:val="40"/>
      <w:szCs w:val="14"/>
      <w:lang w:val="en-AU" w:eastAsia="en-US" w:bidi="ar-SA"/>
    </w:rPr>
  </w:style>
  <w:style w:type="paragraph" w:customStyle="1" w:styleId="StyleReportdateLinespacingAtleast12pt">
    <w:name w:val="Style Report date + Line spacing:  At least 12 pt"/>
    <w:basedOn w:val="Reportdate"/>
    <w:rsid w:val="001C746F"/>
    <w:pPr>
      <w:spacing w:line="240" w:lineRule="atLeast"/>
    </w:pPr>
    <w:rPr>
      <w:caps w:val="0"/>
      <w:spacing w:val="20"/>
      <w:szCs w:val="20"/>
    </w:rPr>
  </w:style>
  <w:style w:type="paragraph" w:customStyle="1" w:styleId="StyleReporttitleBefore0ptLinespacingAtleast12pt">
    <w:name w:val="Style Report title + Before:  0 pt Line spacing:  At least 12 pt"/>
    <w:basedOn w:val="Reporttitle"/>
    <w:rsid w:val="001C746F"/>
    <w:pPr>
      <w:spacing w:before="0" w:line="240" w:lineRule="atLeast"/>
    </w:pPr>
    <w:rPr>
      <w:spacing w:val="20"/>
      <w:szCs w:val="20"/>
    </w:rPr>
  </w:style>
  <w:style w:type="paragraph" w:customStyle="1" w:styleId="StylePrelimminorheadingLeft0cmFirstline0cm2">
    <w:name w:val="Style Prelim minor heading + Left:  0 cm First line:  0 cm2"/>
    <w:basedOn w:val="Prelimminorheading"/>
    <w:rsid w:val="00024877"/>
    <w:pPr>
      <w:ind w:left="0" w:firstLine="0"/>
    </w:pPr>
    <w:rPr>
      <w:rFonts w:cs="Times New Roman"/>
      <w:b/>
      <w:iCs w:val="0"/>
      <w:szCs w:val="20"/>
    </w:rPr>
  </w:style>
  <w:style w:type="paragraph" w:customStyle="1" w:styleId="StylePrelimminorheadingLeft0cmFirstline0cm3">
    <w:name w:val="Style Prelim minor heading + Left:  0 cm First line:  0 cm3"/>
    <w:basedOn w:val="Prelimminorheading"/>
    <w:rsid w:val="00024877"/>
    <w:pPr>
      <w:ind w:left="0" w:firstLine="0"/>
    </w:pPr>
    <w:rPr>
      <w:rFonts w:cs="Times New Roman"/>
      <w:b/>
      <w:iCs w:val="0"/>
      <w:szCs w:val="20"/>
    </w:rPr>
  </w:style>
  <w:style w:type="numbering" w:customStyle="1" w:styleId="test1">
    <w:name w:val="test1"/>
    <w:uiPriority w:val="99"/>
    <w:rsid w:val="00FA18A1"/>
    <w:pPr>
      <w:numPr>
        <w:numId w:val="6"/>
      </w:numPr>
    </w:pPr>
  </w:style>
  <w:style w:type="paragraph" w:customStyle="1" w:styleId="RecommendationText">
    <w:name w:val="Recommendation Text"/>
    <w:basedOn w:val="Bodytext"/>
    <w:next w:val="Bodytext"/>
    <w:link w:val="RecommendationTextChar"/>
    <w:qFormat/>
    <w:rsid w:val="00EC3D05"/>
    <w:pPr>
      <w:spacing w:before="120" w:after="240"/>
    </w:pPr>
    <w:rPr>
      <w:b/>
    </w:rPr>
  </w:style>
  <w:style w:type="paragraph" w:customStyle="1" w:styleId="Contactinformation">
    <w:name w:val="Contact information"/>
    <w:basedOn w:val="Prelimminorheading"/>
    <w:link w:val="ContactinformationChar"/>
    <w:qFormat/>
    <w:rsid w:val="00EB4D32"/>
    <w:pPr>
      <w:numPr>
        <w:ilvl w:val="0"/>
        <w:numId w:val="0"/>
      </w:numPr>
    </w:pPr>
  </w:style>
  <w:style w:type="character" w:customStyle="1" w:styleId="BodytextChar">
    <w:name w:val="Body text Char"/>
    <w:basedOn w:val="DefaultParagraphFont"/>
    <w:link w:val="Bodytext"/>
    <w:rsid w:val="00FA18A1"/>
    <w:rPr>
      <w:rFonts w:ascii="Calibri" w:hAnsi="Calibri"/>
      <w:sz w:val="22"/>
      <w:szCs w:val="24"/>
      <w:lang w:eastAsia="en-US"/>
    </w:rPr>
  </w:style>
  <w:style w:type="character" w:customStyle="1" w:styleId="RecommendationTextChar">
    <w:name w:val="Recommendation Text Char"/>
    <w:basedOn w:val="BodytextChar"/>
    <w:link w:val="RecommendationText"/>
    <w:rsid w:val="00EC3D05"/>
    <w:rPr>
      <w:b/>
    </w:rPr>
  </w:style>
  <w:style w:type="character" w:customStyle="1" w:styleId="Headinglevel2Char">
    <w:name w:val="Heading level 2 Char"/>
    <w:basedOn w:val="DefaultParagraphFont"/>
    <w:link w:val="Headinglevel2"/>
    <w:rsid w:val="00EA3423"/>
    <w:rPr>
      <w:rFonts w:ascii="Arial Narrow" w:hAnsi="Arial Narrow" w:cs="Arial"/>
      <w:iCs/>
      <w:smallCaps/>
      <w:spacing w:val="20"/>
      <w:sz w:val="36"/>
      <w:szCs w:val="34"/>
      <w:lang w:val="en-AU" w:eastAsia="en-US" w:bidi="ar-SA"/>
    </w:rPr>
  </w:style>
  <w:style w:type="character" w:customStyle="1" w:styleId="Headinglevel3Char">
    <w:name w:val="Heading level 3 Char"/>
    <w:basedOn w:val="Headinglevel2Char"/>
    <w:link w:val="Headinglevel3"/>
    <w:rsid w:val="00B85C8B"/>
    <w:rPr>
      <w:smallCaps/>
      <w:sz w:val="30"/>
      <w:szCs w:val="28"/>
    </w:rPr>
  </w:style>
  <w:style w:type="character" w:customStyle="1" w:styleId="Heading1Char">
    <w:name w:val="Heading 1 Char"/>
    <w:aliases w:val="numbered Char"/>
    <w:basedOn w:val="DefaultParagraphFont"/>
    <w:link w:val="Heading1"/>
    <w:rsid w:val="00FA18A1"/>
    <w:rPr>
      <w:rFonts w:ascii="Arial Narrow" w:hAnsi="Arial Narrow" w:cs="Arial"/>
      <w:bCs/>
      <w:smallCaps/>
      <w:spacing w:val="40"/>
      <w:kern w:val="32"/>
      <w:sz w:val="44"/>
      <w:szCs w:val="36"/>
      <w:lang w:val="en-AU" w:eastAsia="en-US" w:bidi="ar-SA"/>
    </w:rPr>
  </w:style>
  <w:style w:type="paragraph" w:customStyle="1" w:styleId="StylePrelimminorheadingLeft0cmFirstline0cm4">
    <w:name w:val="Style Prelim minor heading + Left:  0 cm First line:  0 cm4"/>
    <w:basedOn w:val="Prelimminorheading"/>
    <w:rsid w:val="00BD6446"/>
    <w:pPr>
      <w:ind w:left="0" w:firstLine="0"/>
    </w:pPr>
    <w:rPr>
      <w:rFonts w:cs="Times New Roman"/>
      <w:bCs w:val="0"/>
      <w:iCs w:val="0"/>
      <w:szCs w:val="20"/>
    </w:rPr>
  </w:style>
  <w:style w:type="character" w:customStyle="1" w:styleId="Heading2Char">
    <w:name w:val="Heading 2 Char"/>
    <w:basedOn w:val="Heading1Char"/>
    <w:link w:val="Heading2"/>
    <w:rsid w:val="00EB4D32"/>
    <w:rPr>
      <w:iCs/>
      <w:caps/>
      <w:sz w:val="34"/>
      <w:szCs w:val="34"/>
    </w:rPr>
  </w:style>
  <w:style w:type="paragraph" w:customStyle="1" w:styleId="StylePrelimminorheadingLeft0cmFirstline0cm5">
    <w:name w:val="Style Prelim minor heading + Left:  0 cm First line:  0 cm5"/>
    <w:basedOn w:val="Prelimminorheading"/>
    <w:rsid w:val="00BD6446"/>
    <w:pPr>
      <w:ind w:left="0" w:firstLine="0"/>
    </w:pPr>
    <w:rPr>
      <w:rFonts w:cs="Times New Roman"/>
      <w:bCs w:val="0"/>
      <w:iCs w:val="0"/>
      <w:szCs w:val="20"/>
    </w:rPr>
  </w:style>
  <w:style w:type="paragraph" w:customStyle="1" w:styleId="StylePrelimminorheadingLeft0cmFirstline0cmExpand">
    <w:name w:val="Style Prelim minor heading + Left:  0 cm First line:  0 cm Expand..."/>
    <w:basedOn w:val="Prelimminorheading"/>
    <w:rsid w:val="00BD6446"/>
    <w:pPr>
      <w:ind w:left="0" w:firstLine="0"/>
    </w:pPr>
    <w:rPr>
      <w:rFonts w:cs="Times New Roman"/>
      <w:bCs w:val="0"/>
      <w:iCs w:val="0"/>
      <w:spacing w:val="4"/>
      <w:sz w:val="30"/>
      <w:szCs w:val="20"/>
    </w:rPr>
  </w:style>
  <w:style w:type="character" w:customStyle="1" w:styleId="Heading3Char">
    <w:name w:val="Heading 3 Char"/>
    <w:basedOn w:val="Heading2Char"/>
    <w:link w:val="Heading3"/>
    <w:rsid w:val="00EB4D32"/>
    <w:rPr>
      <w:bCs/>
      <w:sz w:val="28"/>
      <w:szCs w:val="28"/>
    </w:rPr>
  </w:style>
  <w:style w:type="character" w:customStyle="1" w:styleId="PrelimminorheadingChar">
    <w:name w:val="Prelim minor heading Char"/>
    <w:basedOn w:val="Heading3Char"/>
    <w:link w:val="Prelimminorheading"/>
    <w:rsid w:val="00EB4D32"/>
    <w:rPr>
      <w:spacing w:val="2"/>
    </w:rPr>
  </w:style>
  <w:style w:type="character" w:customStyle="1" w:styleId="SecretariatChar">
    <w:name w:val="Secretariat Char"/>
    <w:basedOn w:val="PrelimminorheadingChar"/>
    <w:link w:val="Secretariat"/>
    <w:rsid w:val="00EB4D32"/>
  </w:style>
  <w:style w:type="paragraph" w:customStyle="1" w:styleId="RecommendationBullet">
    <w:name w:val="Recommendation Bullet"/>
    <w:basedOn w:val="ListBullet"/>
    <w:link w:val="RecommendationBulletChar"/>
    <w:qFormat/>
    <w:rsid w:val="00BB6351"/>
    <w:rPr>
      <w:b/>
    </w:rPr>
  </w:style>
  <w:style w:type="character" w:customStyle="1" w:styleId="ContactinformationChar">
    <w:name w:val="Contact information Char"/>
    <w:basedOn w:val="PrelimminorheadingChar"/>
    <w:link w:val="Contactinformation"/>
    <w:rsid w:val="00EB4D32"/>
  </w:style>
  <w:style w:type="character" w:customStyle="1" w:styleId="ListBulletChar">
    <w:name w:val="List Bullet Char"/>
    <w:basedOn w:val="DefaultParagraphFont"/>
    <w:link w:val="ListBullet"/>
    <w:rsid w:val="00C17EA7"/>
    <w:rPr>
      <w:rFonts w:ascii="Calibri" w:hAnsi="Calibri"/>
      <w:sz w:val="22"/>
      <w:szCs w:val="22"/>
      <w:lang w:val="en-AU" w:eastAsia="en-US" w:bidi="ar-SA"/>
    </w:rPr>
  </w:style>
  <w:style w:type="character" w:customStyle="1" w:styleId="RecommendationBulletChar">
    <w:name w:val="Recommendation Bullet Char"/>
    <w:basedOn w:val="ListBulletChar"/>
    <w:link w:val="RecommendationBullet"/>
    <w:rsid w:val="00462F49"/>
    <w:rPr>
      <w:b/>
    </w:rPr>
  </w:style>
  <w:style w:type="paragraph" w:customStyle="1" w:styleId="Bodycopy">
    <w:name w:val="Body copy"/>
    <w:qFormat/>
    <w:rsid w:val="004E3063"/>
    <w:pPr>
      <w:keepNext/>
      <w:widowControl w:val="0"/>
      <w:tabs>
        <w:tab w:val="left" w:pos="1276"/>
      </w:tabs>
      <w:spacing w:before="200" w:after="200" w:line="300" w:lineRule="exact"/>
    </w:pPr>
    <w:rPr>
      <w:rFonts w:ascii="Calibri" w:eastAsia="Calibri" w:hAnsi="Calibri" w:cs="Calibri"/>
      <w:color w:val="000000"/>
      <w:sz w:val="22"/>
    </w:rPr>
  </w:style>
  <w:style w:type="paragraph" w:customStyle="1" w:styleId="DPSEntryDetail">
    <w:name w:val="DPSEntryDetail"/>
    <w:link w:val="DPSEntryDetailChar"/>
    <w:rsid w:val="004E3063"/>
    <w:pPr>
      <w:tabs>
        <w:tab w:val="left" w:pos="1197"/>
        <w:tab w:val="left" w:pos="1767"/>
      </w:tabs>
      <w:spacing w:before="120"/>
      <w:ind w:left="720"/>
      <w:jc w:val="both"/>
    </w:pPr>
    <w:rPr>
      <w:sz w:val="24"/>
    </w:rPr>
  </w:style>
  <w:style w:type="character" w:customStyle="1" w:styleId="DPSEntryDetailChar">
    <w:name w:val="DPSEntryDetail Char"/>
    <w:basedOn w:val="DefaultParagraphFont"/>
    <w:link w:val="DPSEntryDetail"/>
    <w:rsid w:val="004E3063"/>
    <w:rPr>
      <w:sz w:val="24"/>
      <w:lang w:val="en-AU" w:eastAsia="en-AU" w:bidi="ar-SA"/>
    </w:rPr>
  </w:style>
  <w:style w:type="paragraph" w:styleId="ListParagraph">
    <w:name w:val="List Paragraph"/>
    <w:basedOn w:val="Normal"/>
    <w:uiPriority w:val="34"/>
    <w:qFormat/>
    <w:rsid w:val="006224BF"/>
    <w:pPr>
      <w:spacing w:after="200"/>
      <w:ind w:left="720"/>
      <w:contextualSpacing/>
      <w:jc w:val="right"/>
    </w:pPr>
    <w:rPr>
      <w:rFonts w:eastAsia="Calibri"/>
      <w:szCs w:val="22"/>
    </w:rPr>
  </w:style>
  <w:style w:type="table" w:styleId="TableGrid">
    <w:name w:val="Table Grid"/>
    <w:basedOn w:val="TableNormal"/>
    <w:uiPriority w:val="59"/>
    <w:rsid w:val="00DF31B9"/>
    <w:pPr>
      <w:jc w:val="right"/>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copynumbered">
    <w:name w:val="Body copy numbered"/>
    <w:qFormat/>
    <w:rsid w:val="00CC1740"/>
    <w:pPr>
      <w:keepNext/>
      <w:widowControl w:val="0"/>
      <w:spacing w:before="240" w:after="100" w:line="300" w:lineRule="exact"/>
      <w:ind w:left="567" w:hanging="567"/>
      <w:outlineLvl w:val="1"/>
    </w:pPr>
    <w:rPr>
      <w:rFonts w:asciiTheme="minorHAnsi" w:hAnsiTheme="minorHAnsi" w:cs="Arial"/>
      <w:bCs/>
      <w:kern w:val="32"/>
      <w:sz w:val="22"/>
      <w:lang w:eastAsia="en-US"/>
    </w:rPr>
  </w:style>
  <w:style w:type="character" w:customStyle="1" w:styleId="Heading5Char">
    <w:name w:val="Heading 5 Char"/>
    <w:basedOn w:val="DefaultParagraphFont"/>
    <w:link w:val="Heading5"/>
    <w:semiHidden/>
    <w:rsid w:val="00D00D73"/>
    <w:rPr>
      <w:rFonts w:asciiTheme="minorHAnsi" w:eastAsiaTheme="minorEastAsia" w:hAnsiTheme="minorHAnsi" w:cstheme="minorBidi"/>
      <w:b/>
      <w:bCs/>
      <w:i/>
      <w:iCs/>
      <w:sz w:val="26"/>
      <w:szCs w:val="26"/>
      <w:lang w:eastAsia="en-US"/>
    </w:rPr>
  </w:style>
  <w:style w:type="paragraph" w:customStyle="1" w:styleId="1">
    <w:name w:val="1."/>
    <w:basedOn w:val="Normal"/>
    <w:rsid w:val="006533EE"/>
    <w:pPr>
      <w:tabs>
        <w:tab w:val="left" w:pos="1000"/>
      </w:tabs>
      <w:spacing w:before="200"/>
    </w:pPr>
    <w:rPr>
      <w:rFonts w:ascii="Times" w:hAnsi="Times"/>
      <w:sz w:val="24"/>
      <w:szCs w:val="20"/>
      <w:lang w:val="en-US"/>
    </w:rPr>
  </w:style>
  <w:style w:type="paragraph" w:styleId="NormalWeb">
    <w:name w:val="Normal (Web)"/>
    <w:basedOn w:val="Normal"/>
    <w:uiPriority w:val="99"/>
    <w:unhideWhenUsed/>
    <w:rsid w:val="00186E74"/>
    <w:pPr>
      <w:spacing w:after="240"/>
    </w:pPr>
    <w:rPr>
      <w:rFonts w:ascii="Times New Roman" w:hAnsi="Times New Roman"/>
      <w:sz w:val="24"/>
      <w:lang w:eastAsia="en-AU"/>
    </w:rPr>
  </w:style>
  <w:style w:type="paragraph" w:customStyle="1" w:styleId="Default">
    <w:name w:val="Default"/>
    <w:rsid w:val="00CD3FCD"/>
    <w:pPr>
      <w:autoSpaceDE w:val="0"/>
      <w:autoSpaceDN w:val="0"/>
      <w:adjustRightInd w:val="0"/>
    </w:pPr>
    <w:rPr>
      <w:color w:val="000000"/>
      <w:sz w:val="24"/>
      <w:szCs w:val="24"/>
    </w:rPr>
  </w:style>
  <w:style w:type="paragraph" w:customStyle="1" w:styleId="10">
    <w:name w:val="(1)"/>
    <w:basedOn w:val="Normal"/>
    <w:next w:val="Normal"/>
    <w:rsid w:val="00432400"/>
    <w:pPr>
      <w:autoSpaceDE w:val="0"/>
      <w:autoSpaceDN w:val="0"/>
      <w:adjustRightInd w:val="0"/>
      <w:spacing w:after="80"/>
    </w:pPr>
    <w:rPr>
      <w:rFonts w:ascii="Arial" w:hAnsi="Arial"/>
      <w:sz w:val="20"/>
      <w:lang w:val="en-US"/>
    </w:rPr>
  </w:style>
  <w:style w:type="paragraph" w:customStyle="1" w:styleId="a">
    <w:name w:val="(a)"/>
    <w:basedOn w:val="Normal"/>
    <w:next w:val="Normal"/>
    <w:rsid w:val="00432400"/>
    <w:pPr>
      <w:autoSpaceDE w:val="0"/>
      <w:autoSpaceDN w:val="0"/>
      <w:adjustRightInd w:val="0"/>
      <w:spacing w:after="80"/>
    </w:pPr>
    <w:rPr>
      <w:rFonts w:ascii="Arial" w:hAnsi="Arial"/>
      <w:sz w:val="20"/>
      <w:lang w:val="en-US"/>
    </w:rPr>
  </w:style>
  <w:style w:type="character" w:customStyle="1" w:styleId="Heading6Char">
    <w:name w:val="Heading 6 Char"/>
    <w:basedOn w:val="DefaultParagraphFont"/>
    <w:link w:val="Heading6"/>
    <w:semiHidden/>
    <w:rsid w:val="00687617"/>
    <w:rPr>
      <w:rFonts w:asciiTheme="minorHAnsi" w:eastAsiaTheme="minorEastAsia" w:hAnsiTheme="minorHAnsi" w:cstheme="minorBidi"/>
      <w:b/>
      <w:bCs/>
      <w:sz w:val="22"/>
      <w:szCs w:val="22"/>
      <w:lang w:eastAsia="en-US"/>
    </w:rPr>
  </w:style>
  <w:style w:type="paragraph" w:styleId="BalloonText">
    <w:name w:val="Balloon Text"/>
    <w:basedOn w:val="Normal"/>
    <w:link w:val="BalloonTextChar"/>
    <w:rsid w:val="008A6F0E"/>
    <w:rPr>
      <w:rFonts w:ascii="Tahoma" w:hAnsi="Tahoma" w:cs="Tahoma"/>
      <w:sz w:val="16"/>
      <w:szCs w:val="16"/>
    </w:rPr>
  </w:style>
  <w:style w:type="character" w:customStyle="1" w:styleId="BalloonTextChar">
    <w:name w:val="Balloon Text Char"/>
    <w:basedOn w:val="DefaultParagraphFont"/>
    <w:link w:val="BalloonText"/>
    <w:rsid w:val="008A6F0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01287397">
      <w:bodyDiv w:val="1"/>
      <w:marLeft w:val="0"/>
      <w:marRight w:val="0"/>
      <w:marTop w:val="0"/>
      <w:marBottom w:val="0"/>
      <w:divBdr>
        <w:top w:val="none" w:sz="0" w:space="0" w:color="auto"/>
        <w:left w:val="none" w:sz="0" w:space="0" w:color="auto"/>
        <w:bottom w:val="none" w:sz="0" w:space="0" w:color="auto"/>
        <w:right w:val="none" w:sz="0" w:space="0" w:color="auto"/>
      </w:divBdr>
      <w:divsChild>
        <w:div w:id="536427865">
          <w:marLeft w:val="0"/>
          <w:marRight w:val="0"/>
          <w:marTop w:val="0"/>
          <w:marBottom w:val="0"/>
          <w:divBdr>
            <w:top w:val="none" w:sz="0" w:space="0" w:color="auto"/>
            <w:left w:val="none" w:sz="0" w:space="0" w:color="auto"/>
            <w:bottom w:val="none" w:sz="0" w:space="0" w:color="auto"/>
            <w:right w:val="none" w:sz="0" w:space="0" w:color="auto"/>
          </w:divBdr>
          <w:divsChild>
            <w:div w:id="1335035308">
              <w:marLeft w:val="0"/>
              <w:marRight w:val="0"/>
              <w:marTop w:val="0"/>
              <w:marBottom w:val="0"/>
              <w:divBdr>
                <w:top w:val="none" w:sz="0" w:space="0" w:color="auto"/>
                <w:left w:val="none" w:sz="0" w:space="0" w:color="auto"/>
                <w:bottom w:val="none" w:sz="0" w:space="0" w:color="auto"/>
                <w:right w:val="none" w:sz="0" w:space="0" w:color="auto"/>
              </w:divBdr>
              <w:divsChild>
                <w:div w:id="79834981">
                  <w:marLeft w:val="12"/>
                  <w:marRight w:val="12"/>
                  <w:marTop w:val="0"/>
                  <w:marBottom w:val="0"/>
                  <w:divBdr>
                    <w:top w:val="single" w:sz="4" w:space="0" w:color="FFFFFF"/>
                    <w:left w:val="single" w:sz="4" w:space="0" w:color="FFFFFF"/>
                    <w:bottom w:val="single" w:sz="4" w:space="9" w:color="FFFFFF"/>
                    <w:right w:val="single" w:sz="4" w:space="0" w:color="FFFFFF"/>
                  </w:divBdr>
                  <w:divsChild>
                    <w:div w:id="1502351888">
                      <w:marLeft w:val="240"/>
                      <w:marRight w:val="240"/>
                      <w:marTop w:val="240"/>
                      <w:marBottom w:val="0"/>
                      <w:divBdr>
                        <w:top w:val="none" w:sz="0" w:space="0" w:color="auto"/>
                        <w:left w:val="none" w:sz="0" w:space="0" w:color="auto"/>
                        <w:bottom w:val="none" w:sz="0" w:space="0" w:color="auto"/>
                        <w:right w:val="none" w:sz="0" w:space="0" w:color="auto"/>
                      </w:divBdr>
                      <w:divsChild>
                        <w:div w:id="493952121">
                          <w:marLeft w:val="0"/>
                          <w:marRight w:val="0"/>
                          <w:marTop w:val="0"/>
                          <w:marBottom w:val="0"/>
                          <w:divBdr>
                            <w:top w:val="none" w:sz="0" w:space="0" w:color="auto"/>
                            <w:left w:val="none" w:sz="0" w:space="0" w:color="auto"/>
                            <w:bottom w:val="none" w:sz="0" w:space="0" w:color="auto"/>
                            <w:right w:val="none" w:sz="0" w:space="0" w:color="auto"/>
                          </w:divBdr>
                          <w:divsChild>
                            <w:div w:id="1519470367">
                              <w:marLeft w:val="0"/>
                              <w:marRight w:val="0"/>
                              <w:marTop w:val="0"/>
                              <w:marBottom w:val="12"/>
                              <w:divBdr>
                                <w:top w:val="single" w:sz="4" w:space="12" w:color="C8C8C8"/>
                                <w:left w:val="single" w:sz="4" w:space="12" w:color="C8C8C8"/>
                                <w:bottom w:val="single" w:sz="4" w:space="0" w:color="C8C8C8"/>
                                <w:right w:val="single" w:sz="4" w:space="12" w:color="C8C8C8"/>
                              </w:divBdr>
                              <w:divsChild>
                                <w:div w:id="892813475">
                                  <w:marLeft w:val="0"/>
                                  <w:marRight w:val="0"/>
                                  <w:marTop w:val="0"/>
                                  <w:marBottom w:val="0"/>
                                  <w:divBdr>
                                    <w:top w:val="none" w:sz="0" w:space="0" w:color="auto"/>
                                    <w:left w:val="none" w:sz="0" w:space="0" w:color="auto"/>
                                    <w:bottom w:val="none" w:sz="0" w:space="0" w:color="auto"/>
                                    <w:right w:val="none" w:sz="0" w:space="0" w:color="auto"/>
                                  </w:divBdr>
                                  <w:divsChild>
                                    <w:div w:id="962075451">
                                      <w:blockQuote w:val="1"/>
                                      <w:marLeft w:val="240"/>
                                      <w:marRight w:val="0"/>
                                      <w:marTop w:val="240"/>
                                      <w:marBottom w:val="240"/>
                                      <w:divBdr>
                                        <w:top w:val="none" w:sz="0" w:space="0" w:color="auto"/>
                                        <w:left w:val="none" w:sz="0" w:space="0" w:color="auto"/>
                                        <w:bottom w:val="none" w:sz="0" w:space="0" w:color="auto"/>
                                        <w:right w:val="none" w:sz="0" w:space="0" w:color="auto"/>
                                      </w:divBdr>
                                      <w:divsChild>
                                        <w:div w:id="272981871">
                                          <w:blockQuote w:val="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2360">
      <w:bodyDiv w:val="1"/>
      <w:marLeft w:val="0"/>
      <w:marRight w:val="0"/>
      <w:marTop w:val="0"/>
      <w:marBottom w:val="0"/>
      <w:divBdr>
        <w:top w:val="none" w:sz="0" w:space="0" w:color="auto"/>
        <w:left w:val="none" w:sz="0" w:space="0" w:color="auto"/>
        <w:bottom w:val="none" w:sz="0" w:space="0" w:color="auto"/>
        <w:right w:val="none" w:sz="0" w:space="0" w:color="auto"/>
      </w:divBdr>
      <w:divsChild>
        <w:div w:id="929895470">
          <w:marLeft w:val="0"/>
          <w:marRight w:val="0"/>
          <w:marTop w:val="0"/>
          <w:marBottom w:val="0"/>
          <w:divBdr>
            <w:top w:val="none" w:sz="0" w:space="0" w:color="auto"/>
            <w:left w:val="none" w:sz="0" w:space="0" w:color="auto"/>
            <w:bottom w:val="none" w:sz="0" w:space="0" w:color="auto"/>
            <w:right w:val="none" w:sz="0" w:space="0" w:color="auto"/>
          </w:divBdr>
          <w:divsChild>
            <w:div w:id="1535268438">
              <w:marLeft w:val="0"/>
              <w:marRight w:val="0"/>
              <w:marTop w:val="0"/>
              <w:marBottom w:val="0"/>
              <w:divBdr>
                <w:top w:val="none" w:sz="0" w:space="0" w:color="auto"/>
                <w:left w:val="none" w:sz="0" w:space="0" w:color="auto"/>
                <w:bottom w:val="none" w:sz="0" w:space="0" w:color="auto"/>
                <w:right w:val="none" w:sz="0" w:space="0" w:color="auto"/>
              </w:divBdr>
              <w:divsChild>
                <w:div w:id="17506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0878">
      <w:bodyDiv w:val="1"/>
      <w:marLeft w:val="0"/>
      <w:marRight w:val="0"/>
      <w:marTop w:val="0"/>
      <w:marBottom w:val="0"/>
      <w:divBdr>
        <w:top w:val="none" w:sz="0" w:space="0" w:color="auto"/>
        <w:left w:val="none" w:sz="0" w:space="0" w:color="auto"/>
        <w:bottom w:val="none" w:sz="0" w:space="0" w:color="auto"/>
        <w:right w:val="none" w:sz="0" w:space="0" w:color="auto"/>
      </w:divBdr>
      <w:divsChild>
        <w:div w:id="391775481">
          <w:marLeft w:val="0"/>
          <w:marRight w:val="0"/>
          <w:marTop w:val="0"/>
          <w:marBottom w:val="0"/>
          <w:divBdr>
            <w:top w:val="none" w:sz="0" w:space="0" w:color="auto"/>
            <w:left w:val="none" w:sz="0" w:space="0" w:color="auto"/>
            <w:bottom w:val="none" w:sz="0" w:space="0" w:color="auto"/>
            <w:right w:val="none" w:sz="0" w:space="0" w:color="auto"/>
          </w:divBdr>
          <w:divsChild>
            <w:div w:id="588196617">
              <w:marLeft w:val="0"/>
              <w:marRight w:val="0"/>
              <w:marTop w:val="0"/>
              <w:marBottom w:val="0"/>
              <w:divBdr>
                <w:top w:val="none" w:sz="0" w:space="0" w:color="auto"/>
                <w:left w:val="none" w:sz="0" w:space="0" w:color="auto"/>
                <w:bottom w:val="none" w:sz="0" w:space="0" w:color="auto"/>
                <w:right w:val="none" w:sz="0" w:space="0" w:color="auto"/>
              </w:divBdr>
              <w:divsChild>
                <w:div w:id="510412135">
                  <w:marLeft w:val="12"/>
                  <w:marRight w:val="12"/>
                  <w:marTop w:val="0"/>
                  <w:marBottom w:val="0"/>
                  <w:divBdr>
                    <w:top w:val="single" w:sz="4" w:space="0" w:color="FFFFFF"/>
                    <w:left w:val="single" w:sz="4" w:space="0" w:color="FFFFFF"/>
                    <w:bottom w:val="single" w:sz="4" w:space="9" w:color="FFFFFF"/>
                    <w:right w:val="single" w:sz="4" w:space="0" w:color="FFFFFF"/>
                  </w:divBdr>
                  <w:divsChild>
                    <w:div w:id="314771070">
                      <w:marLeft w:val="240"/>
                      <w:marRight w:val="240"/>
                      <w:marTop w:val="240"/>
                      <w:marBottom w:val="0"/>
                      <w:divBdr>
                        <w:top w:val="none" w:sz="0" w:space="0" w:color="auto"/>
                        <w:left w:val="none" w:sz="0" w:space="0" w:color="auto"/>
                        <w:bottom w:val="none" w:sz="0" w:space="0" w:color="auto"/>
                        <w:right w:val="none" w:sz="0" w:space="0" w:color="auto"/>
                      </w:divBdr>
                      <w:divsChild>
                        <w:div w:id="254677681">
                          <w:marLeft w:val="0"/>
                          <w:marRight w:val="0"/>
                          <w:marTop w:val="0"/>
                          <w:marBottom w:val="0"/>
                          <w:divBdr>
                            <w:top w:val="none" w:sz="0" w:space="0" w:color="auto"/>
                            <w:left w:val="none" w:sz="0" w:space="0" w:color="auto"/>
                            <w:bottom w:val="none" w:sz="0" w:space="0" w:color="auto"/>
                            <w:right w:val="none" w:sz="0" w:space="0" w:color="auto"/>
                          </w:divBdr>
                          <w:divsChild>
                            <w:div w:id="1657030174">
                              <w:marLeft w:val="0"/>
                              <w:marRight w:val="0"/>
                              <w:marTop w:val="0"/>
                              <w:marBottom w:val="12"/>
                              <w:divBdr>
                                <w:top w:val="single" w:sz="4" w:space="12" w:color="C8C8C8"/>
                                <w:left w:val="single" w:sz="4" w:space="12" w:color="C8C8C8"/>
                                <w:bottom w:val="single" w:sz="4" w:space="0" w:color="C8C8C8"/>
                                <w:right w:val="single" w:sz="4" w:space="12" w:color="C8C8C8"/>
                              </w:divBdr>
                              <w:divsChild>
                                <w:div w:id="217785249">
                                  <w:marLeft w:val="0"/>
                                  <w:marRight w:val="0"/>
                                  <w:marTop w:val="0"/>
                                  <w:marBottom w:val="0"/>
                                  <w:divBdr>
                                    <w:top w:val="none" w:sz="0" w:space="0" w:color="auto"/>
                                    <w:left w:val="none" w:sz="0" w:space="0" w:color="auto"/>
                                    <w:bottom w:val="none" w:sz="0" w:space="0" w:color="auto"/>
                                    <w:right w:val="none" w:sz="0" w:space="0" w:color="auto"/>
                                  </w:divBdr>
                                  <w:divsChild>
                                    <w:div w:id="1748646136">
                                      <w:blockQuote w:val="1"/>
                                      <w:marLeft w:val="240"/>
                                      <w:marRight w:val="0"/>
                                      <w:marTop w:val="240"/>
                                      <w:marBottom w:val="240"/>
                                      <w:divBdr>
                                        <w:top w:val="none" w:sz="0" w:space="0" w:color="auto"/>
                                        <w:left w:val="none" w:sz="0" w:space="0" w:color="auto"/>
                                        <w:bottom w:val="none" w:sz="0" w:space="0" w:color="auto"/>
                                        <w:right w:val="none" w:sz="0" w:space="0" w:color="auto"/>
                                      </w:divBdr>
                                      <w:divsChild>
                                        <w:div w:id="1354721643">
                                          <w:blockQuote w:val="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54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act.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5F962-57AE-4916-8600-93B27220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TotalTime>
  <Pages>18</Pages>
  <Words>3992</Words>
  <Characters>22762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Committees Report Template</vt:lpstr>
    </vt:vector>
  </TitlesOfParts>
  <Company>OCTAVO</Company>
  <LinksUpToDate>false</LinksUpToDate>
  <CharactersWithSpaces>26701</CharactersWithSpaces>
  <SharedDoc>false</SharedDoc>
  <HLinks>
    <vt:vector size="204" baseType="variant">
      <vt:variant>
        <vt:i4>1048637</vt:i4>
      </vt:variant>
      <vt:variant>
        <vt:i4>158</vt:i4>
      </vt:variant>
      <vt:variant>
        <vt:i4>0</vt:i4>
      </vt:variant>
      <vt:variant>
        <vt:i4>5</vt:i4>
      </vt:variant>
      <vt:variant>
        <vt:lpwstr/>
      </vt:variant>
      <vt:variant>
        <vt:lpwstr>_Toc348338585</vt:lpwstr>
      </vt:variant>
      <vt:variant>
        <vt:i4>1048637</vt:i4>
      </vt:variant>
      <vt:variant>
        <vt:i4>155</vt:i4>
      </vt:variant>
      <vt:variant>
        <vt:i4>0</vt:i4>
      </vt:variant>
      <vt:variant>
        <vt:i4>5</vt:i4>
      </vt:variant>
      <vt:variant>
        <vt:lpwstr/>
      </vt:variant>
      <vt:variant>
        <vt:lpwstr>_Toc348338584</vt:lpwstr>
      </vt:variant>
      <vt:variant>
        <vt:i4>1048637</vt:i4>
      </vt:variant>
      <vt:variant>
        <vt:i4>152</vt:i4>
      </vt:variant>
      <vt:variant>
        <vt:i4>0</vt:i4>
      </vt:variant>
      <vt:variant>
        <vt:i4>5</vt:i4>
      </vt:variant>
      <vt:variant>
        <vt:lpwstr/>
      </vt:variant>
      <vt:variant>
        <vt:lpwstr>_Toc348338583</vt:lpwstr>
      </vt:variant>
      <vt:variant>
        <vt:i4>1048637</vt:i4>
      </vt:variant>
      <vt:variant>
        <vt:i4>149</vt:i4>
      </vt:variant>
      <vt:variant>
        <vt:i4>0</vt:i4>
      </vt:variant>
      <vt:variant>
        <vt:i4>5</vt:i4>
      </vt:variant>
      <vt:variant>
        <vt:lpwstr/>
      </vt:variant>
      <vt:variant>
        <vt:lpwstr>_Toc348338582</vt:lpwstr>
      </vt:variant>
      <vt:variant>
        <vt:i4>1048637</vt:i4>
      </vt:variant>
      <vt:variant>
        <vt:i4>146</vt:i4>
      </vt:variant>
      <vt:variant>
        <vt:i4>0</vt:i4>
      </vt:variant>
      <vt:variant>
        <vt:i4>5</vt:i4>
      </vt:variant>
      <vt:variant>
        <vt:lpwstr/>
      </vt:variant>
      <vt:variant>
        <vt:lpwstr>_Toc348338581</vt:lpwstr>
      </vt:variant>
      <vt:variant>
        <vt:i4>1048637</vt:i4>
      </vt:variant>
      <vt:variant>
        <vt:i4>143</vt:i4>
      </vt:variant>
      <vt:variant>
        <vt:i4>0</vt:i4>
      </vt:variant>
      <vt:variant>
        <vt:i4>5</vt:i4>
      </vt:variant>
      <vt:variant>
        <vt:lpwstr/>
      </vt:variant>
      <vt:variant>
        <vt:lpwstr>_Toc348338580</vt:lpwstr>
      </vt:variant>
      <vt:variant>
        <vt:i4>2031677</vt:i4>
      </vt:variant>
      <vt:variant>
        <vt:i4>140</vt:i4>
      </vt:variant>
      <vt:variant>
        <vt:i4>0</vt:i4>
      </vt:variant>
      <vt:variant>
        <vt:i4>5</vt:i4>
      </vt:variant>
      <vt:variant>
        <vt:lpwstr/>
      </vt:variant>
      <vt:variant>
        <vt:lpwstr>_Toc348338579</vt:lpwstr>
      </vt:variant>
      <vt:variant>
        <vt:i4>2031677</vt:i4>
      </vt:variant>
      <vt:variant>
        <vt:i4>137</vt:i4>
      </vt:variant>
      <vt:variant>
        <vt:i4>0</vt:i4>
      </vt:variant>
      <vt:variant>
        <vt:i4>5</vt:i4>
      </vt:variant>
      <vt:variant>
        <vt:lpwstr/>
      </vt:variant>
      <vt:variant>
        <vt:lpwstr>_Toc348338578</vt:lpwstr>
      </vt:variant>
      <vt:variant>
        <vt:i4>2031677</vt:i4>
      </vt:variant>
      <vt:variant>
        <vt:i4>134</vt:i4>
      </vt:variant>
      <vt:variant>
        <vt:i4>0</vt:i4>
      </vt:variant>
      <vt:variant>
        <vt:i4>5</vt:i4>
      </vt:variant>
      <vt:variant>
        <vt:lpwstr/>
      </vt:variant>
      <vt:variant>
        <vt:lpwstr>_Toc348338577</vt:lpwstr>
      </vt:variant>
      <vt:variant>
        <vt:i4>2031677</vt:i4>
      </vt:variant>
      <vt:variant>
        <vt:i4>131</vt:i4>
      </vt:variant>
      <vt:variant>
        <vt:i4>0</vt:i4>
      </vt:variant>
      <vt:variant>
        <vt:i4>5</vt:i4>
      </vt:variant>
      <vt:variant>
        <vt:lpwstr/>
      </vt:variant>
      <vt:variant>
        <vt:lpwstr>_Toc348338576</vt:lpwstr>
      </vt:variant>
      <vt:variant>
        <vt:i4>2031677</vt:i4>
      </vt:variant>
      <vt:variant>
        <vt:i4>128</vt:i4>
      </vt:variant>
      <vt:variant>
        <vt:i4>0</vt:i4>
      </vt:variant>
      <vt:variant>
        <vt:i4>5</vt:i4>
      </vt:variant>
      <vt:variant>
        <vt:lpwstr/>
      </vt:variant>
      <vt:variant>
        <vt:lpwstr>_Toc348338575</vt:lpwstr>
      </vt:variant>
      <vt:variant>
        <vt:i4>2031677</vt:i4>
      </vt:variant>
      <vt:variant>
        <vt:i4>125</vt:i4>
      </vt:variant>
      <vt:variant>
        <vt:i4>0</vt:i4>
      </vt:variant>
      <vt:variant>
        <vt:i4>5</vt:i4>
      </vt:variant>
      <vt:variant>
        <vt:lpwstr/>
      </vt:variant>
      <vt:variant>
        <vt:lpwstr>_Toc348338574</vt:lpwstr>
      </vt:variant>
      <vt:variant>
        <vt:i4>2031677</vt:i4>
      </vt:variant>
      <vt:variant>
        <vt:i4>122</vt:i4>
      </vt:variant>
      <vt:variant>
        <vt:i4>0</vt:i4>
      </vt:variant>
      <vt:variant>
        <vt:i4>5</vt:i4>
      </vt:variant>
      <vt:variant>
        <vt:lpwstr/>
      </vt:variant>
      <vt:variant>
        <vt:lpwstr>_Toc348338573</vt:lpwstr>
      </vt:variant>
      <vt:variant>
        <vt:i4>2031677</vt:i4>
      </vt:variant>
      <vt:variant>
        <vt:i4>119</vt:i4>
      </vt:variant>
      <vt:variant>
        <vt:i4>0</vt:i4>
      </vt:variant>
      <vt:variant>
        <vt:i4>5</vt:i4>
      </vt:variant>
      <vt:variant>
        <vt:lpwstr/>
      </vt:variant>
      <vt:variant>
        <vt:lpwstr>_Toc348338572</vt:lpwstr>
      </vt:variant>
      <vt:variant>
        <vt:i4>2031677</vt:i4>
      </vt:variant>
      <vt:variant>
        <vt:i4>110</vt:i4>
      </vt:variant>
      <vt:variant>
        <vt:i4>0</vt:i4>
      </vt:variant>
      <vt:variant>
        <vt:i4>5</vt:i4>
      </vt:variant>
      <vt:variant>
        <vt:lpwstr/>
      </vt:variant>
      <vt:variant>
        <vt:lpwstr>_Toc348338571</vt:lpwstr>
      </vt:variant>
      <vt:variant>
        <vt:i4>2031677</vt:i4>
      </vt:variant>
      <vt:variant>
        <vt:i4>104</vt:i4>
      </vt:variant>
      <vt:variant>
        <vt:i4>0</vt:i4>
      </vt:variant>
      <vt:variant>
        <vt:i4>5</vt:i4>
      </vt:variant>
      <vt:variant>
        <vt:lpwstr/>
      </vt:variant>
      <vt:variant>
        <vt:lpwstr>_Toc348338570</vt:lpwstr>
      </vt:variant>
      <vt:variant>
        <vt:i4>1966141</vt:i4>
      </vt:variant>
      <vt:variant>
        <vt:i4>98</vt:i4>
      </vt:variant>
      <vt:variant>
        <vt:i4>0</vt:i4>
      </vt:variant>
      <vt:variant>
        <vt:i4>5</vt:i4>
      </vt:variant>
      <vt:variant>
        <vt:lpwstr/>
      </vt:variant>
      <vt:variant>
        <vt:lpwstr>_Toc348338569</vt:lpwstr>
      </vt:variant>
      <vt:variant>
        <vt:i4>1966141</vt:i4>
      </vt:variant>
      <vt:variant>
        <vt:i4>92</vt:i4>
      </vt:variant>
      <vt:variant>
        <vt:i4>0</vt:i4>
      </vt:variant>
      <vt:variant>
        <vt:i4>5</vt:i4>
      </vt:variant>
      <vt:variant>
        <vt:lpwstr/>
      </vt:variant>
      <vt:variant>
        <vt:lpwstr>_Toc348338568</vt:lpwstr>
      </vt:variant>
      <vt:variant>
        <vt:i4>1966141</vt:i4>
      </vt:variant>
      <vt:variant>
        <vt:i4>86</vt:i4>
      </vt:variant>
      <vt:variant>
        <vt:i4>0</vt:i4>
      </vt:variant>
      <vt:variant>
        <vt:i4>5</vt:i4>
      </vt:variant>
      <vt:variant>
        <vt:lpwstr/>
      </vt:variant>
      <vt:variant>
        <vt:lpwstr>_Toc348338567</vt:lpwstr>
      </vt:variant>
      <vt:variant>
        <vt:i4>1966141</vt:i4>
      </vt:variant>
      <vt:variant>
        <vt:i4>80</vt:i4>
      </vt:variant>
      <vt:variant>
        <vt:i4>0</vt:i4>
      </vt:variant>
      <vt:variant>
        <vt:i4>5</vt:i4>
      </vt:variant>
      <vt:variant>
        <vt:lpwstr/>
      </vt:variant>
      <vt:variant>
        <vt:lpwstr>_Toc348338566</vt:lpwstr>
      </vt:variant>
      <vt:variant>
        <vt:i4>1966141</vt:i4>
      </vt:variant>
      <vt:variant>
        <vt:i4>74</vt:i4>
      </vt:variant>
      <vt:variant>
        <vt:i4>0</vt:i4>
      </vt:variant>
      <vt:variant>
        <vt:i4>5</vt:i4>
      </vt:variant>
      <vt:variant>
        <vt:lpwstr/>
      </vt:variant>
      <vt:variant>
        <vt:lpwstr>_Toc348338565</vt:lpwstr>
      </vt:variant>
      <vt:variant>
        <vt:i4>1966141</vt:i4>
      </vt:variant>
      <vt:variant>
        <vt:i4>68</vt:i4>
      </vt:variant>
      <vt:variant>
        <vt:i4>0</vt:i4>
      </vt:variant>
      <vt:variant>
        <vt:i4>5</vt:i4>
      </vt:variant>
      <vt:variant>
        <vt:lpwstr/>
      </vt:variant>
      <vt:variant>
        <vt:lpwstr>_Toc348338564</vt:lpwstr>
      </vt:variant>
      <vt:variant>
        <vt:i4>1966141</vt:i4>
      </vt:variant>
      <vt:variant>
        <vt:i4>62</vt:i4>
      </vt:variant>
      <vt:variant>
        <vt:i4>0</vt:i4>
      </vt:variant>
      <vt:variant>
        <vt:i4>5</vt:i4>
      </vt:variant>
      <vt:variant>
        <vt:lpwstr/>
      </vt:variant>
      <vt:variant>
        <vt:lpwstr>_Toc348338563</vt:lpwstr>
      </vt:variant>
      <vt:variant>
        <vt:i4>1966141</vt:i4>
      </vt:variant>
      <vt:variant>
        <vt:i4>56</vt:i4>
      </vt:variant>
      <vt:variant>
        <vt:i4>0</vt:i4>
      </vt:variant>
      <vt:variant>
        <vt:i4>5</vt:i4>
      </vt:variant>
      <vt:variant>
        <vt:lpwstr/>
      </vt:variant>
      <vt:variant>
        <vt:lpwstr>_Toc348338562</vt:lpwstr>
      </vt:variant>
      <vt:variant>
        <vt:i4>1966141</vt:i4>
      </vt:variant>
      <vt:variant>
        <vt:i4>50</vt:i4>
      </vt:variant>
      <vt:variant>
        <vt:i4>0</vt:i4>
      </vt:variant>
      <vt:variant>
        <vt:i4>5</vt:i4>
      </vt:variant>
      <vt:variant>
        <vt:lpwstr/>
      </vt:variant>
      <vt:variant>
        <vt:lpwstr>_Toc348338561</vt:lpwstr>
      </vt:variant>
      <vt:variant>
        <vt:i4>1966141</vt:i4>
      </vt:variant>
      <vt:variant>
        <vt:i4>44</vt:i4>
      </vt:variant>
      <vt:variant>
        <vt:i4>0</vt:i4>
      </vt:variant>
      <vt:variant>
        <vt:i4>5</vt:i4>
      </vt:variant>
      <vt:variant>
        <vt:lpwstr/>
      </vt:variant>
      <vt:variant>
        <vt:lpwstr>_Toc348338560</vt:lpwstr>
      </vt:variant>
      <vt:variant>
        <vt:i4>1900605</vt:i4>
      </vt:variant>
      <vt:variant>
        <vt:i4>38</vt:i4>
      </vt:variant>
      <vt:variant>
        <vt:i4>0</vt:i4>
      </vt:variant>
      <vt:variant>
        <vt:i4>5</vt:i4>
      </vt:variant>
      <vt:variant>
        <vt:lpwstr/>
      </vt:variant>
      <vt:variant>
        <vt:lpwstr>_Toc348338559</vt:lpwstr>
      </vt:variant>
      <vt:variant>
        <vt:i4>1900605</vt:i4>
      </vt:variant>
      <vt:variant>
        <vt:i4>32</vt:i4>
      </vt:variant>
      <vt:variant>
        <vt:i4>0</vt:i4>
      </vt:variant>
      <vt:variant>
        <vt:i4>5</vt:i4>
      </vt:variant>
      <vt:variant>
        <vt:lpwstr/>
      </vt:variant>
      <vt:variant>
        <vt:lpwstr>_Toc348338558</vt:lpwstr>
      </vt:variant>
      <vt:variant>
        <vt:i4>1900605</vt:i4>
      </vt:variant>
      <vt:variant>
        <vt:i4>26</vt:i4>
      </vt:variant>
      <vt:variant>
        <vt:i4>0</vt:i4>
      </vt:variant>
      <vt:variant>
        <vt:i4>5</vt:i4>
      </vt:variant>
      <vt:variant>
        <vt:lpwstr/>
      </vt:variant>
      <vt:variant>
        <vt:lpwstr>_Toc348338557</vt:lpwstr>
      </vt:variant>
      <vt:variant>
        <vt:i4>1900605</vt:i4>
      </vt:variant>
      <vt:variant>
        <vt:i4>20</vt:i4>
      </vt:variant>
      <vt:variant>
        <vt:i4>0</vt:i4>
      </vt:variant>
      <vt:variant>
        <vt:i4>5</vt:i4>
      </vt:variant>
      <vt:variant>
        <vt:lpwstr/>
      </vt:variant>
      <vt:variant>
        <vt:lpwstr>_Toc348338556</vt:lpwstr>
      </vt:variant>
      <vt:variant>
        <vt:i4>1900605</vt:i4>
      </vt:variant>
      <vt:variant>
        <vt:i4>14</vt:i4>
      </vt:variant>
      <vt:variant>
        <vt:i4>0</vt:i4>
      </vt:variant>
      <vt:variant>
        <vt:i4>5</vt:i4>
      </vt:variant>
      <vt:variant>
        <vt:lpwstr/>
      </vt:variant>
      <vt:variant>
        <vt:lpwstr>_Toc348338555</vt:lpwstr>
      </vt:variant>
      <vt:variant>
        <vt:i4>1900605</vt:i4>
      </vt:variant>
      <vt:variant>
        <vt:i4>8</vt:i4>
      </vt:variant>
      <vt:variant>
        <vt:i4>0</vt:i4>
      </vt:variant>
      <vt:variant>
        <vt:i4>5</vt:i4>
      </vt:variant>
      <vt:variant>
        <vt:lpwstr/>
      </vt:variant>
      <vt:variant>
        <vt:lpwstr>_Toc348338554</vt:lpwstr>
      </vt:variant>
      <vt:variant>
        <vt:i4>1310792</vt:i4>
      </vt:variant>
      <vt:variant>
        <vt:i4>3</vt:i4>
      </vt:variant>
      <vt:variant>
        <vt:i4>0</vt:i4>
      </vt:variant>
      <vt:variant>
        <vt:i4>5</vt:i4>
      </vt:variant>
      <vt:variant>
        <vt:lpwstr>http://www.parliament.act.gov.au/</vt:lpwstr>
      </vt:variant>
      <vt:variant>
        <vt:lpwstr/>
      </vt:variant>
      <vt:variant>
        <vt:i4>4980832</vt:i4>
      </vt:variant>
      <vt:variant>
        <vt:i4>0</vt:i4>
      </vt:variant>
      <vt:variant>
        <vt:i4>0</vt:i4>
      </vt:variant>
      <vt:variant>
        <vt:i4>5</vt:i4>
      </vt:variant>
      <vt:variant>
        <vt:lpwstr>mailto:committees@parliament.act.gov.au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Committees Report Template</dc:title>
  <dc:creator>matthew ghirardello</dc:creator>
  <dc:description>Template version 11 - 7 February  2013</dc:description>
  <cp:lastModifiedBy>Celeste Italiano</cp:lastModifiedBy>
  <cp:revision>47</cp:revision>
  <cp:lastPrinted>2014-09-24T04:54:00Z</cp:lastPrinted>
  <dcterms:created xsi:type="dcterms:W3CDTF">2014-06-26T23:51:00Z</dcterms:created>
  <dcterms:modified xsi:type="dcterms:W3CDTF">2014-09-24T04:54:00Z</dcterms:modified>
</cp:coreProperties>
</file>