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E284F" w14:textId="4888A7EB" w:rsidR="008D27AA" w:rsidRPr="00DE4306" w:rsidRDefault="008D27AA" w:rsidP="003601F1">
      <w:pPr>
        <w:jc w:val="center"/>
        <w:rPr>
          <w:b/>
          <w:bCs/>
        </w:rPr>
      </w:pPr>
      <w:r w:rsidRPr="00DE4306">
        <w:rPr>
          <w:b/>
          <w:bCs/>
        </w:rPr>
        <w:t>2024</w:t>
      </w:r>
    </w:p>
    <w:p w14:paraId="0E288F79" w14:textId="77777777" w:rsidR="008D27AA" w:rsidRPr="00DE4306" w:rsidRDefault="008D27AA" w:rsidP="003601F1">
      <w:pPr>
        <w:jc w:val="center"/>
        <w:rPr>
          <w:b/>
          <w:bCs/>
        </w:rPr>
      </w:pPr>
    </w:p>
    <w:p w14:paraId="4A3D31C7" w14:textId="1D6600C9" w:rsidR="008D27AA" w:rsidRPr="00DE4306" w:rsidRDefault="008D27AA" w:rsidP="003601F1">
      <w:pPr>
        <w:jc w:val="center"/>
        <w:rPr>
          <w:b/>
          <w:bCs/>
        </w:rPr>
      </w:pPr>
      <w:r w:rsidRPr="00DE4306">
        <w:rPr>
          <w:b/>
          <w:bCs/>
        </w:rPr>
        <w:t>LEGISTLATIVE ASSEMBLY FOR THE AUSTRALIAN CAPITAL TERRITORY</w:t>
      </w:r>
    </w:p>
    <w:p w14:paraId="01096EBA" w14:textId="77777777" w:rsidR="00C64C66" w:rsidRPr="00DE4306" w:rsidRDefault="00C64C66" w:rsidP="003601F1">
      <w:pPr>
        <w:jc w:val="center"/>
        <w:rPr>
          <w:b/>
          <w:bCs/>
        </w:rPr>
      </w:pPr>
    </w:p>
    <w:p w14:paraId="36473E8B" w14:textId="77777777" w:rsidR="00CC6257" w:rsidRPr="00DE4306" w:rsidRDefault="00CC6257" w:rsidP="003601F1">
      <w:pPr>
        <w:jc w:val="center"/>
        <w:rPr>
          <w:b/>
          <w:bCs/>
        </w:rPr>
      </w:pPr>
    </w:p>
    <w:p w14:paraId="4DD5DC07" w14:textId="77777777" w:rsidR="00BB5627" w:rsidRPr="00DE4306" w:rsidRDefault="00BB5627" w:rsidP="003601F1">
      <w:pPr>
        <w:jc w:val="center"/>
        <w:rPr>
          <w:b/>
          <w:bCs/>
        </w:rPr>
      </w:pPr>
    </w:p>
    <w:p w14:paraId="23E6C82C" w14:textId="77777777" w:rsidR="00BB5627" w:rsidRPr="00DE4306" w:rsidRDefault="00BB5627" w:rsidP="003601F1">
      <w:pPr>
        <w:jc w:val="center"/>
        <w:rPr>
          <w:b/>
          <w:bCs/>
        </w:rPr>
      </w:pPr>
    </w:p>
    <w:p w14:paraId="1A796C62" w14:textId="77777777" w:rsidR="00BB5627" w:rsidRPr="00DE4306" w:rsidRDefault="00BB5627" w:rsidP="003601F1">
      <w:pPr>
        <w:jc w:val="center"/>
        <w:rPr>
          <w:b/>
          <w:bCs/>
        </w:rPr>
      </w:pPr>
    </w:p>
    <w:p w14:paraId="088A1790" w14:textId="26B83CCA" w:rsidR="00A31984" w:rsidRPr="00DE4306" w:rsidRDefault="003601F1" w:rsidP="003601F1">
      <w:pPr>
        <w:jc w:val="center"/>
        <w:rPr>
          <w:b/>
          <w:bCs/>
        </w:rPr>
      </w:pPr>
      <w:r w:rsidRPr="00DE4306">
        <w:rPr>
          <w:b/>
          <w:bCs/>
        </w:rPr>
        <w:t>EXPLANATORY STATEMENT</w:t>
      </w:r>
      <w:r w:rsidR="00C64C66" w:rsidRPr="00DE4306">
        <w:rPr>
          <w:b/>
          <w:bCs/>
        </w:rPr>
        <w:t xml:space="preserve"> OF AMENDMENTS</w:t>
      </w:r>
    </w:p>
    <w:p w14:paraId="55D238EF" w14:textId="5796235F" w:rsidR="003601F1" w:rsidRPr="00DE4306" w:rsidRDefault="009B5EDA" w:rsidP="003601F1">
      <w:pPr>
        <w:jc w:val="center"/>
        <w:rPr>
          <w:b/>
          <w:bCs/>
        </w:rPr>
      </w:pPr>
      <w:r>
        <w:rPr>
          <w:b/>
          <w:bCs/>
        </w:rPr>
        <w:t>GAMING MACHINE</w:t>
      </w:r>
      <w:r w:rsidR="003601F1" w:rsidRPr="00DE4306">
        <w:rPr>
          <w:b/>
          <w:bCs/>
        </w:rPr>
        <w:t xml:space="preserve"> (</w:t>
      </w:r>
      <w:r>
        <w:rPr>
          <w:b/>
          <w:bCs/>
        </w:rPr>
        <w:t>COMPULSORY SURRENDER</w:t>
      </w:r>
      <w:r w:rsidR="003601F1" w:rsidRPr="00DE4306">
        <w:rPr>
          <w:b/>
          <w:bCs/>
        </w:rPr>
        <w:t xml:space="preserve">) AMENDMENT BILL </w:t>
      </w:r>
      <w:r w:rsidR="0012285C" w:rsidRPr="00DE4306">
        <w:rPr>
          <w:b/>
          <w:bCs/>
        </w:rPr>
        <w:t>202</w:t>
      </w:r>
      <w:r>
        <w:rPr>
          <w:b/>
          <w:bCs/>
        </w:rPr>
        <w:t>4</w:t>
      </w:r>
    </w:p>
    <w:p w14:paraId="230EAF2B" w14:textId="18E8081C" w:rsidR="0012285C" w:rsidRDefault="0012285C" w:rsidP="70F3BDEA">
      <w:pPr>
        <w:jc w:val="center"/>
        <w:rPr>
          <w:b/>
          <w:bCs/>
        </w:rPr>
      </w:pPr>
      <w:r w:rsidRPr="00E03DBB">
        <w:rPr>
          <w:b/>
          <w:bCs/>
        </w:rPr>
        <w:t>AMENDMENTS TO BE MOVED BY ANDREW BRADDOCK</w:t>
      </w:r>
      <w:r w:rsidR="00DA1B7B" w:rsidRPr="00E03DBB">
        <w:rPr>
          <w:b/>
          <w:bCs/>
        </w:rPr>
        <w:t xml:space="preserve"> </w:t>
      </w:r>
    </w:p>
    <w:p w14:paraId="6FC2AEB2" w14:textId="77777777" w:rsidR="00CC6257" w:rsidRDefault="00CC6257" w:rsidP="0012285C"/>
    <w:p w14:paraId="093EF77D" w14:textId="77777777" w:rsidR="00BB5627" w:rsidRDefault="00BB5627" w:rsidP="0012285C"/>
    <w:p w14:paraId="29C3E39A" w14:textId="77777777" w:rsidR="00BB5627" w:rsidRDefault="00BB5627" w:rsidP="0012285C"/>
    <w:p w14:paraId="0F8E69F1" w14:textId="77777777" w:rsidR="00BB5627" w:rsidRDefault="00BB5627" w:rsidP="0012285C"/>
    <w:p w14:paraId="38B8D7AF" w14:textId="7EE4C6A7" w:rsidR="0012285C" w:rsidRDefault="008F7A42" w:rsidP="0012285C">
      <w:r>
        <w:t xml:space="preserve">This explanatory statement related to amendments </w:t>
      </w:r>
      <w:r w:rsidR="00F0075D">
        <w:t xml:space="preserve">(the Amendments) </w:t>
      </w:r>
      <w:r>
        <w:t xml:space="preserve">to the </w:t>
      </w:r>
      <w:r w:rsidR="00CC2CB4">
        <w:t>Gaming Machine</w:t>
      </w:r>
      <w:r>
        <w:t xml:space="preserve"> (</w:t>
      </w:r>
      <w:r w:rsidR="00BC71B3">
        <w:t>Compulsory Surrender</w:t>
      </w:r>
      <w:r>
        <w:t>) Amendment Bill 202</w:t>
      </w:r>
      <w:r w:rsidR="00BC71B3">
        <w:t>4</w:t>
      </w:r>
      <w:r w:rsidR="00B81254">
        <w:t xml:space="preserve"> (the Bill) presented to the Legislative Assembly for the Australian Capital Territory (ACT)</w:t>
      </w:r>
      <w:r w:rsidR="004F67CF">
        <w:t xml:space="preserve"> to amend the </w:t>
      </w:r>
      <w:r w:rsidR="00BC71B3">
        <w:t>Gaming Machine</w:t>
      </w:r>
      <w:r w:rsidR="004F67CF">
        <w:t xml:space="preserve"> Act 2004 (the Act)</w:t>
      </w:r>
      <w:r w:rsidR="00B81254">
        <w:t xml:space="preserve">.  It has been prepared in order to assist the reader of the </w:t>
      </w:r>
      <w:r w:rsidR="009B5EDA">
        <w:t>Amendments</w:t>
      </w:r>
      <w:r w:rsidR="00B81254">
        <w:t xml:space="preserve"> and to help inform debate on it</w:t>
      </w:r>
      <w:r w:rsidR="00CC6257">
        <w:t xml:space="preserve">.  It does not form a part of the bill </w:t>
      </w:r>
      <w:r w:rsidR="009B5EDA">
        <w:t xml:space="preserve">nor amendments </w:t>
      </w:r>
      <w:r w:rsidR="00CC6257">
        <w:t>and has not been endorsed by the assembly.</w:t>
      </w:r>
    </w:p>
    <w:p w14:paraId="4B4333F3" w14:textId="29161A73" w:rsidR="00BB5627" w:rsidRDefault="00BB5627" w:rsidP="0012285C"/>
    <w:p w14:paraId="60C8E31A" w14:textId="77777777" w:rsidR="000F560A" w:rsidRDefault="000F560A" w:rsidP="0012285C"/>
    <w:p w14:paraId="18EC2845" w14:textId="77777777" w:rsidR="000F560A" w:rsidRDefault="000F560A" w:rsidP="0012285C"/>
    <w:p w14:paraId="7B8AD680" w14:textId="77777777" w:rsidR="00BB5627" w:rsidRDefault="00BB5627" w:rsidP="0012285C"/>
    <w:p w14:paraId="106D49F8" w14:textId="77777777" w:rsidR="004A5F57" w:rsidRDefault="004A5F57" w:rsidP="00CC6257">
      <w:pPr>
        <w:jc w:val="right"/>
      </w:pPr>
    </w:p>
    <w:p w14:paraId="75CF342D" w14:textId="5D7B4F65" w:rsidR="004A5F57" w:rsidRDefault="00CC6257" w:rsidP="004A5F57">
      <w:pPr>
        <w:jc w:val="right"/>
      </w:pPr>
      <w:r>
        <w:t>Signed:</w:t>
      </w:r>
      <w:r w:rsidR="004A5F57">
        <w:t xml:space="preserve"> </w:t>
      </w:r>
      <w:r w:rsidR="00BB5627">
        <w:t>___________</w:t>
      </w:r>
      <w:r w:rsidR="004A5F57">
        <w:t>______________________</w:t>
      </w:r>
    </w:p>
    <w:p w14:paraId="23C6D648" w14:textId="7933B5BC" w:rsidR="004A5F57" w:rsidRDefault="004A5F57" w:rsidP="6958D4C2">
      <w:pPr>
        <w:jc w:val="right"/>
        <w:rPr>
          <w:highlight w:val="yellow"/>
        </w:rPr>
      </w:pPr>
      <w:r w:rsidRPr="00E03DBB">
        <w:t>Andrew Braddock</w:t>
      </w:r>
      <w:r w:rsidRPr="6958D4C2">
        <w:rPr>
          <w:highlight w:val="yellow"/>
        </w:rPr>
        <w:t xml:space="preserve"> </w:t>
      </w:r>
    </w:p>
    <w:p w14:paraId="018A6BA6" w14:textId="2CC03FCE" w:rsidR="004A5F57" w:rsidRDefault="004A5F57" w:rsidP="004A5F57">
      <w:pPr>
        <w:jc w:val="right"/>
      </w:pPr>
      <w:r>
        <w:t xml:space="preserve">____  </w:t>
      </w:r>
      <w:r w:rsidR="00E03DBB">
        <w:t>August</w:t>
      </w:r>
      <w:r>
        <w:t xml:space="preserve"> 2024</w:t>
      </w:r>
    </w:p>
    <w:p w14:paraId="7B78D315" w14:textId="1853EB5B" w:rsidR="00BB5627" w:rsidRDefault="00BB5627">
      <w:r>
        <w:br w:type="page"/>
      </w:r>
    </w:p>
    <w:p w14:paraId="2A7DEFDD" w14:textId="7F1219F2" w:rsidR="0AD5FE66" w:rsidRDefault="0AD5FE66" w:rsidP="3AEDB3BA">
      <w:pPr>
        <w:spacing w:after="120"/>
        <w:rPr>
          <w:rFonts w:ascii="Calibri" w:eastAsia="Calibri" w:hAnsi="Calibri" w:cs="Calibri"/>
        </w:rPr>
      </w:pPr>
      <w:r w:rsidRPr="3AEDB3BA">
        <w:rPr>
          <w:rFonts w:ascii="Calibri" w:eastAsia="Calibri" w:hAnsi="Calibri" w:cs="Calibri"/>
          <w:b/>
          <w:bCs/>
        </w:rPr>
        <w:lastRenderedPageBreak/>
        <w:t>Overview of the Amendments</w:t>
      </w:r>
      <w:r w:rsidRPr="3AEDB3BA">
        <w:rPr>
          <w:rFonts w:ascii="Calibri" w:eastAsia="Calibri" w:hAnsi="Calibri" w:cs="Calibri"/>
        </w:rPr>
        <w:t xml:space="preserve"> </w:t>
      </w:r>
    </w:p>
    <w:p w14:paraId="50875D7A" w14:textId="21E51449" w:rsidR="0AD5FE66" w:rsidRDefault="0AD5FE66" w:rsidP="6958D4C2">
      <w:pPr>
        <w:spacing w:after="120"/>
        <w:rPr>
          <w:rFonts w:ascii="Calibri" w:eastAsia="Calibri" w:hAnsi="Calibri" w:cs="Calibri"/>
        </w:rPr>
      </w:pPr>
      <w:r w:rsidRPr="3AEDB3BA">
        <w:rPr>
          <w:rFonts w:ascii="Calibri" w:eastAsia="Calibri" w:hAnsi="Calibri" w:cs="Calibri"/>
        </w:rPr>
        <w:t>These amendments introduce best-practice, evidence-based gambling harm protections to electronic gaming machines (EGMs) - also called “poker machines</w:t>
      </w:r>
      <w:r w:rsidR="6A9A9600" w:rsidRPr="3AEDB3BA">
        <w:rPr>
          <w:rFonts w:ascii="Calibri" w:eastAsia="Calibri" w:hAnsi="Calibri" w:cs="Calibri"/>
        </w:rPr>
        <w:t>”</w:t>
      </w:r>
      <w:r w:rsidRPr="3AEDB3BA">
        <w:rPr>
          <w:rFonts w:ascii="Calibri" w:eastAsia="Calibri" w:hAnsi="Calibri" w:cs="Calibri"/>
        </w:rPr>
        <w:t xml:space="preserve"> - in the ACT. Gambling on EGMs causes significant harm in the community. People in the ACT lose approximately $180M annually on ACT EGMs. The harm from these losses includes financial, health, and relationship problems. </w:t>
      </w:r>
      <w:r w:rsidR="005C6550">
        <w:rPr>
          <w:rFonts w:ascii="Calibri" w:eastAsia="Calibri" w:hAnsi="Calibri" w:cs="Calibri"/>
        </w:rPr>
        <w:t>T</w:t>
      </w:r>
      <w:r w:rsidRPr="3AEDB3BA">
        <w:rPr>
          <w:rFonts w:ascii="Calibri" w:eastAsia="Calibri" w:hAnsi="Calibri" w:cs="Calibri"/>
        </w:rPr>
        <w:t>he harm also extends beyond the individual and to the wider community. For every person whose behaviour is classified on the Problem Gambling Severity Index as “problem gambling”, six other people are negatively affected.</w:t>
      </w:r>
      <w:r w:rsidR="00F105CD">
        <w:rPr>
          <w:rStyle w:val="FootnoteReference"/>
          <w:rFonts w:ascii="Calibri" w:eastAsia="Calibri" w:hAnsi="Calibri" w:cs="Calibri"/>
        </w:rPr>
        <w:footnoteReference w:id="2"/>
      </w:r>
      <w:r w:rsidRPr="3AEDB3BA">
        <w:rPr>
          <w:rFonts w:ascii="Calibri" w:eastAsia="Calibri" w:hAnsi="Calibri" w:cs="Calibri"/>
        </w:rPr>
        <w:t xml:space="preserve">  </w:t>
      </w:r>
    </w:p>
    <w:p w14:paraId="0778CDC7" w14:textId="222AF407" w:rsidR="0AD5FE66" w:rsidRDefault="0AD5FE66" w:rsidP="3AEDB3BA">
      <w:pPr>
        <w:spacing w:after="120"/>
        <w:rPr>
          <w:rFonts w:ascii="Calibri" w:eastAsia="Calibri" w:hAnsi="Calibri" w:cs="Calibri"/>
        </w:rPr>
      </w:pPr>
      <w:r w:rsidRPr="3AEDB3BA">
        <w:rPr>
          <w:rFonts w:ascii="Calibri" w:eastAsia="Calibri" w:hAnsi="Calibri" w:cs="Calibri"/>
        </w:rPr>
        <w:t xml:space="preserve">The measures proposed in this amendment will ensure that the ACT community is much better protected from the significant harms caused by gambling from EGMs. The measures introduced by the amendments are:  </w:t>
      </w:r>
    </w:p>
    <w:p w14:paraId="598230E1" w14:textId="741AD0EF" w:rsidR="0AD5FE66" w:rsidRDefault="0AD5FE66" w:rsidP="00134884">
      <w:pPr>
        <w:numPr>
          <w:ilvl w:val="0"/>
          <w:numId w:val="8"/>
        </w:numPr>
        <w:spacing w:after="0"/>
        <w:rPr>
          <w:rFonts w:ascii="Calibri" w:eastAsia="Calibri" w:hAnsi="Calibri" w:cs="Calibri"/>
        </w:rPr>
      </w:pPr>
      <w:r w:rsidRPr="3AEDB3BA">
        <w:rPr>
          <w:rFonts w:ascii="Calibri" w:eastAsia="Calibri" w:hAnsi="Calibri" w:cs="Calibri"/>
        </w:rPr>
        <w:t>Universal account-based gambling, requiring anyone gambling on EGMs in the ACT to use an individual</w:t>
      </w:r>
      <w:r w:rsidR="383257F5" w:rsidRPr="3AEDB3BA">
        <w:rPr>
          <w:rFonts w:ascii="Calibri" w:eastAsia="Calibri" w:hAnsi="Calibri" w:cs="Calibri"/>
        </w:rPr>
        <w:t xml:space="preserve"> player card </w:t>
      </w:r>
      <w:r w:rsidR="6579E8E2" w:rsidRPr="3AEDB3BA">
        <w:rPr>
          <w:rFonts w:ascii="Calibri" w:eastAsia="Calibri" w:hAnsi="Calibri" w:cs="Calibri"/>
        </w:rPr>
        <w:t xml:space="preserve">that will support </w:t>
      </w:r>
      <w:r w:rsidR="7739FD46" w:rsidRPr="3AEDB3BA">
        <w:rPr>
          <w:rFonts w:ascii="Calibri" w:eastAsia="Calibri" w:hAnsi="Calibri" w:cs="Calibri"/>
        </w:rPr>
        <w:t xml:space="preserve">cashless, </w:t>
      </w:r>
      <w:r w:rsidR="6579E8E2" w:rsidRPr="3AEDB3BA">
        <w:rPr>
          <w:rFonts w:ascii="Calibri" w:eastAsia="Calibri" w:hAnsi="Calibri" w:cs="Calibri"/>
        </w:rPr>
        <w:t xml:space="preserve">account based gaming. </w:t>
      </w:r>
    </w:p>
    <w:p w14:paraId="3E02CFDA" w14:textId="2EAD2138" w:rsidR="0AD5FE66" w:rsidRDefault="0AD5FE66" w:rsidP="00134884">
      <w:pPr>
        <w:numPr>
          <w:ilvl w:val="0"/>
          <w:numId w:val="8"/>
        </w:numPr>
        <w:spacing w:after="0"/>
        <w:rPr>
          <w:rFonts w:ascii="Calibri" w:eastAsia="Calibri" w:hAnsi="Calibri" w:cs="Calibri"/>
        </w:rPr>
      </w:pPr>
      <w:r w:rsidRPr="3AEDB3BA">
        <w:rPr>
          <w:rFonts w:ascii="Calibri" w:eastAsia="Calibri" w:hAnsi="Calibri" w:cs="Calibri"/>
        </w:rPr>
        <w:t xml:space="preserve">Binding precommitments with default loss limits </w:t>
      </w:r>
      <w:r w:rsidR="4AF42DF3" w:rsidRPr="3AEDB3BA">
        <w:rPr>
          <w:rFonts w:ascii="Calibri" w:eastAsia="Calibri" w:hAnsi="Calibri" w:cs="Calibri"/>
        </w:rPr>
        <w:t xml:space="preserve">(“net loss amount”) </w:t>
      </w:r>
      <w:r w:rsidRPr="3AEDB3BA">
        <w:rPr>
          <w:rFonts w:ascii="Calibri" w:eastAsia="Calibri" w:hAnsi="Calibri" w:cs="Calibri"/>
        </w:rPr>
        <w:t xml:space="preserve">and time limits for all gamblers (managed through the </w:t>
      </w:r>
      <w:r w:rsidR="13ECB23B" w:rsidRPr="3AEDB3BA">
        <w:rPr>
          <w:rFonts w:ascii="Calibri" w:eastAsia="Calibri" w:hAnsi="Calibri" w:cs="Calibri"/>
        </w:rPr>
        <w:t xml:space="preserve">card and </w:t>
      </w:r>
      <w:r w:rsidR="51D1F4AA" w:rsidRPr="3AEDB3BA">
        <w:rPr>
          <w:rFonts w:ascii="Calibri" w:eastAsia="Calibri" w:hAnsi="Calibri" w:cs="Calibri"/>
        </w:rPr>
        <w:t xml:space="preserve">an </w:t>
      </w:r>
      <w:r w:rsidRPr="3AEDB3BA">
        <w:rPr>
          <w:rFonts w:ascii="Calibri" w:eastAsia="Calibri" w:hAnsi="Calibri" w:cs="Calibri"/>
        </w:rPr>
        <w:t>account). This requires limits to be set on how much money a person can lose on EGMs in the Territory in certain periods of time</w:t>
      </w:r>
      <w:r w:rsidR="199E5FC1" w:rsidRPr="3AEDB3BA">
        <w:rPr>
          <w:rFonts w:ascii="Calibri" w:eastAsia="Calibri" w:hAnsi="Calibri" w:cs="Calibri"/>
        </w:rPr>
        <w:t>, and limits</w:t>
      </w:r>
      <w:r w:rsidRPr="3AEDB3BA">
        <w:rPr>
          <w:rFonts w:ascii="Calibri" w:eastAsia="Calibri" w:hAnsi="Calibri" w:cs="Calibri"/>
        </w:rPr>
        <w:t xml:space="preserve"> on how long a person can play EGMs in the Territory without breaks. </w:t>
      </w:r>
    </w:p>
    <w:p w14:paraId="0F1F88D5" w14:textId="42E02B00" w:rsidR="0B3BC998" w:rsidRDefault="0B3BC998" w:rsidP="00134884">
      <w:pPr>
        <w:numPr>
          <w:ilvl w:val="0"/>
          <w:numId w:val="8"/>
        </w:numPr>
        <w:spacing w:after="0"/>
        <w:rPr>
          <w:rFonts w:ascii="Calibri" w:eastAsia="Calibri" w:hAnsi="Calibri" w:cs="Calibri"/>
        </w:rPr>
      </w:pPr>
      <w:r w:rsidRPr="3AEDB3BA">
        <w:rPr>
          <w:rFonts w:ascii="Calibri" w:eastAsia="Calibri" w:hAnsi="Calibri" w:cs="Calibri"/>
        </w:rPr>
        <w:t xml:space="preserve">The </w:t>
      </w:r>
      <w:r w:rsidR="16A0F613" w:rsidRPr="3AEDB3BA">
        <w:rPr>
          <w:rFonts w:ascii="Calibri" w:eastAsia="Calibri" w:hAnsi="Calibri" w:cs="Calibri"/>
        </w:rPr>
        <w:t xml:space="preserve">player </w:t>
      </w:r>
      <w:r w:rsidRPr="3AEDB3BA">
        <w:rPr>
          <w:rFonts w:ascii="Calibri" w:eastAsia="Calibri" w:hAnsi="Calibri" w:cs="Calibri"/>
        </w:rPr>
        <w:t>card will also facilitate a</w:t>
      </w:r>
      <w:r w:rsidR="19015704" w:rsidRPr="3AEDB3BA">
        <w:rPr>
          <w:rFonts w:ascii="Calibri" w:eastAsia="Calibri" w:hAnsi="Calibri" w:cs="Calibri"/>
        </w:rPr>
        <w:t>n improved</w:t>
      </w:r>
      <w:r w:rsidRPr="3AEDB3BA">
        <w:rPr>
          <w:rFonts w:ascii="Calibri" w:eastAsia="Calibri" w:hAnsi="Calibri" w:cs="Calibri"/>
        </w:rPr>
        <w:t xml:space="preserve"> “self-exclusion” </w:t>
      </w:r>
      <w:r w:rsidR="6E8A0BA9" w:rsidRPr="3AEDB3BA">
        <w:rPr>
          <w:rFonts w:ascii="Calibri" w:eastAsia="Calibri" w:hAnsi="Calibri" w:cs="Calibri"/>
        </w:rPr>
        <w:t xml:space="preserve">function, </w:t>
      </w:r>
      <w:r w:rsidRPr="3AEDB3BA">
        <w:rPr>
          <w:rFonts w:ascii="Calibri" w:eastAsia="Calibri" w:hAnsi="Calibri" w:cs="Calibri"/>
        </w:rPr>
        <w:t>whereby</w:t>
      </w:r>
      <w:r w:rsidR="5A34BB1A" w:rsidRPr="3AEDB3BA">
        <w:rPr>
          <w:rFonts w:ascii="Calibri" w:eastAsia="Calibri" w:hAnsi="Calibri" w:cs="Calibri"/>
        </w:rPr>
        <w:t xml:space="preserve"> people may exclude thems</w:t>
      </w:r>
      <w:r w:rsidR="1194FF48" w:rsidRPr="3AEDB3BA">
        <w:rPr>
          <w:rFonts w:ascii="Calibri" w:eastAsia="Calibri" w:hAnsi="Calibri" w:cs="Calibri"/>
        </w:rPr>
        <w:t>elves from participating in EGM gambling</w:t>
      </w:r>
      <w:r w:rsidR="36663237" w:rsidRPr="3AEDB3BA">
        <w:rPr>
          <w:rFonts w:ascii="Calibri" w:eastAsia="Calibri" w:hAnsi="Calibri" w:cs="Calibri"/>
        </w:rPr>
        <w:t>, and their card and account will not allow them to gamble on EGMs</w:t>
      </w:r>
      <w:r w:rsidR="1194FF48" w:rsidRPr="3AEDB3BA">
        <w:rPr>
          <w:rFonts w:ascii="Calibri" w:eastAsia="Calibri" w:hAnsi="Calibri" w:cs="Calibri"/>
        </w:rPr>
        <w:t xml:space="preserve">. This </w:t>
      </w:r>
      <w:r w:rsidR="349A31C8" w:rsidRPr="3AEDB3BA">
        <w:rPr>
          <w:rFonts w:ascii="Calibri" w:eastAsia="Calibri" w:hAnsi="Calibri" w:cs="Calibri"/>
        </w:rPr>
        <w:t>allows people to protect themselves from gambling harm by choosing to restrict their own access.</w:t>
      </w:r>
      <w:r w:rsidR="0D16FBB3" w:rsidRPr="3AEDB3BA">
        <w:rPr>
          <w:rFonts w:ascii="Calibri" w:eastAsia="Calibri" w:hAnsi="Calibri" w:cs="Calibri"/>
        </w:rPr>
        <w:t xml:space="preserve"> This system greatly improves on the existing ACT self-exclusion regime which requires staff at clubs to recognise excluded patrons and enforce exclusion.</w:t>
      </w:r>
      <w:r w:rsidR="349A31C8" w:rsidRPr="3AEDB3BA">
        <w:rPr>
          <w:rFonts w:ascii="Calibri" w:eastAsia="Calibri" w:hAnsi="Calibri" w:cs="Calibri"/>
        </w:rPr>
        <w:t xml:space="preserve"> </w:t>
      </w:r>
      <w:r w:rsidR="1194FF48" w:rsidRPr="3AEDB3BA">
        <w:rPr>
          <w:rFonts w:ascii="Calibri" w:eastAsia="Calibri" w:hAnsi="Calibri" w:cs="Calibri"/>
        </w:rPr>
        <w:t xml:space="preserve"> </w:t>
      </w:r>
      <w:r w:rsidRPr="3AEDB3BA">
        <w:rPr>
          <w:rFonts w:ascii="Calibri" w:eastAsia="Calibri" w:hAnsi="Calibri" w:cs="Calibri"/>
        </w:rPr>
        <w:t xml:space="preserve">   </w:t>
      </w:r>
    </w:p>
    <w:p w14:paraId="16EDC654" w14:textId="2CDE67AF" w:rsidR="0AD5FE66" w:rsidRDefault="0AD5FE66" w:rsidP="00134884">
      <w:pPr>
        <w:numPr>
          <w:ilvl w:val="0"/>
          <w:numId w:val="8"/>
        </w:numPr>
        <w:spacing w:after="120"/>
        <w:rPr>
          <w:rFonts w:ascii="Calibri" w:eastAsia="Calibri" w:hAnsi="Calibri" w:cs="Calibri"/>
        </w:rPr>
      </w:pPr>
      <w:r w:rsidRPr="3AEDB3BA">
        <w:rPr>
          <w:rFonts w:ascii="Calibri" w:eastAsia="Calibri" w:hAnsi="Calibri" w:cs="Calibri"/>
        </w:rPr>
        <w:t xml:space="preserve">A </w:t>
      </w:r>
      <w:r w:rsidR="5E717D1B" w:rsidRPr="3AEDB3BA">
        <w:rPr>
          <w:rFonts w:ascii="Calibri" w:eastAsia="Calibri" w:hAnsi="Calibri" w:cs="Calibri"/>
        </w:rPr>
        <w:t>C</w:t>
      </w:r>
      <w:r w:rsidRPr="3AEDB3BA">
        <w:rPr>
          <w:rFonts w:ascii="Calibri" w:eastAsia="Calibri" w:hAnsi="Calibri" w:cs="Calibri"/>
        </w:rPr>
        <w:t xml:space="preserve">entral </w:t>
      </w:r>
      <w:r w:rsidR="76E93501" w:rsidRPr="3AEDB3BA">
        <w:rPr>
          <w:rFonts w:ascii="Calibri" w:eastAsia="Calibri" w:hAnsi="Calibri" w:cs="Calibri"/>
        </w:rPr>
        <w:t>M</w:t>
      </w:r>
      <w:r w:rsidRPr="3AEDB3BA">
        <w:rPr>
          <w:rFonts w:ascii="Calibri" w:eastAsia="Calibri" w:hAnsi="Calibri" w:cs="Calibri"/>
        </w:rPr>
        <w:t xml:space="preserve">onitoring </w:t>
      </w:r>
      <w:r w:rsidR="2048F1F8" w:rsidRPr="3AEDB3BA">
        <w:rPr>
          <w:rFonts w:ascii="Calibri" w:eastAsia="Calibri" w:hAnsi="Calibri" w:cs="Calibri"/>
        </w:rPr>
        <w:t>S</w:t>
      </w:r>
      <w:r w:rsidRPr="3AEDB3BA">
        <w:rPr>
          <w:rFonts w:ascii="Calibri" w:eastAsia="Calibri" w:hAnsi="Calibri" w:cs="Calibri"/>
        </w:rPr>
        <w:t xml:space="preserve">ystem </w:t>
      </w:r>
      <w:r w:rsidR="1BF6BC74" w:rsidRPr="3AEDB3BA">
        <w:rPr>
          <w:rFonts w:ascii="Calibri" w:eastAsia="Calibri" w:hAnsi="Calibri" w:cs="Calibri"/>
        </w:rPr>
        <w:t xml:space="preserve">(CMS) </w:t>
      </w:r>
      <w:r w:rsidRPr="3AEDB3BA">
        <w:rPr>
          <w:rFonts w:ascii="Calibri" w:eastAsia="Calibri" w:hAnsi="Calibri" w:cs="Calibri"/>
        </w:rPr>
        <w:t xml:space="preserve">ensuring the above protections apply to all EGMs in the ACT. </w:t>
      </w:r>
    </w:p>
    <w:p w14:paraId="00E70601" w14:textId="20651885" w:rsidR="0AD5FE66" w:rsidRDefault="0AD5FE66" w:rsidP="6958D4C2">
      <w:pPr>
        <w:spacing w:after="120"/>
        <w:rPr>
          <w:rFonts w:ascii="Calibri" w:eastAsia="Calibri" w:hAnsi="Calibri" w:cs="Calibri"/>
        </w:rPr>
      </w:pPr>
      <w:r w:rsidRPr="3AEDB3BA">
        <w:rPr>
          <w:rFonts w:ascii="Calibri" w:eastAsia="Calibri" w:hAnsi="Calibri" w:cs="Calibri"/>
        </w:rPr>
        <w:t xml:space="preserve">The amendments require the </w:t>
      </w:r>
      <w:r w:rsidR="16DF5F1F" w:rsidRPr="3AEDB3BA">
        <w:rPr>
          <w:rFonts w:ascii="Calibri" w:eastAsia="Calibri" w:hAnsi="Calibri" w:cs="Calibri"/>
        </w:rPr>
        <w:t>Executive</w:t>
      </w:r>
      <w:r w:rsidRPr="3AEDB3BA">
        <w:rPr>
          <w:rFonts w:ascii="Calibri" w:eastAsia="Calibri" w:hAnsi="Calibri" w:cs="Calibri"/>
        </w:rPr>
        <w:t xml:space="preserve"> to make a regulation establishing the</w:t>
      </w:r>
      <w:r w:rsidR="679AE3E8" w:rsidRPr="3AEDB3BA">
        <w:rPr>
          <w:rFonts w:ascii="Calibri" w:eastAsia="Calibri" w:hAnsi="Calibri" w:cs="Calibri"/>
        </w:rPr>
        <w:t xml:space="preserve"> above</w:t>
      </w:r>
      <w:r w:rsidRPr="3AEDB3BA">
        <w:rPr>
          <w:rFonts w:ascii="Calibri" w:eastAsia="Calibri" w:hAnsi="Calibri" w:cs="Calibri"/>
        </w:rPr>
        <w:t xml:space="preserve"> measures. The amendments require the above measures to be in operation by 30 June 2028, allowing time for procurement and establishment of the required CMS and account-based technology.  </w:t>
      </w:r>
    </w:p>
    <w:p w14:paraId="01B93FC9" w14:textId="3BE49739" w:rsidR="0AD5FE66" w:rsidRDefault="1D4E73B7" w:rsidP="3AEDB3BA">
      <w:pPr>
        <w:spacing w:after="120"/>
        <w:rPr>
          <w:rFonts w:eastAsiaTheme="minorEastAsia"/>
        </w:rPr>
      </w:pPr>
      <w:r w:rsidRPr="3AEDB3BA">
        <w:rPr>
          <w:rFonts w:ascii="Calibri" w:eastAsia="Calibri" w:hAnsi="Calibri" w:cs="Calibri"/>
        </w:rPr>
        <w:t xml:space="preserve">The </w:t>
      </w:r>
      <w:r w:rsidR="0AD5FE66" w:rsidRPr="3AEDB3BA">
        <w:rPr>
          <w:rFonts w:ascii="Calibri" w:eastAsia="Calibri" w:hAnsi="Calibri" w:cs="Calibri"/>
        </w:rPr>
        <w:t xml:space="preserve">account-based gambling, loss limits and time limits, will be achieved through adoption of a </w:t>
      </w:r>
      <w:r w:rsidR="5135F789" w:rsidRPr="3AEDB3BA">
        <w:rPr>
          <w:rFonts w:ascii="Calibri" w:eastAsia="Calibri" w:hAnsi="Calibri" w:cs="Calibri"/>
        </w:rPr>
        <w:t xml:space="preserve">cashless </w:t>
      </w:r>
      <w:r w:rsidR="24477B52" w:rsidRPr="3AEDB3BA">
        <w:rPr>
          <w:rFonts w:ascii="Calibri" w:eastAsia="Calibri" w:hAnsi="Calibri" w:cs="Calibri"/>
        </w:rPr>
        <w:t>"</w:t>
      </w:r>
      <w:r w:rsidR="0AD5FE66" w:rsidRPr="3AEDB3BA">
        <w:rPr>
          <w:rFonts w:ascii="Calibri" w:eastAsia="Calibri" w:hAnsi="Calibri" w:cs="Calibri"/>
        </w:rPr>
        <w:t>player card</w:t>
      </w:r>
      <w:r w:rsidR="779A750C" w:rsidRPr="3AEDB3BA">
        <w:rPr>
          <w:rFonts w:ascii="Calibri" w:eastAsia="Calibri" w:hAnsi="Calibri" w:cs="Calibri"/>
        </w:rPr>
        <w:t>"</w:t>
      </w:r>
      <w:r w:rsidR="0AD5FE66" w:rsidRPr="3AEDB3BA">
        <w:rPr>
          <w:rFonts w:ascii="Calibri" w:eastAsia="Calibri" w:hAnsi="Calibri" w:cs="Calibri"/>
        </w:rPr>
        <w:t xml:space="preserve"> required for any EGM gambling and linked to a player’s account.</w:t>
      </w:r>
      <w:r w:rsidR="4DDBFA4A" w:rsidRPr="3AEDB3BA">
        <w:rPr>
          <w:rFonts w:ascii="Calibri" w:eastAsia="Calibri" w:hAnsi="Calibri" w:cs="Calibri"/>
        </w:rPr>
        <w:t xml:space="preserve"> The account and protections will operate across </w:t>
      </w:r>
      <w:r w:rsidR="68DFDFB1" w:rsidRPr="3AEDB3BA">
        <w:rPr>
          <w:rFonts w:ascii="Calibri" w:eastAsia="Calibri" w:hAnsi="Calibri" w:cs="Calibri"/>
        </w:rPr>
        <w:t xml:space="preserve">all </w:t>
      </w:r>
      <w:r w:rsidR="4DDBFA4A" w:rsidRPr="3AEDB3BA">
        <w:rPr>
          <w:rFonts w:ascii="Calibri" w:eastAsia="Calibri" w:hAnsi="Calibri" w:cs="Calibri"/>
        </w:rPr>
        <w:t>ACT</w:t>
      </w:r>
      <w:r w:rsidR="283077F5" w:rsidRPr="3AEDB3BA">
        <w:rPr>
          <w:rFonts w:ascii="Calibri" w:eastAsia="Calibri" w:hAnsi="Calibri" w:cs="Calibri"/>
        </w:rPr>
        <w:t xml:space="preserve"> EGMs</w:t>
      </w:r>
      <w:r w:rsidR="4DDBFA4A" w:rsidRPr="3AEDB3BA">
        <w:rPr>
          <w:rFonts w:ascii="Calibri" w:eastAsia="Calibri" w:hAnsi="Calibri" w:cs="Calibri"/>
        </w:rPr>
        <w:t xml:space="preserve">, linked by the </w:t>
      </w:r>
      <w:r w:rsidR="66DB2170" w:rsidRPr="3AEDB3BA">
        <w:rPr>
          <w:rFonts w:ascii="Calibri" w:eastAsia="Calibri" w:hAnsi="Calibri" w:cs="Calibri"/>
        </w:rPr>
        <w:t>CMS.</w:t>
      </w:r>
      <w:r w:rsidR="4DDBFA4A" w:rsidRPr="3AEDB3BA">
        <w:rPr>
          <w:rFonts w:ascii="Calibri" w:eastAsia="Calibri" w:hAnsi="Calibri" w:cs="Calibri"/>
        </w:rPr>
        <w:t xml:space="preserve"> </w:t>
      </w:r>
      <w:r w:rsidR="4353A422" w:rsidRPr="3AEDB3BA">
        <w:rPr>
          <w:rFonts w:eastAsiaTheme="minorEastAsia"/>
        </w:rPr>
        <w:t>This</w:t>
      </w:r>
      <w:r w:rsidR="59D27C5D" w:rsidRPr="3AEDB3BA">
        <w:rPr>
          <w:rFonts w:eastAsiaTheme="minorEastAsia"/>
        </w:rPr>
        <w:t xml:space="preserve"> ensures people can’t </w:t>
      </w:r>
      <w:r w:rsidR="7DCF46AA" w:rsidRPr="3AEDB3BA">
        <w:rPr>
          <w:rFonts w:eastAsiaTheme="minorEastAsia"/>
        </w:rPr>
        <w:t>"</w:t>
      </w:r>
      <w:r w:rsidR="59D27C5D" w:rsidRPr="3AEDB3BA">
        <w:rPr>
          <w:rFonts w:eastAsiaTheme="minorEastAsia"/>
        </w:rPr>
        <w:t>venue hop</w:t>
      </w:r>
      <w:r w:rsidR="3B57C364" w:rsidRPr="3AEDB3BA">
        <w:rPr>
          <w:rFonts w:eastAsiaTheme="minorEastAsia"/>
        </w:rPr>
        <w:t>"</w:t>
      </w:r>
      <w:r w:rsidR="59D27C5D" w:rsidRPr="3AEDB3BA">
        <w:rPr>
          <w:rFonts w:eastAsiaTheme="minorEastAsia"/>
        </w:rPr>
        <w:t xml:space="preserve"> </w:t>
      </w:r>
      <w:r w:rsidR="00EE6570">
        <w:rPr>
          <w:rFonts w:eastAsiaTheme="minorEastAsia"/>
        </w:rPr>
        <w:t xml:space="preserve">within the ACT </w:t>
      </w:r>
      <w:r w:rsidR="59D27C5D" w:rsidRPr="3AEDB3BA">
        <w:rPr>
          <w:rFonts w:eastAsiaTheme="minorEastAsia"/>
        </w:rPr>
        <w:t>to continue gambling and to exceed the predetermined loss limits.</w:t>
      </w:r>
    </w:p>
    <w:p w14:paraId="0591AB28" w14:textId="2307EF53" w:rsidR="0AD5FE66" w:rsidRDefault="0AD5FE66" w:rsidP="517E000B">
      <w:pPr>
        <w:spacing w:after="120"/>
        <w:rPr>
          <w:rFonts w:ascii="Calibri" w:eastAsia="Calibri" w:hAnsi="Calibri" w:cs="Calibri"/>
        </w:rPr>
      </w:pPr>
      <w:r w:rsidRPr="3AEDB3BA">
        <w:rPr>
          <w:rFonts w:ascii="Calibri" w:eastAsia="Calibri" w:hAnsi="Calibri" w:cs="Calibri"/>
        </w:rPr>
        <w:t>The loss and time limits will be set in the regulation</w:t>
      </w:r>
      <w:r w:rsidR="190688C5" w:rsidRPr="3AEDB3BA">
        <w:rPr>
          <w:rFonts w:ascii="Calibri" w:eastAsia="Calibri" w:hAnsi="Calibri" w:cs="Calibri"/>
        </w:rPr>
        <w:t>,</w:t>
      </w:r>
      <w:r w:rsidR="04EBA83B" w:rsidRPr="3AEDB3BA">
        <w:rPr>
          <w:rFonts w:ascii="Calibri" w:eastAsia="Calibri" w:hAnsi="Calibri" w:cs="Calibri"/>
        </w:rPr>
        <w:t xml:space="preserve"> approved by the Executive</w:t>
      </w:r>
      <w:r w:rsidRPr="3AEDB3BA">
        <w:rPr>
          <w:rFonts w:ascii="Calibri" w:eastAsia="Calibri" w:hAnsi="Calibri" w:cs="Calibri"/>
        </w:rPr>
        <w:t>. It is expected that these loss and time limits w</w:t>
      </w:r>
      <w:r w:rsidR="2AD38FE3" w:rsidRPr="3AEDB3BA">
        <w:rPr>
          <w:rFonts w:ascii="Calibri" w:eastAsia="Calibri" w:hAnsi="Calibri" w:cs="Calibri"/>
        </w:rPr>
        <w:t>ill</w:t>
      </w:r>
      <w:r w:rsidRPr="3AEDB3BA">
        <w:rPr>
          <w:rFonts w:ascii="Calibri" w:eastAsia="Calibri" w:hAnsi="Calibri" w:cs="Calibri"/>
        </w:rPr>
        <w:t xml:space="preserve"> be based on expert independent advice as to the appropriate levels. </w:t>
      </w:r>
      <w:r w:rsidR="100014A8" w:rsidRPr="3AEDB3BA">
        <w:rPr>
          <w:rFonts w:ascii="Calibri" w:eastAsia="Calibri" w:hAnsi="Calibri" w:cs="Calibri"/>
        </w:rPr>
        <w:t>The proposed</w:t>
      </w:r>
      <w:r w:rsidRPr="3AEDB3BA">
        <w:rPr>
          <w:rFonts w:ascii="Calibri" w:eastAsia="Calibri" w:hAnsi="Calibri" w:cs="Calibri"/>
        </w:rPr>
        <w:t xml:space="preserve"> starting point is the default loss limits that will be used in </w:t>
      </w:r>
      <w:r w:rsidR="00C43D39" w:rsidRPr="3AEDB3BA">
        <w:rPr>
          <w:rFonts w:ascii="Calibri" w:eastAsia="Calibri" w:hAnsi="Calibri" w:cs="Calibri"/>
        </w:rPr>
        <w:t>Tasmania,</w:t>
      </w:r>
      <w:r w:rsidRPr="3AEDB3BA">
        <w:rPr>
          <w:rFonts w:ascii="Calibri" w:eastAsia="Calibri" w:hAnsi="Calibri" w:cs="Calibri"/>
        </w:rPr>
        <w:t xml:space="preserve"> and which were informed by the research of the Tasmanian Liquor and Gaming Commission: $5,000 a year, $500 a month and $100 a day. A person could set their precommitment at a stricter amount than the default limit.  </w:t>
      </w:r>
    </w:p>
    <w:p w14:paraId="083950E5" w14:textId="6DD8C935" w:rsidR="0AD5FE66" w:rsidRDefault="0AD5FE66" w:rsidP="517E000B">
      <w:pPr>
        <w:spacing w:after="120"/>
        <w:rPr>
          <w:rFonts w:ascii="Calibri" w:eastAsia="Calibri" w:hAnsi="Calibri" w:cs="Calibri"/>
        </w:rPr>
      </w:pPr>
      <w:r w:rsidRPr="3AEDB3BA">
        <w:rPr>
          <w:rFonts w:ascii="Calibri" w:eastAsia="Calibri" w:hAnsi="Calibri" w:cs="Calibri"/>
        </w:rPr>
        <w:t>Similar to the Tasmanian model, it is expected that a reasonable starting point for time limit</w:t>
      </w:r>
      <w:r w:rsidR="01D29A66" w:rsidRPr="3AEDB3BA">
        <w:rPr>
          <w:rFonts w:ascii="Calibri" w:eastAsia="Calibri" w:hAnsi="Calibri" w:cs="Calibri"/>
        </w:rPr>
        <w:t xml:space="preserve">s is that a person is </w:t>
      </w:r>
      <w:r w:rsidR="57AA7358" w:rsidRPr="3AEDB3BA">
        <w:rPr>
          <w:rFonts w:ascii="Calibri" w:eastAsia="Calibri" w:hAnsi="Calibri" w:cs="Calibri"/>
        </w:rPr>
        <w:t>required</w:t>
      </w:r>
      <w:r w:rsidRPr="3AEDB3BA">
        <w:rPr>
          <w:rFonts w:ascii="Calibri" w:eastAsia="Calibri" w:hAnsi="Calibri" w:cs="Calibri"/>
        </w:rPr>
        <w:t xml:space="preserve"> to take a break </w:t>
      </w:r>
      <w:r w:rsidR="36092886" w:rsidRPr="3AEDB3BA">
        <w:rPr>
          <w:rFonts w:ascii="Calibri" w:eastAsia="Calibri" w:hAnsi="Calibri" w:cs="Calibri"/>
        </w:rPr>
        <w:t xml:space="preserve">from gambling of at least </w:t>
      </w:r>
      <w:r w:rsidRPr="3AEDB3BA">
        <w:rPr>
          <w:rFonts w:ascii="Calibri" w:eastAsia="Calibri" w:hAnsi="Calibri" w:cs="Calibri"/>
        </w:rPr>
        <w:t xml:space="preserve">10 minutes after 2 hours of continuous </w:t>
      </w:r>
      <w:r w:rsidR="20DB48D0" w:rsidRPr="3AEDB3BA">
        <w:rPr>
          <w:rFonts w:ascii="Calibri" w:eastAsia="Calibri" w:hAnsi="Calibri" w:cs="Calibri"/>
        </w:rPr>
        <w:t>gambling. This would be facilitated by the card becoming inactive, or the person’s account becoming locked.</w:t>
      </w:r>
      <w:r w:rsidRPr="3AEDB3BA">
        <w:rPr>
          <w:rFonts w:ascii="Calibri" w:eastAsia="Calibri" w:hAnsi="Calibri" w:cs="Calibri"/>
        </w:rPr>
        <w:t xml:space="preserve">  </w:t>
      </w:r>
    </w:p>
    <w:p w14:paraId="693C45AE" w14:textId="1DE4DCAA" w:rsidR="0AD5FE66" w:rsidRDefault="0AD5FE66" w:rsidP="3AEDB3BA">
      <w:pPr>
        <w:spacing w:after="120"/>
        <w:rPr>
          <w:rFonts w:ascii="Calibri" w:eastAsia="Calibri" w:hAnsi="Calibri" w:cs="Calibri"/>
        </w:rPr>
      </w:pPr>
      <w:r w:rsidRPr="3AEDB3BA">
        <w:rPr>
          <w:rFonts w:ascii="Calibri" w:eastAsia="Calibri" w:hAnsi="Calibri" w:cs="Calibri"/>
        </w:rPr>
        <w:lastRenderedPageBreak/>
        <w:t>In the absence of these measures, people gambling in the ACT remain exposed to EGMs and a gambling environment that is largely unfettered in terms of protections from harm</w:t>
      </w:r>
      <w:r w:rsidR="00913B7D">
        <w:rPr>
          <w:rFonts w:ascii="Calibri" w:eastAsia="Calibri" w:hAnsi="Calibri" w:cs="Calibri"/>
        </w:rPr>
        <w:t>, regardless of the number of machines in operation in the ACT</w:t>
      </w:r>
      <w:r w:rsidRPr="3AEDB3BA">
        <w:rPr>
          <w:rFonts w:ascii="Calibri" w:eastAsia="Calibri" w:hAnsi="Calibri" w:cs="Calibri"/>
        </w:rPr>
        <w:t xml:space="preserve">.  </w:t>
      </w:r>
    </w:p>
    <w:p w14:paraId="05276476" w14:textId="44468ACA" w:rsidR="54908CA5" w:rsidRDefault="54908CA5" w:rsidP="3AEDB3BA">
      <w:pPr>
        <w:spacing w:after="120"/>
        <w:rPr>
          <w:rFonts w:ascii="Calibri" w:eastAsia="Calibri" w:hAnsi="Calibri" w:cs="Calibri"/>
        </w:rPr>
      </w:pPr>
      <w:r w:rsidRPr="3AEDB3BA">
        <w:rPr>
          <w:rFonts w:ascii="Calibri" w:eastAsia="Calibri" w:hAnsi="Calibri" w:cs="Calibri"/>
        </w:rPr>
        <w:t>In addition to these direct EGM protections, the amendments also change the operating hours of EGMs so that they must not operate during the hours that the most gambling harm occurs (typically late at night / early hours of the morning). The amendment therefore requires an EGM shutdown period from 2am to 10am. This requirement will commence 3 months after the notification of the provision, to allow clubs time to adjust their practices. As the other harm reduction measures proposed in these amendments – precommitment, loss limits, player card, a CMS – mitigate the need for a shutdown period</w:t>
      </w:r>
      <w:r w:rsidR="7B539929" w:rsidRPr="3AEDB3BA">
        <w:rPr>
          <w:rFonts w:ascii="Calibri" w:eastAsia="Calibri" w:hAnsi="Calibri" w:cs="Calibri"/>
        </w:rPr>
        <w:t xml:space="preserve"> once they commence</w:t>
      </w:r>
      <w:r w:rsidRPr="3AEDB3BA">
        <w:rPr>
          <w:rFonts w:ascii="Calibri" w:eastAsia="Calibri" w:hAnsi="Calibri" w:cs="Calibri"/>
        </w:rPr>
        <w:t xml:space="preserve">, the amendment requires </w:t>
      </w:r>
      <w:r w:rsidR="19104D7A" w:rsidRPr="3AEDB3BA">
        <w:rPr>
          <w:rFonts w:ascii="Calibri" w:eastAsia="Calibri" w:hAnsi="Calibri" w:cs="Calibri"/>
        </w:rPr>
        <w:t>the</w:t>
      </w:r>
      <w:r w:rsidRPr="3AEDB3BA">
        <w:rPr>
          <w:rFonts w:ascii="Calibri" w:eastAsia="Calibri" w:hAnsi="Calibri" w:cs="Calibri"/>
        </w:rPr>
        <w:t xml:space="preserve"> Government </w:t>
      </w:r>
      <w:r w:rsidR="002E52DC" w:rsidRPr="3AEDB3BA">
        <w:rPr>
          <w:rFonts w:ascii="Calibri" w:eastAsia="Calibri" w:hAnsi="Calibri" w:cs="Calibri"/>
        </w:rPr>
        <w:t xml:space="preserve">to </w:t>
      </w:r>
      <w:r w:rsidRPr="3AEDB3BA">
        <w:rPr>
          <w:rFonts w:ascii="Calibri" w:eastAsia="Calibri" w:hAnsi="Calibri" w:cs="Calibri"/>
        </w:rPr>
        <w:t>review EGM operating hours once the other measures commence.</w:t>
      </w:r>
    </w:p>
    <w:p w14:paraId="0851306A" w14:textId="6FB19CEF" w:rsidR="0AD5FE66" w:rsidRDefault="0AD5FE66" w:rsidP="3AEDB3BA">
      <w:pPr>
        <w:spacing w:after="120"/>
        <w:rPr>
          <w:rFonts w:ascii="Calibri" w:eastAsia="Calibri" w:hAnsi="Calibri" w:cs="Calibri"/>
        </w:rPr>
      </w:pPr>
      <w:r w:rsidRPr="3AEDB3BA">
        <w:rPr>
          <w:rFonts w:ascii="Calibri" w:eastAsia="Calibri" w:hAnsi="Calibri" w:cs="Calibri"/>
        </w:rPr>
        <w:t xml:space="preserve">These amendments come in a context where the ACT continues to lag behind other states and territories in terms of harm reduction measures introduced for EGMs, and where the gambling harm reduction policies of other political parties represented in the ACT Legislative Assembly are either non-existent or slow and ineffective.  </w:t>
      </w:r>
    </w:p>
    <w:p w14:paraId="308D0748" w14:textId="49F7263E" w:rsidR="6958D4C2" w:rsidRDefault="6958D4C2" w:rsidP="6958D4C2"/>
    <w:p w14:paraId="2D2A889A" w14:textId="595DB3B1" w:rsidR="00950635" w:rsidRPr="00B307C3" w:rsidRDefault="00143A71" w:rsidP="00BB5627">
      <w:pPr>
        <w:rPr>
          <w:b/>
          <w:bCs/>
        </w:rPr>
      </w:pPr>
      <w:r>
        <w:rPr>
          <w:b/>
          <w:bCs/>
        </w:rPr>
        <w:t>Additional b</w:t>
      </w:r>
      <w:r w:rsidR="00950635">
        <w:rPr>
          <w:b/>
          <w:bCs/>
        </w:rPr>
        <w:t>ackground</w:t>
      </w:r>
      <w:r w:rsidR="00CB38E2">
        <w:rPr>
          <w:b/>
          <w:bCs/>
        </w:rPr>
        <w:t xml:space="preserve"> context</w:t>
      </w:r>
    </w:p>
    <w:p w14:paraId="13893BA5" w14:textId="594BA930" w:rsidR="009F55FA" w:rsidRDefault="002C129B" w:rsidP="004519AE">
      <w:r>
        <w:t xml:space="preserve">Since as early as 1999, </w:t>
      </w:r>
      <w:r w:rsidR="001D0BBF">
        <w:t xml:space="preserve">Parliamentary committees have been advised by government directorates </w:t>
      </w:r>
      <w:r w:rsidR="00772AD8">
        <w:t xml:space="preserve">and non-government organisations </w:t>
      </w:r>
      <w:r w:rsidR="001D0BBF">
        <w:t xml:space="preserve">that a </w:t>
      </w:r>
      <w:r w:rsidR="00154953">
        <w:t>CMS</w:t>
      </w:r>
      <w:r w:rsidR="001D0BBF">
        <w:t xml:space="preserve"> is required in the ACT.</w:t>
      </w:r>
      <w:r w:rsidR="00A83B53">
        <w:t xml:space="preserve">  Reasons for requiring such a system are multifaceted, including for consistency </w:t>
      </w:r>
      <w:r w:rsidR="005D28FA">
        <w:t>of regulation with other jurisdictions, and as an essential anchor for effective harm-minimisation</w:t>
      </w:r>
      <w:r w:rsidR="00DD6ED1">
        <w:t xml:space="preserve"> strategies</w:t>
      </w:r>
      <w:r w:rsidR="009F55FA">
        <w:t>.</w:t>
      </w:r>
      <w:r w:rsidR="00F17E88">
        <w:t xml:space="preserve">  These amendments give effect to that </w:t>
      </w:r>
      <w:r w:rsidR="00396F62">
        <w:t xml:space="preserve">expert </w:t>
      </w:r>
      <w:r w:rsidR="00F17E88">
        <w:t xml:space="preserve">advice to require </w:t>
      </w:r>
      <w:r w:rsidR="00154953">
        <w:t>the implementation of a CMS in the ACT.</w:t>
      </w:r>
    </w:p>
    <w:p w14:paraId="687DE008" w14:textId="3073FEEE" w:rsidR="00FE6713" w:rsidRDefault="00FE6713" w:rsidP="009E19B9">
      <w:r>
        <w:rPr>
          <w:b/>
          <w:bCs/>
        </w:rPr>
        <w:t>Human Rights Compatibility</w:t>
      </w:r>
    </w:p>
    <w:p w14:paraId="2C3828A1" w14:textId="3CB2E7B1" w:rsidR="00372287" w:rsidRDefault="00381995">
      <w:r>
        <w:t>Somewhat counter-intuitively, th</w:t>
      </w:r>
      <w:r w:rsidR="00DB7758">
        <w:t>e bill and amendments to it do not actually engage with human rights.</w:t>
      </w:r>
      <w:r w:rsidR="00870163">
        <w:t xml:space="preserve">  This is because, at its core, the Human Rights Act is about </w:t>
      </w:r>
      <w:r w:rsidR="007151C4">
        <w:t>regulating government behaviour to protect the civil, political, economic, social and cultural rights in a person’s</w:t>
      </w:r>
      <w:r w:rsidR="00514C87">
        <w:t xml:space="preserve"> dealings with the Government and those wielding the authority of the Crown.  By contrast, the regulation of gambling operations </w:t>
      </w:r>
      <w:r w:rsidR="00053679">
        <w:t>deals with protecting a person’s liberties and rights when dealing with an entity outside of government.</w:t>
      </w:r>
      <w:r w:rsidR="0079147D">
        <w:t xml:space="preserve">  </w:t>
      </w:r>
      <w:r w:rsidR="000D29F7">
        <w:t xml:space="preserve">Human rights therefore only become technically relevant insofar as the government might impose </w:t>
      </w:r>
      <w:r w:rsidR="00BD4B12">
        <w:t xml:space="preserve">penalties or the deprivation of liberty </w:t>
      </w:r>
      <w:r w:rsidR="00443B6F">
        <w:t xml:space="preserve">upon persons </w:t>
      </w:r>
      <w:r w:rsidR="00BD4B12">
        <w:t>through its regulatory actions.</w:t>
      </w:r>
    </w:p>
    <w:p w14:paraId="15A4DFB2" w14:textId="530C7517" w:rsidR="00AC6ECE" w:rsidRDefault="000D29F7">
      <w:r>
        <w:t>These amendments do not introduce any new penalties beyond those already incorporated into the legislated framework.  They also give full scope for the Minister to consider human rights in the implementation of the CMS</w:t>
      </w:r>
      <w:r w:rsidR="00A11F35">
        <w:t>, and it can be reasonably expected that the Minister will do so</w:t>
      </w:r>
      <w:r>
        <w:t>.</w:t>
      </w:r>
    </w:p>
    <w:p w14:paraId="676EC153" w14:textId="2F67464D" w:rsidR="00B30747" w:rsidRDefault="001861B6">
      <w:pPr>
        <w:rPr>
          <w:b/>
          <w:bCs/>
        </w:rPr>
      </w:pPr>
      <w:r>
        <w:t xml:space="preserve">It is acknowledged that </w:t>
      </w:r>
      <w:r w:rsidR="00A121D7">
        <w:t xml:space="preserve">through </w:t>
      </w:r>
      <w:r w:rsidR="00443B6F">
        <w:t>implement</w:t>
      </w:r>
      <w:r w:rsidR="00A121D7">
        <w:t>ing</w:t>
      </w:r>
      <w:r w:rsidR="00443B6F">
        <w:t xml:space="preserve"> of </w:t>
      </w:r>
      <w:r w:rsidR="00FD1B7F">
        <w:t xml:space="preserve">a pre-commitment system with </w:t>
      </w:r>
      <w:r w:rsidR="00443B6F">
        <w:t xml:space="preserve">loss limits, </w:t>
      </w:r>
      <w:r w:rsidR="00BF201B">
        <w:t xml:space="preserve">the Territory </w:t>
      </w:r>
      <w:r w:rsidR="001A026A">
        <w:t>may</w:t>
      </w:r>
      <w:r w:rsidR="00BF201B">
        <w:t xml:space="preserve"> depriv</w:t>
      </w:r>
      <w:r w:rsidR="001A026A">
        <w:t>e</w:t>
      </w:r>
      <w:r w:rsidR="00BF201B">
        <w:t xml:space="preserve"> a person of the choice on how to make use of their </w:t>
      </w:r>
      <w:r w:rsidR="001A026A">
        <w:t xml:space="preserve">personal </w:t>
      </w:r>
      <w:r w:rsidR="00BF201B">
        <w:t>financial resources</w:t>
      </w:r>
      <w:r w:rsidR="00065818">
        <w:t xml:space="preserve">. </w:t>
      </w:r>
      <w:r w:rsidR="00D53337">
        <w:t>S</w:t>
      </w:r>
      <w:r w:rsidR="001A026A">
        <w:t>trictly speaking, th</w:t>
      </w:r>
      <w:r w:rsidR="00D53337">
        <w:t>e</w:t>
      </w:r>
      <w:r w:rsidR="001A026A">
        <w:t>s</w:t>
      </w:r>
      <w:r w:rsidR="00D53337">
        <w:t>e</w:t>
      </w:r>
      <w:r w:rsidR="001A026A">
        <w:t xml:space="preserve"> </w:t>
      </w:r>
      <w:r w:rsidR="00D53337">
        <w:t>are</w:t>
      </w:r>
      <w:r w:rsidR="001A026A">
        <w:t xml:space="preserve"> not human right</w:t>
      </w:r>
      <w:r w:rsidR="00D53337">
        <w:t>s</w:t>
      </w:r>
      <w:r w:rsidR="001A026A">
        <w:t xml:space="preserve"> within the scope of the </w:t>
      </w:r>
      <w:r w:rsidR="001A026A" w:rsidRPr="005472FA">
        <w:rPr>
          <w:i/>
          <w:iCs/>
        </w:rPr>
        <w:t>Human Rights Act</w:t>
      </w:r>
      <w:r w:rsidR="005472FA" w:rsidRPr="005472FA">
        <w:rPr>
          <w:i/>
          <w:iCs/>
        </w:rPr>
        <w:t xml:space="preserve"> 2004</w:t>
      </w:r>
      <w:r w:rsidR="00D53337">
        <w:t>, however they are acknowledged here for completeness’ sake</w:t>
      </w:r>
      <w:r w:rsidR="005472FA">
        <w:t>.</w:t>
      </w:r>
      <w:r w:rsidR="0069454F">
        <w:t xml:space="preserve">  </w:t>
      </w:r>
      <w:r w:rsidR="00065818">
        <w:t xml:space="preserve">The </w:t>
      </w:r>
      <w:r w:rsidR="005E2887">
        <w:t xml:space="preserve">requirement for an account to gamble also </w:t>
      </w:r>
      <w:r w:rsidR="00212629">
        <w:t xml:space="preserve">requires the </w:t>
      </w:r>
      <w:r w:rsidR="0033033D">
        <w:t>collection of personal data, which engage the right to privacy.</w:t>
      </w:r>
      <w:r w:rsidR="001A026A">
        <w:t xml:space="preserve"> </w:t>
      </w:r>
      <w:r w:rsidR="00963A7B">
        <w:t>Gambling on EGMs is a personal choice</w:t>
      </w:r>
      <w:r w:rsidR="00242156">
        <w:t xml:space="preserve"> and </w:t>
      </w:r>
      <w:r w:rsidR="003D1D10">
        <w:t>people can choose to participate</w:t>
      </w:r>
      <w:r w:rsidR="004C2F04">
        <w:t xml:space="preserve"> in the system</w:t>
      </w:r>
      <w:r w:rsidR="003D1D10">
        <w:t xml:space="preserve">, and hence to </w:t>
      </w:r>
      <w:r w:rsidR="003D7A13">
        <w:t xml:space="preserve">submit personal data. </w:t>
      </w:r>
      <w:r w:rsidR="0059719B">
        <w:t>Both the loss limits and the collection of personal data are targeted to a specific purpose</w:t>
      </w:r>
      <w:r w:rsidR="00186FEE">
        <w:t>. The loss limits to</w:t>
      </w:r>
      <w:r w:rsidR="0059719B">
        <w:t xml:space="preserve"> ensur</w:t>
      </w:r>
      <w:r w:rsidR="00186FEE">
        <w:t>e</w:t>
      </w:r>
      <w:r w:rsidR="0059719B">
        <w:t xml:space="preserve"> people, especially those susceptible to gambling addiction, cannot lose an unlimited amount of money</w:t>
      </w:r>
      <w:r w:rsidR="00186FEE">
        <w:t xml:space="preserve">; and the player account to </w:t>
      </w:r>
      <w:r w:rsidR="00EC64F1">
        <w:t xml:space="preserve">make the system efficacious, so that people cannot use multiple accounts or trade accounts in order to circumvent </w:t>
      </w:r>
      <w:r w:rsidR="00EC64F1">
        <w:lastRenderedPageBreak/>
        <w:t xml:space="preserve">the loss limits. </w:t>
      </w:r>
      <w:r w:rsidR="003D7A13">
        <w:t>It is also relevant that the</w:t>
      </w:r>
      <w:r w:rsidR="0069454F">
        <w:t xml:space="preserve"> </w:t>
      </w:r>
      <w:r w:rsidR="0069454F">
        <w:t xml:space="preserve">amendments </w:t>
      </w:r>
      <w:r w:rsidR="003D7A13">
        <w:t xml:space="preserve">requiring loss limit and player accounts </w:t>
      </w:r>
      <w:r w:rsidR="000D45E8">
        <w:t xml:space="preserve">are </w:t>
      </w:r>
      <w:r w:rsidR="00807257">
        <w:t>intended</w:t>
      </w:r>
      <w:r w:rsidR="000D45E8">
        <w:t xml:space="preserve"> to protect the well-being of those vulnerable to </w:t>
      </w:r>
      <w:r w:rsidR="00E63552">
        <w:t>predatory behaviour by the gambling industry</w:t>
      </w:r>
      <w:r w:rsidR="00807257">
        <w:t>, and to protect them from the greater harms wrought by a loss of financial means</w:t>
      </w:r>
      <w:r w:rsidR="00E63552">
        <w:t>.</w:t>
      </w:r>
    </w:p>
    <w:p w14:paraId="7F48FA1A" w14:textId="4107D364" w:rsidR="00B22E09" w:rsidRDefault="002457EA" w:rsidP="009E19B9">
      <w:pPr>
        <w:rPr>
          <w:b/>
          <w:bCs/>
        </w:rPr>
      </w:pPr>
      <w:r>
        <w:rPr>
          <w:b/>
          <w:bCs/>
        </w:rPr>
        <w:t>CLAUSE NOTES</w:t>
      </w:r>
    </w:p>
    <w:p w14:paraId="27B5E7F8" w14:textId="30CCD795" w:rsidR="008717A3" w:rsidRDefault="008717A3" w:rsidP="009E19B9">
      <w:pPr>
        <w:rPr>
          <w:b/>
          <w:bCs/>
        </w:rPr>
      </w:pPr>
      <w:r>
        <w:rPr>
          <w:b/>
          <w:bCs/>
        </w:rPr>
        <w:t>Clause 1 – Name of the Act</w:t>
      </w:r>
    </w:p>
    <w:p w14:paraId="0CEDA916" w14:textId="7DFA9D31" w:rsidR="008717A3" w:rsidRPr="008717A3" w:rsidRDefault="008717A3" w:rsidP="009E19B9">
      <w:r>
        <w:t xml:space="preserve">The name of the Act is amended to </w:t>
      </w:r>
      <w:r w:rsidR="000F48D8">
        <w:t xml:space="preserve">the </w:t>
      </w:r>
      <w:r w:rsidR="000F48D8">
        <w:rPr>
          <w:i/>
          <w:iCs/>
        </w:rPr>
        <w:t xml:space="preserve">Gaming Machine Amendment Act 2024, </w:t>
      </w:r>
      <w:r>
        <w:t>reflect</w:t>
      </w:r>
      <w:r w:rsidR="000F48D8">
        <w:t>ing</w:t>
      </w:r>
      <w:r>
        <w:t xml:space="preserve"> the </w:t>
      </w:r>
      <w:r w:rsidR="000F48D8">
        <w:t>broader scope included in the bill once these amendments are passed.</w:t>
      </w:r>
    </w:p>
    <w:p w14:paraId="2B683A28" w14:textId="1EB0C3C3" w:rsidR="00182647" w:rsidRDefault="00182647" w:rsidP="009E19B9">
      <w:pPr>
        <w:rPr>
          <w:b/>
          <w:bCs/>
        </w:rPr>
      </w:pPr>
      <w:r>
        <w:rPr>
          <w:b/>
          <w:bCs/>
        </w:rPr>
        <w:t xml:space="preserve">Clause </w:t>
      </w:r>
      <w:r w:rsidR="00276741">
        <w:rPr>
          <w:b/>
          <w:bCs/>
        </w:rPr>
        <w:t>2</w:t>
      </w:r>
      <w:r w:rsidR="00276741">
        <w:rPr>
          <w:b/>
          <w:bCs/>
        </w:rPr>
        <w:t xml:space="preserve"> </w:t>
      </w:r>
      <w:r>
        <w:rPr>
          <w:b/>
          <w:bCs/>
        </w:rPr>
        <w:t>– Commencement Provisions</w:t>
      </w:r>
    </w:p>
    <w:p w14:paraId="103A3E00" w14:textId="4B7FE50A" w:rsidR="006F3BA6" w:rsidRPr="001B69CB" w:rsidRDefault="001B69CB" w:rsidP="009E19B9">
      <w:r>
        <w:t>A d</w:t>
      </w:r>
      <w:r w:rsidRPr="001B69CB">
        <w:t xml:space="preserve">elayed </w:t>
      </w:r>
      <w:r>
        <w:t xml:space="preserve">commencement is provided for the elements associated exclusively within these amendments, recognising that </w:t>
      </w:r>
      <w:r w:rsidR="00AC45C2">
        <w:t>an implementation timeframe is warranted.</w:t>
      </w:r>
      <w:r w:rsidR="007E513F">
        <w:t xml:space="preserve">  It allows the Minister to select a date for implementation of the provisions in 7A to 7D, </w:t>
      </w:r>
      <w:r w:rsidR="00761C88">
        <w:t xml:space="preserve">inclusive of dictionary amendments at 11A, </w:t>
      </w:r>
      <w:r w:rsidR="007E513F">
        <w:t>but</w:t>
      </w:r>
      <w:r w:rsidR="00761C88">
        <w:t xml:space="preserve"> no </w:t>
      </w:r>
      <w:r w:rsidR="00D218D2">
        <w:t xml:space="preserve">earlier than 12 months after the </w:t>
      </w:r>
      <w:r w:rsidR="003B7199">
        <w:t>Act</w:t>
      </w:r>
      <w:r w:rsidR="00D218D2">
        <w:t xml:space="preserve"> is notified and </w:t>
      </w:r>
      <w:r w:rsidR="00761C88">
        <w:t xml:space="preserve">later than </w:t>
      </w:r>
      <w:r w:rsidR="00D218D2">
        <w:t>30 June 2028.</w:t>
      </w:r>
      <w:r w:rsidR="00D6256C">
        <w:t xml:space="preserve">  Sections</w:t>
      </w:r>
      <w:r w:rsidR="00EF3CDC">
        <w:t xml:space="preserve">15 and 16, concerning </w:t>
      </w:r>
      <w:r w:rsidR="007B0767">
        <w:t>the hours of operation of gambling operations,</w:t>
      </w:r>
      <w:r w:rsidR="00EF3CDC">
        <w:t xml:space="preserve"> commence 3 months after</w:t>
      </w:r>
      <w:r w:rsidR="007B0767">
        <w:t xml:space="preserve"> the notification day</w:t>
      </w:r>
      <w:r w:rsidR="003B7199">
        <w:t>.</w:t>
      </w:r>
    </w:p>
    <w:p w14:paraId="1F6B1A5E" w14:textId="46C6B528" w:rsidR="00D7691D" w:rsidRDefault="00D7691D" w:rsidP="009E19B9">
      <w:pPr>
        <w:rPr>
          <w:b/>
          <w:bCs/>
        </w:rPr>
      </w:pPr>
      <w:r>
        <w:rPr>
          <w:b/>
          <w:bCs/>
        </w:rPr>
        <w:t>Clause 3 – Note</w:t>
      </w:r>
    </w:p>
    <w:p w14:paraId="22F58B5A" w14:textId="177C1931" w:rsidR="00D7691D" w:rsidRPr="00D7691D" w:rsidRDefault="00F60946" w:rsidP="009E19B9">
      <w:r>
        <w:t>F</w:t>
      </w:r>
      <w:r w:rsidR="00155E51">
        <w:t>or clarity</w:t>
      </w:r>
      <w:r>
        <w:t xml:space="preserve">, the note that identifies what parts of the bill </w:t>
      </w:r>
      <w:r w:rsidR="00442B33">
        <w:t>amend other legislation is updated to identify section 15 and 16.</w:t>
      </w:r>
      <w:r w:rsidR="00155E51">
        <w:t xml:space="preserve"> </w:t>
      </w:r>
    </w:p>
    <w:p w14:paraId="58256BF2" w14:textId="222BF16B" w:rsidR="00B22E09" w:rsidRDefault="00FE465C" w:rsidP="009E19B9">
      <w:pPr>
        <w:rPr>
          <w:b/>
          <w:bCs/>
        </w:rPr>
      </w:pPr>
      <w:r>
        <w:rPr>
          <w:b/>
          <w:bCs/>
        </w:rPr>
        <w:t xml:space="preserve">Clause </w:t>
      </w:r>
      <w:r w:rsidR="00442B33">
        <w:rPr>
          <w:b/>
          <w:bCs/>
        </w:rPr>
        <w:t>4</w:t>
      </w:r>
      <w:r w:rsidR="002457EA">
        <w:rPr>
          <w:b/>
          <w:bCs/>
        </w:rPr>
        <w:t xml:space="preserve"> – </w:t>
      </w:r>
      <w:r w:rsidR="00B379A1">
        <w:rPr>
          <w:b/>
          <w:bCs/>
        </w:rPr>
        <w:t>Proposed new clauses 7A to 7</w:t>
      </w:r>
      <w:r w:rsidR="00442B33">
        <w:rPr>
          <w:b/>
          <w:bCs/>
        </w:rPr>
        <w:t>D</w:t>
      </w:r>
    </w:p>
    <w:p w14:paraId="11BBEBE0" w14:textId="0AD96C44" w:rsidR="005E046A" w:rsidRDefault="00613102" w:rsidP="009E19B9">
      <w:r>
        <w:t>This substitutes the heading for section 66</w:t>
      </w:r>
      <w:r w:rsidR="005E046A">
        <w:t>, the content of section 66(2) and 67(2)</w:t>
      </w:r>
      <w:r w:rsidR="0099424F">
        <w:t>, and adds a new section 66A</w:t>
      </w:r>
      <w:r w:rsidR="005E046A">
        <w:t>.</w:t>
      </w:r>
    </w:p>
    <w:p w14:paraId="5C27D4A7" w14:textId="2174AFCB" w:rsidR="00D4744F" w:rsidRDefault="005E046A" w:rsidP="009E19B9">
      <w:r>
        <w:t>The heading of section 66 is amended</w:t>
      </w:r>
      <w:r w:rsidR="001541E0">
        <w:t xml:space="preserve"> so that it </w:t>
      </w:r>
      <w:r w:rsidR="00D95DC4">
        <w:t>describes definitions for the part more broadly than only for the definition of a centralised monitoring system.</w:t>
      </w:r>
    </w:p>
    <w:p w14:paraId="6D80604F" w14:textId="472E4A20" w:rsidR="001124BB" w:rsidRDefault="008D535A" w:rsidP="009E19B9">
      <w:r>
        <w:t>The newly-substituted s</w:t>
      </w:r>
      <w:r w:rsidR="001124BB">
        <w:t xml:space="preserve">ection 66(2) adds definitions for </w:t>
      </w:r>
      <w:r w:rsidR="00211895">
        <w:t xml:space="preserve">a </w:t>
      </w:r>
      <w:r w:rsidR="002B01AA">
        <w:rPr>
          <w:i/>
          <w:iCs/>
        </w:rPr>
        <w:t xml:space="preserve">net loss amount, </w:t>
      </w:r>
      <w:r w:rsidR="00B4698B">
        <w:t xml:space="preserve">a </w:t>
      </w:r>
      <w:r w:rsidR="00B4698B">
        <w:rPr>
          <w:i/>
          <w:iCs/>
        </w:rPr>
        <w:t>playing period,</w:t>
      </w:r>
      <w:r w:rsidR="00B4698B">
        <w:t xml:space="preserve"> and a </w:t>
      </w:r>
      <w:r w:rsidR="00211895" w:rsidRPr="00211895">
        <w:rPr>
          <w:i/>
          <w:iCs/>
        </w:rPr>
        <w:t>pre-commitment system</w:t>
      </w:r>
      <w:r w:rsidR="00211895">
        <w:rPr>
          <w:i/>
          <w:iCs/>
        </w:rPr>
        <w:t>.</w:t>
      </w:r>
      <w:r w:rsidR="00211895">
        <w:t xml:space="preserve"> </w:t>
      </w:r>
      <w:r w:rsidR="00BE69F3">
        <w:t xml:space="preserve"> Recognition that an approval of a CMS under section </w:t>
      </w:r>
      <w:r w:rsidR="002D42F6">
        <w:t xml:space="preserve">66(1) </w:t>
      </w:r>
      <w:r w:rsidR="00CB626F">
        <w:t xml:space="preserve">is a notifiable instrument </w:t>
      </w:r>
      <w:r w:rsidR="002D42F6">
        <w:t xml:space="preserve">is retained at a new section 66(3) and extended to include </w:t>
      </w:r>
      <w:r w:rsidR="00121C6E">
        <w:t xml:space="preserve">any </w:t>
      </w:r>
      <w:r w:rsidR="002D42F6">
        <w:t xml:space="preserve">approval of </w:t>
      </w:r>
      <w:r w:rsidR="00121C6E">
        <w:t xml:space="preserve">a </w:t>
      </w:r>
      <w:r w:rsidR="002D42F6">
        <w:t>pre-commitment</w:t>
      </w:r>
      <w:r w:rsidR="00121C6E">
        <w:t xml:space="preserve"> system under the new section 66(2).  </w:t>
      </w:r>
      <w:r w:rsidR="002D5A48">
        <w:t>D</w:t>
      </w:r>
      <w:r w:rsidR="00113E07">
        <w:t xml:space="preserve">efinitions are adapted from the </w:t>
      </w:r>
      <w:r w:rsidR="00113E07" w:rsidRPr="0093440B">
        <w:rPr>
          <w:i/>
          <w:iCs/>
        </w:rPr>
        <w:t>Casino (Electronic Gaming) Act 2017</w:t>
      </w:r>
      <w:r w:rsidR="00113E07">
        <w:t xml:space="preserve"> for consistency with the </w:t>
      </w:r>
      <w:r w:rsidR="00070645">
        <w:t>as-yet unutilised framework that is in place for a casino.</w:t>
      </w:r>
    </w:p>
    <w:p w14:paraId="18DB8C25" w14:textId="23E5A880" w:rsidR="00C46DB3" w:rsidRDefault="00C46DB3" w:rsidP="009E19B9">
      <w:r>
        <w:t xml:space="preserve">The new section 66A </w:t>
      </w:r>
      <w:r w:rsidR="00C84D1A">
        <w:t xml:space="preserve">describes the mandatory nature of the CMS, including its </w:t>
      </w:r>
      <w:r w:rsidR="003E31B9">
        <w:t>anchoring</w:t>
      </w:r>
      <w:r w:rsidR="00C84D1A">
        <w:t xml:space="preserve"> with the harm-minimisation measures </w:t>
      </w:r>
      <w:r w:rsidR="003E31B9">
        <w:t xml:space="preserve">contained in the pre-commitment system, the exclusion register, </w:t>
      </w:r>
      <w:r w:rsidR="00381619">
        <w:t xml:space="preserve">and </w:t>
      </w:r>
      <w:r w:rsidR="00933EE0">
        <w:t>mandated breaks in play</w:t>
      </w:r>
      <w:r w:rsidR="00381619">
        <w:t xml:space="preserve">.  It also described </w:t>
      </w:r>
      <w:r w:rsidR="00354AF7">
        <w:t xml:space="preserve">the </w:t>
      </w:r>
      <w:r w:rsidR="0044555A">
        <w:t xml:space="preserve">identity-linked </w:t>
      </w:r>
      <w:r w:rsidR="00381619">
        <w:t xml:space="preserve">ACT </w:t>
      </w:r>
      <w:r w:rsidR="0044555A">
        <w:t>player card</w:t>
      </w:r>
      <w:r w:rsidR="00381619">
        <w:t xml:space="preserve"> system </w:t>
      </w:r>
      <w:r w:rsidR="00354AF7">
        <w:t>which consistently enforce</w:t>
      </w:r>
      <w:r w:rsidR="00381619">
        <w:t>s</w:t>
      </w:r>
      <w:r w:rsidR="00354AF7">
        <w:t xml:space="preserve"> the </w:t>
      </w:r>
      <w:r w:rsidR="009744ED">
        <w:t>harm-minimisation measures</w:t>
      </w:r>
      <w:r w:rsidR="00933EE0">
        <w:t>.</w:t>
      </w:r>
    </w:p>
    <w:p w14:paraId="4E48E046" w14:textId="50B4E5E5" w:rsidR="00867E2A" w:rsidRPr="00113E07" w:rsidRDefault="00867E2A" w:rsidP="009E19B9">
      <w:r>
        <w:t>The newly-substituted section 67(2)</w:t>
      </w:r>
      <w:r w:rsidR="003905EE">
        <w:t>, supplemented by the new section 67(3),</w:t>
      </w:r>
      <w:r>
        <w:t xml:space="preserve"> </w:t>
      </w:r>
      <w:r w:rsidR="004C3091">
        <w:t xml:space="preserve">expressly requires that </w:t>
      </w:r>
      <w:r w:rsidR="00F37D13">
        <w:t xml:space="preserve">a regulation containing the matters contained in </w:t>
      </w:r>
      <w:r w:rsidR="00F535E6">
        <w:t>these amendments</w:t>
      </w:r>
      <w:r w:rsidR="00F37D13">
        <w:t xml:space="preserve"> must be made </w:t>
      </w:r>
      <w:r w:rsidR="00982BBB">
        <w:t>and</w:t>
      </w:r>
      <w:r w:rsidR="00F37D13">
        <w:t xml:space="preserve"> commence </w:t>
      </w:r>
      <w:r w:rsidR="00F45AA4">
        <w:t xml:space="preserve">no later than </w:t>
      </w:r>
      <w:r w:rsidR="00982BBB">
        <w:t xml:space="preserve">1 July </w:t>
      </w:r>
      <w:r w:rsidR="00F45AA4">
        <w:t xml:space="preserve">2028.  A new section 67(4) allows for the expiry of </w:t>
      </w:r>
      <w:r w:rsidR="007D3676">
        <w:t xml:space="preserve">67(2) and </w:t>
      </w:r>
      <w:r w:rsidR="00F45AA4">
        <w:t>67(3) on 30</w:t>
      </w:r>
      <w:r w:rsidR="007D3676">
        <w:t xml:space="preserve"> June </w:t>
      </w:r>
      <w:r w:rsidR="00F45AA4">
        <w:t>2029</w:t>
      </w:r>
      <w:r w:rsidR="00515C90">
        <w:t xml:space="preserve"> due to being a transitional provision.</w:t>
      </w:r>
    </w:p>
    <w:p w14:paraId="7F2F135D" w14:textId="46E472A9" w:rsidR="00AC5091" w:rsidRDefault="00AC5091" w:rsidP="009E19B9">
      <w:pPr>
        <w:rPr>
          <w:b/>
          <w:bCs/>
        </w:rPr>
      </w:pPr>
      <w:r>
        <w:rPr>
          <w:b/>
          <w:bCs/>
        </w:rPr>
        <w:t xml:space="preserve">Clause </w:t>
      </w:r>
      <w:r w:rsidR="007D3676">
        <w:rPr>
          <w:b/>
          <w:bCs/>
        </w:rPr>
        <w:t>5</w:t>
      </w:r>
      <w:r>
        <w:rPr>
          <w:b/>
          <w:bCs/>
        </w:rPr>
        <w:t xml:space="preserve"> </w:t>
      </w:r>
      <w:r w:rsidR="0095280E">
        <w:rPr>
          <w:b/>
          <w:bCs/>
        </w:rPr>
        <w:t>–</w:t>
      </w:r>
      <w:r>
        <w:rPr>
          <w:b/>
          <w:bCs/>
        </w:rPr>
        <w:t xml:space="preserve"> </w:t>
      </w:r>
      <w:r w:rsidR="00515C90">
        <w:rPr>
          <w:b/>
          <w:bCs/>
        </w:rPr>
        <w:t>Dictionary updates</w:t>
      </w:r>
    </w:p>
    <w:p w14:paraId="1B576106" w14:textId="450FA086" w:rsidR="00235868" w:rsidRDefault="00515C90" w:rsidP="0096244A">
      <w:r>
        <w:t xml:space="preserve">This adds </w:t>
      </w:r>
      <w:r>
        <w:rPr>
          <w:i/>
          <w:iCs/>
        </w:rPr>
        <w:t xml:space="preserve">net loss </w:t>
      </w:r>
      <w:r w:rsidR="002935AC">
        <w:rPr>
          <w:i/>
          <w:iCs/>
        </w:rPr>
        <w:t>amount, playing period</w:t>
      </w:r>
      <w:r w:rsidR="002935AC">
        <w:rPr>
          <w:i/>
          <w:iCs/>
        </w:rPr>
        <w:t xml:space="preserve"> </w:t>
      </w:r>
      <w:r>
        <w:t xml:space="preserve">and </w:t>
      </w:r>
      <w:r>
        <w:rPr>
          <w:i/>
          <w:iCs/>
        </w:rPr>
        <w:t>pre-commitment system</w:t>
      </w:r>
      <w:r>
        <w:t xml:space="preserve"> to the dictionary, p</w:t>
      </w:r>
      <w:r w:rsidR="001C338B">
        <w:t>ointing to section 66(2).</w:t>
      </w:r>
    </w:p>
    <w:p w14:paraId="3BDBEE51" w14:textId="3921846D" w:rsidR="009A2559" w:rsidRDefault="009A2559" w:rsidP="0096244A">
      <w:r>
        <w:rPr>
          <w:b/>
          <w:bCs/>
        </w:rPr>
        <w:lastRenderedPageBreak/>
        <w:t xml:space="preserve">Clause 6 </w:t>
      </w:r>
      <w:r w:rsidR="00E65317">
        <w:rPr>
          <w:b/>
          <w:bCs/>
        </w:rPr>
        <w:t>–</w:t>
      </w:r>
      <w:r>
        <w:rPr>
          <w:b/>
          <w:bCs/>
        </w:rPr>
        <w:t xml:space="preserve"> </w:t>
      </w:r>
      <w:r w:rsidR="00E65317">
        <w:rPr>
          <w:b/>
          <w:bCs/>
        </w:rPr>
        <w:t>Hours of operation</w:t>
      </w:r>
    </w:p>
    <w:p w14:paraId="2E8623F6" w14:textId="2815E42D" w:rsidR="00E65317" w:rsidRDefault="00E65317" w:rsidP="0096244A">
      <w:r>
        <w:t>This adds new sections 15 and 16 to the bill.</w:t>
      </w:r>
    </w:p>
    <w:p w14:paraId="517E5A1F" w14:textId="6859893B" w:rsidR="00324FDC" w:rsidRDefault="00324FDC" w:rsidP="0096244A">
      <w:r>
        <w:t>The new section 16 amends the excluded operating hours of EGM venues from 4-9am to 2-10am.</w:t>
      </w:r>
    </w:p>
    <w:p w14:paraId="5620EDEB" w14:textId="4BFD0F0C" w:rsidR="00324FDC" w:rsidRPr="00E65317" w:rsidRDefault="00324FDC" w:rsidP="0096244A">
      <w:r>
        <w:t xml:space="preserve">The new section 15 </w:t>
      </w:r>
      <w:r w:rsidR="00C2733E">
        <w:t xml:space="preserve">inserts a new section 27 into the </w:t>
      </w:r>
      <w:r w:rsidR="007A39CC">
        <w:rPr>
          <w:i/>
          <w:iCs/>
        </w:rPr>
        <w:t xml:space="preserve">Gambling and Racing Control (Code of Practice) Regulation 2002, </w:t>
      </w:r>
      <w:r w:rsidR="007A39CC">
        <w:t xml:space="preserve">to </w:t>
      </w:r>
      <w:r>
        <w:t xml:space="preserve">require the Minister to undertake a review </w:t>
      </w:r>
      <w:r w:rsidR="00C2733E">
        <w:t xml:space="preserve">of the changes in operating hours at a time that </w:t>
      </w:r>
      <w:r w:rsidR="007A39CC">
        <w:t>coincides with the implementation of the CMS.</w:t>
      </w:r>
    </w:p>
    <w:sectPr w:rsidR="00324FDC" w:rsidRPr="00E653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1590E" w14:textId="77777777" w:rsidR="00C03F7D" w:rsidRDefault="00C03F7D" w:rsidP="000C0253">
      <w:pPr>
        <w:spacing w:after="0" w:line="240" w:lineRule="auto"/>
      </w:pPr>
      <w:r>
        <w:separator/>
      </w:r>
    </w:p>
  </w:endnote>
  <w:endnote w:type="continuationSeparator" w:id="0">
    <w:p w14:paraId="74B14D41" w14:textId="77777777" w:rsidR="00C03F7D" w:rsidRDefault="00C03F7D" w:rsidP="000C0253">
      <w:pPr>
        <w:spacing w:after="0" w:line="240" w:lineRule="auto"/>
      </w:pPr>
      <w:r>
        <w:continuationSeparator/>
      </w:r>
    </w:p>
  </w:endnote>
  <w:endnote w:type="continuationNotice" w:id="1">
    <w:p w14:paraId="4A35058D" w14:textId="77777777" w:rsidR="00C03F7D" w:rsidRDefault="00C03F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70124" w14:textId="77777777" w:rsidR="00C03F7D" w:rsidRDefault="00C03F7D" w:rsidP="000C0253">
      <w:pPr>
        <w:spacing w:after="0" w:line="240" w:lineRule="auto"/>
      </w:pPr>
      <w:r>
        <w:separator/>
      </w:r>
    </w:p>
  </w:footnote>
  <w:footnote w:type="continuationSeparator" w:id="0">
    <w:p w14:paraId="42897B47" w14:textId="77777777" w:rsidR="00C03F7D" w:rsidRDefault="00C03F7D" w:rsidP="000C0253">
      <w:pPr>
        <w:spacing w:after="0" w:line="240" w:lineRule="auto"/>
      </w:pPr>
      <w:r>
        <w:continuationSeparator/>
      </w:r>
    </w:p>
  </w:footnote>
  <w:footnote w:type="continuationNotice" w:id="1">
    <w:p w14:paraId="701C0A1E" w14:textId="77777777" w:rsidR="00C03F7D" w:rsidRDefault="00C03F7D">
      <w:pPr>
        <w:spacing w:after="0" w:line="240" w:lineRule="auto"/>
      </w:pPr>
    </w:p>
  </w:footnote>
  <w:footnote w:id="2">
    <w:p w14:paraId="6C47FDB9" w14:textId="63FB576E" w:rsidR="00F105CD" w:rsidRDefault="00F105CD">
      <w:pPr>
        <w:pStyle w:val="FootnoteText"/>
      </w:pPr>
      <w:r>
        <w:rPr>
          <w:rStyle w:val="FootnoteReference"/>
        </w:rPr>
        <w:footnoteRef/>
      </w:r>
      <w:r>
        <w:t xml:space="preserve"> </w:t>
      </w:r>
      <w:r>
        <w:rPr>
          <w:rStyle w:val="normaltextrun"/>
          <w:rFonts w:ascii="Calibri" w:hAnsi="Calibri" w:cs="Calibri"/>
          <w:color w:val="4A4A4A"/>
          <w:sz w:val="22"/>
          <w:szCs w:val="22"/>
          <w:shd w:val="clear" w:color="auto" w:fill="FFFFFF"/>
        </w:rPr>
        <w:t>Brett Hetherington and Tony Phillips 2023, </w:t>
      </w:r>
      <w:r>
        <w:rPr>
          <w:rStyle w:val="normaltextrun"/>
          <w:rFonts w:ascii="Calibri" w:hAnsi="Calibri" w:cs="Calibri"/>
          <w:i/>
          <w:iCs/>
          <w:color w:val="4A4A4A"/>
          <w:sz w:val="22"/>
          <w:szCs w:val="22"/>
          <w:shd w:val="clear" w:color="auto" w:fill="FFFFFF"/>
        </w:rPr>
        <w:t>Discussion paper: Gambling harm and the online gambling environment</w:t>
      </w:r>
      <w:r>
        <w:rPr>
          <w:rStyle w:val="normaltextrun"/>
          <w:rFonts w:ascii="Calibri" w:hAnsi="Calibri" w:cs="Calibri"/>
          <w:color w:val="4A4A4A"/>
          <w:sz w:val="22"/>
          <w:szCs w:val="22"/>
          <w:shd w:val="clear" w:color="auto" w:fill="FFFFFF"/>
        </w:rPr>
        <w:t>, Victorian Responsible Gambling Foundation, Melbourne.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85C0B"/>
    <w:multiLevelType w:val="hybridMultilevel"/>
    <w:tmpl w:val="C6B0D10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365A51B3"/>
    <w:multiLevelType w:val="hybridMultilevel"/>
    <w:tmpl w:val="7074B23C"/>
    <w:lvl w:ilvl="0" w:tplc="FFFFFFFF">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DA622F"/>
    <w:multiLevelType w:val="hybridMultilevel"/>
    <w:tmpl w:val="FFFFFFFF"/>
    <w:lvl w:ilvl="0" w:tplc="CFCA37FE">
      <w:start w:val="1"/>
      <w:numFmt w:val="bullet"/>
      <w:lvlText w:val=""/>
      <w:lvlJc w:val="left"/>
      <w:pPr>
        <w:ind w:left="720" w:hanging="360"/>
      </w:pPr>
      <w:rPr>
        <w:rFonts w:ascii="Symbol" w:hAnsi="Symbol" w:hint="default"/>
      </w:rPr>
    </w:lvl>
    <w:lvl w:ilvl="1" w:tplc="8C5ACCC0">
      <w:start w:val="1"/>
      <w:numFmt w:val="bullet"/>
      <w:lvlText w:val="o"/>
      <w:lvlJc w:val="left"/>
      <w:pPr>
        <w:ind w:left="1440" w:hanging="360"/>
      </w:pPr>
      <w:rPr>
        <w:rFonts w:ascii="Courier New" w:hAnsi="Courier New" w:hint="default"/>
      </w:rPr>
    </w:lvl>
    <w:lvl w:ilvl="2" w:tplc="6BA27F42">
      <w:start w:val="1"/>
      <w:numFmt w:val="bullet"/>
      <w:lvlText w:val=""/>
      <w:lvlJc w:val="left"/>
      <w:pPr>
        <w:ind w:left="2160" w:hanging="360"/>
      </w:pPr>
      <w:rPr>
        <w:rFonts w:ascii="Wingdings" w:hAnsi="Wingdings" w:hint="default"/>
      </w:rPr>
    </w:lvl>
    <w:lvl w:ilvl="3" w:tplc="9C92282A">
      <w:start w:val="1"/>
      <w:numFmt w:val="bullet"/>
      <w:lvlText w:val=""/>
      <w:lvlJc w:val="left"/>
      <w:pPr>
        <w:ind w:left="2880" w:hanging="360"/>
      </w:pPr>
      <w:rPr>
        <w:rFonts w:ascii="Symbol" w:hAnsi="Symbol" w:hint="default"/>
      </w:rPr>
    </w:lvl>
    <w:lvl w:ilvl="4" w:tplc="1C80C734">
      <w:start w:val="1"/>
      <w:numFmt w:val="bullet"/>
      <w:lvlText w:val="o"/>
      <w:lvlJc w:val="left"/>
      <w:pPr>
        <w:ind w:left="3600" w:hanging="360"/>
      </w:pPr>
      <w:rPr>
        <w:rFonts w:ascii="Courier New" w:hAnsi="Courier New" w:hint="default"/>
      </w:rPr>
    </w:lvl>
    <w:lvl w:ilvl="5" w:tplc="A7BE8F42">
      <w:start w:val="1"/>
      <w:numFmt w:val="bullet"/>
      <w:lvlText w:val=""/>
      <w:lvlJc w:val="left"/>
      <w:pPr>
        <w:ind w:left="4320" w:hanging="360"/>
      </w:pPr>
      <w:rPr>
        <w:rFonts w:ascii="Wingdings" w:hAnsi="Wingdings" w:hint="default"/>
      </w:rPr>
    </w:lvl>
    <w:lvl w:ilvl="6" w:tplc="3976E650">
      <w:start w:val="1"/>
      <w:numFmt w:val="bullet"/>
      <w:lvlText w:val=""/>
      <w:lvlJc w:val="left"/>
      <w:pPr>
        <w:ind w:left="5040" w:hanging="360"/>
      </w:pPr>
      <w:rPr>
        <w:rFonts w:ascii="Symbol" w:hAnsi="Symbol" w:hint="default"/>
      </w:rPr>
    </w:lvl>
    <w:lvl w:ilvl="7" w:tplc="357681AC">
      <w:start w:val="1"/>
      <w:numFmt w:val="bullet"/>
      <w:lvlText w:val="o"/>
      <w:lvlJc w:val="left"/>
      <w:pPr>
        <w:ind w:left="5760" w:hanging="360"/>
      </w:pPr>
      <w:rPr>
        <w:rFonts w:ascii="Courier New" w:hAnsi="Courier New" w:hint="default"/>
      </w:rPr>
    </w:lvl>
    <w:lvl w:ilvl="8" w:tplc="3092E120">
      <w:start w:val="1"/>
      <w:numFmt w:val="bullet"/>
      <w:lvlText w:val=""/>
      <w:lvlJc w:val="left"/>
      <w:pPr>
        <w:ind w:left="6480" w:hanging="360"/>
      </w:pPr>
      <w:rPr>
        <w:rFonts w:ascii="Wingdings" w:hAnsi="Wingdings" w:hint="default"/>
      </w:rPr>
    </w:lvl>
  </w:abstractNum>
  <w:abstractNum w:abstractNumId="3" w15:restartNumberingAfterBreak="0">
    <w:nsid w:val="39AA9BAA"/>
    <w:multiLevelType w:val="hybridMultilevel"/>
    <w:tmpl w:val="FFFFFFFF"/>
    <w:lvl w:ilvl="0" w:tplc="53DC7354">
      <w:start w:val="1"/>
      <w:numFmt w:val="bullet"/>
      <w:lvlText w:val=""/>
      <w:lvlJc w:val="left"/>
      <w:pPr>
        <w:ind w:left="720" w:hanging="360"/>
      </w:pPr>
      <w:rPr>
        <w:rFonts w:ascii="Symbol" w:hAnsi="Symbol" w:hint="default"/>
      </w:rPr>
    </w:lvl>
    <w:lvl w:ilvl="1" w:tplc="C4DA87F0">
      <w:start w:val="1"/>
      <w:numFmt w:val="bullet"/>
      <w:lvlText w:val="o"/>
      <w:lvlJc w:val="left"/>
      <w:pPr>
        <w:ind w:left="1440" w:hanging="360"/>
      </w:pPr>
      <w:rPr>
        <w:rFonts w:ascii="Courier New" w:hAnsi="Courier New" w:hint="default"/>
      </w:rPr>
    </w:lvl>
    <w:lvl w:ilvl="2" w:tplc="89B6ACB0">
      <w:start w:val="1"/>
      <w:numFmt w:val="bullet"/>
      <w:lvlText w:val=""/>
      <w:lvlJc w:val="left"/>
      <w:pPr>
        <w:ind w:left="2160" w:hanging="360"/>
      </w:pPr>
      <w:rPr>
        <w:rFonts w:ascii="Wingdings" w:hAnsi="Wingdings" w:hint="default"/>
      </w:rPr>
    </w:lvl>
    <w:lvl w:ilvl="3" w:tplc="54F0F980">
      <w:start w:val="1"/>
      <w:numFmt w:val="bullet"/>
      <w:lvlText w:val=""/>
      <w:lvlJc w:val="left"/>
      <w:pPr>
        <w:ind w:left="2880" w:hanging="360"/>
      </w:pPr>
      <w:rPr>
        <w:rFonts w:ascii="Symbol" w:hAnsi="Symbol" w:hint="default"/>
      </w:rPr>
    </w:lvl>
    <w:lvl w:ilvl="4" w:tplc="296C890C">
      <w:start w:val="1"/>
      <w:numFmt w:val="bullet"/>
      <w:lvlText w:val="o"/>
      <w:lvlJc w:val="left"/>
      <w:pPr>
        <w:ind w:left="3600" w:hanging="360"/>
      </w:pPr>
      <w:rPr>
        <w:rFonts w:ascii="Courier New" w:hAnsi="Courier New" w:hint="default"/>
      </w:rPr>
    </w:lvl>
    <w:lvl w:ilvl="5" w:tplc="242645D0">
      <w:start w:val="1"/>
      <w:numFmt w:val="bullet"/>
      <w:lvlText w:val=""/>
      <w:lvlJc w:val="left"/>
      <w:pPr>
        <w:ind w:left="4320" w:hanging="360"/>
      </w:pPr>
      <w:rPr>
        <w:rFonts w:ascii="Wingdings" w:hAnsi="Wingdings" w:hint="default"/>
      </w:rPr>
    </w:lvl>
    <w:lvl w:ilvl="6" w:tplc="8ECEE962">
      <w:start w:val="1"/>
      <w:numFmt w:val="bullet"/>
      <w:lvlText w:val=""/>
      <w:lvlJc w:val="left"/>
      <w:pPr>
        <w:ind w:left="5040" w:hanging="360"/>
      </w:pPr>
      <w:rPr>
        <w:rFonts w:ascii="Symbol" w:hAnsi="Symbol" w:hint="default"/>
      </w:rPr>
    </w:lvl>
    <w:lvl w:ilvl="7" w:tplc="01742046">
      <w:start w:val="1"/>
      <w:numFmt w:val="bullet"/>
      <w:lvlText w:val="o"/>
      <w:lvlJc w:val="left"/>
      <w:pPr>
        <w:ind w:left="5760" w:hanging="360"/>
      </w:pPr>
      <w:rPr>
        <w:rFonts w:ascii="Courier New" w:hAnsi="Courier New" w:hint="default"/>
      </w:rPr>
    </w:lvl>
    <w:lvl w:ilvl="8" w:tplc="84C0275A">
      <w:start w:val="1"/>
      <w:numFmt w:val="bullet"/>
      <w:lvlText w:val=""/>
      <w:lvlJc w:val="left"/>
      <w:pPr>
        <w:ind w:left="6480" w:hanging="360"/>
      </w:pPr>
      <w:rPr>
        <w:rFonts w:ascii="Wingdings" w:hAnsi="Wingdings" w:hint="default"/>
      </w:rPr>
    </w:lvl>
  </w:abstractNum>
  <w:abstractNum w:abstractNumId="4" w15:restartNumberingAfterBreak="0">
    <w:nsid w:val="42F22257"/>
    <w:multiLevelType w:val="hybridMultilevel"/>
    <w:tmpl w:val="FFFFFFFF"/>
    <w:lvl w:ilvl="0" w:tplc="A1222C32">
      <w:start w:val="1"/>
      <w:numFmt w:val="bullet"/>
      <w:lvlText w:val=""/>
      <w:lvlJc w:val="left"/>
      <w:pPr>
        <w:ind w:left="720" w:hanging="360"/>
      </w:pPr>
      <w:rPr>
        <w:rFonts w:ascii="Symbol" w:hAnsi="Symbol" w:hint="default"/>
      </w:rPr>
    </w:lvl>
    <w:lvl w:ilvl="1" w:tplc="E36C5FAC">
      <w:start w:val="1"/>
      <w:numFmt w:val="bullet"/>
      <w:lvlText w:val="o"/>
      <w:lvlJc w:val="left"/>
      <w:pPr>
        <w:ind w:left="1440" w:hanging="360"/>
      </w:pPr>
      <w:rPr>
        <w:rFonts w:ascii="Courier New" w:hAnsi="Courier New" w:hint="default"/>
      </w:rPr>
    </w:lvl>
    <w:lvl w:ilvl="2" w:tplc="B6824F78">
      <w:start w:val="1"/>
      <w:numFmt w:val="bullet"/>
      <w:lvlText w:val=""/>
      <w:lvlJc w:val="left"/>
      <w:pPr>
        <w:ind w:left="2160" w:hanging="360"/>
      </w:pPr>
      <w:rPr>
        <w:rFonts w:ascii="Wingdings" w:hAnsi="Wingdings" w:hint="default"/>
      </w:rPr>
    </w:lvl>
    <w:lvl w:ilvl="3" w:tplc="09C4E42C">
      <w:start w:val="1"/>
      <w:numFmt w:val="bullet"/>
      <w:lvlText w:val=""/>
      <w:lvlJc w:val="left"/>
      <w:pPr>
        <w:ind w:left="2880" w:hanging="360"/>
      </w:pPr>
      <w:rPr>
        <w:rFonts w:ascii="Symbol" w:hAnsi="Symbol" w:hint="default"/>
      </w:rPr>
    </w:lvl>
    <w:lvl w:ilvl="4" w:tplc="2BA48C12">
      <w:start w:val="1"/>
      <w:numFmt w:val="bullet"/>
      <w:lvlText w:val="o"/>
      <w:lvlJc w:val="left"/>
      <w:pPr>
        <w:ind w:left="3600" w:hanging="360"/>
      </w:pPr>
      <w:rPr>
        <w:rFonts w:ascii="Courier New" w:hAnsi="Courier New" w:hint="default"/>
      </w:rPr>
    </w:lvl>
    <w:lvl w:ilvl="5" w:tplc="220A2324">
      <w:start w:val="1"/>
      <w:numFmt w:val="bullet"/>
      <w:lvlText w:val=""/>
      <w:lvlJc w:val="left"/>
      <w:pPr>
        <w:ind w:left="4320" w:hanging="360"/>
      </w:pPr>
      <w:rPr>
        <w:rFonts w:ascii="Wingdings" w:hAnsi="Wingdings" w:hint="default"/>
      </w:rPr>
    </w:lvl>
    <w:lvl w:ilvl="6" w:tplc="A0FC50B4">
      <w:start w:val="1"/>
      <w:numFmt w:val="bullet"/>
      <w:lvlText w:val=""/>
      <w:lvlJc w:val="left"/>
      <w:pPr>
        <w:ind w:left="5040" w:hanging="360"/>
      </w:pPr>
      <w:rPr>
        <w:rFonts w:ascii="Symbol" w:hAnsi="Symbol" w:hint="default"/>
      </w:rPr>
    </w:lvl>
    <w:lvl w:ilvl="7" w:tplc="968640EA">
      <w:start w:val="1"/>
      <w:numFmt w:val="bullet"/>
      <w:lvlText w:val="o"/>
      <w:lvlJc w:val="left"/>
      <w:pPr>
        <w:ind w:left="5760" w:hanging="360"/>
      </w:pPr>
      <w:rPr>
        <w:rFonts w:ascii="Courier New" w:hAnsi="Courier New" w:hint="default"/>
      </w:rPr>
    </w:lvl>
    <w:lvl w:ilvl="8" w:tplc="CFCC4F6C">
      <w:start w:val="1"/>
      <w:numFmt w:val="bullet"/>
      <w:lvlText w:val=""/>
      <w:lvlJc w:val="left"/>
      <w:pPr>
        <w:ind w:left="6480" w:hanging="360"/>
      </w:pPr>
      <w:rPr>
        <w:rFonts w:ascii="Wingdings" w:hAnsi="Wingdings" w:hint="default"/>
      </w:rPr>
    </w:lvl>
  </w:abstractNum>
  <w:abstractNum w:abstractNumId="5" w15:restartNumberingAfterBreak="0">
    <w:nsid w:val="5BA100C4"/>
    <w:multiLevelType w:val="hybridMultilevel"/>
    <w:tmpl w:val="026C2B72"/>
    <w:lvl w:ilvl="0" w:tplc="0C09000F">
      <w:start w:val="1"/>
      <w:numFmt w:val="decimal"/>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6" w15:restartNumberingAfterBreak="0">
    <w:nsid w:val="69C2050A"/>
    <w:multiLevelType w:val="hybridMultilevel"/>
    <w:tmpl w:val="21CCFC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7E54E6B"/>
    <w:multiLevelType w:val="hybridMultilevel"/>
    <w:tmpl w:val="6FE4FF22"/>
    <w:lvl w:ilvl="0" w:tplc="8C3436B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06977238">
    <w:abstractNumId w:val="3"/>
  </w:num>
  <w:num w:numId="2" w16cid:durableId="503086165">
    <w:abstractNumId w:val="2"/>
  </w:num>
  <w:num w:numId="3" w16cid:durableId="2055231516">
    <w:abstractNumId w:val="4"/>
  </w:num>
  <w:num w:numId="4" w16cid:durableId="1265380553">
    <w:abstractNumId w:val="6"/>
  </w:num>
  <w:num w:numId="5" w16cid:durableId="328485493">
    <w:abstractNumId w:val="0"/>
  </w:num>
  <w:num w:numId="6" w16cid:durableId="2065330351">
    <w:abstractNumId w:val="1"/>
  </w:num>
  <w:num w:numId="7" w16cid:durableId="1758668657">
    <w:abstractNumId w:val="5"/>
  </w:num>
  <w:num w:numId="8" w16cid:durableId="6736056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6E"/>
    <w:rsid w:val="00012995"/>
    <w:rsid w:val="00013F1A"/>
    <w:rsid w:val="000255A9"/>
    <w:rsid w:val="0003103E"/>
    <w:rsid w:val="00033726"/>
    <w:rsid w:val="00037507"/>
    <w:rsid w:val="000418AF"/>
    <w:rsid w:val="00053679"/>
    <w:rsid w:val="0005732A"/>
    <w:rsid w:val="0005780D"/>
    <w:rsid w:val="00065818"/>
    <w:rsid w:val="00070645"/>
    <w:rsid w:val="0008370D"/>
    <w:rsid w:val="000A22D1"/>
    <w:rsid w:val="000A328D"/>
    <w:rsid w:val="000B1152"/>
    <w:rsid w:val="000B4AC3"/>
    <w:rsid w:val="000B7A4A"/>
    <w:rsid w:val="000C0253"/>
    <w:rsid w:val="000D07C7"/>
    <w:rsid w:val="000D1214"/>
    <w:rsid w:val="000D29F7"/>
    <w:rsid w:val="000D45E8"/>
    <w:rsid w:val="000D766C"/>
    <w:rsid w:val="000E140C"/>
    <w:rsid w:val="000E17A5"/>
    <w:rsid w:val="000E2061"/>
    <w:rsid w:val="000E22F7"/>
    <w:rsid w:val="000F48D8"/>
    <w:rsid w:val="000F560A"/>
    <w:rsid w:val="000F774D"/>
    <w:rsid w:val="00112360"/>
    <w:rsid w:val="001124BB"/>
    <w:rsid w:val="00112F21"/>
    <w:rsid w:val="00113E07"/>
    <w:rsid w:val="00115A42"/>
    <w:rsid w:val="00121C6E"/>
    <w:rsid w:val="0012285C"/>
    <w:rsid w:val="001230C4"/>
    <w:rsid w:val="001233FB"/>
    <w:rsid w:val="001307B8"/>
    <w:rsid w:val="00134884"/>
    <w:rsid w:val="00134D16"/>
    <w:rsid w:val="00136D77"/>
    <w:rsid w:val="00143A71"/>
    <w:rsid w:val="00143CA3"/>
    <w:rsid w:val="0014452A"/>
    <w:rsid w:val="00150089"/>
    <w:rsid w:val="001541E0"/>
    <w:rsid w:val="00154953"/>
    <w:rsid w:val="00155E51"/>
    <w:rsid w:val="00160BEC"/>
    <w:rsid w:val="0017652F"/>
    <w:rsid w:val="00182647"/>
    <w:rsid w:val="001861B6"/>
    <w:rsid w:val="00186FEE"/>
    <w:rsid w:val="00191F72"/>
    <w:rsid w:val="001923C5"/>
    <w:rsid w:val="001969EE"/>
    <w:rsid w:val="001A026A"/>
    <w:rsid w:val="001B0904"/>
    <w:rsid w:val="001B5C49"/>
    <w:rsid w:val="001B69CB"/>
    <w:rsid w:val="001C338B"/>
    <w:rsid w:val="001C3989"/>
    <w:rsid w:val="001C59D3"/>
    <w:rsid w:val="001D0BBF"/>
    <w:rsid w:val="001E3A79"/>
    <w:rsid w:val="001E3EE1"/>
    <w:rsid w:val="001E43B1"/>
    <w:rsid w:val="00210E8C"/>
    <w:rsid w:val="00211025"/>
    <w:rsid w:val="00211895"/>
    <w:rsid w:val="00211CCF"/>
    <w:rsid w:val="00212629"/>
    <w:rsid w:val="00212856"/>
    <w:rsid w:val="002270B9"/>
    <w:rsid w:val="00234A47"/>
    <w:rsid w:val="00235868"/>
    <w:rsid w:val="00242156"/>
    <w:rsid w:val="002457EA"/>
    <w:rsid w:val="00250A78"/>
    <w:rsid w:val="00261DD2"/>
    <w:rsid w:val="00274EEA"/>
    <w:rsid w:val="002765B7"/>
    <w:rsid w:val="00276741"/>
    <w:rsid w:val="002935AC"/>
    <w:rsid w:val="002963B5"/>
    <w:rsid w:val="00296FB6"/>
    <w:rsid w:val="002A06AE"/>
    <w:rsid w:val="002A2142"/>
    <w:rsid w:val="002A3E7C"/>
    <w:rsid w:val="002A6717"/>
    <w:rsid w:val="002B01AA"/>
    <w:rsid w:val="002B21CD"/>
    <w:rsid w:val="002B4631"/>
    <w:rsid w:val="002C129B"/>
    <w:rsid w:val="002D041F"/>
    <w:rsid w:val="002D1657"/>
    <w:rsid w:val="002D42F6"/>
    <w:rsid w:val="002D5A48"/>
    <w:rsid w:val="002E52DC"/>
    <w:rsid w:val="002F7019"/>
    <w:rsid w:val="00302EF1"/>
    <w:rsid w:val="00305BB7"/>
    <w:rsid w:val="00323C72"/>
    <w:rsid w:val="00324FDC"/>
    <w:rsid w:val="0033033D"/>
    <w:rsid w:val="0033542C"/>
    <w:rsid w:val="00336F46"/>
    <w:rsid w:val="00337D1E"/>
    <w:rsid w:val="00354AF7"/>
    <w:rsid w:val="003601F1"/>
    <w:rsid w:val="00362081"/>
    <w:rsid w:val="00372287"/>
    <w:rsid w:val="00372FC3"/>
    <w:rsid w:val="003756AF"/>
    <w:rsid w:val="00381619"/>
    <w:rsid w:val="00381995"/>
    <w:rsid w:val="003905EE"/>
    <w:rsid w:val="00396F62"/>
    <w:rsid w:val="003A6C85"/>
    <w:rsid w:val="003B7199"/>
    <w:rsid w:val="003C6024"/>
    <w:rsid w:val="003D1D10"/>
    <w:rsid w:val="003D2282"/>
    <w:rsid w:val="003D7A13"/>
    <w:rsid w:val="003E31B9"/>
    <w:rsid w:val="003E766D"/>
    <w:rsid w:val="003F584E"/>
    <w:rsid w:val="00404DE4"/>
    <w:rsid w:val="00411A05"/>
    <w:rsid w:val="00412765"/>
    <w:rsid w:val="0043451F"/>
    <w:rsid w:val="00442B33"/>
    <w:rsid w:val="00443B6F"/>
    <w:rsid w:val="00444449"/>
    <w:rsid w:val="0044555A"/>
    <w:rsid w:val="004519AE"/>
    <w:rsid w:val="00453394"/>
    <w:rsid w:val="00455514"/>
    <w:rsid w:val="00470018"/>
    <w:rsid w:val="004710BC"/>
    <w:rsid w:val="004722EE"/>
    <w:rsid w:val="004740D1"/>
    <w:rsid w:val="00481798"/>
    <w:rsid w:val="004921AA"/>
    <w:rsid w:val="00493680"/>
    <w:rsid w:val="004A08F6"/>
    <w:rsid w:val="004A14AD"/>
    <w:rsid w:val="004A5F57"/>
    <w:rsid w:val="004C0E73"/>
    <w:rsid w:val="004C2F04"/>
    <w:rsid w:val="004C3091"/>
    <w:rsid w:val="004C62FC"/>
    <w:rsid w:val="004D16A8"/>
    <w:rsid w:val="004D28C8"/>
    <w:rsid w:val="004E161A"/>
    <w:rsid w:val="004F67CF"/>
    <w:rsid w:val="00501274"/>
    <w:rsid w:val="005015A8"/>
    <w:rsid w:val="00514C87"/>
    <w:rsid w:val="00515C90"/>
    <w:rsid w:val="00522140"/>
    <w:rsid w:val="0052278C"/>
    <w:rsid w:val="005228A7"/>
    <w:rsid w:val="00531A09"/>
    <w:rsid w:val="00537DBA"/>
    <w:rsid w:val="005472FA"/>
    <w:rsid w:val="00550A62"/>
    <w:rsid w:val="00552197"/>
    <w:rsid w:val="00563C9F"/>
    <w:rsid w:val="0057338D"/>
    <w:rsid w:val="00575D35"/>
    <w:rsid w:val="00580C4E"/>
    <w:rsid w:val="005908E6"/>
    <w:rsid w:val="00596CA0"/>
    <w:rsid w:val="0059719B"/>
    <w:rsid w:val="005B10C2"/>
    <w:rsid w:val="005B56FF"/>
    <w:rsid w:val="005B6BE8"/>
    <w:rsid w:val="005C57AE"/>
    <w:rsid w:val="005C5C69"/>
    <w:rsid w:val="005C5D55"/>
    <w:rsid w:val="005C6123"/>
    <w:rsid w:val="005C6550"/>
    <w:rsid w:val="005D2817"/>
    <w:rsid w:val="005D28FA"/>
    <w:rsid w:val="005E01E8"/>
    <w:rsid w:val="005E046A"/>
    <w:rsid w:val="005E18F5"/>
    <w:rsid w:val="005E2887"/>
    <w:rsid w:val="005E433A"/>
    <w:rsid w:val="005E4E2E"/>
    <w:rsid w:val="005E5BA0"/>
    <w:rsid w:val="005E6D8F"/>
    <w:rsid w:val="005F10DD"/>
    <w:rsid w:val="005F5417"/>
    <w:rsid w:val="00603C13"/>
    <w:rsid w:val="00606BD2"/>
    <w:rsid w:val="00613102"/>
    <w:rsid w:val="006175BF"/>
    <w:rsid w:val="0062287E"/>
    <w:rsid w:val="00626F40"/>
    <w:rsid w:val="00627918"/>
    <w:rsid w:val="00627FA2"/>
    <w:rsid w:val="006336CD"/>
    <w:rsid w:val="00634208"/>
    <w:rsid w:val="006646A8"/>
    <w:rsid w:val="00667EE6"/>
    <w:rsid w:val="006767C0"/>
    <w:rsid w:val="00690C29"/>
    <w:rsid w:val="006911CE"/>
    <w:rsid w:val="0069454F"/>
    <w:rsid w:val="006B2B76"/>
    <w:rsid w:val="006B4925"/>
    <w:rsid w:val="006C1171"/>
    <w:rsid w:val="006C2D0A"/>
    <w:rsid w:val="006C59F7"/>
    <w:rsid w:val="006D3507"/>
    <w:rsid w:val="006D6E67"/>
    <w:rsid w:val="006E3CE9"/>
    <w:rsid w:val="006E413A"/>
    <w:rsid w:val="006F0DFE"/>
    <w:rsid w:val="006F34F1"/>
    <w:rsid w:val="006F3BA6"/>
    <w:rsid w:val="00700F7F"/>
    <w:rsid w:val="00702E8A"/>
    <w:rsid w:val="007074F2"/>
    <w:rsid w:val="007151C4"/>
    <w:rsid w:val="0072240C"/>
    <w:rsid w:val="0073659C"/>
    <w:rsid w:val="0074350D"/>
    <w:rsid w:val="00744B1C"/>
    <w:rsid w:val="00761C88"/>
    <w:rsid w:val="0077221D"/>
    <w:rsid w:val="00772AD8"/>
    <w:rsid w:val="0077325F"/>
    <w:rsid w:val="00782E7D"/>
    <w:rsid w:val="007833AC"/>
    <w:rsid w:val="0079147D"/>
    <w:rsid w:val="00795045"/>
    <w:rsid w:val="007A39CC"/>
    <w:rsid w:val="007B0767"/>
    <w:rsid w:val="007B08CB"/>
    <w:rsid w:val="007B287F"/>
    <w:rsid w:val="007B46FE"/>
    <w:rsid w:val="007D3676"/>
    <w:rsid w:val="007E36AC"/>
    <w:rsid w:val="007E513F"/>
    <w:rsid w:val="007F75F1"/>
    <w:rsid w:val="00801391"/>
    <w:rsid w:val="00804982"/>
    <w:rsid w:val="00807257"/>
    <w:rsid w:val="00827A0F"/>
    <w:rsid w:val="008329BC"/>
    <w:rsid w:val="008344DB"/>
    <w:rsid w:val="00841A3D"/>
    <w:rsid w:val="00841B29"/>
    <w:rsid w:val="00841F2F"/>
    <w:rsid w:val="00841FC1"/>
    <w:rsid w:val="008461E2"/>
    <w:rsid w:val="00861DDD"/>
    <w:rsid w:val="00867E2A"/>
    <w:rsid w:val="00870163"/>
    <w:rsid w:val="00870687"/>
    <w:rsid w:val="008717A3"/>
    <w:rsid w:val="00875E20"/>
    <w:rsid w:val="00880DA4"/>
    <w:rsid w:val="008821C3"/>
    <w:rsid w:val="00883E3B"/>
    <w:rsid w:val="00893EF4"/>
    <w:rsid w:val="008A4DFF"/>
    <w:rsid w:val="008A725E"/>
    <w:rsid w:val="008B55A1"/>
    <w:rsid w:val="008C1399"/>
    <w:rsid w:val="008C6417"/>
    <w:rsid w:val="008C6544"/>
    <w:rsid w:val="008D23C0"/>
    <w:rsid w:val="008D27AA"/>
    <w:rsid w:val="008D3AE5"/>
    <w:rsid w:val="008D535A"/>
    <w:rsid w:val="008E236B"/>
    <w:rsid w:val="008F1D5B"/>
    <w:rsid w:val="008F3D76"/>
    <w:rsid w:val="008F7A42"/>
    <w:rsid w:val="00902972"/>
    <w:rsid w:val="00910AAA"/>
    <w:rsid w:val="00913B7D"/>
    <w:rsid w:val="00915839"/>
    <w:rsid w:val="0092172E"/>
    <w:rsid w:val="00933EE0"/>
    <w:rsid w:val="0093440B"/>
    <w:rsid w:val="00935EEC"/>
    <w:rsid w:val="0093633F"/>
    <w:rsid w:val="00940435"/>
    <w:rsid w:val="00941DEF"/>
    <w:rsid w:val="00941FB4"/>
    <w:rsid w:val="00950635"/>
    <w:rsid w:val="0095280E"/>
    <w:rsid w:val="00952FA1"/>
    <w:rsid w:val="009615DE"/>
    <w:rsid w:val="00961F9B"/>
    <w:rsid w:val="0096244A"/>
    <w:rsid w:val="00963A7B"/>
    <w:rsid w:val="009744ED"/>
    <w:rsid w:val="00974E7D"/>
    <w:rsid w:val="0098144E"/>
    <w:rsid w:val="00982BBB"/>
    <w:rsid w:val="0099424F"/>
    <w:rsid w:val="009962DA"/>
    <w:rsid w:val="009A2559"/>
    <w:rsid w:val="009B5EDA"/>
    <w:rsid w:val="009C1D41"/>
    <w:rsid w:val="009C21B9"/>
    <w:rsid w:val="009D13A3"/>
    <w:rsid w:val="009E172F"/>
    <w:rsid w:val="009E19B9"/>
    <w:rsid w:val="009F16E0"/>
    <w:rsid w:val="009F55FA"/>
    <w:rsid w:val="00A03667"/>
    <w:rsid w:val="00A1051A"/>
    <w:rsid w:val="00A11F35"/>
    <w:rsid w:val="00A121D7"/>
    <w:rsid w:val="00A27A56"/>
    <w:rsid w:val="00A31984"/>
    <w:rsid w:val="00A32976"/>
    <w:rsid w:val="00A45D1B"/>
    <w:rsid w:val="00A53D44"/>
    <w:rsid w:val="00A53D61"/>
    <w:rsid w:val="00A55BC4"/>
    <w:rsid w:val="00A663C1"/>
    <w:rsid w:val="00A7338D"/>
    <w:rsid w:val="00A81454"/>
    <w:rsid w:val="00A81B4A"/>
    <w:rsid w:val="00A835F8"/>
    <w:rsid w:val="00A83B53"/>
    <w:rsid w:val="00AB7154"/>
    <w:rsid w:val="00AC26D1"/>
    <w:rsid w:val="00AC45C2"/>
    <w:rsid w:val="00AC5091"/>
    <w:rsid w:val="00AC5F42"/>
    <w:rsid w:val="00AC6ECE"/>
    <w:rsid w:val="00AC7E98"/>
    <w:rsid w:val="00AD13DF"/>
    <w:rsid w:val="00AE3016"/>
    <w:rsid w:val="00AF571C"/>
    <w:rsid w:val="00AF62BB"/>
    <w:rsid w:val="00AF64C1"/>
    <w:rsid w:val="00AF79F7"/>
    <w:rsid w:val="00B22E09"/>
    <w:rsid w:val="00B2420C"/>
    <w:rsid w:val="00B253AF"/>
    <w:rsid w:val="00B305C0"/>
    <w:rsid w:val="00B30747"/>
    <w:rsid w:val="00B307C3"/>
    <w:rsid w:val="00B31399"/>
    <w:rsid w:val="00B316C9"/>
    <w:rsid w:val="00B3178C"/>
    <w:rsid w:val="00B372B0"/>
    <w:rsid w:val="00B379A1"/>
    <w:rsid w:val="00B41BFE"/>
    <w:rsid w:val="00B45E81"/>
    <w:rsid w:val="00B4698B"/>
    <w:rsid w:val="00B51233"/>
    <w:rsid w:val="00B54E90"/>
    <w:rsid w:val="00B61B5D"/>
    <w:rsid w:val="00B76179"/>
    <w:rsid w:val="00B81254"/>
    <w:rsid w:val="00B91C12"/>
    <w:rsid w:val="00B92116"/>
    <w:rsid w:val="00B957FC"/>
    <w:rsid w:val="00BA23D4"/>
    <w:rsid w:val="00BB0D02"/>
    <w:rsid w:val="00BB52D5"/>
    <w:rsid w:val="00BB5627"/>
    <w:rsid w:val="00BB6579"/>
    <w:rsid w:val="00BC22D8"/>
    <w:rsid w:val="00BC71B3"/>
    <w:rsid w:val="00BD4B12"/>
    <w:rsid w:val="00BE340F"/>
    <w:rsid w:val="00BE69F3"/>
    <w:rsid w:val="00BF201B"/>
    <w:rsid w:val="00BF28B5"/>
    <w:rsid w:val="00C00B3A"/>
    <w:rsid w:val="00C013DA"/>
    <w:rsid w:val="00C03A94"/>
    <w:rsid w:val="00C03F7D"/>
    <w:rsid w:val="00C06DC2"/>
    <w:rsid w:val="00C22448"/>
    <w:rsid w:val="00C2733E"/>
    <w:rsid w:val="00C35EAB"/>
    <w:rsid w:val="00C42D46"/>
    <w:rsid w:val="00C42ED2"/>
    <w:rsid w:val="00C43D39"/>
    <w:rsid w:val="00C46DB3"/>
    <w:rsid w:val="00C5746A"/>
    <w:rsid w:val="00C64AC8"/>
    <w:rsid w:val="00C64C66"/>
    <w:rsid w:val="00C6732D"/>
    <w:rsid w:val="00C82680"/>
    <w:rsid w:val="00C82A2F"/>
    <w:rsid w:val="00C84D1A"/>
    <w:rsid w:val="00C90528"/>
    <w:rsid w:val="00C961E0"/>
    <w:rsid w:val="00C968B7"/>
    <w:rsid w:val="00C96F3B"/>
    <w:rsid w:val="00CA0949"/>
    <w:rsid w:val="00CB38E2"/>
    <w:rsid w:val="00CB39AE"/>
    <w:rsid w:val="00CB626F"/>
    <w:rsid w:val="00CC07A0"/>
    <w:rsid w:val="00CC126E"/>
    <w:rsid w:val="00CC2ABA"/>
    <w:rsid w:val="00CC2CB4"/>
    <w:rsid w:val="00CC6257"/>
    <w:rsid w:val="00CD3762"/>
    <w:rsid w:val="00CD57A6"/>
    <w:rsid w:val="00CD66CB"/>
    <w:rsid w:val="00D1275F"/>
    <w:rsid w:val="00D1484A"/>
    <w:rsid w:val="00D17E16"/>
    <w:rsid w:val="00D218D2"/>
    <w:rsid w:val="00D22EE4"/>
    <w:rsid w:val="00D241B2"/>
    <w:rsid w:val="00D34CE6"/>
    <w:rsid w:val="00D42184"/>
    <w:rsid w:val="00D46586"/>
    <w:rsid w:val="00D4744F"/>
    <w:rsid w:val="00D5010F"/>
    <w:rsid w:val="00D519EC"/>
    <w:rsid w:val="00D53337"/>
    <w:rsid w:val="00D54C15"/>
    <w:rsid w:val="00D54C20"/>
    <w:rsid w:val="00D57883"/>
    <w:rsid w:val="00D6256C"/>
    <w:rsid w:val="00D64788"/>
    <w:rsid w:val="00D7691D"/>
    <w:rsid w:val="00D815D1"/>
    <w:rsid w:val="00D81A55"/>
    <w:rsid w:val="00D919FF"/>
    <w:rsid w:val="00D95DC4"/>
    <w:rsid w:val="00D964A1"/>
    <w:rsid w:val="00DA1B7B"/>
    <w:rsid w:val="00DA1E4B"/>
    <w:rsid w:val="00DA5426"/>
    <w:rsid w:val="00DA62EA"/>
    <w:rsid w:val="00DB7758"/>
    <w:rsid w:val="00DD0FF8"/>
    <w:rsid w:val="00DD6ED1"/>
    <w:rsid w:val="00DE1F49"/>
    <w:rsid w:val="00DE4306"/>
    <w:rsid w:val="00DE4AAF"/>
    <w:rsid w:val="00E03DBB"/>
    <w:rsid w:val="00E04352"/>
    <w:rsid w:val="00E12AA3"/>
    <w:rsid w:val="00E40610"/>
    <w:rsid w:val="00E41728"/>
    <w:rsid w:val="00E4224B"/>
    <w:rsid w:val="00E43D28"/>
    <w:rsid w:val="00E449A3"/>
    <w:rsid w:val="00E56FE0"/>
    <w:rsid w:val="00E63552"/>
    <w:rsid w:val="00E65317"/>
    <w:rsid w:val="00E65477"/>
    <w:rsid w:val="00E73CF1"/>
    <w:rsid w:val="00E76E45"/>
    <w:rsid w:val="00EA022C"/>
    <w:rsid w:val="00EA476C"/>
    <w:rsid w:val="00EA5D26"/>
    <w:rsid w:val="00EA6ACE"/>
    <w:rsid w:val="00EB23FA"/>
    <w:rsid w:val="00EB305D"/>
    <w:rsid w:val="00EB569F"/>
    <w:rsid w:val="00EB7145"/>
    <w:rsid w:val="00EC614A"/>
    <w:rsid w:val="00EC64F1"/>
    <w:rsid w:val="00EC74A1"/>
    <w:rsid w:val="00EE6570"/>
    <w:rsid w:val="00EF3CDC"/>
    <w:rsid w:val="00EF5840"/>
    <w:rsid w:val="00F0075D"/>
    <w:rsid w:val="00F105CD"/>
    <w:rsid w:val="00F17E88"/>
    <w:rsid w:val="00F206B4"/>
    <w:rsid w:val="00F2431E"/>
    <w:rsid w:val="00F24435"/>
    <w:rsid w:val="00F2576C"/>
    <w:rsid w:val="00F31665"/>
    <w:rsid w:val="00F37D13"/>
    <w:rsid w:val="00F45AA4"/>
    <w:rsid w:val="00F5080C"/>
    <w:rsid w:val="00F535E6"/>
    <w:rsid w:val="00F5398A"/>
    <w:rsid w:val="00F54605"/>
    <w:rsid w:val="00F571EA"/>
    <w:rsid w:val="00F60946"/>
    <w:rsid w:val="00F642F8"/>
    <w:rsid w:val="00F66F5F"/>
    <w:rsid w:val="00F67442"/>
    <w:rsid w:val="00F703C5"/>
    <w:rsid w:val="00F72591"/>
    <w:rsid w:val="00F9664E"/>
    <w:rsid w:val="00FA6005"/>
    <w:rsid w:val="00FB3DE2"/>
    <w:rsid w:val="00FB7BF9"/>
    <w:rsid w:val="00FC513E"/>
    <w:rsid w:val="00FC612B"/>
    <w:rsid w:val="00FC70CA"/>
    <w:rsid w:val="00FD1B7F"/>
    <w:rsid w:val="00FD75CA"/>
    <w:rsid w:val="00FE18DA"/>
    <w:rsid w:val="00FE20B1"/>
    <w:rsid w:val="00FE465C"/>
    <w:rsid w:val="00FE6713"/>
    <w:rsid w:val="00FF337D"/>
    <w:rsid w:val="00FF6166"/>
    <w:rsid w:val="00FF6409"/>
    <w:rsid w:val="01D29A66"/>
    <w:rsid w:val="027F4CCA"/>
    <w:rsid w:val="0293603E"/>
    <w:rsid w:val="04E3ED92"/>
    <w:rsid w:val="04EBA83B"/>
    <w:rsid w:val="056B327D"/>
    <w:rsid w:val="095D7B88"/>
    <w:rsid w:val="0A6C699C"/>
    <w:rsid w:val="0AD5FE66"/>
    <w:rsid w:val="0B3BC998"/>
    <w:rsid w:val="0C3AF856"/>
    <w:rsid w:val="0D16FBB3"/>
    <w:rsid w:val="0D1B906D"/>
    <w:rsid w:val="0F0C4950"/>
    <w:rsid w:val="0F4BC90E"/>
    <w:rsid w:val="100014A8"/>
    <w:rsid w:val="1194FF48"/>
    <w:rsid w:val="132FAE10"/>
    <w:rsid w:val="13ECB23B"/>
    <w:rsid w:val="16A0F613"/>
    <w:rsid w:val="16DF5F1F"/>
    <w:rsid w:val="17A3DDD3"/>
    <w:rsid w:val="19015704"/>
    <w:rsid w:val="190688C5"/>
    <w:rsid w:val="19104D7A"/>
    <w:rsid w:val="199E5FC1"/>
    <w:rsid w:val="1BF6BC74"/>
    <w:rsid w:val="1D4E73B7"/>
    <w:rsid w:val="1DE07139"/>
    <w:rsid w:val="1FA0038F"/>
    <w:rsid w:val="2048F1F8"/>
    <w:rsid w:val="20DB48D0"/>
    <w:rsid w:val="225FFFF6"/>
    <w:rsid w:val="23B6D23B"/>
    <w:rsid w:val="242218B3"/>
    <w:rsid w:val="24477B52"/>
    <w:rsid w:val="2454712E"/>
    <w:rsid w:val="2507AEDE"/>
    <w:rsid w:val="283077F5"/>
    <w:rsid w:val="2AC8336D"/>
    <w:rsid w:val="2AD38FE3"/>
    <w:rsid w:val="2DAB715C"/>
    <w:rsid w:val="32D8B4BA"/>
    <w:rsid w:val="33503F45"/>
    <w:rsid w:val="349A31C8"/>
    <w:rsid w:val="34A11B5C"/>
    <w:rsid w:val="36092886"/>
    <w:rsid w:val="36663237"/>
    <w:rsid w:val="36AA67E1"/>
    <w:rsid w:val="383257F5"/>
    <w:rsid w:val="38DCAAC8"/>
    <w:rsid w:val="3AEDB3BA"/>
    <w:rsid w:val="3B57C364"/>
    <w:rsid w:val="3EB80D53"/>
    <w:rsid w:val="4101969E"/>
    <w:rsid w:val="4353A422"/>
    <w:rsid w:val="45EC593A"/>
    <w:rsid w:val="48C9DB09"/>
    <w:rsid w:val="49645E52"/>
    <w:rsid w:val="49BD21D8"/>
    <w:rsid w:val="4A7812A1"/>
    <w:rsid w:val="4AF42DF3"/>
    <w:rsid w:val="4DDBFA4A"/>
    <w:rsid w:val="4E5130F8"/>
    <w:rsid w:val="5052089D"/>
    <w:rsid w:val="5135F789"/>
    <w:rsid w:val="517E000B"/>
    <w:rsid w:val="51D1F4AA"/>
    <w:rsid w:val="52EE20C3"/>
    <w:rsid w:val="54908CA5"/>
    <w:rsid w:val="55E0EEAE"/>
    <w:rsid w:val="5692574F"/>
    <w:rsid w:val="572814BC"/>
    <w:rsid w:val="57AA7358"/>
    <w:rsid w:val="580A2FC2"/>
    <w:rsid w:val="585C28B2"/>
    <w:rsid w:val="59D27C5D"/>
    <w:rsid w:val="5A34BB1A"/>
    <w:rsid w:val="5E717D1B"/>
    <w:rsid w:val="60191671"/>
    <w:rsid w:val="6201049D"/>
    <w:rsid w:val="63820F43"/>
    <w:rsid w:val="6579E8E2"/>
    <w:rsid w:val="6588A5E3"/>
    <w:rsid w:val="66DB2170"/>
    <w:rsid w:val="679AE3E8"/>
    <w:rsid w:val="68DFDFB1"/>
    <w:rsid w:val="69416FF3"/>
    <w:rsid w:val="6958D4C2"/>
    <w:rsid w:val="6A6DEA37"/>
    <w:rsid w:val="6A9A9600"/>
    <w:rsid w:val="6C7B8889"/>
    <w:rsid w:val="6C944FC4"/>
    <w:rsid w:val="6D17F34B"/>
    <w:rsid w:val="6D9A5242"/>
    <w:rsid w:val="6E8A0BA9"/>
    <w:rsid w:val="6F6C0E71"/>
    <w:rsid w:val="70C3C8B9"/>
    <w:rsid w:val="70F3BDEA"/>
    <w:rsid w:val="7200AD6B"/>
    <w:rsid w:val="739CC882"/>
    <w:rsid w:val="76E93501"/>
    <w:rsid w:val="7739FD46"/>
    <w:rsid w:val="779A750C"/>
    <w:rsid w:val="77C0436C"/>
    <w:rsid w:val="785FD9A5"/>
    <w:rsid w:val="7B539929"/>
    <w:rsid w:val="7B98B3AD"/>
    <w:rsid w:val="7CD0A104"/>
    <w:rsid w:val="7DCF46AA"/>
    <w:rsid w:val="7E57E1FE"/>
    <w:rsid w:val="7E7C6B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BC78E"/>
  <w15:chartTrackingRefBased/>
  <w15:docId w15:val="{B7E5E81E-5694-4467-9EA1-921D1F064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07C7"/>
    <w:rPr>
      <w:color w:val="0563C1" w:themeColor="hyperlink"/>
      <w:u w:val="single"/>
    </w:rPr>
  </w:style>
  <w:style w:type="character" w:styleId="UnresolvedMention">
    <w:name w:val="Unresolved Mention"/>
    <w:basedOn w:val="DefaultParagraphFont"/>
    <w:uiPriority w:val="99"/>
    <w:semiHidden/>
    <w:unhideWhenUsed/>
    <w:rsid w:val="000D07C7"/>
    <w:rPr>
      <w:color w:val="605E5C"/>
      <w:shd w:val="clear" w:color="auto" w:fill="E1DFDD"/>
    </w:rPr>
  </w:style>
  <w:style w:type="paragraph" w:styleId="FootnoteText">
    <w:name w:val="footnote text"/>
    <w:basedOn w:val="Normal"/>
    <w:link w:val="FootnoteTextChar"/>
    <w:uiPriority w:val="99"/>
    <w:semiHidden/>
    <w:unhideWhenUsed/>
    <w:rsid w:val="000C02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0253"/>
    <w:rPr>
      <w:sz w:val="20"/>
      <w:szCs w:val="20"/>
    </w:rPr>
  </w:style>
  <w:style w:type="character" w:styleId="FootnoteReference">
    <w:name w:val="footnote reference"/>
    <w:basedOn w:val="DefaultParagraphFont"/>
    <w:uiPriority w:val="99"/>
    <w:semiHidden/>
    <w:unhideWhenUsed/>
    <w:rsid w:val="000C0253"/>
    <w:rPr>
      <w:vertAlign w:val="superscript"/>
    </w:rPr>
  </w:style>
  <w:style w:type="paragraph" w:styleId="Revision">
    <w:name w:val="Revision"/>
    <w:hidden/>
    <w:uiPriority w:val="99"/>
    <w:semiHidden/>
    <w:rsid w:val="003A6C85"/>
    <w:pPr>
      <w:spacing w:after="0" w:line="240" w:lineRule="auto"/>
    </w:pPr>
  </w:style>
  <w:style w:type="paragraph" w:styleId="Header">
    <w:name w:val="header"/>
    <w:basedOn w:val="Normal"/>
    <w:link w:val="HeaderChar"/>
    <w:uiPriority w:val="99"/>
    <w:semiHidden/>
    <w:unhideWhenUsed/>
    <w:rsid w:val="007B08C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B08CB"/>
  </w:style>
  <w:style w:type="paragraph" w:styleId="Footer">
    <w:name w:val="footer"/>
    <w:basedOn w:val="Normal"/>
    <w:link w:val="FooterChar"/>
    <w:uiPriority w:val="99"/>
    <w:semiHidden/>
    <w:unhideWhenUsed/>
    <w:rsid w:val="007B08C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B08CB"/>
  </w:style>
  <w:style w:type="paragraph" w:styleId="ListParagraph">
    <w:name w:val="List Paragraph"/>
    <w:basedOn w:val="Normal"/>
    <w:uiPriority w:val="34"/>
    <w:qFormat/>
    <w:rsid w:val="00B92116"/>
    <w:pPr>
      <w:ind w:left="720"/>
      <w:contextualSpacing/>
    </w:pPr>
  </w:style>
  <w:style w:type="character" w:styleId="CommentReference">
    <w:name w:val="annotation reference"/>
    <w:basedOn w:val="DefaultParagraphFont"/>
    <w:uiPriority w:val="99"/>
    <w:semiHidden/>
    <w:unhideWhenUsed/>
    <w:rsid w:val="00EC614A"/>
    <w:rPr>
      <w:sz w:val="16"/>
      <w:szCs w:val="16"/>
    </w:rPr>
  </w:style>
  <w:style w:type="paragraph" w:styleId="CommentText">
    <w:name w:val="annotation text"/>
    <w:basedOn w:val="Normal"/>
    <w:link w:val="CommentTextChar"/>
    <w:uiPriority w:val="99"/>
    <w:unhideWhenUsed/>
    <w:rsid w:val="00EC614A"/>
    <w:pPr>
      <w:spacing w:line="240" w:lineRule="auto"/>
    </w:pPr>
    <w:rPr>
      <w:sz w:val="20"/>
      <w:szCs w:val="20"/>
    </w:rPr>
  </w:style>
  <w:style w:type="character" w:customStyle="1" w:styleId="CommentTextChar">
    <w:name w:val="Comment Text Char"/>
    <w:basedOn w:val="DefaultParagraphFont"/>
    <w:link w:val="CommentText"/>
    <w:uiPriority w:val="99"/>
    <w:rsid w:val="00EC614A"/>
    <w:rPr>
      <w:sz w:val="20"/>
      <w:szCs w:val="20"/>
    </w:rPr>
  </w:style>
  <w:style w:type="paragraph" w:styleId="CommentSubject">
    <w:name w:val="annotation subject"/>
    <w:basedOn w:val="CommentText"/>
    <w:next w:val="CommentText"/>
    <w:link w:val="CommentSubjectChar"/>
    <w:uiPriority w:val="99"/>
    <w:semiHidden/>
    <w:unhideWhenUsed/>
    <w:rsid w:val="00EC614A"/>
    <w:rPr>
      <w:b/>
      <w:bCs/>
    </w:rPr>
  </w:style>
  <w:style w:type="character" w:customStyle="1" w:styleId="CommentSubjectChar">
    <w:name w:val="Comment Subject Char"/>
    <w:basedOn w:val="CommentTextChar"/>
    <w:link w:val="CommentSubject"/>
    <w:uiPriority w:val="99"/>
    <w:semiHidden/>
    <w:rsid w:val="00EC614A"/>
    <w:rPr>
      <w:b/>
      <w:bCs/>
      <w:sz w:val="20"/>
      <w:szCs w:val="20"/>
    </w:rPr>
  </w:style>
  <w:style w:type="character" w:customStyle="1" w:styleId="normaltextrun">
    <w:name w:val="normaltextrun"/>
    <w:basedOn w:val="DefaultParagraphFont"/>
    <w:rsid w:val="00AC2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77c74b-77b5-4c97-882d-eead2a707f23">
      <Terms xmlns="http://schemas.microsoft.com/office/infopath/2007/PartnerControls"/>
    </lcf76f155ced4ddcb4097134ff3c332f>
    <TaxCatchAll xmlns="616ae013-c81a-4123-829f-3af5763c27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F50AB19D8A2541A827C2ACB192F326" ma:contentTypeVersion="18" ma:contentTypeDescription="Create a new document." ma:contentTypeScope="" ma:versionID="57a30c2f835ddf02382a4107e4550e65">
  <xsd:schema xmlns:xsd="http://www.w3.org/2001/XMLSchema" xmlns:xs="http://www.w3.org/2001/XMLSchema" xmlns:p="http://schemas.microsoft.com/office/2006/metadata/properties" xmlns:ns2="d477c74b-77b5-4c97-882d-eead2a707f23" xmlns:ns3="616ae013-c81a-4123-829f-3af5763c278b" targetNamespace="http://schemas.microsoft.com/office/2006/metadata/properties" ma:root="true" ma:fieldsID="ef28443cf7107644ecffd4b3e848f3b5" ns2:_="" ns3:_="">
    <xsd:import namespace="d477c74b-77b5-4c97-882d-eead2a707f23"/>
    <xsd:import namespace="616ae013-c81a-4123-829f-3af5763c27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7c74b-77b5-4c97-882d-eead2a707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e013-c81a-4123-829f-3af5763c27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14cb1a5-55c0-4e5f-b536-3ecc419bdcde}" ma:internalName="TaxCatchAll" ma:showField="CatchAllData" ma:web="616ae013-c81a-4123-829f-3af5763c2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436C6-690A-482E-A365-96C80C375A78}">
  <ds:schemaRefs>
    <ds:schemaRef ds:uri="http://schemas.microsoft.com/office/2006/metadata/properties"/>
    <ds:schemaRef ds:uri="http://schemas.microsoft.com/office/infopath/2007/PartnerControls"/>
    <ds:schemaRef ds:uri="d477c74b-77b5-4c97-882d-eead2a707f23"/>
    <ds:schemaRef ds:uri="616ae013-c81a-4123-829f-3af5763c278b"/>
  </ds:schemaRefs>
</ds:datastoreItem>
</file>

<file path=customXml/itemProps2.xml><?xml version="1.0" encoding="utf-8"?>
<ds:datastoreItem xmlns:ds="http://schemas.openxmlformats.org/officeDocument/2006/customXml" ds:itemID="{9E3FB04B-3A33-4667-841F-16F4B3D6BC73}">
  <ds:schemaRefs>
    <ds:schemaRef ds:uri="http://schemas.microsoft.com/sharepoint/v3/contenttype/forms"/>
  </ds:schemaRefs>
</ds:datastoreItem>
</file>

<file path=customXml/itemProps3.xml><?xml version="1.0" encoding="utf-8"?>
<ds:datastoreItem xmlns:ds="http://schemas.openxmlformats.org/officeDocument/2006/customXml" ds:itemID="{1125CA65-442F-4E21-BB79-FC2D1ED1A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7c74b-77b5-4c97-882d-eead2a707f23"/>
    <ds:schemaRef ds:uri="616ae013-c81a-4123-829f-3af5763c2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78499D-F65F-4B4F-A31A-5CBE6347A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1656</Words>
  <Characters>9442</Characters>
  <Application>Microsoft Office Word</Application>
  <DocSecurity>0</DocSecurity>
  <Lines>78</Lines>
  <Paragraphs>22</Paragraphs>
  <ScaleCrop>false</ScaleCrop>
  <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Liersch, Tim</dc:creator>
  <cp:keywords/>
  <dc:description/>
  <cp:lastModifiedBy>Liersch, Tim</cp:lastModifiedBy>
  <cp:revision>258</cp:revision>
  <dcterms:created xsi:type="dcterms:W3CDTF">2024-08-05T04:09:00Z</dcterms:created>
  <dcterms:modified xsi:type="dcterms:W3CDTF">2024-08-12T06:12:00Z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0x01010016F50AB19D8A2541A827C2ACB192F326</vt:lpwstr>
  </property>
  <property fmtid="{D5CDD505-2E9C-101B-9397-08002B2CF9AE}" pid="3" name="MediaServiceImageTags">
    <vt:lpwstr/>
  </property>
</Properties>
</file>